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b/>
          <w:color w:val="000000" w:themeColor="text1"/>
          <w:sz w:val="30"/>
          <w14:textFill>
            <w14:solidFill>
              <w14:schemeClr w14:val="tx1"/>
            </w14:solidFill>
          </w14:textFill>
        </w:rPr>
      </w:pPr>
    </w:p>
    <w:p>
      <w:pPr>
        <w:pStyle w:val="2"/>
      </w:pPr>
    </w:p>
    <w:p>
      <w:pPr>
        <w:snapToGrid w:val="0"/>
        <w:spacing w:line="360" w:lineRule="auto"/>
        <w:jc w:val="both"/>
        <w:rPr>
          <w:b/>
          <w:color w:val="000000" w:themeColor="text1"/>
          <w:sz w:val="30"/>
          <w14:textFill>
            <w14:solidFill>
              <w14:schemeClr w14:val="tx1"/>
            </w14:solidFill>
          </w14:textFill>
        </w:rPr>
      </w:pPr>
    </w:p>
    <w:p>
      <w:pPr>
        <w:pStyle w:val="2"/>
      </w:pPr>
    </w:p>
    <w:p>
      <w:pPr>
        <w:snapToGrid w:val="0"/>
        <w:spacing w:line="360" w:lineRule="auto"/>
        <w:jc w:val="center"/>
        <w:rPr>
          <w:b/>
          <w:color w:val="000000" w:themeColor="text1"/>
          <w:sz w:val="30"/>
          <w14:textFill>
            <w14:solidFill>
              <w14:schemeClr w14:val="tx1"/>
            </w14:solidFill>
          </w14:textFill>
        </w:rPr>
      </w:pPr>
    </w:p>
    <w:p>
      <w:pPr>
        <w:snapToGrid w:val="0"/>
        <w:spacing w:line="360" w:lineRule="auto"/>
        <w:jc w:val="center"/>
        <w:rPr>
          <w:rFonts w:eastAsia="黑体"/>
          <w:color w:val="000000" w:themeColor="text1"/>
          <w:sz w:val="72"/>
          <w14:textFill>
            <w14:solidFill>
              <w14:schemeClr w14:val="tx1"/>
            </w14:solidFill>
          </w14:textFill>
        </w:rPr>
      </w:pPr>
      <w:r>
        <w:rPr>
          <w:rFonts w:eastAsia="黑体"/>
          <w:color w:val="000000" w:themeColor="text1"/>
          <w:sz w:val="72"/>
          <w14:textFill>
            <w14:solidFill>
              <w14:schemeClr w14:val="tx1"/>
            </w14:solidFill>
          </w14:textFill>
        </w:rPr>
        <w:t>建设项目环境影响报告表</w:t>
      </w:r>
    </w:p>
    <w:p>
      <w:pPr>
        <w:snapToGrid w:val="0"/>
        <w:spacing w:line="360" w:lineRule="auto"/>
        <w:jc w:val="center"/>
        <w:rPr>
          <w:rFonts w:eastAsia="黑体"/>
          <w:color w:val="000000" w:themeColor="text1"/>
          <w:sz w:val="36"/>
          <w14:textFill>
            <w14:solidFill>
              <w14:schemeClr w14:val="tx1"/>
            </w14:solidFill>
          </w14:textFill>
        </w:rPr>
      </w:pPr>
    </w:p>
    <w:p>
      <w:pPr>
        <w:snapToGrid w:val="0"/>
        <w:spacing w:line="360" w:lineRule="auto"/>
        <w:jc w:val="center"/>
        <w:rPr>
          <w:rFonts w:eastAsia="黑体"/>
          <w:b/>
          <w:color w:val="000000" w:themeColor="text1"/>
          <w:sz w:val="30"/>
          <w14:textFill>
            <w14:solidFill>
              <w14:schemeClr w14:val="tx1"/>
            </w14:solidFill>
          </w14:textFill>
        </w:rPr>
      </w:pPr>
    </w:p>
    <w:p>
      <w:pPr>
        <w:snapToGrid w:val="0"/>
        <w:spacing w:line="360" w:lineRule="auto"/>
        <w:jc w:val="center"/>
        <w:rPr>
          <w:rFonts w:eastAsia="黑体"/>
          <w:b/>
          <w:color w:val="000000" w:themeColor="text1"/>
          <w:sz w:val="30"/>
          <w14:textFill>
            <w14:solidFill>
              <w14:schemeClr w14:val="tx1"/>
            </w14:solidFill>
          </w14:textFill>
        </w:rPr>
      </w:pPr>
    </w:p>
    <w:p>
      <w:pPr>
        <w:snapToGrid w:val="0"/>
        <w:spacing w:line="360" w:lineRule="auto"/>
        <w:jc w:val="center"/>
        <w:rPr>
          <w:rFonts w:eastAsia="黑体"/>
          <w:b/>
          <w:color w:val="000000" w:themeColor="text1"/>
          <w:sz w:val="30"/>
          <w14:textFill>
            <w14:solidFill>
              <w14:schemeClr w14:val="tx1"/>
            </w14:solidFill>
          </w14:textFill>
        </w:rPr>
      </w:pPr>
    </w:p>
    <w:p>
      <w:pPr>
        <w:snapToGrid w:val="0"/>
        <w:spacing w:line="360" w:lineRule="auto"/>
        <w:jc w:val="center"/>
        <w:rPr>
          <w:rFonts w:eastAsia="黑体"/>
          <w:b/>
          <w:color w:val="000000" w:themeColor="text1"/>
          <w:sz w:val="30"/>
          <w14:textFill>
            <w14:solidFill>
              <w14:schemeClr w14:val="tx1"/>
            </w14:solidFill>
          </w14:textFill>
        </w:rPr>
      </w:pPr>
    </w:p>
    <w:p>
      <w:pPr>
        <w:snapToGrid w:val="0"/>
        <w:spacing w:line="360" w:lineRule="auto"/>
        <w:rPr>
          <w:rFonts w:eastAsia="黑体"/>
          <w:color w:val="000000" w:themeColor="text1"/>
          <w:sz w:val="36"/>
          <w:u w:val="single"/>
          <w14:textFill>
            <w14:solidFill>
              <w14:schemeClr w14:val="tx1"/>
            </w14:solidFill>
          </w14:textFill>
        </w:rPr>
      </w:pPr>
      <w:r>
        <w:rPr>
          <w:rFonts w:eastAsia="黑体"/>
          <w:color w:val="000000" w:themeColor="text1"/>
          <w:spacing w:val="-20"/>
          <w:sz w:val="36"/>
          <w14:textFill>
            <w14:solidFill>
              <w14:schemeClr w14:val="tx1"/>
            </w14:solidFill>
          </w14:textFill>
        </w:rPr>
        <w:t>项</w:t>
      </w:r>
      <w:r>
        <w:rPr>
          <w:rFonts w:hint="eastAsia" w:eastAsia="黑体"/>
          <w:color w:val="000000" w:themeColor="text1"/>
          <w:spacing w:val="-20"/>
          <w:sz w:val="36"/>
          <w14:textFill>
            <w14:solidFill>
              <w14:schemeClr w14:val="tx1"/>
            </w14:solidFill>
          </w14:textFill>
        </w:rPr>
        <w:t xml:space="preserve"> </w:t>
      </w:r>
      <w:r>
        <w:rPr>
          <w:rFonts w:eastAsia="黑体"/>
          <w:color w:val="000000" w:themeColor="text1"/>
          <w:spacing w:val="-20"/>
          <w:sz w:val="36"/>
          <w14:textFill>
            <w14:solidFill>
              <w14:schemeClr w14:val="tx1"/>
            </w14:solidFill>
          </w14:textFill>
        </w:rPr>
        <w:t>目</w:t>
      </w:r>
      <w:r>
        <w:rPr>
          <w:rFonts w:hint="eastAsia" w:eastAsia="黑体"/>
          <w:color w:val="000000" w:themeColor="text1"/>
          <w:spacing w:val="-20"/>
          <w:sz w:val="36"/>
          <w14:textFill>
            <w14:solidFill>
              <w14:schemeClr w14:val="tx1"/>
            </w14:solidFill>
          </w14:textFill>
        </w:rPr>
        <w:t xml:space="preserve"> </w:t>
      </w:r>
      <w:r>
        <w:rPr>
          <w:rFonts w:eastAsia="黑体"/>
          <w:color w:val="000000" w:themeColor="text1"/>
          <w:spacing w:val="-20"/>
          <w:sz w:val="36"/>
          <w14:textFill>
            <w14:solidFill>
              <w14:schemeClr w14:val="tx1"/>
            </w14:solidFill>
          </w14:textFill>
        </w:rPr>
        <w:t>名</w:t>
      </w:r>
      <w:r>
        <w:rPr>
          <w:rFonts w:hint="eastAsia" w:eastAsia="黑体"/>
          <w:color w:val="000000" w:themeColor="text1"/>
          <w:spacing w:val="-20"/>
          <w:sz w:val="36"/>
          <w14:textFill>
            <w14:solidFill>
              <w14:schemeClr w14:val="tx1"/>
            </w14:solidFill>
          </w14:textFill>
        </w:rPr>
        <w:t xml:space="preserve"> </w:t>
      </w:r>
      <w:r>
        <w:rPr>
          <w:rFonts w:eastAsia="黑体"/>
          <w:color w:val="000000" w:themeColor="text1"/>
          <w:spacing w:val="-20"/>
          <w:sz w:val="36"/>
          <w14:textFill>
            <w14:solidFill>
              <w14:schemeClr w14:val="tx1"/>
            </w14:solidFill>
          </w14:textFill>
        </w:rPr>
        <w:t>称</w:t>
      </w:r>
      <w:r>
        <w:rPr>
          <w:rFonts w:hint="eastAsia" w:eastAsia="黑体"/>
          <w:color w:val="000000" w:themeColor="text1"/>
          <w:spacing w:val="-20"/>
          <w:sz w:val="36"/>
          <w14:textFill>
            <w14:solidFill>
              <w14:schemeClr w14:val="tx1"/>
            </w14:solidFill>
          </w14:textFill>
        </w:rPr>
        <w:t xml:space="preserve">： </w:t>
      </w:r>
      <w:r>
        <w:rPr>
          <w:rFonts w:hint="eastAsia" w:eastAsia="黑体"/>
          <w:color w:val="000000" w:themeColor="text1"/>
          <w:spacing w:val="-20"/>
          <w:sz w:val="36"/>
          <w:u w:val="single"/>
          <w14:textFill>
            <w14:solidFill>
              <w14:schemeClr w14:val="tx1"/>
            </w14:solidFill>
          </w14:textFill>
        </w:rPr>
        <w:t xml:space="preserve">         </w:t>
      </w:r>
      <w:r>
        <w:rPr>
          <w:rFonts w:hint="eastAsia" w:eastAsia="黑体"/>
          <w:color w:val="000000" w:themeColor="text1"/>
          <w:spacing w:val="-20"/>
          <w:sz w:val="36"/>
          <w:u w:val="single"/>
          <w:lang w:eastAsia="zh-CN"/>
          <w14:textFill>
            <w14:solidFill>
              <w14:schemeClr w14:val="tx1"/>
            </w14:solidFill>
          </w14:textFill>
        </w:rPr>
        <w:t>新建机械零部件生产项目</w:t>
      </w:r>
      <w:r>
        <w:rPr>
          <w:rFonts w:hint="eastAsia" w:eastAsia="黑体"/>
          <w:color w:val="000000" w:themeColor="text1"/>
          <w:spacing w:val="-20"/>
          <w:sz w:val="36"/>
          <w:u w:val="single"/>
          <w14:textFill>
            <w14:solidFill>
              <w14:schemeClr w14:val="tx1"/>
            </w14:solidFill>
          </w14:textFill>
        </w:rPr>
        <w:t xml:space="preserve">          </w:t>
      </w:r>
    </w:p>
    <w:p>
      <w:pPr>
        <w:snapToGrid w:val="0"/>
        <w:spacing w:line="360" w:lineRule="auto"/>
        <w:rPr>
          <w:rFonts w:eastAsia="黑体"/>
          <w:color w:val="000000" w:themeColor="text1"/>
          <w:sz w:val="28"/>
          <w:u w:val="single"/>
          <w14:textFill>
            <w14:solidFill>
              <w14:schemeClr w14:val="tx1"/>
            </w14:solidFill>
          </w14:textFill>
        </w:rPr>
      </w:pPr>
      <w:r>
        <w:rPr>
          <w:rFonts w:eastAsia="黑体"/>
          <w:color w:val="000000" w:themeColor="text1"/>
          <w:spacing w:val="-30"/>
          <w:sz w:val="36"/>
          <w14:textFill>
            <w14:solidFill>
              <w14:schemeClr w14:val="tx1"/>
            </w14:solidFill>
          </w14:textFill>
        </w:rPr>
        <w:t>建设单位</w:t>
      </w:r>
      <w:r>
        <w:rPr>
          <w:rFonts w:hint="eastAsia" w:eastAsia="黑体"/>
          <w:color w:val="000000" w:themeColor="text1"/>
          <w:spacing w:val="-30"/>
          <w:sz w:val="36"/>
          <w14:textFill>
            <w14:solidFill>
              <w14:schemeClr w14:val="tx1"/>
            </w14:solidFill>
          </w14:textFill>
        </w:rPr>
        <w:t>（</w:t>
      </w:r>
      <w:r>
        <w:rPr>
          <w:rFonts w:eastAsia="黑体"/>
          <w:color w:val="000000" w:themeColor="text1"/>
          <w:spacing w:val="-30"/>
          <w:sz w:val="36"/>
          <w14:textFill>
            <w14:solidFill>
              <w14:schemeClr w14:val="tx1"/>
            </w14:solidFill>
          </w14:textFill>
        </w:rPr>
        <w:t>盖章</w:t>
      </w:r>
      <w:r>
        <w:rPr>
          <w:rFonts w:hint="eastAsia" w:eastAsia="黑体"/>
          <w:color w:val="000000" w:themeColor="text1"/>
          <w:spacing w:val="-30"/>
          <w:sz w:val="36"/>
          <w14:textFill>
            <w14:solidFill>
              <w14:schemeClr w14:val="tx1"/>
            </w14:solidFill>
          </w14:textFill>
        </w:rPr>
        <w:t>）：</w:t>
      </w:r>
      <w:r>
        <w:rPr>
          <w:rFonts w:hint="eastAsia" w:eastAsia="黑体"/>
          <w:color w:val="000000" w:themeColor="text1"/>
          <w:spacing w:val="-30"/>
          <w:sz w:val="36"/>
          <w:u w:val="single"/>
          <w14:textFill>
            <w14:solidFill>
              <w14:schemeClr w14:val="tx1"/>
            </w14:solidFill>
          </w14:textFill>
        </w:rPr>
        <w:t xml:space="preserve">    </w:t>
      </w:r>
      <w:r>
        <w:rPr>
          <w:rFonts w:hint="eastAsia" w:eastAsia="黑体"/>
          <w:color w:val="000000" w:themeColor="text1"/>
          <w:spacing w:val="-30"/>
          <w:sz w:val="36"/>
          <w:u w:val="single"/>
          <w:lang w:val="en-US" w:eastAsia="zh-CN"/>
          <w14:textFill>
            <w14:solidFill>
              <w14:schemeClr w14:val="tx1"/>
            </w14:solidFill>
          </w14:textFill>
        </w:rPr>
        <w:t xml:space="preserve"> </w:t>
      </w:r>
      <w:r>
        <w:rPr>
          <w:rFonts w:hint="eastAsia" w:eastAsia="黑体"/>
          <w:color w:val="000000" w:themeColor="text1"/>
          <w:spacing w:val="-30"/>
          <w:sz w:val="36"/>
          <w:u w:val="single"/>
          <w14:textFill>
            <w14:solidFill>
              <w14:schemeClr w14:val="tx1"/>
            </w14:solidFill>
          </w14:textFill>
        </w:rPr>
        <w:t xml:space="preserve">  </w:t>
      </w:r>
      <w:r>
        <w:rPr>
          <w:rFonts w:hint="eastAsia" w:eastAsia="黑体"/>
          <w:color w:val="000000" w:themeColor="text1"/>
          <w:spacing w:val="-30"/>
          <w:sz w:val="36"/>
          <w:u w:val="single"/>
          <w:lang w:eastAsia="zh-CN"/>
          <w14:textFill>
            <w14:solidFill>
              <w14:schemeClr w14:val="tx1"/>
            </w14:solidFill>
          </w14:textFill>
        </w:rPr>
        <w:t>江苏思耐尔传动科技有限公司</w:t>
      </w:r>
      <w:r>
        <w:rPr>
          <w:rFonts w:hint="eastAsia" w:eastAsia="黑体"/>
          <w:color w:val="000000" w:themeColor="text1"/>
          <w:spacing w:val="-30"/>
          <w:sz w:val="36"/>
          <w:u w:val="single"/>
          <w14:textFill>
            <w14:solidFill>
              <w14:schemeClr w14:val="tx1"/>
            </w14:solidFill>
          </w14:textFill>
        </w:rPr>
        <w:t xml:space="preserve"> </w:t>
      </w:r>
      <w:r>
        <w:rPr>
          <w:rFonts w:eastAsia="黑体"/>
          <w:color w:val="000000" w:themeColor="text1"/>
          <w:spacing w:val="-20"/>
          <w:sz w:val="36"/>
          <w:u w:val="single"/>
          <w14:textFill>
            <w14:solidFill>
              <w14:schemeClr w14:val="tx1"/>
            </w14:solidFill>
          </w14:textFill>
        </w:rPr>
        <w:t xml:space="preserve"> </w:t>
      </w:r>
      <w:r>
        <w:rPr>
          <w:rFonts w:hint="eastAsia" w:eastAsia="黑体"/>
          <w:color w:val="000000" w:themeColor="text1"/>
          <w:spacing w:val="-20"/>
          <w:sz w:val="36"/>
          <w:u w:val="single"/>
          <w14:textFill>
            <w14:solidFill>
              <w14:schemeClr w14:val="tx1"/>
            </w14:solidFill>
          </w14:textFill>
        </w:rPr>
        <w:t xml:space="preserve">   </w:t>
      </w:r>
      <w:r>
        <w:rPr>
          <w:rFonts w:eastAsia="黑体"/>
          <w:color w:val="000000" w:themeColor="text1"/>
          <w:spacing w:val="-20"/>
          <w:sz w:val="36"/>
          <w:u w:val="single"/>
          <w14:textFill>
            <w14:solidFill>
              <w14:schemeClr w14:val="tx1"/>
            </w14:solidFill>
          </w14:textFill>
        </w:rPr>
        <w:t xml:space="preserve"> </w:t>
      </w:r>
    </w:p>
    <w:p>
      <w:pPr>
        <w:snapToGrid w:val="0"/>
        <w:spacing w:line="360" w:lineRule="auto"/>
        <w:jc w:val="center"/>
        <w:rPr>
          <w:rFonts w:eastAsia="黑体"/>
          <w:b/>
          <w:color w:val="000000" w:themeColor="text1"/>
          <w:sz w:val="30"/>
          <w14:textFill>
            <w14:solidFill>
              <w14:schemeClr w14:val="tx1"/>
            </w14:solidFill>
          </w14:textFill>
        </w:rPr>
      </w:pPr>
    </w:p>
    <w:p>
      <w:pPr>
        <w:snapToGrid w:val="0"/>
        <w:spacing w:line="360" w:lineRule="auto"/>
        <w:jc w:val="center"/>
        <w:rPr>
          <w:rFonts w:eastAsia="黑体"/>
          <w:b/>
          <w:color w:val="000000" w:themeColor="text1"/>
          <w:sz w:val="30"/>
          <w14:textFill>
            <w14:solidFill>
              <w14:schemeClr w14:val="tx1"/>
            </w14:solidFill>
          </w14:textFill>
        </w:rPr>
      </w:pPr>
    </w:p>
    <w:p>
      <w:pPr>
        <w:snapToGrid w:val="0"/>
        <w:spacing w:line="360" w:lineRule="auto"/>
        <w:jc w:val="center"/>
        <w:rPr>
          <w:rFonts w:eastAsia="黑体"/>
          <w:b/>
          <w:color w:val="000000" w:themeColor="text1"/>
          <w:sz w:val="30"/>
          <w14:textFill>
            <w14:solidFill>
              <w14:schemeClr w14:val="tx1"/>
            </w14:solidFill>
          </w14:textFill>
        </w:rPr>
      </w:pPr>
    </w:p>
    <w:p>
      <w:pPr>
        <w:snapToGrid w:val="0"/>
        <w:spacing w:line="360" w:lineRule="auto"/>
        <w:jc w:val="center"/>
        <w:rPr>
          <w:rFonts w:eastAsia="黑体"/>
          <w:b/>
          <w:color w:val="000000" w:themeColor="text1"/>
          <w:sz w:val="30"/>
          <w14:textFill>
            <w14:solidFill>
              <w14:schemeClr w14:val="tx1"/>
            </w14:solidFill>
          </w14:textFill>
        </w:rPr>
      </w:pPr>
    </w:p>
    <w:p>
      <w:pPr>
        <w:snapToGrid w:val="0"/>
        <w:spacing w:line="360" w:lineRule="auto"/>
        <w:jc w:val="center"/>
        <w:rPr>
          <w:rFonts w:eastAsia="黑体"/>
          <w:b/>
          <w:color w:val="000000" w:themeColor="text1"/>
          <w:sz w:val="30"/>
          <w14:textFill>
            <w14:solidFill>
              <w14:schemeClr w14:val="tx1"/>
            </w14:solidFill>
          </w14:textFill>
        </w:rPr>
      </w:pPr>
    </w:p>
    <w:p>
      <w:pPr>
        <w:snapToGrid w:val="0"/>
        <w:spacing w:line="360" w:lineRule="auto"/>
        <w:jc w:val="center"/>
        <w:rPr>
          <w:rFonts w:eastAsia="黑体"/>
          <w:b/>
          <w:color w:val="000000" w:themeColor="text1"/>
          <w:sz w:val="30"/>
          <w14:textFill>
            <w14:solidFill>
              <w14:schemeClr w14:val="tx1"/>
            </w14:solidFill>
          </w14:textFill>
        </w:rPr>
      </w:pPr>
    </w:p>
    <w:p>
      <w:pPr>
        <w:snapToGrid w:val="0"/>
        <w:spacing w:line="360" w:lineRule="auto"/>
        <w:jc w:val="center"/>
        <w:rPr>
          <w:rFonts w:eastAsia="黑体"/>
          <w:b/>
          <w:color w:val="000000" w:themeColor="text1"/>
          <w:sz w:val="30"/>
          <w14:textFill>
            <w14:solidFill>
              <w14:schemeClr w14:val="tx1"/>
            </w14:solidFill>
          </w14:textFill>
        </w:rPr>
      </w:pPr>
    </w:p>
    <w:p>
      <w:pPr>
        <w:snapToGrid w:val="0"/>
        <w:spacing w:line="360" w:lineRule="auto"/>
        <w:jc w:val="center"/>
        <w:rPr>
          <w:rFonts w:eastAsia="黑体"/>
          <w:b/>
          <w:color w:val="000000" w:themeColor="text1"/>
          <w:sz w:val="30"/>
          <w14:textFill>
            <w14:solidFill>
              <w14:schemeClr w14:val="tx1"/>
            </w14:solidFill>
          </w14:textFill>
        </w:rPr>
      </w:pPr>
    </w:p>
    <w:p>
      <w:pPr>
        <w:snapToGrid w:val="0"/>
        <w:spacing w:line="360" w:lineRule="auto"/>
        <w:jc w:val="center"/>
        <w:rPr>
          <w:rFonts w:eastAsia="黑体"/>
          <w:color w:val="000000" w:themeColor="text1"/>
          <w:sz w:val="32"/>
          <w14:textFill>
            <w14:solidFill>
              <w14:schemeClr w14:val="tx1"/>
            </w14:solidFill>
          </w14:textFill>
        </w:rPr>
      </w:pPr>
      <w:r>
        <w:rPr>
          <w:rFonts w:eastAsia="黑体"/>
          <w:color w:val="000000" w:themeColor="text1"/>
          <w:sz w:val="32"/>
          <w14:textFill>
            <w14:solidFill>
              <w14:schemeClr w14:val="tx1"/>
            </w14:solidFill>
          </w14:textFill>
        </w:rPr>
        <w:t>编制日期：20</w:t>
      </w:r>
      <w:r>
        <w:rPr>
          <w:rFonts w:hint="eastAsia" w:eastAsia="黑体"/>
          <w:color w:val="000000" w:themeColor="text1"/>
          <w:sz w:val="32"/>
          <w14:textFill>
            <w14:solidFill>
              <w14:schemeClr w14:val="tx1"/>
            </w14:solidFill>
          </w14:textFill>
        </w:rPr>
        <w:t>20</w:t>
      </w:r>
      <w:r>
        <w:rPr>
          <w:rFonts w:eastAsia="黑体"/>
          <w:color w:val="000000" w:themeColor="text1"/>
          <w:sz w:val="32"/>
          <w14:textFill>
            <w14:solidFill>
              <w14:schemeClr w14:val="tx1"/>
            </w14:solidFill>
          </w14:textFill>
        </w:rPr>
        <w:t>年</w:t>
      </w:r>
      <w:r>
        <w:rPr>
          <w:rFonts w:hint="eastAsia" w:eastAsia="黑体"/>
          <w:color w:val="000000" w:themeColor="text1"/>
          <w:sz w:val="32"/>
          <w:lang w:val="en-US" w:eastAsia="zh-CN"/>
          <w14:textFill>
            <w14:solidFill>
              <w14:schemeClr w14:val="tx1"/>
            </w14:solidFill>
          </w14:textFill>
        </w:rPr>
        <w:t>5</w:t>
      </w:r>
      <w:r>
        <w:rPr>
          <w:rFonts w:eastAsia="黑体"/>
          <w:color w:val="000000" w:themeColor="text1"/>
          <w:sz w:val="32"/>
          <w14:textFill>
            <w14:solidFill>
              <w14:schemeClr w14:val="tx1"/>
            </w14:solidFill>
          </w14:textFill>
        </w:rPr>
        <w:t>月</w:t>
      </w:r>
    </w:p>
    <w:p>
      <w:pPr>
        <w:snapToGrid w:val="0"/>
        <w:spacing w:line="360" w:lineRule="auto"/>
        <w:jc w:val="center"/>
        <w:rPr>
          <w:rFonts w:eastAsia="黑体"/>
          <w:b/>
          <w:color w:val="000000" w:themeColor="text1"/>
          <w:sz w:val="30"/>
          <w14:textFill>
            <w14:solidFill>
              <w14:schemeClr w14:val="tx1"/>
            </w14:solidFill>
          </w14:textFill>
        </w:rPr>
      </w:pPr>
    </w:p>
    <w:p>
      <w:pPr>
        <w:snapToGrid w:val="0"/>
        <w:spacing w:line="360" w:lineRule="auto"/>
        <w:jc w:val="center"/>
        <w:rPr>
          <w:rFonts w:eastAsia="黑体"/>
          <w:b/>
          <w:color w:val="000000" w:themeColor="text1"/>
          <w:sz w:val="30"/>
          <w14:textFill>
            <w14:solidFill>
              <w14:schemeClr w14:val="tx1"/>
            </w14:solidFill>
          </w14:textFill>
        </w:rPr>
      </w:pPr>
    </w:p>
    <w:p>
      <w:pPr>
        <w:snapToGrid w:val="0"/>
        <w:spacing w:line="360" w:lineRule="auto"/>
        <w:jc w:val="center"/>
        <w:rPr>
          <w:rFonts w:eastAsia="黑体"/>
          <w:b/>
          <w:color w:val="000000" w:themeColor="text1"/>
          <w:sz w:val="30"/>
          <w14:textFill>
            <w14:solidFill>
              <w14:schemeClr w14:val="tx1"/>
            </w14:solidFill>
          </w14:textFill>
        </w:rPr>
      </w:pPr>
    </w:p>
    <w:p>
      <w:pPr>
        <w:pStyle w:val="2"/>
      </w:pPr>
    </w:p>
    <w:p>
      <w:pPr>
        <w:spacing w:line="360" w:lineRule="auto"/>
        <w:jc w:val="center"/>
        <w:rPr>
          <w:color w:val="000000" w:themeColor="text1"/>
          <w:sz w:val="28"/>
          <w14:textFill>
            <w14:solidFill>
              <w14:schemeClr w14:val="tx1"/>
            </w14:solidFill>
          </w14:textFill>
        </w:rPr>
      </w:pPr>
      <w:r>
        <w:rPr>
          <w:color w:val="000000" w:themeColor="text1"/>
          <w:sz w:val="28"/>
          <w14:textFill>
            <w14:solidFill>
              <w14:schemeClr w14:val="tx1"/>
            </w14:solidFill>
          </w14:textFill>
        </w:rPr>
        <w:t>《建设项目环境影响报告表》编制说明</w:t>
      </w:r>
    </w:p>
    <w:p>
      <w:pPr>
        <w:spacing w:line="360" w:lineRule="auto"/>
        <w:rPr>
          <w:color w:val="000000" w:themeColor="text1"/>
          <w:sz w:val="28"/>
          <w14:textFill>
            <w14:solidFill>
              <w14:schemeClr w14:val="tx1"/>
            </w14:solidFill>
          </w14:textFill>
        </w:rPr>
      </w:pP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《建设项目环境影响报告表》由具有从事环境影响评价工作资质的单位编制。</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1．项目名称——指项目立项批复时的名称，应不超过30个字（两个英文字段作一个汉字）。</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2．建设地点——指项目所在地详细地址，公路、铁路应填写起止地点。</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3．行业类别——按国标填写。</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4．总投资——指项目投资总额。</w:t>
      </w:r>
      <w:r>
        <w:rPr>
          <w:rFonts w:hint="eastAsia"/>
          <w:color w:val="000000" w:themeColor="text1"/>
          <w:sz w:val="24"/>
          <w14:textFill>
            <w14:solidFill>
              <w14:schemeClr w14:val="tx1"/>
            </w14:solidFill>
          </w14:textFill>
        </w:rPr>
        <w:t xml:space="preserve"> </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5．主要环境保护目标 —— 指项目区周围一定范围内集中居民住宅区、学校、医院、保护文物、风景名胜区、水源地和生态敏感点等，应尽可能给出保护目标、性质、规模和距厂界距离等。</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6．结论与建议 —— 给出本项目清洁生产、达标排放和总量控制的分析结论，确定污染防治措施的有效性，说明本项目对环境造成的影响，给出建设项目环境可行性的明确结论。同时提出减少环境影响的其它建议。</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7．预审意见——由行业主管部门填写答复意见，无主管部门项目，可不填。</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8．审批意见——由负责审批该项目的环境保护行政主管部门批复。</w:t>
      </w:r>
    </w:p>
    <w:p>
      <w:pPr>
        <w:spacing w:line="360" w:lineRule="auto"/>
        <w:ind w:firstLine="480" w:firstLineChars="200"/>
        <w:rPr>
          <w:color w:val="000000" w:themeColor="text1"/>
          <w:sz w:val="24"/>
          <w14:textFill>
            <w14:solidFill>
              <w14:schemeClr w14:val="tx1"/>
            </w14:solidFill>
          </w14:textFill>
        </w:rPr>
      </w:pPr>
    </w:p>
    <w:p>
      <w:pPr>
        <w:snapToGrid w:val="0"/>
        <w:spacing w:line="360" w:lineRule="auto"/>
        <w:jc w:val="center"/>
        <w:rPr>
          <w:rFonts w:eastAsia="黑体"/>
          <w:b/>
          <w:color w:val="000000" w:themeColor="text1"/>
          <w:sz w:val="30"/>
          <w14:textFill>
            <w14:solidFill>
              <w14:schemeClr w14:val="tx1"/>
            </w14:solidFill>
          </w14:textFill>
        </w:rPr>
      </w:pPr>
    </w:p>
    <w:p>
      <w:pPr>
        <w:snapToGrid w:val="0"/>
        <w:spacing w:line="360" w:lineRule="auto"/>
        <w:jc w:val="center"/>
        <w:rPr>
          <w:rFonts w:eastAsia="黑体"/>
          <w:b/>
          <w:color w:val="000000" w:themeColor="text1"/>
          <w:sz w:val="30"/>
          <w14:textFill>
            <w14:solidFill>
              <w14:schemeClr w14:val="tx1"/>
            </w14:solidFill>
          </w14:textFill>
        </w:rPr>
      </w:pPr>
    </w:p>
    <w:p>
      <w:pPr>
        <w:snapToGrid w:val="0"/>
        <w:spacing w:line="360" w:lineRule="auto"/>
        <w:jc w:val="center"/>
        <w:rPr>
          <w:rFonts w:eastAsia="黑体"/>
          <w:b/>
          <w:color w:val="000000" w:themeColor="text1"/>
          <w:sz w:val="30"/>
          <w14:textFill>
            <w14:solidFill>
              <w14:schemeClr w14:val="tx1"/>
            </w14:solidFill>
          </w14:textFill>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Borders>
            <w:top w:val="none" w:sz="0" w:space="0"/>
            <w:left w:val="none" w:sz="0" w:space="0"/>
            <w:bottom w:val="none" w:sz="0" w:space="0"/>
            <w:right w:val="none" w:sz="0" w:space="0"/>
          </w:pgBorders>
          <w:pgNumType w:start="0"/>
          <w:cols w:space="720" w:num="1"/>
          <w:titlePg/>
          <w:docGrid w:type="lines" w:linePitch="312" w:charSpace="0"/>
        </w:sectPr>
      </w:pPr>
    </w:p>
    <w:p>
      <w:pPr>
        <w:pStyle w:val="23"/>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建设项目基本情况</w:t>
      </w:r>
    </w:p>
    <w:tbl>
      <w:tblPr>
        <w:tblStyle w:val="17"/>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8"/>
        <w:gridCol w:w="1285"/>
        <w:gridCol w:w="446"/>
        <w:gridCol w:w="466"/>
        <w:gridCol w:w="935"/>
        <w:gridCol w:w="38"/>
        <w:gridCol w:w="1354"/>
        <w:gridCol w:w="844"/>
        <w:gridCol w:w="538"/>
        <w:gridCol w:w="1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84" w:type="dxa"/>
            <w:tcBorders>
              <w:top w:val="single" w:color="auto" w:sz="12" w:space="0"/>
              <w:left w:val="single" w:color="auto" w:sz="12" w:space="0"/>
            </w:tcBorders>
            <w:vAlign w:val="center"/>
          </w:tcPr>
          <w:p>
            <w:pPr>
              <w:jc w:val="center"/>
              <w:rPr>
                <w:sz w:val="24"/>
                <w:szCs w:val="24"/>
              </w:rPr>
            </w:pPr>
            <w:r>
              <w:rPr>
                <w:sz w:val="24"/>
                <w:szCs w:val="24"/>
              </w:rPr>
              <w:t>项目名称</w:t>
            </w:r>
          </w:p>
        </w:tc>
        <w:tc>
          <w:tcPr>
            <w:tcW w:w="7144" w:type="dxa"/>
            <w:gridSpan w:val="9"/>
            <w:tcBorders>
              <w:top w:val="single" w:color="auto" w:sz="12" w:space="0"/>
              <w:right w:val="single" w:color="auto" w:sz="12" w:space="0"/>
            </w:tcBorders>
            <w:vAlign w:val="center"/>
          </w:tcPr>
          <w:p>
            <w:pPr>
              <w:snapToGrid w:val="0"/>
              <w:jc w:val="center"/>
              <w:rPr>
                <w:rFonts w:hint="eastAsia" w:eastAsia="宋体"/>
                <w:sz w:val="24"/>
                <w:szCs w:val="24"/>
                <w:lang w:eastAsia="zh-CN"/>
              </w:rPr>
            </w:pPr>
            <w:r>
              <w:rPr>
                <w:rFonts w:hint="eastAsia"/>
                <w:sz w:val="24"/>
                <w:szCs w:val="24"/>
                <w:lang w:eastAsia="zh-CN"/>
              </w:rPr>
              <w:t>新建机械零部件生产项目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84" w:type="dxa"/>
            <w:tcBorders>
              <w:left w:val="single" w:color="auto" w:sz="12" w:space="0"/>
            </w:tcBorders>
            <w:vAlign w:val="center"/>
          </w:tcPr>
          <w:p>
            <w:pPr>
              <w:jc w:val="center"/>
              <w:rPr>
                <w:sz w:val="24"/>
                <w:szCs w:val="24"/>
              </w:rPr>
            </w:pPr>
            <w:r>
              <w:rPr>
                <w:sz w:val="24"/>
                <w:szCs w:val="24"/>
              </w:rPr>
              <w:t>建设单位</w:t>
            </w:r>
          </w:p>
        </w:tc>
        <w:tc>
          <w:tcPr>
            <w:tcW w:w="7144" w:type="dxa"/>
            <w:gridSpan w:val="9"/>
            <w:tcBorders>
              <w:right w:val="single" w:color="auto" w:sz="12" w:space="0"/>
            </w:tcBorders>
            <w:vAlign w:val="center"/>
          </w:tcPr>
          <w:p>
            <w:pPr>
              <w:snapToGrid w:val="0"/>
              <w:jc w:val="center"/>
              <w:rPr>
                <w:rFonts w:hint="eastAsia" w:eastAsia="宋体"/>
                <w:sz w:val="24"/>
                <w:szCs w:val="24"/>
                <w:lang w:eastAsia="zh-CN"/>
              </w:rPr>
            </w:pPr>
            <w:r>
              <w:rPr>
                <w:rFonts w:hint="eastAsia"/>
                <w:sz w:val="24"/>
                <w:szCs w:val="24"/>
                <w:lang w:eastAsia="zh-CN"/>
              </w:rPr>
              <w:t>江苏思耐尔传动科技有限公司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84" w:type="dxa"/>
            <w:tcBorders>
              <w:left w:val="single" w:color="auto" w:sz="12" w:space="0"/>
            </w:tcBorders>
            <w:vAlign w:val="center"/>
          </w:tcPr>
          <w:p>
            <w:pPr>
              <w:jc w:val="center"/>
              <w:rPr>
                <w:sz w:val="24"/>
                <w:szCs w:val="24"/>
              </w:rPr>
            </w:pPr>
            <w:r>
              <w:rPr>
                <w:sz w:val="24"/>
                <w:szCs w:val="24"/>
              </w:rPr>
              <w:t>法人代表</w:t>
            </w:r>
          </w:p>
        </w:tc>
        <w:tc>
          <w:tcPr>
            <w:tcW w:w="2931" w:type="dxa"/>
            <w:gridSpan w:val="4"/>
            <w:vAlign w:val="center"/>
          </w:tcPr>
          <w:p>
            <w:pPr>
              <w:jc w:val="center"/>
              <w:rPr>
                <w:sz w:val="24"/>
                <w:szCs w:val="24"/>
              </w:rPr>
            </w:pPr>
            <w:r>
              <w:rPr>
                <w:rFonts w:hint="eastAsia"/>
                <w:sz w:val="24"/>
                <w:szCs w:val="24"/>
                <w:lang w:eastAsia="zh-CN"/>
              </w:rPr>
              <w:t>沈玉峰</w:t>
            </w:r>
          </w:p>
        </w:tc>
        <w:tc>
          <w:tcPr>
            <w:tcW w:w="1466" w:type="dxa"/>
            <w:gridSpan w:val="2"/>
            <w:vAlign w:val="center"/>
          </w:tcPr>
          <w:p>
            <w:pPr>
              <w:jc w:val="center"/>
              <w:rPr>
                <w:sz w:val="24"/>
                <w:szCs w:val="24"/>
              </w:rPr>
            </w:pPr>
            <w:r>
              <w:rPr>
                <w:sz w:val="24"/>
                <w:szCs w:val="24"/>
              </w:rPr>
              <w:t>联系人</w:t>
            </w:r>
          </w:p>
        </w:tc>
        <w:tc>
          <w:tcPr>
            <w:tcW w:w="2747" w:type="dxa"/>
            <w:gridSpan w:val="3"/>
            <w:tcBorders>
              <w:right w:val="single" w:color="auto" w:sz="12" w:space="0"/>
            </w:tcBorders>
            <w:vAlign w:val="center"/>
          </w:tcPr>
          <w:p>
            <w:pPr>
              <w:jc w:val="center"/>
              <w:rPr>
                <w:rFonts w:hint="eastAsia" w:eastAsia="宋体"/>
                <w:sz w:val="24"/>
                <w:szCs w:val="24"/>
                <w:lang w:eastAsia="zh-CN"/>
              </w:rPr>
            </w:pPr>
            <w:r>
              <w:rPr>
                <w:rFonts w:hint="eastAsia"/>
                <w:sz w:val="24"/>
                <w:szCs w:val="24"/>
                <w:lang w:eastAsia="zh-CN"/>
              </w:rPr>
              <w:t>金总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84" w:type="dxa"/>
            <w:tcBorders>
              <w:left w:val="single" w:color="auto" w:sz="12" w:space="0"/>
            </w:tcBorders>
            <w:vAlign w:val="center"/>
          </w:tcPr>
          <w:p>
            <w:pPr>
              <w:jc w:val="center"/>
              <w:rPr>
                <w:sz w:val="24"/>
                <w:szCs w:val="24"/>
              </w:rPr>
            </w:pPr>
            <w:r>
              <w:rPr>
                <w:sz w:val="24"/>
                <w:szCs w:val="24"/>
              </w:rPr>
              <w:t>通讯地址</w:t>
            </w:r>
          </w:p>
        </w:tc>
        <w:tc>
          <w:tcPr>
            <w:tcW w:w="7144" w:type="dxa"/>
            <w:gridSpan w:val="9"/>
            <w:tcBorders>
              <w:right w:val="single" w:color="auto" w:sz="12" w:space="0"/>
            </w:tcBorders>
            <w:vAlign w:val="center"/>
          </w:tcPr>
          <w:p>
            <w:pPr>
              <w:jc w:val="center"/>
              <w:rPr>
                <w:sz w:val="24"/>
                <w:szCs w:val="24"/>
              </w:rPr>
            </w:pPr>
            <w:r>
              <w:rPr>
                <w:rFonts w:hint="eastAsia"/>
                <w:kern w:val="0"/>
                <w:sz w:val="24"/>
                <w:szCs w:val="24"/>
              </w:rPr>
              <w:t>常州市金坛区直溪镇工业园区水南路18号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1384" w:type="dxa"/>
            <w:tcBorders>
              <w:left w:val="single" w:color="auto" w:sz="12" w:space="0"/>
            </w:tcBorders>
            <w:vAlign w:val="center"/>
          </w:tcPr>
          <w:p>
            <w:pPr>
              <w:jc w:val="center"/>
              <w:rPr>
                <w:sz w:val="24"/>
                <w:szCs w:val="24"/>
              </w:rPr>
            </w:pPr>
            <w:r>
              <w:rPr>
                <w:sz w:val="24"/>
                <w:szCs w:val="24"/>
              </w:rPr>
              <w:t>联系电话</w:t>
            </w:r>
          </w:p>
        </w:tc>
        <w:tc>
          <w:tcPr>
            <w:tcW w:w="1876" w:type="dxa"/>
            <w:gridSpan w:val="3"/>
            <w:vAlign w:val="center"/>
          </w:tcPr>
          <w:p>
            <w:pPr>
              <w:jc w:val="center"/>
              <w:rPr>
                <w:rFonts w:hint="default" w:eastAsia="宋体"/>
                <w:sz w:val="24"/>
                <w:szCs w:val="24"/>
                <w:lang w:val="en-US" w:eastAsia="zh-CN"/>
              </w:rPr>
            </w:pPr>
            <w:r>
              <w:rPr>
                <w:rFonts w:hint="eastAsia"/>
                <w:sz w:val="24"/>
                <w:szCs w:val="24"/>
                <w:lang w:val="en-US" w:eastAsia="zh-CN"/>
              </w:rPr>
              <w:t>13636335722</w:t>
            </w:r>
          </w:p>
        </w:tc>
        <w:tc>
          <w:tcPr>
            <w:tcW w:w="1055" w:type="dxa"/>
            <w:vAlign w:val="center"/>
          </w:tcPr>
          <w:p>
            <w:pPr>
              <w:ind w:right="-107" w:rightChars="-51"/>
              <w:jc w:val="center"/>
              <w:rPr>
                <w:sz w:val="24"/>
                <w:szCs w:val="24"/>
              </w:rPr>
            </w:pPr>
            <w:r>
              <w:rPr>
                <w:sz w:val="24"/>
                <w:szCs w:val="24"/>
              </w:rPr>
              <w:t>传真</w:t>
            </w:r>
          </w:p>
        </w:tc>
        <w:tc>
          <w:tcPr>
            <w:tcW w:w="1466" w:type="dxa"/>
            <w:gridSpan w:val="2"/>
            <w:vAlign w:val="center"/>
          </w:tcPr>
          <w:p>
            <w:pPr>
              <w:jc w:val="center"/>
              <w:rPr>
                <w:sz w:val="24"/>
                <w:szCs w:val="24"/>
              </w:rPr>
            </w:pPr>
            <w:r>
              <w:rPr>
                <w:sz w:val="24"/>
                <w:szCs w:val="24"/>
              </w:rPr>
              <w:t>/</w:t>
            </w:r>
          </w:p>
        </w:tc>
        <w:tc>
          <w:tcPr>
            <w:tcW w:w="1690" w:type="dxa"/>
            <w:gridSpan w:val="2"/>
            <w:tcBorders>
              <w:right w:val="single" w:color="auto" w:sz="2" w:space="0"/>
            </w:tcBorders>
            <w:vAlign w:val="center"/>
          </w:tcPr>
          <w:p>
            <w:pPr>
              <w:jc w:val="center"/>
              <w:rPr>
                <w:sz w:val="24"/>
                <w:szCs w:val="24"/>
              </w:rPr>
            </w:pPr>
            <w:r>
              <w:rPr>
                <w:sz w:val="24"/>
                <w:szCs w:val="24"/>
              </w:rPr>
              <w:t>邮政编码</w:t>
            </w:r>
          </w:p>
        </w:tc>
        <w:tc>
          <w:tcPr>
            <w:tcW w:w="1057" w:type="dxa"/>
            <w:tcBorders>
              <w:left w:val="single" w:color="auto" w:sz="2" w:space="0"/>
              <w:right w:val="single" w:color="auto" w:sz="12" w:space="0"/>
            </w:tcBorders>
            <w:vAlign w:val="center"/>
          </w:tcPr>
          <w:p>
            <w:pPr>
              <w:jc w:val="center"/>
              <w:rPr>
                <w:sz w:val="24"/>
                <w:szCs w:val="24"/>
              </w:rPr>
            </w:pPr>
            <w:r>
              <w:rPr>
                <w:sz w:val="24"/>
                <w:szCs w:val="24"/>
              </w:rPr>
              <w:t>2132</w:t>
            </w:r>
            <w:r>
              <w:rPr>
                <w:rFonts w:hint="eastAsia"/>
                <w:sz w:val="24"/>
                <w:szCs w:val="24"/>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84" w:type="dxa"/>
            <w:tcBorders>
              <w:left w:val="single" w:color="auto" w:sz="12" w:space="0"/>
            </w:tcBorders>
            <w:vAlign w:val="center"/>
          </w:tcPr>
          <w:p>
            <w:pPr>
              <w:jc w:val="center"/>
              <w:rPr>
                <w:sz w:val="24"/>
                <w:szCs w:val="24"/>
              </w:rPr>
            </w:pPr>
            <w:r>
              <w:rPr>
                <w:sz w:val="24"/>
                <w:szCs w:val="24"/>
              </w:rPr>
              <w:t>建设地点</w:t>
            </w:r>
          </w:p>
        </w:tc>
        <w:tc>
          <w:tcPr>
            <w:tcW w:w="7144" w:type="dxa"/>
            <w:gridSpan w:val="9"/>
            <w:tcBorders>
              <w:right w:val="single" w:color="auto" w:sz="12" w:space="0"/>
            </w:tcBorders>
            <w:vAlign w:val="center"/>
          </w:tcPr>
          <w:p>
            <w:pPr>
              <w:jc w:val="center"/>
              <w:rPr>
                <w:sz w:val="24"/>
                <w:szCs w:val="24"/>
              </w:rPr>
            </w:pPr>
            <w:r>
              <w:rPr>
                <w:rFonts w:hint="eastAsia"/>
                <w:kern w:val="0"/>
                <w:sz w:val="24"/>
                <w:szCs w:val="24"/>
              </w:rPr>
              <w:t>常州市金坛区直溪镇工业园区水南路18号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84" w:type="dxa"/>
            <w:tcBorders>
              <w:left w:val="single" w:color="auto" w:sz="12" w:space="0"/>
            </w:tcBorders>
            <w:vAlign w:val="center"/>
          </w:tcPr>
          <w:p>
            <w:pPr>
              <w:jc w:val="center"/>
              <w:rPr>
                <w:sz w:val="24"/>
                <w:szCs w:val="24"/>
              </w:rPr>
            </w:pPr>
            <w:r>
              <w:rPr>
                <w:sz w:val="24"/>
                <w:szCs w:val="24"/>
              </w:rPr>
              <w:t>立项审批部门</w:t>
            </w:r>
          </w:p>
        </w:tc>
        <w:tc>
          <w:tcPr>
            <w:tcW w:w="2991" w:type="dxa"/>
            <w:gridSpan w:val="5"/>
            <w:vAlign w:val="center"/>
          </w:tcPr>
          <w:p>
            <w:pPr>
              <w:jc w:val="center"/>
              <w:rPr>
                <w:sz w:val="24"/>
                <w:szCs w:val="24"/>
              </w:rPr>
            </w:pPr>
            <w:r>
              <w:rPr>
                <w:rFonts w:hint="eastAsia"/>
                <w:sz w:val="24"/>
              </w:rPr>
              <w:t>常州市</w:t>
            </w:r>
            <w:r>
              <w:rPr>
                <w:sz w:val="24"/>
              </w:rPr>
              <w:t>金坛区</w:t>
            </w:r>
            <w:r>
              <w:rPr>
                <w:rFonts w:hint="eastAsia"/>
                <w:sz w:val="24"/>
              </w:rPr>
              <w:t>发展和改革委员会</w:t>
            </w:r>
          </w:p>
        </w:tc>
        <w:tc>
          <w:tcPr>
            <w:tcW w:w="1406" w:type="dxa"/>
            <w:vAlign w:val="center"/>
          </w:tcPr>
          <w:p>
            <w:pPr>
              <w:jc w:val="center"/>
              <w:rPr>
                <w:sz w:val="24"/>
                <w:szCs w:val="24"/>
              </w:rPr>
            </w:pPr>
            <w:r>
              <w:rPr>
                <w:sz w:val="24"/>
                <w:szCs w:val="24"/>
              </w:rPr>
              <w:t>批准文号</w:t>
            </w:r>
          </w:p>
        </w:tc>
        <w:tc>
          <w:tcPr>
            <w:tcW w:w="2747" w:type="dxa"/>
            <w:gridSpan w:val="3"/>
            <w:tcBorders>
              <w:right w:val="single" w:color="auto" w:sz="12" w:space="0"/>
            </w:tcBorders>
            <w:vAlign w:val="center"/>
          </w:tcPr>
          <w:p>
            <w:pPr>
              <w:snapToGrid w:val="0"/>
              <w:jc w:val="center"/>
              <w:rPr>
                <w:rFonts w:hint="eastAsia" w:eastAsia="宋体"/>
                <w:sz w:val="24"/>
                <w:lang w:eastAsia="zh-CN"/>
              </w:rPr>
            </w:pPr>
            <w:r>
              <w:rPr>
                <w:sz w:val="24"/>
              </w:rPr>
              <w:t>坛</w:t>
            </w:r>
            <w:r>
              <w:rPr>
                <w:rFonts w:hint="eastAsia"/>
                <w:sz w:val="24"/>
              </w:rPr>
              <w:t>发改</w:t>
            </w:r>
            <w:r>
              <w:rPr>
                <w:sz w:val="24"/>
              </w:rPr>
              <w:t>备</w:t>
            </w:r>
            <w:r>
              <w:rPr>
                <w:rFonts w:hint="eastAsia"/>
                <w:sz w:val="24"/>
                <w:lang w:eastAsia="zh-CN"/>
              </w:rPr>
              <w:t>【2019】162号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84" w:type="dxa"/>
            <w:tcBorders>
              <w:left w:val="single" w:color="auto" w:sz="12" w:space="0"/>
            </w:tcBorders>
            <w:vAlign w:val="center"/>
          </w:tcPr>
          <w:p>
            <w:pPr>
              <w:jc w:val="center"/>
              <w:rPr>
                <w:sz w:val="24"/>
                <w:szCs w:val="24"/>
              </w:rPr>
            </w:pPr>
            <w:r>
              <w:rPr>
                <w:sz w:val="24"/>
                <w:szCs w:val="24"/>
              </w:rPr>
              <w:t>建设性质</w:t>
            </w:r>
          </w:p>
        </w:tc>
        <w:tc>
          <w:tcPr>
            <w:tcW w:w="2991" w:type="dxa"/>
            <w:gridSpan w:val="5"/>
            <w:vAlign w:val="center"/>
          </w:tcPr>
          <w:p>
            <w:pPr>
              <w:jc w:val="center"/>
              <w:rPr>
                <w:sz w:val="24"/>
                <w:szCs w:val="24"/>
              </w:rPr>
            </w:pPr>
            <w:r>
              <w:rPr>
                <w:sz w:val="24"/>
                <w:szCs w:val="24"/>
              </w:rPr>
              <w:t>新建</w:t>
            </w:r>
          </w:p>
        </w:tc>
        <w:tc>
          <w:tcPr>
            <w:tcW w:w="1406" w:type="dxa"/>
            <w:vAlign w:val="center"/>
          </w:tcPr>
          <w:p>
            <w:pPr>
              <w:jc w:val="center"/>
              <w:rPr>
                <w:sz w:val="24"/>
                <w:szCs w:val="24"/>
              </w:rPr>
            </w:pPr>
            <w:r>
              <w:rPr>
                <w:sz w:val="24"/>
                <w:szCs w:val="24"/>
              </w:rPr>
              <w:t>行业类别</w:t>
            </w:r>
          </w:p>
          <w:p>
            <w:pPr>
              <w:jc w:val="center"/>
              <w:rPr>
                <w:sz w:val="24"/>
                <w:szCs w:val="24"/>
              </w:rPr>
            </w:pPr>
            <w:r>
              <w:rPr>
                <w:sz w:val="24"/>
                <w:szCs w:val="24"/>
              </w:rPr>
              <w:t>及代码</w:t>
            </w:r>
          </w:p>
        </w:tc>
        <w:tc>
          <w:tcPr>
            <w:tcW w:w="2747" w:type="dxa"/>
            <w:gridSpan w:val="3"/>
            <w:tcBorders>
              <w:bottom w:val="single" w:color="auto" w:sz="4" w:space="0"/>
              <w:right w:val="single" w:color="auto" w:sz="12" w:space="0"/>
            </w:tcBorders>
            <w:vAlign w:val="center"/>
          </w:tcPr>
          <w:p>
            <w:pPr>
              <w:jc w:val="center"/>
              <w:rPr>
                <w:rFonts w:hint="default" w:eastAsia="宋体"/>
                <w:sz w:val="24"/>
                <w:szCs w:val="24"/>
                <w:lang w:val="en-US" w:eastAsia="zh-CN"/>
              </w:rPr>
            </w:pPr>
            <w:r>
              <w:rPr>
                <w:rFonts w:hint="eastAsia"/>
                <w:sz w:val="24"/>
                <w:szCs w:val="24"/>
                <w:lang w:val="en-US" w:eastAsia="zh-CN"/>
              </w:rPr>
              <w:t>C3499 其他未列明通用设备制造业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84" w:type="dxa"/>
            <w:tcBorders>
              <w:left w:val="single" w:color="auto" w:sz="12" w:space="0"/>
            </w:tcBorders>
            <w:vAlign w:val="center"/>
          </w:tcPr>
          <w:p>
            <w:pPr>
              <w:jc w:val="center"/>
              <w:rPr>
                <w:sz w:val="24"/>
                <w:szCs w:val="24"/>
              </w:rPr>
            </w:pPr>
            <w:r>
              <w:rPr>
                <w:rFonts w:hint="eastAsia"/>
                <w:sz w:val="24"/>
                <w:szCs w:val="24"/>
              </w:rPr>
              <w:t>占地面积</w:t>
            </w:r>
            <w:r>
              <w:rPr>
                <w:sz w:val="24"/>
                <w:szCs w:val="24"/>
              </w:rPr>
              <w:t>（平方米）</w:t>
            </w:r>
          </w:p>
        </w:tc>
        <w:tc>
          <w:tcPr>
            <w:tcW w:w="2991" w:type="dxa"/>
            <w:gridSpan w:val="5"/>
            <w:vAlign w:val="center"/>
          </w:tcPr>
          <w:p>
            <w:pPr>
              <w:jc w:val="center"/>
              <w:rPr>
                <w:rFonts w:hint="default" w:eastAsia="宋体"/>
                <w:sz w:val="24"/>
                <w:szCs w:val="24"/>
                <w:lang w:val="en-US" w:eastAsia="zh-CN"/>
              </w:rPr>
            </w:pPr>
            <w:r>
              <w:rPr>
                <w:rFonts w:hint="eastAsia"/>
                <w:sz w:val="24"/>
                <w:szCs w:val="24"/>
                <w:lang w:val="en-US" w:eastAsia="zh-CN"/>
              </w:rPr>
              <w:t>2264</w:t>
            </w:r>
          </w:p>
        </w:tc>
        <w:tc>
          <w:tcPr>
            <w:tcW w:w="1406" w:type="dxa"/>
            <w:vAlign w:val="center"/>
          </w:tcPr>
          <w:p>
            <w:pPr>
              <w:jc w:val="center"/>
              <w:rPr>
                <w:sz w:val="24"/>
                <w:szCs w:val="24"/>
              </w:rPr>
            </w:pPr>
            <w:r>
              <w:rPr>
                <w:sz w:val="24"/>
                <w:szCs w:val="24"/>
              </w:rPr>
              <w:t>绿化面积</w:t>
            </w:r>
          </w:p>
          <w:p>
            <w:pPr>
              <w:jc w:val="center"/>
              <w:rPr>
                <w:sz w:val="24"/>
                <w:szCs w:val="24"/>
              </w:rPr>
            </w:pPr>
            <w:r>
              <w:rPr>
                <w:sz w:val="24"/>
                <w:szCs w:val="24"/>
              </w:rPr>
              <w:t>（平方米）</w:t>
            </w:r>
          </w:p>
        </w:tc>
        <w:tc>
          <w:tcPr>
            <w:tcW w:w="2747" w:type="dxa"/>
            <w:gridSpan w:val="3"/>
            <w:tcBorders>
              <w:bottom w:val="single" w:color="auto" w:sz="4" w:space="0"/>
              <w:right w:val="single" w:color="auto" w:sz="12" w:space="0"/>
            </w:tcBorders>
            <w:vAlign w:val="center"/>
          </w:tcPr>
          <w:p>
            <w:pPr>
              <w:jc w:val="center"/>
              <w:rPr>
                <w:sz w:val="24"/>
                <w:vertAlign w:val="superscript"/>
              </w:rPr>
            </w:pPr>
            <w:r>
              <w:rPr>
                <w:rFonts w:hint="eastAsia"/>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84" w:type="dxa"/>
            <w:tcBorders>
              <w:left w:val="single" w:color="auto" w:sz="12" w:space="0"/>
            </w:tcBorders>
            <w:shd w:val="clear" w:color="auto" w:fill="auto"/>
            <w:vAlign w:val="center"/>
          </w:tcPr>
          <w:p>
            <w:pPr>
              <w:jc w:val="center"/>
              <w:rPr>
                <w:sz w:val="24"/>
              </w:rPr>
            </w:pPr>
            <w:r>
              <w:rPr>
                <w:sz w:val="24"/>
              </w:rPr>
              <w:t>总投资</w:t>
            </w:r>
          </w:p>
          <w:p>
            <w:pPr>
              <w:jc w:val="center"/>
              <w:rPr>
                <w:sz w:val="24"/>
              </w:rPr>
            </w:pPr>
            <w:r>
              <w:rPr>
                <w:sz w:val="24"/>
              </w:rPr>
              <w:t>（万元）</w:t>
            </w:r>
          </w:p>
        </w:tc>
        <w:tc>
          <w:tcPr>
            <w:tcW w:w="1478" w:type="dxa"/>
            <w:gridSpan w:val="2"/>
            <w:shd w:val="clear" w:color="auto" w:fill="auto"/>
            <w:vAlign w:val="center"/>
          </w:tcPr>
          <w:p>
            <w:pPr>
              <w:jc w:val="center"/>
              <w:rPr>
                <w:rFonts w:hint="default" w:eastAsia="宋体"/>
                <w:sz w:val="24"/>
                <w:lang w:val="en-US" w:eastAsia="zh-CN"/>
              </w:rPr>
            </w:pPr>
            <w:r>
              <w:rPr>
                <w:rFonts w:hint="eastAsia"/>
                <w:sz w:val="24"/>
                <w:lang w:val="en-US" w:eastAsia="zh-CN"/>
              </w:rPr>
              <w:t>1000</w:t>
            </w:r>
          </w:p>
        </w:tc>
        <w:tc>
          <w:tcPr>
            <w:tcW w:w="1513" w:type="dxa"/>
            <w:gridSpan w:val="3"/>
            <w:shd w:val="clear" w:color="auto" w:fill="auto"/>
            <w:vAlign w:val="center"/>
          </w:tcPr>
          <w:p>
            <w:pPr>
              <w:jc w:val="center"/>
              <w:rPr>
                <w:sz w:val="24"/>
              </w:rPr>
            </w:pPr>
            <w:r>
              <w:rPr>
                <w:sz w:val="24"/>
              </w:rPr>
              <w:t>其中：环保</w:t>
            </w:r>
          </w:p>
          <w:p>
            <w:pPr>
              <w:jc w:val="center"/>
              <w:rPr>
                <w:sz w:val="24"/>
              </w:rPr>
            </w:pPr>
            <w:r>
              <w:rPr>
                <w:sz w:val="24"/>
              </w:rPr>
              <w:t>投资（万元）</w:t>
            </w:r>
          </w:p>
        </w:tc>
        <w:tc>
          <w:tcPr>
            <w:tcW w:w="1406" w:type="dxa"/>
            <w:shd w:val="clear" w:color="auto" w:fill="auto"/>
            <w:vAlign w:val="center"/>
          </w:tcPr>
          <w:p>
            <w:pPr>
              <w:jc w:val="center"/>
              <w:rPr>
                <w:rFonts w:hint="default" w:eastAsia="宋体"/>
                <w:sz w:val="24"/>
                <w:lang w:val="en-US" w:eastAsia="zh-CN"/>
              </w:rPr>
            </w:pPr>
            <w:r>
              <w:rPr>
                <w:rFonts w:hint="eastAsia"/>
                <w:sz w:val="24"/>
                <w:lang w:val="en-US" w:eastAsia="zh-CN"/>
              </w:rPr>
              <w:t>40</w:t>
            </w:r>
          </w:p>
        </w:tc>
        <w:tc>
          <w:tcPr>
            <w:tcW w:w="1690" w:type="dxa"/>
            <w:gridSpan w:val="2"/>
            <w:shd w:val="clear" w:color="auto" w:fill="auto"/>
            <w:vAlign w:val="center"/>
          </w:tcPr>
          <w:p>
            <w:pPr>
              <w:jc w:val="center"/>
              <w:rPr>
                <w:sz w:val="24"/>
              </w:rPr>
            </w:pPr>
            <w:r>
              <w:rPr>
                <w:sz w:val="24"/>
              </w:rPr>
              <w:t>环保投资占总投资比例</w:t>
            </w:r>
          </w:p>
        </w:tc>
        <w:tc>
          <w:tcPr>
            <w:tcW w:w="1057" w:type="dxa"/>
            <w:tcBorders>
              <w:bottom w:val="single" w:color="auto" w:sz="4" w:space="0"/>
              <w:right w:val="single" w:color="auto" w:sz="12" w:space="0"/>
            </w:tcBorders>
            <w:shd w:val="clear" w:color="auto" w:fill="auto"/>
            <w:vAlign w:val="center"/>
          </w:tcPr>
          <w:p>
            <w:pPr>
              <w:jc w:val="center"/>
              <w:rPr>
                <w:sz w:val="24"/>
              </w:rPr>
            </w:pPr>
            <w:r>
              <w:rPr>
                <w:rFonts w:hint="eastAsia"/>
                <w:sz w:val="24"/>
                <w:lang w:val="en-US" w:eastAsia="zh-CN"/>
              </w:rPr>
              <w:t>4</w:t>
            </w:r>
            <w:r>
              <w:rPr>
                <w:rFonts w:hint="eastAsia"/>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84" w:type="dxa"/>
            <w:tcBorders>
              <w:left w:val="single" w:color="auto" w:sz="12" w:space="0"/>
              <w:bottom w:val="nil"/>
            </w:tcBorders>
            <w:vAlign w:val="center"/>
          </w:tcPr>
          <w:p>
            <w:pPr>
              <w:jc w:val="center"/>
              <w:rPr>
                <w:sz w:val="24"/>
              </w:rPr>
            </w:pPr>
            <w:r>
              <w:rPr>
                <w:sz w:val="24"/>
              </w:rPr>
              <w:t>评价经费</w:t>
            </w:r>
          </w:p>
          <w:p>
            <w:pPr>
              <w:jc w:val="center"/>
              <w:rPr>
                <w:sz w:val="24"/>
              </w:rPr>
            </w:pPr>
            <w:r>
              <w:rPr>
                <w:sz w:val="24"/>
              </w:rPr>
              <w:t>（万元）</w:t>
            </w:r>
          </w:p>
        </w:tc>
        <w:tc>
          <w:tcPr>
            <w:tcW w:w="1478" w:type="dxa"/>
            <w:gridSpan w:val="2"/>
            <w:tcBorders>
              <w:bottom w:val="nil"/>
            </w:tcBorders>
            <w:vAlign w:val="center"/>
          </w:tcPr>
          <w:p>
            <w:pPr>
              <w:jc w:val="center"/>
              <w:rPr>
                <w:sz w:val="24"/>
              </w:rPr>
            </w:pPr>
            <w:r>
              <w:rPr>
                <w:rFonts w:hint="eastAsia"/>
                <w:sz w:val="24"/>
              </w:rPr>
              <w:t>/</w:t>
            </w:r>
          </w:p>
        </w:tc>
        <w:tc>
          <w:tcPr>
            <w:tcW w:w="1513" w:type="dxa"/>
            <w:gridSpan w:val="3"/>
            <w:tcBorders>
              <w:bottom w:val="nil"/>
            </w:tcBorders>
            <w:vAlign w:val="center"/>
          </w:tcPr>
          <w:p>
            <w:pPr>
              <w:jc w:val="center"/>
              <w:rPr>
                <w:sz w:val="24"/>
              </w:rPr>
            </w:pPr>
            <w:r>
              <w:rPr>
                <w:sz w:val="24"/>
              </w:rPr>
              <w:t>预期投</w:t>
            </w:r>
          </w:p>
          <w:p>
            <w:pPr>
              <w:jc w:val="center"/>
              <w:rPr>
                <w:sz w:val="24"/>
              </w:rPr>
            </w:pPr>
            <w:r>
              <w:rPr>
                <w:sz w:val="24"/>
              </w:rPr>
              <w:t>产日期</w:t>
            </w:r>
          </w:p>
        </w:tc>
        <w:tc>
          <w:tcPr>
            <w:tcW w:w="4153" w:type="dxa"/>
            <w:gridSpan w:val="4"/>
            <w:tcBorders>
              <w:bottom w:val="nil"/>
              <w:right w:val="single" w:color="auto" w:sz="12" w:space="0"/>
            </w:tcBorders>
            <w:vAlign w:val="center"/>
          </w:tcPr>
          <w:p>
            <w:pPr>
              <w:jc w:val="center"/>
              <w:rPr>
                <w:sz w:val="24"/>
              </w:rPr>
            </w:pPr>
            <w:r>
              <w:rPr>
                <w:rFonts w:hint="eastAsia"/>
                <w:sz w:val="24"/>
              </w:rPr>
              <w:t>2020年</w:t>
            </w:r>
            <w:r>
              <w:rPr>
                <w:rFonts w:hint="eastAsia"/>
                <w:sz w:val="24"/>
                <w:lang w:val="en-US" w:eastAsia="zh-CN"/>
              </w:rPr>
              <w:t>8</w:t>
            </w:r>
            <w:r>
              <w:rPr>
                <w:rFonts w:hint="eastAsia"/>
                <w:sz w:val="24"/>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8528" w:type="dxa"/>
            <w:gridSpan w:val="10"/>
            <w:tcBorders>
              <w:top w:val="single" w:color="000000" w:sz="4" w:space="0"/>
              <w:left w:val="single" w:color="auto" w:sz="12" w:space="0"/>
              <w:bottom w:val="single" w:color="000000" w:sz="4" w:space="0"/>
              <w:right w:val="single" w:color="auto" w:sz="12" w:space="0"/>
            </w:tcBorders>
          </w:tcPr>
          <w:p>
            <w:pPr>
              <w:rPr>
                <w:b/>
                <w:bCs/>
                <w:sz w:val="24"/>
              </w:rPr>
            </w:pPr>
            <w:r>
              <w:rPr>
                <w:b/>
                <w:bCs/>
                <w:sz w:val="24"/>
              </w:rPr>
              <w:t>原辅材料（包括名称、用量）及主要设施规格、数量（包括锅炉、发电机等）：</w:t>
            </w:r>
            <w:r>
              <w:rPr>
                <w:rFonts w:hint="eastAsia"/>
                <w:b/>
                <w:bCs/>
                <w:sz w:val="24"/>
              </w:rPr>
              <w:t xml:space="preserve"> </w:t>
            </w:r>
          </w:p>
          <w:p>
            <w:pPr>
              <w:keepNext w:val="0"/>
              <w:keepLines w:val="0"/>
              <w:pageBreakBefore w:val="0"/>
              <w:widowControl w:val="0"/>
              <w:kinsoku/>
              <w:wordWrap/>
              <w:overflowPunct/>
              <w:topLinePunct w:val="0"/>
              <w:autoSpaceDE/>
              <w:autoSpaceDN/>
              <w:bidi w:val="0"/>
              <w:adjustRightInd/>
              <w:snapToGrid/>
              <w:spacing w:before="157" w:beforeLines="50" w:line="360" w:lineRule="auto"/>
              <w:textAlignment w:val="auto"/>
              <w:rPr>
                <w:sz w:val="24"/>
                <w:szCs w:val="24"/>
              </w:rPr>
            </w:pPr>
            <w:r>
              <w:rPr>
                <w:rFonts w:hint="eastAsia"/>
                <w:sz w:val="24"/>
                <w:szCs w:val="24"/>
              </w:rPr>
              <w:t>原辅材料消耗详见表1-1，主要设备详见表1-2。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8528" w:type="dxa"/>
            <w:gridSpan w:val="10"/>
            <w:tcBorders>
              <w:top w:val="nil"/>
              <w:left w:val="single" w:color="auto" w:sz="12" w:space="0"/>
              <w:right w:val="single" w:color="auto" w:sz="12" w:space="0"/>
            </w:tcBorders>
            <w:vAlign w:val="center"/>
          </w:tcPr>
          <w:p>
            <w:pPr>
              <w:rPr>
                <w:b/>
                <w:bCs/>
                <w:sz w:val="24"/>
              </w:rPr>
            </w:pPr>
            <w:r>
              <w:rPr>
                <w:b/>
                <w:bCs/>
                <w:sz w:val="24"/>
              </w:rPr>
              <w:t>水及能源消耗量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2481" w:type="dxa"/>
            <w:gridSpan w:val="2"/>
            <w:tcBorders>
              <w:left w:val="single" w:color="auto" w:sz="12" w:space="0"/>
            </w:tcBorders>
            <w:vAlign w:val="center"/>
          </w:tcPr>
          <w:p>
            <w:pPr>
              <w:jc w:val="center"/>
              <w:rPr>
                <w:b/>
                <w:sz w:val="24"/>
              </w:rPr>
            </w:pPr>
            <w:r>
              <w:rPr>
                <w:b/>
                <w:sz w:val="24"/>
              </w:rPr>
              <w:t>名称</w:t>
            </w:r>
          </w:p>
        </w:tc>
        <w:tc>
          <w:tcPr>
            <w:tcW w:w="1834" w:type="dxa"/>
            <w:gridSpan w:val="3"/>
            <w:vAlign w:val="center"/>
          </w:tcPr>
          <w:p>
            <w:pPr>
              <w:jc w:val="center"/>
              <w:rPr>
                <w:b/>
                <w:sz w:val="24"/>
              </w:rPr>
            </w:pPr>
            <w:r>
              <w:rPr>
                <w:b/>
                <w:sz w:val="24"/>
              </w:rPr>
              <w:t>消耗量</w:t>
            </w:r>
          </w:p>
        </w:tc>
        <w:tc>
          <w:tcPr>
            <w:tcW w:w="2456" w:type="dxa"/>
            <w:gridSpan w:val="3"/>
            <w:vAlign w:val="center"/>
          </w:tcPr>
          <w:p>
            <w:pPr>
              <w:jc w:val="center"/>
              <w:rPr>
                <w:b/>
                <w:sz w:val="24"/>
              </w:rPr>
            </w:pPr>
            <w:r>
              <w:rPr>
                <w:b/>
                <w:sz w:val="24"/>
              </w:rPr>
              <w:t>名称</w:t>
            </w:r>
          </w:p>
        </w:tc>
        <w:tc>
          <w:tcPr>
            <w:tcW w:w="1757" w:type="dxa"/>
            <w:gridSpan w:val="2"/>
            <w:tcBorders>
              <w:right w:val="single" w:color="auto" w:sz="12" w:space="0"/>
            </w:tcBorders>
            <w:vAlign w:val="center"/>
          </w:tcPr>
          <w:p>
            <w:pPr>
              <w:jc w:val="center"/>
              <w:rPr>
                <w:b/>
                <w:sz w:val="24"/>
              </w:rPr>
            </w:pPr>
            <w:r>
              <w:rPr>
                <w:b/>
                <w:sz w:val="24"/>
              </w:rPr>
              <w:t>消耗量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2481" w:type="dxa"/>
            <w:gridSpan w:val="2"/>
            <w:tcBorders>
              <w:left w:val="single" w:color="auto" w:sz="12" w:space="0"/>
            </w:tcBorders>
            <w:vAlign w:val="center"/>
          </w:tcPr>
          <w:p>
            <w:pPr>
              <w:jc w:val="center"/>
            </w:pPr>
            <w:r>
              <w:t>水（吨/年）</w:t>
            </w:r>
          </w:p>
        </w:tc>
        <w:tc>
          <w:tcPr>
            <w:tcW w:w="1834" w:type="dxa"/>
            <w:gridSpan w:val="3"/>
            <w:vAlign w:val="center"/>
          </w:tcPr>
          <w:p>
            <w:pPr>
              <w:jc w:val="center"/>
              <w:rPr>
                <w:rFonts w:hint="default" w:eastAsia="宋体"/>
                <w:color w:val="FF0000"/>
                <w:lang w:val="en-US" w:eastAsia="zh-CN"/>
              </w:rPr>
            </w:pPr>
            <w:r>
              <w:rPr>
                <w:rFonts w:hint="eastAsia"/>
                <w:lang w:val="en-US" w:eastAsia="zh-CN"/>
              </w:rPr>
              <w:t>750</w:t>
            </w:r>
          </w:p>
        </w:tc>
        <w:tc>
          <w:tcPr>
            <w:tcW w:w="2456" w:type="dxa"/>
            <w:gridSpan w:val="3"/>
            <w:vAlign w:val="center"/>
          </w:tcPr>
          <w:p>
            <w:pPr>
              <w:jc w:val="center"/>
            </w:pPr>
            <w:r>
              <w:t>蒸汽（吨/年）</w:t>
            </w:r>
          </w:p>
        </w:tc>
        <w:tc>
          <w:tcPr>
            <w:tcW w:w="1757" w:type="dxa"/>
            <w:gridSpan w:val="2"/>
            <w:tcBorders>
              <w:right w:val="single" w:color="auto" w:sz="12" w:space="0"/>
            </w:tcBorders>
            <w:vAlign w:val="center"/>
          </w:tcPr>
          <w:p>
            <w:pPr>
              <w:jc w:val="center"/>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2481" w:type="dxa"/>
            <w:gridSpan w:val="2"/>
            <w:tcBorders>
              <w:left w:val="single" w:color="auto" w:sz="12" w:space="0"/>
            </w:tcBorders>
            <w:vAlign w:val="center"/>
          </w:tcPr>
          <w:p>
            <w:pPr>
              <w:jc w:val="center"/>
            </w:pPr>
            <w:r>
              <w:t>电（</w:t>
            </w:r>
            <w:r>
              <w:rPr>
                <w:rFonts w:hint="eastAsia"/>
              </w:rPr>
              <w:t>千瓦时/年</w:t>
            </w:r>
            <w:r>
              <w:t>）</w:t>
            </w:r>
          </w:p>
        </w:tc>
        <w:tc>
          <w:tcPr>
            <w:tcW w:w="1834" w:type="dxa"/>
            <w:gridSpan w:val="3"/>
            <w:vAlign w:val="center"/>
          </w:tcPr>
          <w:p>
            <w:pPr>
              <w:jc w:val="center"/>
              <w:rPr>
                <w:color w:val="FF0000"/>
              </w:rPr>
            </w:pPr>
            <w:r>
              <w:rPr>
                <w:rFonts w:hint="eastAsia"/>
                <w:lang w:val="en-US" w:eastAsia="zh-CN"/>
              </w:rPr>
              <w:t>3</w:t>
            </w:r>
            <w:r>
              <w:rPr>
                <w:rFonts w:hint="eastAsia"/>
              </w:rPr>
              <w:t>万</w:t>
            </w:r>
          </w:p>
        </w:tc>
        <w:tc>
          <w:tcPr>
            <w:tcW w:w="2456" w:type="dxa"/>
            <w:gridSpan w:val="3"/>
            <w:vAlign w:val="center"/>
          </w:tcPr>
          <w:p>
            <w:pPr>
              <w:jc w:val="center"/>
            </w:pPr>
            <w:r>
              <w:rPr>
                <w:rFonts w:hint="eastAsia"/>
                <w:lang w:eastAsia="zh-CN"/>
              </w:rPr>
              <w:t>天然气</w:t>
            </w:r>
            <w:r>
              <w:t>（标立方米/</w:t>
            </w:r>
            <w:r>
              <w:rPr>
                <w:rFonts w:hint="eastAsia"/>
              </w:rPr>
              <w:t>年</w:t>
            </w:r>
            <w:r>
              <w:t>）</w:t>
            </w:r>
          </w:p>
        </w:tc>
        <w:tc>
          <w:tcPr>
            <w:tcW w:w="1757" w:type="dxa"/>
            <w:gridSpan w:val="2"/>
            <w:tcBorders>
              <w:right w:val="single" w:color="auto" w:sz="12" w:space="0"/>
            </w:tcBorders>
            <w:vAlign w:val="center"/>
          </w:tcPr>
          <w:p>
            <w:pPr>
              <w:jc w:val="center"/>
              <w:rPr>
                <w:rFonts w:hint="default" w:eastAsia="宋体"/>
                <w:lang w:val="en-US" w:eastAsia="zh-CN"/>
              </w:rPr>
            </w:pPr>
            <w:r>
              <w:rPr>
                <w:rFonts w:hint="eastAsia"/>
                <w:lang w:val="en-US" w:eastAsia="zh-CN"/>
              </w:rPr>
              <w:t>3万m</w:t>
            </w:r>
            <w:r>
              <w:rPr>
                <w:rFonts w:hint="eastAsia"/>
                <w:vertAlign w:val="superscript"/>
                <w:lang w:val="en-US" w:eastAsia="zh-CN"/>
              </w:rPr>
              <w:t>3</w:t>
            </w:r>
            <w:r>
              <w:rPr>
                <w:rFonts w:hint="eastAsia"/>
                <w:lang w:val="en-US" w:eastAsia="zh-CN"/>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2481" w:type="dxa"/>
            <w:gridSpan w:val="2"/>
            <w:tcBorders>
              <w:left w:val="single" w:color="auto" w:sz="12" w:space="0"/>
            </w:tcBorders>
            <w:vAlign w:val="center"/>
          </w:tcPr>
          <w:p>
            <w:pPr>
              <w:jc w:val="center"/>
            </w:pPr>
            <w:r>
              <w:t>燃煤（吨/年）</w:t>
            </w:r>
          </w:p>
        </w:tc>
        <w:tc>
          <w:tcPr>
            <w:tcW w:w="1834" w:type="dxa"/>
            <w:gridSpan w:val="3"/>
            <w:vAlign w:val="center"/>
          </w:tcPr>
          <w:p>
            <w:pPr>
              <w:jc w:val="center"/>
            </w:pPr>
            <w:r>
              <w:t>——</w:t>
            </w:r>
          </w:p>
        </w:tc>
        <w:tc>
          <w:tcPr>
            <w:tcW w:w="2456" w:type="dxa"/>
            <w:gridSpan w:val="3"/>
            <w:vAlign w:val="center"/>
          </w:tcPr>
          <w:p>
            <w:pPr>
              <w:jc w:val="center"/>
            </w:pPr>
          </w:p>
        </w:tc>
        <w:tc>
          <w:tcPr>
            <w:tcW w:w="1757" w:type="dxa"/>
            <w:gridSpan w:val="2"/>
            <w:tcBorders>
              <w:right w:val="single" w:color="auto" w:sz="12" w:space="0"/>
            </w:tcBorders>
            <w:vAlign w:val="center"/>
          </w:tcPr>
          <w:p>
            <w:pPr>
              <w:jc w:val="center"/>
            </w:pP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8528" w:type="dxa"/>
            <w:gridSpan w:val="10"/>
            <w:tcBorders>
              <w:left w:val="single" w:color="auto" w:sz="12" w:space="0"/>
              <w:bottom w:val="single" w:color="auto" w:sz="4" w:space="0"/>
              <w:right w:val="single" w:color="auto" w:sz="12" w:space="0"/>
            </w:tcBorders>
          </w:tcPr>
          <w:p>
            <w:pPr>
              <w:spacing w:line="360" w:lineRule="auto"/>
              <w:rPr>
                <w:b/>
                <w:bCs/>
                <w:sz w:val="24"/>
              </w:rPr>
            </w:pPr>
            <w:r>
              <w:rPr>
                <w:b/>
                <w:bCs/>
                <w:sz w:val="24"/>
              </w:rPr>
              <w:t>废水（工业废水</w:t>
            </w:r>
            <w:r>
              <w:rPr>
                <w:rFonts w:hint="eastAsia"/>
                <w:szCs w:val="21"/>
              </w:rPr>
              <w:t>□</w:t>
            </w:r>
            <w:r>
              <w:rPr>
                <w:b/>
                <w:bCs/>
                <w:sz w:val="24"/>
              </w:rPr>
              <w:t>、生活污水</w:t>
            </w:r>
            <w:r>
              <w:rPr>
                <w:rFonts w:hint="eastAsia"/>
              </w:rPr>
              <w:t>（</w:t>
            </w:r>
            <w:r>
              <w:rPr>
                <w:b/>
                <w:bCs/>
                <w:sz w:val="24"/>
              </w:rPr>
              <w:t>）排水量及排放去向：</w:t>
            </w:r>
          </w:p>
          <w:p>
            <w:pPr>
              <w:spacing w:line="360" w:lineRule="auto"/>
              <w:ind w:firstLine="480" w:firstLineChars="200"/>
              <w:rPr>
                <w:sz w:val="24"/>
              </w:rPr>
            </w:pPr>
            <w:r>
              <w:rPr>
                <w:rFonts w:hint="eastAsia"/>
                <w:sz w:val="24"/>
              </w:rPr>
              <w:t>建设项目厂区实行</w:t>
            </w:r>
            <w:r>
              <w:rPr>
                <w:rFonts w:hint="eastAsia"/>
                <w:sz w:val="24"/>
                <w:lang w:eastAsia="zh-CN"/>
              </w:rPr>
              <w:t>“</w:t>
            </w:r>
            <w:r>
              <w:rPr>
                <w:rFonts w:hint="eastAsia"/>
                <w:sz w:val="24"/>
              </w:rPr>
              <w:t>雨污分流</w:t>
            </w:r>
            <w:r>
              <w:rPr>
                <w:rFonts w:hint="eastAsia"/>
                <w:sz w:val="24"/>
                <w:lang w:eastAsia="zh-CN"/>
              </w:rPr>
              <w:t>”</w:t>
            </w:r>
            <w:r>
              <w:rPr>
                <w:rFonts w:hint="eastAsia"/>
                <w:sz w:val="24"/>
              </w:rPr>
              <w:t>制，雨水依托</w:t>
            </w:r>
            <w:r>
              <w:rPr>
                <w:rFonts w:hint="eastAsia"/>
                <w:sz w:val="24"/>
                <w:szCs w:val="24"/>
              </w:rPr>
              <w:t>常州中泽电力设备有限公司</w:t>
            </w:r>
            <w:r>
              <w:rPr>
                <w:rFonts w:hint="eastAsia"/>
                <w:sz w:val="24"/>
              </w:rPr>
              <w:t>雨水管网收集后接入市政管网，最终汇入</w:t>
            </w:r>
            <w:r>
              <w:rPr>
                <w:rFonts w:hint="eastAsia"/>
                <w:sz w:val="24"/>
                <w:lang w:eastAsia="zh-CN"/>
              </w:rPr>
              <w:t>通济河</w:t>
            </w:r>
            <w:r>
              <w:rPr>
                <w:rFonts w:hint="eastAsia"/>
                <w:sz w:val="24"/>
              </w:rPr>
              <w:t>。</w:t>
            </w:r>
          </w:p>
          <w:p>
            <w:pPr>
              <w:spacing w:line="360" w:lineRule="auto"/>
              <w:ind w:firstLine="480" w:firstLineChars="200"/>
              <w:rPr>
                <w:sz w:val="24"/>
              </w:rPr>
            </w:pPr>
            <w:r>
              <w:rPr>
                <w:rFonts w:hint="eastAsia"/>
                <w:sz w:val="24"/>
              </w:rPr>
              <w:t>项目排水为生活污水。生活污水经化粪池预处理后依托</w:t>
            </w:r>
            <w:r>
              <w:rPr>
                <w:rFonts w:hint="eastAsia"/>
                <w:sz w:val="24"/>
                <w:szCs w:val="24"/>
              </w:rPr>
              <w:t>常州中泽电力设备有限公司</w:t>
            </w:r>
            <w:r>
              <w:rPr>
                <w:rFonts w:hint="eastAsia"/>
                <w:sz w:val="24"/>
              </w:rPr>
              <w:t>现有污水管网收集后排入市政污水管网，最终接管常州市金坛区直溪鑫鑫污水处理厂深度处理，达标后排入通济河。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28" w:type="dxa"/>
            <w:gridSpan w:val="10"/>
            <w:tcBorders>
              <w:left w:val="single" w:color="auto" w:sz="12" w:space="0"/>
              <w:bottom w:val="single" w:color="auto" w:sz="12" w:space="0"/>
              <w:right w:val="single" w:color="auto" w:sz="12" w:space="0"/>
            </w:tcBorders>
          </w:tcPr>
          <w:p>
            <w:pPr>
              <w:spacing w:line="360" w:lineRule="auto"/>
              <w:rPr>
                <w:b/>
                <w:bCs/>
                <w:sz w:val="24"/>
              </w:rPr>
            </w:pPr>
            <w:r>
              <w:rPr>
                <w:b/>
                <w:bCs/>
                <w:sz w:val="24"/>
              </w:rPr>
              <w:t>放射性同位素和伴有电磁辐射的设施的使用情况：</w:t>
            </w:r>
          </w:p>
          <w:p>
            <w:pPr>
              <w:spacing w:line="360" w:lineRule="auto"/>
              <w:ind w:firstLine="480" w:firstLineChars="200"/>
              <w:rPr>
                <w:sz w:val="24"/>
              </w:rPr>
            </w:pPr>
            <w:r>
              <w:rPr>
                <w:rFonts w:hint="eastAsia"/>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528" w:type="dxa"/>
            <w:gridSpan w:val="10"/>
            <w:tcBorders>
              <w:top w:val="single" w:color="auto" w:sz="12" w:space="0"/>
              <w:left w:val="single" w:color="auto" w:sz="12" w:space="0"/>
              <w:bottom w:val="single" w:color="auto" w:sz="12" w:space="0"/>
              <w:right w:val="single" w:color="auto" w:sz="12" w:space="0"/>
            </w:tcBorders>
          </w:tcPr>
          <w:p>
            <w:pPr>
              <w:spacing w:line="360" w:lineRule="auto"/>
              <w:rPr>
                <w:b/>
                <w:sz w:val="24"/>
              </w:rPr>
            </w:pPr>
            <w:r>
              <w:rPr>
                <w:rFonts w:hint="eastAsia"/>
                <w:b/>
                <w:sz w:val="24"/>
              </w:rPr>
              <w:t>原辅材料及主要设备：</w:t>
            </w:r>
          </w:p>
          <w:p>
            <w:pPr>
              <w:spacing w:line="360" w:lineRule="auto"/>
              <w:ind w:firstLine="480" w:firstLineChars="200"/>
              <w:rPr>
                <w:b/>
                <w:sz w:val="24"/>
              </w:rPr>
            </w:pPr>
            <w:r>
              <w:rPr>
                <w:rFonts w:hint="eastAsia"/>
                <w:b/>
                <w:sz w:val="24"/>
              </w:rPr>
              <w:t>1、原辅材料</w:t>
            </w:r>
          </w:p>
          <w:p>
            <w:pPr>
              <w:spacing w:line="360" w:lineRule="auto"/>
              <w:ind w:firstLine="480" w:firstLineChars="200"/>
              <w:rPr>
                <w:sz w:val="24"/>
              </w:rPr>
            </w:pPr>
            <w:r>
              <w:rPr>
                <w:rFonts w:hint="eastAsia"/>
                <w:sz w:val="24"/>
              </w:rPr>
              <w:t>建设项目主要原辅材料见表1-1。</w:t>
            </w:r>
          </w:p>
          <w:p>
            <w:pPr>
              <w:pStyle w:val="6"/>
              <w:keepNext/>
              <w:jc w:val="center"/>
              <w:rPr>
                <w:rFonts w:ascii="Times New Roman" w:hAnsi="Times New Roman"/>
                <w:color w:val="auto"/>
                <w:kern w:val="2"/>
                <w:sz w:val="24"/>
                <w:szCs w:val="24"/>
              </w:rPr>
            </w:pPr>
            <w:bookmarkStart w:id="0" w:name="_Ref435018892"/>
            <w:r>
              <w:rPr>
                <w:rFonts w:hint="eastAsia" w:ascii="Times New Roman" w:hAnsi="Times New Roman"/>
                <w:color w:val="auto"/>
                <w:kern w:val="2"/>
                <w:sz w:val="24"/>
                <w:szCs w:val="24"/>
              </w:rPr>
              <w:t>表</w:t>
            </w:r>
            <w:bookmarkEnd w:id="0"/>
            <w:r>
              <w:rPr>
                <w:rFonts w:hint="eastAsia" w:ascii="Times New Roman" w:hAnsi="Times New Roman"/>
                <w:color w:val="auto"/>
                <w:kern w:val="2"/>
                <w:sz w:val="24"/>
                <w:szCs w:val="24"/>
              </w:rPr>
              <w:t>1-1 主要原辅材料表</w:t>
            </w:r>
          </w:p>
          <w:tbl>
            <w:tblPr>
              <w:tblStyle w:val="17"/>
              <w:tblW w:w="8364"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470"/>
              <w:gridCol w:w="615"/>
              <w:gridCol w:w="1170"/>
              <w:gridCol w:w="1365"/>
              <w:gridCol w:w="863"/>
              <w:gridCol w:w="1800"/>
              <w:gridCol w:w="2081"/>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5" w:hRule="atLeast"/>
                <w:jc w:val="center"/>
              </w:trPr>
              <w:tc>
                <w:tcPr>
                  <w:tcW w:w="470"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b/>
                      <w:szCs w:val="21"/>
                    </w:rPr>
                  </w:pPr>
                  <w:r>
                    <w:rPr>
                      <w:b/>
                      <w:szCs w:val="21"/>
                    </w:rPr>
                    <w:t>类别</w:t>
                  </w:r>
                </w:p>
              </w:tc>
              <w:tc>
                <w:tcPr>
                  <w:tcW w:w="615"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b/>
                      <w:szCs w:val="21"/>
                    </w:rPr>
                  </w:pPr>
                  <w:r>
                    <w:rPr>
                      <w:b/>
                      <w:szCs w:val="21"/>
                    </w:rPr>
                    <w:t>序号</w:t>
                  </w:r>
                </w:p>
              </w:tc>
              <w:tc>
                <w:tcPr>
                  <w:tcW w:w="1170"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b/>
                      <w:szCs w:val="21"/>
                    </w:rPr>
                  </w:pPr>
                  <w:r>
                    <w:rPr>
                      <w:b/>
                      <w:bCs/>
                      <w:kern w:val="0"/>
                      <w:szCs w:val="21"/>
                    </w:rPr>
                    <w:t>原辅材料名称</w:t>
                  </w:r>
                </w:p>
              </w:tc>
              <w:tc>
                <w:tcPr>
                  <w:tcW w:w="1365"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b/>
                      <w:szCs w:val="21"/>
                    </w:rPr>
                  </w:pPr>
                  <w:r>
                    <w:rPr>
                      <w:b/>
                      <w:szCs w:val="21"/>
                    </w:rPr>
                    <w:t>年用量</w:t>
                  </w:r>
                </w:p>
              </w:tc>
              <w:tc>
                <w:tcPr>
                  <w:tcW w:w="863"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b/>
                      <w:szCs w:val="21"/>
                    </w:rPr>
                  </w:pPr>
                  <w:r>
                    <w:rPr>
                      <w:b/>
                      <w:szCs w:val="21"/>
                    </w:rPr>
                    <w:t>形态</w:t>
                  </w:r>
                </w:p>
              </w:tc>
              <w:tc>
                <w:tcPr>
                  <w:tcW w:w="1800"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b/>
                      <w:szCs w:val="21"/>
                    </w:rPr>
                  </w:pPr>
                  <w:r>
                    <w:rPr>
                      <w:rFonts w:hint="eastAsia"/>
                      <w:b/>
                      <w:szCs w:val="21"/>
                      <w:lang w:eastAsia="zh-CN"/>
                    </w:rPr>
                    <w:t>主要</w:t>
                  </w:r>
                  <w:r>
                    <w:rPr>
                      <w:b/>
                      <w:szCs w:val="21"/>
                    </w:rPr>
                    <w:t>成分</w:t>
                  </w:r>
                </w:p>
              </w:tc>
              <w:tc>
                <w:tcPr>
                  <w:tcW w:w="2081"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b/>
                      <w:szCs w:val="21"/>
                    </w:rPr>
                  </w:pPr>
                  <w:r>
                    <w:rPr>
                      <w:b/>
                      <w:szCs w:val="21"/>
                    </w:rPr>
                    <w:t>备注</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9" w:hRule="atLeast"/>
                <w:jc w:val="center"/>
              </w:trPr>
              <w:tc>
                <w:tcPr>
                  <w:tcW w:w="470" w:type="dxa"/>
                  <w:vMerge w:val="restart"/>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szCs w:val="21"/>
                    </w:rPr>
                  </w:pPr>
                  <w:r>
                    <w:rPr>
                      <w:szCs w:val="21"/>
                    </w:rPr>
                    <w:t>生产加工</w:t>
                  </w:r>
                </w:p>
              </w:tc>
              <w:tc>
                <w:tcPr>
                  <w:tcW w:w="615"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szCs w:val="21"/>
                    </w:rPr>
                  </w:pPr>
                  <w:r>
                    <w:rPr>
                      <w:color w:val="000000"/>
                      <w:szCs w:val="21"/>
                    </w:rPr>
                    <w:t>1</w:t>
                  </w:r>
                </w:p>
              </w:tc>
              <w:tc>
                <w:tcPr>
                  <w:tcW w:w="1170"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eastAsia="宋体"/>
                      <w:szCs w:val="21"/>
                      <w:lang w:eastAsia="zh-CN"/>
                    </w:rPr>
                  </w:pPr>
                  <w:r>
                    <w:rPr>
                      <w:rFonts w:hint="eastAsia"/>
                      <w:color w:val="000000" w:themeColor="text1"/>
                      <w:szCs w:val="21"/>
                      <w:lang w:eastAsia="zh-CN"/>
                      <w14:textFill>
                        <w14:solidFill>
                          <w14:schemeClr w14:val="tx1"/>
                        </w14:solidFill>
                      </w14:textFill>
                    </w:rPr>
                    <w:t>回转驱动</w:t>
                  </w:r>
                </w:p>
              </w:tc>
              <w:tc>
                <w:tcPr>
                  <w:tcW w:w="1365"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default" w:eastAsia="宋体"/>
                      <w:szCs w:val="21"/>
                      <w:lang w:val="en-US" w:eastAsia="zh-CN"/>
                    </w:rPr>
                  </w:pPr>
                  <w:r>
                    <w:rPr>
                      <w:rFonts w:hint="eastAsia"/>
                      <w:color w:val="000000"/>
                      <w:szCs w:val="21"/>
                      <w:lang w:val="en-US" w:eastAsia="zh-CN"/>
                    </w:rPr>
                    <w:t>10万套</w:t>
                  </w:r>
                </w:p>
              </w:tc>
              <w:tc>
                <w:tcPr>
                  <w:tcW w:w="863"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szCs w:val="21"/>
                    </w:rPr>
                  </w:pPr>
                  <w:r>
                    <w:rPr>
                      <w:rFonts w:hint="eastAsia"/>
                      <w:color w:val="000000" w:themeColor="text1"/>
                      <w:szCs w:val="21"/>
                      <w14:textFill>
                        <w14:solidFill>
                          <w14:schemeClr w14:val="tx1"/>
                        </w14:solidFill>
                      </w14:textFill>
                    </w:rPr>
                    <w:t>固态</w:t>
                  </w:r>
                </w:p>
              </w:tc>
              <w:tc>
                <w:tcPr>
                  <w:tcW w:w="1800"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eastAsia="宋体"/>
                      <w:szCs w:val="21"/>
                      <w:lang w:eastAsia="zh-CN"/>
                    </w:rPr>
                  </w:pPr>
                  <w:r>
                    <w:rPr>
                      <w:rFonts w:hint="eastAsia"/>
                      <w:szCs w:val="21"/>
                      <w:lang w:eastAsia="zh-CN"/>
                    </w:rPr>
                    <w:t>钢铁</w:t>
                  </w:r>
                </w:p>
              </w:tc>
              <w:tc>
                <w:tcPr>
                  <w:tcW w:w="2081" w:type="dxa"/>
                  <w:vMerge w:val="restart"/>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eastAsia="宋体"/>
                      <w:szCs w:val="21"/>
                      <w:lang w:eastAsia="zh-CN"/>
                    </w:rPr>
                  </w:pPr>
                  <w:r>
                    <w:rPr>
                      <w:rFonts w:hint="eastAsia"/>
                      <w:szCs w:val="21"/>
                      <w:lang w:eastAsia="zh-CN"/>
                    </w:rPr>
                    <w:t>组装减速器</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9" w:hRule="atLeast"/>
                <w:jc w:val="center"/>
              </w:trPr>
              <w:tc>
                <w:tcPr>
                  <w:tcW w:w="470" w:type="dxa"/>
                  <w:vMerge w:val="continue"/>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szCs w:val="21"/>
                    </w:rPr>
                  </w:pPr>
                </w:p>
              </w:tc>
              <w:tc>
                <w:tcPr>
                  <w:tcW w:w="615"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eastAsia="宋体"/>
                      <w:color w:val="000000"/>
                      <w:szCs w:val="21"/>
                      <w:lang w:val="en-US" w:eastAsia="zh-CN"/>
                    </w:rPr>
                  </w:pPr>
                  <w:r>
                    <w:rPr>
                      <w:rFonts w:hint="eastAsia"/>
                      <w:color w:val="000000"/>
                      <w:szCs w:val="21"/>
                      <w:lang w:val="en-US" w:eastAsia="zh-CN"/>
                    </w:rPr>
                    <w:t>2</w:t>
                  </w:r>
                </w:p>
              </w:tc>
              <w:tc>
                <w:tcPr>
                  <w:tcW w:w="1170"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涡轮</w:t>
                  </w:r>
                </w:p>
              </w:tc>
              <w:tc>
                <w:tcPr>
                  <w:tcW w:w="1365"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default"/>
                      <w:color w:val="000000"/>
                      <w:szCs w:val="21"/>
                      <w:lang w:val="en-US" w:eastAsia="zh-CN"/>
                    </w:rPr>
                  </w:pPr>
                  <w:r>
                    <w:rPr>
                      <w:rFonts w:hint="eastAsia"/>
                      <w:color w:val="000000"/>
                      <w:szCs w:val="21"/>
                      <w:lang w:val="en-US" w:eastAsia="zh-CN"/>
                    </w:rPr>
                    <w:t>10万套</w:t>
                  </w:r>
                </w:p>
              </w:tc>
              <w:tc>
                <w:tcPr>
                  <w:tcW w:w="863"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1800"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szCs w:val="21"/>
                    </w:rPr>
                  </w:pPr>
                  <w:r>
                    <w:rPr>
                      <w:rFonts w:hint="eastAsia"/>
                      <w:szCs w:val="21"/>
                    </w:rPr>
                    <w:t>铸铁</w:t>
                  </w:r>
                </w:p>
              </w:tc>
              <w:tc>
                <w:tcPr>
                  <w:tcW w:w="2081" w:type="dxa"/>
                  <w:vMerge w:val="continue"/>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9" w:hRule="atLeast"/>
                <w:jc w:val="center"/>
              </w:trPr>
              <w:tc>
                <w:tcPr>
                  <w:tcW w:w="470" w:type="dxa"/>
                  <w:vMerge w:val="continue"/>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szCs w:val="21"/>
                    </w:rPr>
                  </w:pPr>
                </w:p>
              </w:tc>
              <w:tc>
                <w:tcPr>
                  <w:tcW w:w="615"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eastAsia="宋体"/>
                      <w:color w:val="000000"/>
                      <w:szCs w:val="21"/>
                      <w:lang w:val="en-US" w:eastAsia="zh-CN"/>
                    </w:rPr>
                  </w:pPr>
                  <w:r>
                    <w:rPr>
                      <w:rFonts w:hint="eastAsia"/>
                      <w:color w:val="000000"/>
                      <w:szCs w:val="21"/>
                      <w:lang w:val="en-US" w:eastAsia="zh-CN"/>
                    </w:rPr>
                    <w:t>3</w:t>
                  </w:r>
                </w:p>
              </w:tc>
              <w:tc>
                <w:tcPr>
                  <w:tcW w:w="1170"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卧杆</w:t>
                  </w:r>
                </w:p>
              </w:tc>
              <w:tc>
                <w:tcPr>
                  <w:tcW w:w="1365"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default"/>
                      <w:color w:val="000000"/>
                      <w:szCs w:val="21"/>
                      <w:lang w:val="en-US" w:eastAsia="zh-CN"/>
                    </w:rPr>
                  </w:pPr>
                  <w:r>
                    <w:rPr>
                      <w:rFonts w:hint="eastAsia"/>
                      <w:color w:val="000000"/>
                      <w:szCs w:val="21"/>
                      <w:lang w:val="en-US" w:eastAsia="zh-CN"/>
                    </w:rPr>
                    <w:t>10万套</w:t>
                  </w:r>
                </w:p>
              </w:tc>
              <w:tc>
                <w:tcPr>
                  <w:tcW w:w="863"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1800"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eastAsia="宋体"/>
                      <w:szCs w:val="21"/>
                      <w:lang w:eastAsia="zh-CN"/>
                    </w:rPr>
                  </w:pPr>
                  <w:r>
                    <w:rPr>
                      <w:rFonts w:hint="eastAsia"/>
                      <w:szCs w:val="21"/>
                      <w:lang w:eastAsia="zh-CN"/>
                    </w:rPr>
                    <w:t>钢铁</w:t>
                  </w:r>
                </w:p>
              </w:tc>
              <w:tc>
                <w:tcPr>
                  <w:tcW w:w="2081" w:type="dxa"/>
                  <w:vMerge w:val="continue"/>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9" w:hRule="atLeast"/>
                <w:jc w:val="center"/>
              </w:trPr>
              <w:tc>
                <w:tcPr>
                  <w:tcW w:w="470" w:type="dxa"/>
                  <w:vMerge w:val="continue"/>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szCs w:val="21"/>
                    </w:rPr>
                  </w:pPr>
                </w:p>
              </w:tc>
              <w:tc>
                <w:tcPr>
                  <w:tcW w:w="615"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eastAsia="宋体"/>
                      <w:color w:val="000000"/>
                      <w:szCs w:val="21"/>
                      <w:lang w:val="en-US" w:eastAsia="zh-CN"/>
                    </w:rPr>
                  </w:pPr>
                  <w:r>
                    <w:rPr>
                      <w:rFonts w:hint="eastAsia"/>
                      <w:color w:val="000000"/>
                      <w:szCs w:val="21"/>
                      <w:lang w:val="en-US" w:eastAsia="zh-CN"/>
                    </w:rPr>
                    <w:t>4</w:t>
                  </w:r>
                </w:p>
              </w:tc>
              <w:tc>
                <w:tcPr>
                  <w:tcW w:w="1170"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轴承</w:t>
                  </w:r>
                </w:p>
              </w:tc>
              <w:tc>
                <w:tcPr>
                  <w:tcW w:w="1365"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default"/>
                      <w:color w:val="000000"/>
                      <w:szCs w:val="21"/>
                      <w:lang w:val="en-US" w:eastAsia="zh-CN"/>
                    </w:rPr>
                  </w:pPr>
                  <w:r>
                    <w:rPr>
                      <w:rFonts w:hint="eastAsia"/>
                      <w:color w:val="000000"/>
                      <w:szCs w:val="21"/>
                      <w:lang w:val="en-US" w:eastAsia="zh-CN"/>
                    </w:rPr>
                    <w:t>20万套</w:t>
                  </w:r>
                </w:p>
              </w:tc>
              <w:tc>
                <w:tcPr>
                  <w:tcW w:w="863"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1800"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eastAsia="宋体"/>
                      <w:szCs w:val="21"/>
                      <w:lang w:eastAsia="zh-CN"/>
                    </w:rPr>
                  </w:pPr>
                  <w:r>
                    <w:rPr>
                      <w:rFonts w:hint="eastAsia"/>
                      <w:szCs w:val="21"/>
                      <w:lang w:eastAsia="zh-CN"/>
                    </w:rPr>
                    <w:t>钢铁</w:t>
                  </w:r>
                </w:p>
              </w:tc>
              <w:tc>
                <w:tcPr>
                  <w:tcW w:w="2081" w:type="dxa"/>
                  <w:vMerge w:val="continue"/>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9" w:hRule="atLeast"/>
                <w:jc w:val="center"/>
              </w:trPr>
              <w:tc>
                <w:tcPr>
                  <w:tcW w:w="470" w:type="dxa"/>
                  <w:vMerge w:val="continue"/>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szCs w:val="21"/>
                    </w:rPr>
                  </w:pPr>
                </w:p>
              </w:tc>
              <w:tc>
                <w:tcPr>
                  <w:tcW w:w="615"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eastAsia="宋体"/>
                      <w:color w:val="000000"/>
                      <w:szCs w:val="21"/>
                      <w:lang w:val="en-US" w:eastAsia="zh-CN"/>
                    </w:rPr>
                  </w:pPr>
                  <w:r>
                    <w:rPr>
                      <w:rFonts w:hint="eastAsia"/>
                      <w:color w:val="000000"/>
                      <w:szCs w:val="21"/>
                      <w:lang w:val="en-US" w:eastAsia="zh-CN"/>
                    </w:rPr>
                    <w:t>5</w:t>
                  </w:r>
                </w:p>
              </w:tc>
              <w:tc>
                <w:tcPr>
                  <w:tcW w:w="1170"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油封</w:t>
                  </w:r>
                </w:p>
              </w:tc>
              <w:tc>
                <w:tcPr>
                  <w:tcW w:w="1365"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default"/>
                      <w:color w:val="000000"/>
                      <w:szCs w:val="21"/>
                      <w:lang w:val="en-US" w:eastAsia="zh-CN"/>
                    </w:rPr>
                  </w:pPr>
                  <w:r>
                    <w:rPr>
                      <w:rFonts w:hint="eastAsia"/>
                      <w:color w:val="000000"/>
                      <w:szCs w:val="21"/>
                      <w:lang w:val="en-US" w:eastAsia="zh-CN"/>
                    </w:rPr>
                    <w:t>20万套</w:t>
                  </w:r>
                </w:p>
              </w:tc>
              <w:tc>
                <w:tcPr>
                  <w:tcW w:w="863"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1800"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eastAsia="宋体"/>
                      <w:szCs w:val="21"/>
                      <w:lang w:eastAsia="zh-CN"/>
                    </w:rPr>
                  </w:pPr>
                  <w:r>
                    <w:rPr>
                      <w:rFonts w:hint="eastAsia"/>
                      <w:szCs w:val="21"/>
                      <w:lang w:eastAsia="zh-CN"/>
                    </w:rPr>
                    <w:t>橡胶</w:t>
                  </w:r>
                </w:p>
              </w:tc>
              <w:tc>
                <w:tcPr>
                  <w:tcW w:w="2081" w:type="dxa"/>
                  <w:vMerge w:val="continue"/>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9" w:hRule="atLeast"/>
                <w:jc w:val="center"/>
              </w:trPr>
              <w:tc>
                <w:tcPr>
                  <w:tcW w:w="470" w:type="dxa"/>
                  <w:vMerge w:val="continue"/>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szCs w:val="21"/>
                    </w:rPr>
                  </w:pPr>
                </w:p>
              </w:tc>
              <w:tc>
                <w:tcPr>
                  <w:tcW w:w="615"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eastAsia="宋体"/>
                      <w:color w:val="000000"/>
                      <w:szCs w:val="21"/>
                      <w:lang w:val="en-US" w:eastAsia="zh-CN"/>
                    </w:rPr>
                  </w:pPr>
                  <w:r>
                    <w:rPr>
                      <w:rFonts w:hint="eastAsia"/>
                      <w:color w:val="000000"/>
                      <w:szCs w:val="21"/>
                      <w:lang w:val="en-US" w:eastAsia="zh-CN"/>
                    </w:rPr>
                    <w:t>6</w:t>
                  </w:r>
                </w:p>
              </w:tc>
              <w:tc>
                <w:tcPr>
                  <w:tcW w:w="1170"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机壳</w:t>
                  </w:r>
                </w:p>
              </w:tc>
              <w:tc>
                <w:tcPr>
                  <w:tcW w:w="1365"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default"/>
                      <w:color w:val="000000"/>
                      <w:szCs w:val="21"/>
                      <w:lang w:val="en-US" w:eastAsia="zh-CN"/>
                    </w:rPr>
                  </w:pPr>
                  <w:r>
                    <w:rPr>
                      <w:rFonts w:hint="eastAsia"/>
                      <w:color w:val="000000"/>
                      <w:szCs w:val="21"/>
                      <w:lang w:val="en-US" w:eastAsia="zh-CN"/>
                    </w:rPr>
                    <w:t>20万套</w:t>
                  </w:r>
                </w:p>
              </w:tc>
              <w:tc>
                <w:tcPr>
                  <w:tcW w:w="863"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1800"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eastAsia="宋体"/>
                      <w:szCs w:val="21"/>
                      <w:lang w:eastAsia="zh-CN"/>
                    </w:rPr>
                  </w:pPr>
                  <w:r>
                    <w:rPr>
                      <w:rFonts w:hint="eastAsia"/>
                      <w:szCs w:val="21"/>
                      <w:lang w:eastAsia="zh-CN"/>
                    </w:rPr>
                    <w:t>钢铁</w:t>
                  </w:r>
                </w:p>
              </w:tc>
              <w:tc>
                <w:tcPr>
                  <w:tcW w:w="2081" w:type="dxa"/>
                  <w:vMerge w:val="continue"/>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9" w:hRule="atLeast"/>
                <w:jc w:val="center"/>
              </w:trPr>
              <w:tc>
                <w:tcPr>
                  <w:tcW w:w="470" w:type="dxa"/>
                  <w:vMerge w:val="continue"/>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szCs w:val="21"/>
                    </w:rPr>
                  </w:pPr>
                </w:p>
              </w:tc>
              <w:tc>
                <w:tcPr>
                  <w:tcW w:w="615"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eastAsia="宋体"/>
                      <w:color w:val="000000"/>
                      <w:szCs w:val="21"/>
                      <w:lang w:val="en-US" w:eastAsia="zh-CN"/>
                    </w:rPr>
                  </w:pPr>
                  <w:r>
                    <w:rPr>
                      <w:rFonts w:hint="eastAsia"/>
                      <w:color w:val="000000"/>
                      <w:szCs w:val="21"/>
                      <w:lang w:val="en-US" w:eastAsia="zh-CN"/>
                    </w:rPr>
                    <w:t>7</w:t>
                  </w:r>
                </w:p>
              </w:tc>
              <w:tc>
                <w:tcPr>
                  <w:tcW w:w="1170"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减速器所需其他部件</w:t>
                  </w:r>
                </w:p>
              </w:tc>
              <w:tc>
                <w:tcPr>
                  <w:tcW w:w="1365"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default"/>
                      <w:color w:val="000000"/>
                      <w:szCs w:val="21"/>
                      <w:lang w:val="en-US" w:eastAsia="zh-CN"/>
                    </w:rPr>
                  </w:pPr>
                  <w:r>
                    <w:rPr>
                      <w:rFonts w:hint="eastAsia"/>
                      <w:color w:val="000000"/>
                      <w:szCs w:val="21"/>
                      <w:lang w:val="en-US" w:eastAsia="zh-CN"/>
                    </w:rPr>
                    <w:t>20万套</w:t>
                  </w:r>
                </w:p>
              </w:tc>
              <w:tc>
                <w:tcPr>
                  <w:tcW w:w="863"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1800"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eastAsia="宋体"/>
                      <w:szCs w:val="21"/>
                      <w:lang w:eastAsia="zh-CN"/>
                    </w:rPr>
                  </w:pPr>
                  <w:r>
                    <w:rPr>
                      <w:rFonts w:hint="eastAsia"/>
                      <w:szCs w:val="21"/>
                      <w:lang w:eastAsia="zh-CN"/>
                    </w:rPr>
                    <w:t>钢铁等</w:t>
                  </w:r>
                </w:p>
              </w:tc>
              <w:tc>
                <w:tcPr>
                  <w:tcW w:w="2081" w:type="dxa"/>
                  <w:vMerge w:val="continue"/>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eastAsia="宋体"/>
                      <w:szCs w:val="21"/>
                      <w:lang w:eastAsia="zh-CN"/>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9" w:hRule="atLeast"/>
                <w:jc w:val="center"/>
              </w:trPr>
              <w:tc>
                <w:tcPr>
                  <w:tcW w:w="470" w:type="dxa"/>
                  <w:vMerge w:val="continue"/>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szCs w:val="21"/>
                    </w:rPr>
                  </w:pPr>
                </w:p>
              </w:tc>
              <w:tc>
                <w:tcPr>
                  <w:tcW w:w="615"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eastAsia="宋体"/>
                      <w:color w:val="000000"/>
                      <w:szCs w:val="21"/>
                      <w:lang w:val="en-US" w:eastAsia="zh-CN"/>
                    </w:rPr>
                  </w:pPr>
                  <w:r>
                    <w:rPr>
                      <w:rFonts w:hint="eastAsia"/>
                      <w:color w:val="000000"/>
                      <w:szCs w:val="21"/>
                      <w:lang w:val="en-US" w:eastAsia="zh-CN"/>
                    </w:rPr>
                    <w:t>8</w:t>
                  </w:r>
                </w:p>
              </w:tc>
              <w:tc>
                <w:tcPr>
                  <w:tcW w:w="1170"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机械零部件</w:t>
                  </w:r>
                </w:p>
              </w:tc>
              <w:tc>
                <w:tcPr>
                  <w:tcW w:w="1365"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default"/>
                      <w:color w:val="000000"/>
                      <w:szCs w:val="21"/>
                      <w:lang w:val="en-US" w:eastAsia="zh-CN"/>
                    </w:rPr>
                  </w:pPr>
                  <w:r>
                    <w:rPr>
                      <w:rFonts w:hint="eastAsia"/>
                      <w:color w:val="000000"/>
                      <w:szCs w:val="21"/>
                      <w:lang w:val="en-US" w:eastAsia="zh-CN"/>
                    </w:rPr>
                    <w:t>20万套</w:t>
                  </w:r>
                </w:p>
              </w:tc>
              <w:tc>
                <w:tcPr>
                  <w:tcW w:w="863"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固态</w:t>
                  </w:r>
                </w:p>
              </w:tc>
              <w:tc>
                <w:tcPr>
                  <w:tcW w:w="1800"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eastAsia="宋体"/>
                      <w:szCs w:val="21"/>
                      <w:lang w:eastAsia="zh-CN"/>
                    </w:rPr>
                  </w:pPr>
                  <w:r>
                    <w:rPr>
                      <w:rFonts w:hint="eastAsia"/>
                      <w:szCs w:val="21"/>
                      <w:lang w:eastAsia="zh-CN"/>
                    </w:rPr>
                    <w:t>钢铁</w:t>
                  </w:r>
                </w:p>
              </w:tc>
              <w:tc>
                <w:tcPr>
                  <w:tcW w:w="2081"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szCs w:val="21"/>
                    </w:rPr>
                  </w:pPr>
                  <w:r>
                    <w:rPr>
                      <w:rFonts w:hint="eastAsia"/>
                      <w:szCs w:val="21"/>
                      <w:lang w:eastAsia="zh-CN"/>
                    </w:rPr>
                    <w:t>组装机械零部件</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9" w:hRule="atLeast"/>
                <w:jc w:val="center"/>
              </w:trPr>
              <w:tc>
                <w:tcPr>
                  <w:tcW w:w="470" w:type="dxa"/>
                  <w:vMerge w:val="continue"/>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szCs w:val="21"/>
                    </w:rPr>
                  </w:pPr>
                </w:p>
              </w:tc>
              <w:tc>
                <w:tcPr>
                  <w:tcW w:w="615"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szCs w:val="21"/>
                    </w:rPr>
                  </w:pPr>
                  <w:r>
                    <w:rPr>
                      <w:color w:val="000000"/>
                      <w:szCs w:val="21"/>
                    </w:rPr>
                    <w:t>2</w:t>
                  </w:r>
                </w:p>
              </w:tc>
              <w:tc>
                <w:tcPr>
                  <w:tcW w:w="1170"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eastAsia="宋体"/>
                      <w:szCs w:val="21"/>
                      <w:lang w:eastAsia="zh-CN"/>
                    </w:rPr>
                  </w:pPr>
                  <w:r>
                    <w:rPr>
                      <w:rFonts w:hint="eastAsia"/>
                      <w:szCs w:val="21"/>
                      <w:lang w:eastAsia="zh-CN"/>
                    </w:rPr>
                    <w:t>润滑脂</w:t>
                  </w:r>
                </w:p>
              </w:tc>
              <w:tc>
                <w:tcPr>
                  <w:tcW w:w="1365"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default" w:eastAsia="宋体"/>
                      <w:szCs w:val="21"/>
                      <w:lang w:val="en-US" w:eastAsia="zh-CN"/>
                    </w:rPr>
                  </w:pPr>
                  <w:r>
                    <w:rPr>
                      <w:color w:val="000000"/>
                      <w:szCs w:val="21"/>
                    </w:rPr>
                    <w:t>20</w:t>
                  </w:r>
                  <w:r>
                    <w:rPr>
                      <w:rFonts w:hint="eastAsia"/>
                      <w:color w:val="000000"/>
                      <w:szCs w:val="21"/>
                      <w:lang w:val="en-US" w:eastAsia="zh-CN"/>
                    </w:rPr>
                    <w:t>0kg</w:t>
                  </w:r>
                </w:p>
              </w:tc>
              <w:tc>
                <w:tcPr>
                  <w:tcW w:w="863"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eastAsia="宋体"/>
                      <w:szCs w:val="21"/>
                      <w:lang w:eastAsia="zh-CN"/>
                    </w:rPr>
                  </w:pPr>
                  <w:r>
                    <w:rPr>
                      <w:rFonts w:hint="eastAsia"/>
                      <w:szCs w:val="21"/>
                      <w:lang w:eastAsia="zh-CN"/>
                    </w:rPr>
                    <w:t>液态</w:t>
                  </w:r>
                </w:p>
              </w:tc>
              <w:tc>
                <w:tcPr>
                  <w:tcW w:w="1800" w:type="dxa"/>
                  <w:vAlign w:val="center"/>
                </w:tcPr>
                <w:p>
                  <w:pPr>
                    <w:keepNext w:val="0"/>
                    <w:keepLines w:val="0"/>
                    <w:pageBreakBefore w:val="0"/>
                    <w:widowControl/>
                    <w:kinsoku/>
                    <w:wordWrap/>
                    <w:overflowPunct/>
                    <w:topLinePunct w:val="0"/>
                    <w:autoSpaceDE/>
                    <w:autoSpaceDN/>
                    <w:bidi w:val="0"/>
                    <w:adjustRightInd/>
                    <w:snapToGrid/>
                    <w:spacing w:before="63" w:beforeLines="20" w:after="63" w:afterLines="20"/>
                    <w:jc w:val="center"/>
                    <w:textAlignment w:val="auto"/>
                    <w:rPr>
                      <w:rFonts w:hint="eastAsia" w:eastAsia="宋体"/>
                      <w:kern w:val="0"/>
                      <w:szCs w:val="21"/>
                      <w:lang w:eastAsia="zh-CN" w:bidi="ar"/>
                    </w:rPr>
                  </w:pPr>
                  <w:r>
                    <w:rPr>
                      <w:rFonts w:hint="eastAsia"/>
                      <w:kern w:val="0"/>
                      <w:szCs w:val="21"/>
                      <w:lang w:eastAsia="zh-CN" w:bidi="ar"/>
                    </w:rPr>
                    <w:t>基础油</w:t>
                  </w:r>
                </w:p>
              </w:tc>
              <w:tc>
                <w:tcPr>
                  <w:tcW w:w="2081"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eastAsia="宋体"/>
                      <w:kern w:val="0"/>
                      <w:szCs w:val="21"/>
                      <w:lang w:eastAsia="zh-CN" w:bidi="ar"/>
                    </w:rPr>
                  </w:pPr>
                  <w:r>
                    <w:rPr>
                      <w:rFonts w:hint="eastAsia"/>
                      <w:szCs w:val="21"/>
                      <w:lang w:eastAsia="zh-CN"/>
                    </w:rPr>
                    <w:t>桶装</w:t>
                  </w:r>
                  <w:r>
                    <w:rPr>
                      <w:rFonts w:hint="eastAsia"/>
                      <w:szCs w:val="21"/>
                    </w:rPr>
                    <w:t>，</w:t>
                  </w:r>
                  <w:r>
                    <w:rPr>
                      <w:rFonts w:hint="eastAsia"/>
                      <w:szCs w:val="21"/>
                      <w:lang w:val="en-US" w:eastAsia="zh-CN"/>
                    </w:rPr>
                    <w:t>2</w:t>
                  </w:r>
                  <w:r>
                    <w:rPr>
                      <w:rFonts w:hint="eastAsia"/>
                      <w:szCs w:val="21"/>
                    </w:rPr>
                    <w:t>0kg/</w:t>
                  </w:r>
                  <w:r>
                    <w:rPr>
                      <w:rFonts w:hint="eastAsia"/>
                      <w:szCs w:val="21"/>
                      <w:lang w:eastAsia="zh-CN"/>
                    </w:rPr>
                    <w:t>桶</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69" w:hRule="atLeast"/>
                <w:jc w:val="center"/>
              </w:trPr>
              <w:tc>
                <w:tcPr>
                  <w:tcW w:w="470" w:type="dxa"/>
                  <w:vMerge w:val="continue"/>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szCs w:val="21"/>
                    </w:rPr>
                  </w:pPr>
                </w:p>
              </w:tc>
              <w:tc>
                <w:tcPr>
                  <w:tcW w:w="615"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szCs w:val="21"/>
                    </w:rPr>
                  </w:pPr>
                  <w:r>
                    <w:rPr>
                      <w:color w:val="000000"/>
                      <w:szCs w:val="21"/>
                    </w:rPr>
                    <w:t>3</w:t>
                  </w:r>
                </w:p>
              </w:tc>
              <w:tc>
                <w:tcPr>
                  <w:tcW w:w="1170"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eastAsia" w:eastAsia="宋体"/>
                      <w:szCs w:val="21"/>
                      <w:lang w:eastAsia="zh-CN"/>
                    </w:rPr>
                  </w:pPr>
                  <w:r>
                    <w:rPr>
                      <w:rFonts w:hint="eastAsia"/>
                      <w:color w:val="000000"/>
                      <w:szCs w:val="21"/>
                      <w:lang w:eastAsia="zh-CN"/>
                    </w:rPr>
                    <w:t>塑粉</w:t>
                  </w:r>
                </w:p>
              </w:tc>
              <w:tc>
                <w:tcPr>
                  <w:tcW w:w="1365"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szCs w:val="21"/>
                    </w:rPr>
                  </w:pPr>
                  <w:r>
                    <w:rPr>
                      <w:rFonts w:hint="eastAsia"/>
                      <w:color w:val="000000"/>
                      <w:szCs w:val="21"/>
                      <w:lang w:val="en-US" w:eastAsia="zh-CN"/>
                    </w:rPr>
                    <w:t>5</w:t>
                  </w:r>
                  <w:r>
                    <w:rPr>
                      <w:color w:val="000000"/>
                      <w:szCs w:val="21"/>
                    </w:rPr>
                    <w:t>t</w:t>
                  </w:r>
                </w:p>
              </w:tc>
              <w:tc>
                <w:tcPr>
                  <w:tcW w:w="863"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szCs w:val="21"/>
                    </w:rPr>
                  </w:pPr>
                  <w:r>
                    <w:rPr>
                      <w:rFonts w:hint="eastAsia"/>
                      <w:szCs w:val="21"/>
                    </w:rPr>
                    <w:t>固态</w:t>
                  </w:r>
                </w:p>
              </w:tc>
              <w:tc>
                <w:tcPr>
                  <w:tcW w:w="1800" w:type="dxa"/>
                  <w:vAlign w:val="center"/>
                </w:tcPr>
                <w:p>
                  <w:pPr>
                    <w:keepNext w:val="0"/>
                    <w:keepLines w:val="0"/>
                    <w:pageBreakBefore w:val="0"/>
                    <w:widowControl/>
                    <w:kinsoku/>
                    <w:wordWrap/>
                    <w:overflowPunct/>
                    <w:topLinePunct w:val="0"/>
                    <w:autoSpaceDE/>
                    <w:autoSpaceDN/>
                    <w:bidi w:val="0"/>
                    <w:adjustRightInd/>
                    <w:snapToGrid/>
                    <w:spacing w:before="63" w:beforeLines="20" w:after="63" w:afterLines="20"/>
                    <w:jc w:val="center"/>
                    <w:textAlignment w:val="auto"/>
                    <w:rPr>
                      <w:rFonts w:hint="eastAsia" w:eastAsia="宋体"/>
                      <w:szCs w:val="21"/>
                      <w:lang w:eastAsia="zh-CN"/>
                    </w:rPr>
                  </w:pPr>
                  <w:r>
                    <w:rPr>
                      <w:rFonts w:hint="eastAsia"/>
                      <w:szCs w:val="21"/>
                      <w:lang w:eastAsia="zh-CN"/>
                    </w:rPr>
                    <w:t>环氧树脂</w:t>
                  </w:r>
                </w:p>
              </w:tc>
              <w:tc>
                <w:tcPr>
                  <w:tcW w:w="2081"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szCs w:val="21"/>
                    </w:rPr>
                  </w:pPr>
                  <w:r>
                    <w:rPr>
                      <w:rFonts w:hint="eastAsia"/>
                      <w:szCs w:val="21"/>
                    </w:rPr>
                    <w:t>粉状，50kg/袋</w:t>
                  </w:r>
                </w:p>
              </w:tc>
            </w:tr>
          </w:tbl>
          <w:p>
            <w:pPr>
              <w:pStyle w:val="6"/>
              <w:keepNext/>
              <w:keepLines w:val="0"/>
              <w:pageBreakBefore w:val="0"/>
              <w:widowControl/>
              <w:kinsoku/>
              <w:wordWrap/>
              <w:overflowPunct/>
              <w:topLinePunct w:val="0"/>
              <w:autoSpaceDE/>
              <w:autoSpaceDN/>
              <w:bidi w:val="0"/>
              <w:adjustRightInd/>
              <w:snapToGrid/>
              <w:spacing w:before="157" w:beforeLines="50"/>
              <w:jc w:val="center"/>
              <w:textAlignment w:val="auto"/>
              <w:rPr>
                <w:rFonts w:ascii="Times New Roman" w:hAnsi="Times New Roman"/>
                <w:color w:val="auto"/>
                <w:kern w:val="2"/>
                <w:sz w:val="24"/>
                <w:szCs w:val="24"/>
              </w:rPr>
            </w:pPr>
            <w:r>
              <w:rPr>
                <w:rFonts w:hint="eastAsia" w:ascii="Times New Roman" w:hAnsi="Times New Roman"/>
                <w:color w:val="auto"/>
                <w:kern w:val="2"/>
                <w:sz w:val="24"/>
                <w:szCs w:val="24"/>
              </w:rPr>
              <w:t>表1-2 主要原辅材料理化性质一览表</w:t>
            </w:r>
          </w:p>
          <w:tbl>
            <w:tblPr>
              <w:tblStyle w:val="17"/>
              <w:tblW w:w="831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40"/>
              <w:gridCol w:w="908"/>
              <w:gridCol w:w="4280"/>
              <w:gridCol w:w="877"/>
              <w:gridCol w:w="170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0" w:type="dxa"/>
                  <w:vAlign w:val="center"/>
                </w:tcPr>
                <w:p>
                  <w:pPr>
                    <w:jc w:val="center"/>
                    <w:rPr>
                      <w:b/>
                      <w:bCs/>
                      <w:szCs w:val="21"/>
                    </w:rPr>
                  </w:pPr>
                  <w:r>
                    <w:rPr>
                      <w:b/>
                      <w:bCs/>
                      <w:szCs w:val="21"/>
                    </w:rPr>
                    <w:t>序号</w:t>
                  </w:r>
                </w:p>
              </w:tc>
              <w:tc>
                <w:tcPr>
                  <w:tcW w:w="908" w:type="dxa"/>
                  <w:vAlign w:val="center"/>
                </w:tcPr>
                <w:p>
                  <w:pPr>
                    <w:jc w:val="center"/>
                    <w:rPr>
                      <w:b/>
                      <w:bCs/>
                      <w:szCs w:val="21"/>
                    </w:rPr>
                  </w:pPr>
                  <w:r>
                    <w:rPr>
                      <w:b/>
                      <w:bCs/>
                      <w:szCs w:val="21"/>
                    </w:rPr>
                    <w:t>化学名称</w:t>
                  </w:r>
                </w:p>
              </w:tc>
              <w:tc>
                <w:tcPr>
                  <w:tcW w:w="4280" w:type="dxa"/>
                  <w:vAlign w:val="center"/>
                </w:tcPr>
                <w:p>
                  <w:pPr>
                    <w:jc w:val="center"/>
                    <w:rPr>
                      <w:b/>
                      <w:bCs/>
                      <w:szCs w:val="21"/>
                    </w:rPr>
                  </w:pPr>
                  <w:r>
                    <w:rPr>
                      <w:b/>
                      <w:bCs/>
                      <w:szCs w:val="21"/>
                    </w:rPr>
                    <w:t>理化性质</w:t>
                  </w:r>
                </w:p>
              </w:tc>
              <w:tc>
                <w:tcPr>
                  <w:tcW w:w="877" w:type="dxa"/>
                  <w:vAlign w:val="center"/>
                </w:tcPr>
                <w:p>
                  <w:pPr>
                    <w:jc w:val="center"/>
                    <w:rPr>
                      <w:b/>
                      <w:bCs/>
                      <w:szCs w:val="21"/>
                    </w:rPr>
                  </w:pPr>
                  <w:r>
                    <w:rPr>
                      <w:b/>
                      <w:bCs/>
                      <w:szCs w:val="21"/>
                    </w:rPr>
                    <w:t>燃烧爆炸性</w:t>
                  </w:r>
                </w:p>
              </w:tc>
              <w:tc>
                <w:tcPr>
                  <w:tcW w:w="1707" w:type="dxa"/>
                  <w:vAlign w:val="center"/>
                </w:tcPr>
                <w:p>
                  <w:pPr>
                    <w:jc w:val="center"/>
                    <w:rPr>
                      <w:b/>
                      <w:bCs/>
                      <w:szCs w:val="21"/>
                    </w:rPr>
                  </w:pPr>
                  <w:r>
                    <w:rPr>
                      <w:b/>
                      <w:bCs/>
                      <w:szCs w:val="21"/>
                    </w:rPr>
                    <w:t>毒性毒理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540" w:type="dxa"/>
                  <w:vAlign w:val="center"/>
                </w:tcPr>
                <w:p>
                  <w:pPr>
                    <w:pStyle w:val="25"/>
                    <w:spacing w:line="240" w:lineRule="auto"/>
                    <w:jc w:val="center"/>
                    <w:rPr>
                      <w:rFonts w:eastAsia="宋体"/>
                      <w:szCs w:val="21"/>
                    </w:rPr>
                  </w:pPr>
                  <w:r>
                    <w:rPr>
                      <w:rFonts w:hint="eastAsia" w:eastAsia="宋体"/>
                      <w:szCs w:val="21"/>
                    </w:rPr>
                    <w:t>1</w:t>
                  </w:r>
                </w:p>
              </w:tc>
              <w:tc>
                <w:tcPr>
                  <w:tcW w:w="908" w:type="dxa"/>
                  <w:vAlign w:val="center"/>
                </w:tcPr>
                <w:p>
                  <w:pPr>
                    <w:snapToGrid w:val="0"/>
                    <w:jc w:val="center"/>
                    <w:rPr>
                      <w:rFonts w:hint="eastAsia" w:eastAsia="宋体"/>
                      <w:sz w:val="21"/>
                      <w:szCs w:val="21"/>
                      <w:lang w:eastAsia="zh-CN"/>
                    </w:rPr>
                  </w:pPr>
                  <w:r>
                    <w:rPr>
                      <w:color w:val="auto"/>
                      <w:szCs w:val="21"/>
                    </w:rPr>
                    <w:t>润滑</w:t>
                  </w:r>
                  <w:r>
                    <w:rPr>
                      <w:rFonts w:hint="eastAsia"/>
                      <w:color w:val="auto"/>
                      <w:szCs w:val="21"/>
                      <w:lang w:eastAsia="zh-CN"/>
                    </w:rPr>
                    <w:t>脂</w:t>
                  </w:r>
                </w:p>
              </w:tc>
              <w:tc>
                <w:tcPr>
                  <w:tcW w:w="4280" w:type="dxa"/>
                  <w:vAlign w:val="center"/>
                </w:tcPr>
                <w:p>
                  <w:pPr>
                    <w:widowControl/>
                    <w:jc w:val="center"/>
                    <w:textAlignment w:val="center"/>
                    <w:rPr>
                      <w:sz w:val="21"/>
                      <w:szCs w:val="21"/>
                    </w:rPr>
                  </w:pPr>
                  <w:r>
                    <w:rPr>
                      <w:color w:val="auto"/>
                      <w:szCs w:val="21"/>
                    </w:rPr>
                    <w:t>本品为淡黄色粘稠液体、闪电：120-340℃，自然点：300-350℃，相对密度（水=1）：934.8，相对密度（空气=1）：0.85，沸点-252.8℃，饱和蒸气压（kPa）0.13/145.8℃。溶解性：溶于苯、乙醇、乙醚、氯仿、丙酮等多数有机物。稳定性：稳定。</w:t>
                  </w:r>
                </w:p>
              </w:tc>
              <w:tc>
                <w:tcPr>
                  <w:tcW w:w="877" w:type="dxa"/>
                  <w:vAlign w:val="center"/>
                </w:tcPr>
                <w:p>
                  <w:pPr>
                    <w:widowControl/>
                    <w:jc w:val="center"/>
                    <w:textAlignment w:val="center"/>
                    <w:rPr>
                      <w:rFonts w:ascii="Times New Roman" w:hAnsi="Times New Roman"/>
                      <w:sz w:val="21"/>
                      <w:szCs w:val="21"/>
                    </w:rPr>
                  </w:pPr>
                  <w:r>
                    <w:rPr>
                      <w:color w:val="auto"/>
                      <w:szCs w:val="21"/>
                    </w:rPr>
                    <w:t>可燃</w:t>
                  </w:r>
                </w:p>
              </w:tc>
              <w:tc>
                <w:tcPr>
                  <w:tcW w:w="1707" w:type="dxa"/>
                  <w:vAlign w:val="center"/>
                </w:tcPr>
                <w:p>
                  <w:pPr>
                    <w:widowControl/>
                    <w:jc w:val="center"/>
                    <w:textAlignment w:val="center"/>
                    <w:rPr>
                      <w:rFonts w:ascii="Times New Roman" w:hAnsi="Times New Roman"/>
                      <w:sz w:val="21"/>
                      <w:szCs w:val="21"/>
                    </w:rPr>
                  </w:pPr>
                  <w:r>
                    <w:rPr>
                      <w:color w:val="auto"/>
                      <w:szCs w:val="21"/>
                    </w:rPr>
                    <w:t>微毒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540" w:type="dxa"/>
                  <w:vAlign w:val="center"/>
                </w:tcPr>
                <w:p>
                  <w:pPr>
                    <w:pStyle w:val="25"/>
                    <w:spacing w:line="240" w:lineRule="auto"/>
                    <w:jc w:val="center"/>
                    <w:rPr>
                      <w:rFonts w:eastAsia="宋体"/>
                      <w:szCs w:val="21"/>
                    </w:rPr>
                  </w:pPr>
                  <w:r>
                    <w:rPr>
                      <w:rFonts w:hint="eastAsia" w:eastAsia="宋体"/>
                      <w:szCs w:val="21"/>
                    </w:rPr>
                    <w:t>2</w:t>
                  </w:r>
                </w:p>
              </w:tc>
              <w:tc>
                <w:tcPr>
                  <w:tcW w:w="908" w:type="dxa"/>
                  <w:vAlign w:val="center"/>
                </w:tcPr>
                <w:p>
                  <w:pPr>
                    <w:pStyle w:val="26"/>
                    <w:ind w:right="-102" w:rightChars="0" w:hanging="108" w:firstLineChars="0"/>
                    <w:rPr>
                      <w:szCs w:val="21"/>
                    </w:rPr>
                  </w:pPr>
                  <w:r>
                    <w:rPr>
                      <w:color w:val="auto"/>
                      <w:sz w:val="21"/>
                      <w:szCs w:val="21"/>
                    </w:rPr>
                    <w:t>环氧树脂塑粉</w:t>
                  </w:r>
                </w:p>
              </w:tc>
              <w:tc>
                <w:tcPr>
                  <w:tcW w:w="4280" w:type="dxa"/>
                  <w:vAlign w:val="center"/>
                </w:tcPr>
                <w:p>
                  <w:pPr>
                    <w:pStyle w:val="26"/>
                    <w:ind w:right="-102" w:rightChars="0" w:hanging="108" w:firstLineChars="0"/>
                    <w:rPr>
                      <w:szCs w:val="21"/>
                    </w:rPr>
                  </w:pPr>
                  <w:r>
                    <w:rPr>
                      <w:color w:val="auto"/>
                      <w:sz w:val="21"/>
                      <w:szCs w:val="21"/>
                    </w:rPr>
                    <w:t>易溶于醇，不溶于水，对水、弱酸、弱碱溶液稳定</w:t>
                  </w:r>
                </w:p>
              </w:tc>
              <w:tc>
                <w:tcPr>
                  <w:tcW w:w="877" w:type="dxa"/>
                  <w:vAlign w:val="center"/>
                </w:tcPr>
                <w:p>
                  <w:pPr>
                    <w:pStyle w:val="26"/>
                    <w:ind w:right="-102" w:rightChars="0" w:hanging="108" w:firstLineChars="0"/>
                    <w:rPr>
                      <w:szCs w:val="21"/>
                    </w:rPr>
                  </w:pPr>
                  <w:r>
                    <w:rPr>
                      <w:rFonts w:ascii="Times New Roman" w:hAnsi="Times New Roman"/>
                      <w:color w:val="auto"/>
                      <w:sz w:val="21"/>
                      <w:szCs w:val="21"/>
                    </w:rPr>
                    <w:t>易燃</w:t>
                  </w:r>
                </w:p>
              </w:tc>
              <w:tc>
                <w:tcPr>
                  <w:tcW w:w="1707" w:type="dxa"/>
                  <w:vAlign w:val="center"/>
                </w:tcPr>
                <w:p>
                  <w:pPr>
                    <w:pStyle w:val="26"/>
                    <w:ind w:right="-102" w:rightChars="0" w:hanging="108" w:firstLineChars="0"/>
                    <w:rPr>
                      <w:szCs w:val="21"/>
                    </w:rPr>
                  </w:pPr>
                  <w:r>
                    <w:rPr>
                      <w:rFonts w:ascii="Times New Roman" w:hAnsi="Times New Roman"/>
                      <w:color w:val="auto"/>
                      <w:sz w:val="21"/>
                      <w:szCs w:val="21"/>
                    </w:rPr>
                    <w:t>LD</w:t>
                  </w:r>
                  <w:r>
                    <w:rPr>
                      <w:rFonts w:ascii="Times New Roman" w:hAnsi="Times New Roman"/>
                      <w:color w:val="auto"/>
                      <w:sz w:val="21"/>
                      <w:szCs w:val="21"/>
                      <w:vertAlign w:val="subscript"/>
                    </w:rPr>
                    <w:t>50:</w:t>
                  </w:r>
                  <w:r>
                    <w:rPr>
                      <w:rFonts w:ascii="Times New Roman" w:hAnsi="Times New Roman"/>
                      <w:color w:val="auto"/>
                      <w:sz w:val="21"/>
                      <w:szCs w:val="21"/>
                    </w:rPr>
                    <w:t>4060mg/kg</w:t>
                  </w:r>
                  <w:r>
                    <w:rPr>
                      <w:rFonts w:hint="eastAsia" w:ascii="Times New Roman" w:hAnsi="Times New Roman"/>
                      <w:color w:val="auto"/>
                      <w:sz w:val="21"/>
                      <w:szCs w:val="21"/>
                    </w:rPr>
                    <w:t>（</w:t>
                  </w:r>
                  <w:r>
                    <w:rPr>
                      <w:rFonts w:ascii="Times New Roman" w:hAnsi="Times New Roman"/>
                      <w:color w:val="auto"/>
                      <w:sz w:val="21"/>
                      <w:szCs w:val="21"/>
                    </w:rPr>
                    <w:t>兔经口</w:t>
                  </w:r>
                  <w:r>
                    <w:rPr>
                      <w:rFonts w:hint="eastAsia" w:ascii="Times New Roman" w:hAnsi="Times New Roman"/>
                      <w:color w:val="auto"/>
                      <w:sz w:val="21"/>
                      <w:szCs w:val="21"/>
                    </w:rPr>
                    <w:t>）</w:t>
                  </w:r>
                  <w:r>
                    <w:rPr>
                      <w:rFonts w:ascii="Times New Roman" w:hAnsi="Times New Roman"/>
                      <w:color w:val="auto"/>
                      <w:sz w:val="21"/>
                      <w:szCs w:val="21"/>
                    </w:rPr>
                    <w:t>；LC</w:t>
                  </w:r>
                  <w:r>
                    <w:rPr>
                      <w:rFonts w:ascii="Times New Roman" w:hAnsi="Times New Roman"/>
                      <w:color w:val="auto"/>
                      <w:sz w:val="21"/>
                      <w:szCs w:val="21"/>
                      <w:vertAlign w:val="subscript"/>
                    </w:rPr>
                    <w:t>50</w:t>
                  </w:r>
                  <w:r>
                    <w:rPr>
                      <w:rFonts w:ascii="Times New Roman" w:hAnsi="Times New Roman"/>
                      <w:color w:val="auto"/>
                      <w:sz w:val="21"/>
                      <w:szCs w:val="21"/>
                    </w:rPr>
                    <w:t>2300mg/m</w:t>
                  </w:r>
                  <w:r>
                    <w:rPr>
                      <w:rFonts w:ascii="Times New Roman" w:hAnsi="Times New Roman"/>
                      <w:color w:val="auto"/>
                      <w:sz w:val="21"/>
                      <w:szCs w:val="21"/>
                      <w:vertAlign w:val="superscript"/>
                    </w:rPr>
                    <w:t>3</w:t>
                  </w:r>
                  <w:r>
                    <w:rPr>
                      <w:rFonts w:ascii="Times New Roman" w:hAnsi="Times New Roman"/>
                      <w:color w:val="auto"/>
                      <w:sz w:val="21"/>
                      <w:szCs w:val="21"/>
                    </w:rPr>
                    <w:t>，2小时</w:t>
                  </w:r>
                  <w:r>
                    <w:rPr>
                      <w:rFonts w:hint="eastAsia" w:ascii="Times New Roman" w:hAnsi="Times New Roman"/>
                      <w:color w:val="auto"/>
                      <w:sz w:val="21"/>
                      <w:szCs w:val="21"/>
                    </w:rPr>
                    <w:t>（</w:t>
                  </w:r>
                  <w:r>
                    <w:rPr>
                      <w:rFonts w:ascii="Times New Roman" w:hAnsi="Times New Roman"/>
                      <w:color w:val="auto"/>
                      <w:sz w:val="21"/>
                      <w:szCs w:val="21"/>
                    </w:rPr>
                    <w:t>大鼠吸入</w:t>
                  </w:r>
                  <w:r>
                    <w:rPr>
                      <w:rFonts w:hint="eastAsia" w:ascii="Times New Roman" w:hAnsi="Times New Roman"/>
                      <w:color w:val="auto"/>
                      <w:sz w:val="21"/>
                      <w:szCs w:val="21"/>
                    </w:rPr>
                    <w:t>）</w:t>
                  </w:r>
                </w:p>
              </w:tc>
            </w:tr>
          </w:tbl>
          <w:p>
            <w:pPr>
              <w:spacing w:line="360" w:lineRule="auto"/>
              <w:ind w:firstLine="480" w:firstLineChars="200"/>
              <w:rPr>
                <w:b/>
                <w:sz w:val="24"/>
              </w:rPr>
            </w:pPr>
            <w:r>
              <w:rPr>
                <w:rFonts w:hint="eastAsia"/>
                <w:b/>
                <w:sz w:val="24"/>
              </w:rPr>
              <w:t>2、主要设备</w:t>
            </w:r>
          </w:p>
          <w:p>
            <w:pPr>
              <w:spacing w:line="360" w:lineRule="auto"/>
              <w:ind w:firstLine="480" w:firstLineChars="200"/>
              <w:rPr>
                <w:b/>
                <w:sz w:val="24"/>
                <w:szCs w:val="24"/>
              </w:rPr>
            </w:pPr>
            <w:r>
              <w:rPr>
                <w:rFonts w:hint="eastAsia"/>
                <w:sz w:val="24"/>
              </w:rPr>
              <w:t>建设项目主要设备见下</w:t>
            </w:r>
            <w:r>
              <w:rPr>
                <w:sz w:val="24"/>
              </w:rPr>
              <w:fldChar w:fldCharType="begin"/>
            </w:r>
            <w:r>
              <w:rPr>
                <w:sz w:val="24"/>
              </w:rPr>
              <w:instrText xml:space="preserve"> </w:instrText>
            </w:r>
            <w:r>
              <w:rPr>
                <w:rFonts w:hint="eastAsia"/>
                <w:sz w:val="24"/>
              </w:rPr>
              <w:instrText xml:space="preserve">REF _Ref435019854 \h</w:instrText>
            </w:r>
            <w:r>
              <w:rPr>
                <w:sz w:val="24"/>
              </w:rPr>
              <w:instrText xml:space="preserve">  \* MERGEFORMAT </w:instrText>
            </w:r>
            <w:r>
              <w:rPr>
                <w:sz w:val="24"/>
              </w:rPr>
              <w:fldChar w:fldCharType="separate"/>
            </w:r>
            <w:r>
              <w:rPr>
                <w:rFonts w:hint="eastAsia"/>
                <w:sz w:val="24"/>
              </w:rPr>
              <w:t>表</w:t>
            </w:r>
            <w:r>
              <w:rPr>
                <w:sz w:val="24"/>
              </w:rPr>
              <w:fldChar w:fldCharType="end"/>
            </w:r>
            <w:r>
              <w:rPr>
                <w:rFonts w:hint="eastAsia"/>
                <w:sz w:val="24"/>
              </w:rPr>
              <w:t>。</w:t>
            </w:r>
            <w:bookmarkStart w:id="1" w:name="_Ref435019854"/>
          </w:p>
          <w:p>
            <w:pPr>
              <w:jc w:val="center"/>
              <w:rPr>
                <w:b/>
                <w:sz w:val="24"/>
                <w:szCs w:val="24"/>
              </w:rPr>
            </w:pPr>
            <w:r>
              <w:rPr>
                <w:b/>
                <w:sz w:val="24"/>
                <w:szCs w:val="24"/>
              </w:rPr>
              <w:t>表</w:t>
            </w:r>
            <w:bookmarkEnd w:id="1"/>
            <w:r>
              <w:rPr>
                <w:b/>
                <w:sz w:val="24"/>
                <w:szCs w:val="24"/>
              </w:rPr>
              <w:t>1-3  项目主要生产设备表</w:t>
            </w:r>
          </w:p>
          <w:tbl>
            <w:tblPr>
              <w:tblStyle w:val="17"/>
              <w:tblW w:w="8312"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811"/>
              <w:gridCol w:w="1833"/>
              <w:gridCol w:w="2302"/>
              <w:gridCol w:w="868"/>
              <w:gridCol w:w="1000"/>
              <w:gridCol w:w="1498"/>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1" w:type="dxa"/>
                  <w:tcBorders>
                    <w:tl2br w:val="nil"/>
                    <w:tr2bl w:val="nil"/>
                  </w:tcBorders>
                  <w:vAlign w:val="center"/>
                </w:tcPr>
                <w:p>
                  <w:pPr>
                    <w:pStyle w:val="25"/>
                    <w:spacing w:before="62" w:beforeLines="20" w:after="62" w:afterLines="20" w:line="240" w:lineRule="auto"/>
                    <w:jc w:val="center"/>
                    <w:rPr>
                      <w:rFonts w:eastAsia="宋体"/>
                      <w:b/>
                      <w:bCs/>
                      <w:szCs w:val="21"/>
                    </w:rPr>
                  </w:pPr>
                  <w:r>
                    <w:rPr>
                      <w:rFonts w:eastAsia="宋体"/>
                      <w:b/>
                      <w:bCs/>
                      <w:szCs w:val="21"/>
                    </w:rPr>
                    <w:t>序号</w:t>
                  </w:r>
                </w:p>
              </w:tc>
              <w:tc>
                <w:tcPr>
                  <w:tcW w:w="1833" w:type="dxa"/>
                  <w:tcBorders>
                    <w:tl2br w:val="nil"/>
                    <w:tr2bl w:val="nil"/>
                  </w:tcBorders>
                  <w:vAlign w:val="center"/>
                </w:tcPr>
                <w:p>
                  <w:pPr>
                    <w:pStyle w:val="25"/>
                    <w:spacing w:before="62" w:beforeLines="20" w:after="62" w:afterLines="20" w:line="240" w:lineRule="auto"/>
                    <w:jc w:val="center"/>
                    <w:rPr>
                      <w:rFonts w:eastAsia="宋体"/>
                      <w:b/>
                      <w:bCs/>
                      <w:szCs w:val="21"/>
                    </w:rPr>
                  </w:pPr>
                  <w:r>
                    <w:rPr>
                      <w:rFonts w:eastAsia="宋体"/>
                      <w:b/>
                      <w:bCs/>
                      <w:szCs w:val="21"/>
                    </w:rPr>
                    <w:t>设备名称</w:t>
                  </w:r>
                </w:p>
              </w:tc>
              <w:tc>
                <w:tcPr>
                  <w:tcW w:w="2302" w:type="dxa"/>
                  <w:tcBorders>
                    <w:tl2br w:val="nil"/>
                    <w:tr2bl w:val="nil"/>
                  </w:tcBorders>
                  <w:vAlign w:val="center"/>
                </w:tcPr>
                <w:p>
                  <w:pPr>
                    <w:spacing w:before="62" w:beforeLines="20" w:after="62" w:afterLines="20"/>
                    <w:jc w:val="center"/>
                    <w:rPr>
                      <w:b/>
                      <w:bCs/>
                      <w:kern w:val="0"/>
                      <w:szCs w:val="21"/>
                    </w:rPr>
                  </w:pPr>
                  <w:r>
                    <w:rPr>
                      <w:b/>
                      <w:bCs/>
                      <w:kern w:val="0"/>
                      <w:szCs w:val="21"/>
                    </w:rPr>
                    <w:t>型号</w:t>
                  </w:r>
                </w:p>
              </w:tc>
              <w:tc>
                <w:tcPr>
                  <w:tcW w:w="868" w:type="dxa"/>
                  <w:tcBorders>
                    <w:tl2br w:val="nil"/>
                    <w:tr2bl w:val="nil"/>
                  </w:tcBorders>
                  <w:vAlign w:val="center"/>
                </w:tcPr>
                <w:p>
                  <w:pPr>
                    <w:spacing w:before="62" w:beforeLines="20" w:after="62" w:afterLines="20"/>
                    <w:jc w:val="center"/>
                    <w:rPr>
                      <w:b/>
                      <w:bCs/>
                      <w:kern w:val="0"/>
                      <w:szCs w:val="21"/>
                    </w:rPr>
                  </w:pPr>
                  <w:r>
                    <w:rPr>
                      <w:rFonts w:hint="eastAsia"/>
                      <w:b/>
                      <w:bCs/>
                      <w:kern w:val="0"/>
                      <w:szCs w:val="21"/>
                    </w:rPr>
                    <w:t>单位</w:t>
                  </w:r>
                </w:p>
              </w:tc>
              <w:tc>
                <w:tcPr>
                  <w:tcW w:w="1000" w:type="dxa"/>
                  <w:tcBorders>
                    <w:tl2br w:val="nil"/>
                    <w:tr2bl w:val="nil"/>
                  </w:tcBorders>
                  <w:vAlign w:val="center"/>
                </w:tcPr>
                <w:p>
                  <w:pPr>
                    <w:spacing w:before="62" w:beforeLines="20" w:after="62" w:afterLines="20"/>
                    <w:jc w:val="center"/>
                    <w:rPr>
                      <w:b/>
                      <w:bCs/>
                      <w:kern w:val="0"/>
                      <w:szCs w:val="21"/>
                    </w:rPr>
                  </w:pPr>
                  <w:r>
                    <w:rPr>
                      <w:b/>
                      <w:bCs/>
                      <w:kern w:val="0"/>
                      <w:szCs w:val="21"/>
                    </w:rPr>
                    <w:t>数量</w:t>
                  </w:r>
                </w:p>
              </w:tc>
              <w:tc>
                <w:tcPr>
                  <w:tcW w:w="1498" w:type="dxa"/>
                  <w:tcBorders>
                    <w:tl2br w:val="nil"/>
                    <w:tr2bl w:val="nil"/>
                  </w:tcBorders>
                  <w:vAlign w:val="center"/>
                </w:tcPr>
                <w:p>
                  <w:pPr>
                    <w:spacing w:before="62" w:beforeLines="20" w:after="62" w:afterLines="20"/>
                    <w:jc w:val="center"/>
                    <w:rPr>
                      <w:b/>
                      <w:bCs/>
                      <w:kern w:val="0"/>
                      <w:szCs w:val="21"/>
                    </w:rPr>
                  </w:pPr>
                  <w:r>
                    <w:rPr>
                      <w:rFonts w:hint="eastAsia"/>
                      <w:b/>
                      <w:bCs/>
                      <w:kern w:val="0"/>
                      <w:szCs w:val="21"/>
                    </w:rPr>
                    <w:t>使用工序</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6" w:hRule="atLeast"/>
                <w:jc w:val="center"/>
              </w:trPr>
              <w:tc>
                <w:tcPr>
                  <w:tcW w:w="811" w:type="dxa"/>
                  <w:tcBorders>
                    <w:tl2br w:val="nil"/>
                    <w:tr2bl w:val="nil"/>
                  </w:tcBorders>
                  <w:vAlign w:val="center"/>
                </w:tcPr>
                <w:p>
                  <w:pPr>
                    <w:snapToGrid w:val="0"/>
                    <w:spacing w:before="62" w:beforeLines="20" w:after="62" w:afterLines="20"/>
                    <w:jc w:val="center"/>
                    <w:rPr>
                      <w:szCs w:val="21"/>
                    </w:rPr>
                  </w:pPr>
                  <w:r>
                    <w:rPr>
                      <w:szCs w:val="21"/>
                    </w:rPr>
                    <w:t>1</w:t>
                  </w:r>
                </w:p>
              </w:tc>
              <w:tc>
                <w:tcPr>
                  <w:tcW w:w="1833" w:type="dxa"/>
                  <w:tcBorders>
                    <w:tl2br w:val="nil"/>
                    <w:tr2bl w:val="nil"/>
                  </w:tcBorders>
                  <w:vAlign w:val="center"/>
                </w:tcPr>
                <w:p>
                  <w:pPr>
                    <w:jc w:val="center"/>
                    <w:rPr>
                      <w:rFonts w:hint="eastAsia" w:eastAsia="宋体"/>
                      <w:kern w:val="0"/>
                      <w:szCs w:val="21"/>
                      <w:lang w:eastAsia="zh-CN"/>
                    </w:rPr>
                  </w:pPr>
                  <w:r>
                    <w:rPr>
                      <w:rFonts w:hint="eastAsia"/>
                      <w:kern w:val="0"/>
                      <w:szCs w:val="21"/>
                      <w:lang w:eastAsia="zh-CN"/>
                    </w:rPr>
                    <w:t>组装生产线</w:t>
                  </w:r>
                </w:p>
              </w:tc>
              <w:tc>
                <w:tcPr>
                  <w:tcW w:w="2302" w:type="dxa"/>
                  <w:tcBorders>
                    <w:tl2br w:val="nil"/>
                    <w:tr2bl w:val="nil"/>
                  </w:tcBorders>
                  <w:vAlign w:val="center"/>
                </w:tcPr>
                <w:p>
                  <w:pPr>
                    <w:spacing w:before="62" w:beforeLines="20" w:after="62" w:afterLines="20"/>
                    <w:jc w:val="center"/>
                    <w:rPr>
                      <w:rFonts w:hint="eastAsia" w:eastAsia="宋体"/>
                      <w:szCs w:val="21"/>
                      <w:lang w:val="en-US" w:eastAsia="zh-CN"/>
                    </w:rPr>
                  </w:pPr>
                  <w:r>
                    <w:rPr>
                      <w:rFonts w:hint="eastAsia"/>
                      <w:szCs w:val="21"/>
                      <w:lang w:val="en-US" w:eastAsia="zh-CN"/>
                    </w:rPr>
                    <w:t>/</w:t>
                  </w:r>
                </w:p>
              </w:tc>
              <w:tc>
                <w:tcPr>
                  <w:tcW w:w="868" w:type="dxa"/>
                  <w:tcBorders>
                    <w:tl2br w:val="nil"/>
                    <w:tr2bl w:val="nil"/>
                  </w:tcBorders>
                  <w:vAlign w:val="center"/>
                </w:tcPr>
                <w:p>
                  <w:pPr>
                    <w:spacing w:before="62" w:beforeLines="20" w:after="62" w:afterLines="20"/>
                    <w:jc w:val="center"/>
                    <w:rPr>
                      <w:rFonts w:hint="eastAsia" w:eastAsia="宋体"/>
                      <w:kern w:val="0"/>
                      <w:szCs w:val="21"/>
                      <w:lang w:eastAsia="zh-CN"/>
                    </w:rPr>
                  </w:pPr>
                  <w:r>
                    <w:rPr>
                      <w:rFonts w:hint="eastAsia"/>
                      <w:szCs w:val="21"/>
                      <w:lang w:eastAsia="zh-CN"/>
                    </w:rPr>
                    <w:t>条</w:t>
                  </w:r>
                </w:p>
              </w:tc>
              <w:tc>
                <w:tcPr>
                  <w:tcW w:w="1000" w:type="dxa"/>
                  <w:tcBorders>
                    <w:tl2br w:val="nil"/>
                    <w:tr2bl w:val="nil"/>
                  </w:tcBorders>
                  <w:vAlign w:val="center"/>
                </w:tcPr>
                <w:p>
                  <w:pPr>
                    <w:widowControl/>
                    <w:spacing w:before="62" w:beforeLines="20" w:after="62" w:afterLines="20"/>
                    <w:jc w:val="center"/>
                    <w:textAlignment w:val="center"/>
                    <w:rPr>
                      <w:rFonts w:hint="eastAsia" w:eastAsia="宋体"/>
                      <w:kern w:val="0"/>
                      <w:szCs w:val="21"/>
                      <w:lang w:eastAsia="zh-CN"/>
                    </w:rPr>
                  </w:pPr>
                  <w:r>
                    <w:rPr>
                      <w:rFonts w:hint="eastAsia"/>
                      <w:color w:val="000000"/>
                      <w:szCs w:val="28"/>
                      <w:lang w:val="en-US" w:eastAsia="zh-CN"/>
                    </w:rPr>
                    <w:t>6</w:t>
                  </w:r>
                </w:p>
              </w:tc>
              <w:tc>
                <w:tcPr>
                  <w:tcW w:w="1498" w:type="dxa"/>
                  <w:tcBorders>
                    <w:tl2br w:val="nil"/>
                    <w:tr2bl w:val="nil"/>
                  </w:tcBorders>
                  <w:vAlign w:val="center"/>
                </w:tcPr>
                <w:p>
                  <w:pPr>
                    <w:widowControl/>
                    <w:spacing w:before="62" w:beforeLines="20" w:after="62" w:afterLines="20"/>
                    <w:jc w:val="center"/>
                    <w:textAlignment w:val="center"/>
                    <w:rPr>
                      <w:rFonts w:hint="eastAsia" w:eastAsia="宋体"/>
                      <w:kern w:val="0"/>
                      <w:szCs w:val="21"/>
                      <w:lang w:eastAsia="zh-CN" w:bidi="ar"/>
                    </w:rPr>
                  </w:pPr>
                  <w:r>
                    <w:rPr>
                      <w:rFonts w:hint="eastAsia"/>
                      <w:kern w:val="0"/>
                      <w:szCs w:val="21"/>
                      <w:lang w:eastAsia="zh-CN" w:bidi="ar"/>
                    </w:rPr>
                    <w:t>组装工序</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811" w:type="dxa"/>
                  <w:tcBorders>
                    <w:tl2br w:val="nil"/>
                    <w:tr2bl w:val="nil"/>
                  </w:tcBorders>
                  <w:vAlign w:val="center"/>
                </w:tcPr>
                <w:p>
                  <w:pPr>
                    <w:snapToGrid w:val="0"/>
                    <w:spacing w:before="62" w:beforeLines="20" w:after="62" w:afterLines="20"/>
                    <w:jc w:val="center"/>
                    <w:rPr>
                      <w:szCs w:val="21"/>
                    </w:rPr>
                  </w:pPr>
                  <w:r>
                    <w:rPr>
                      <w:szCs w:val="21"/>
                    </w:rPr>
                    <w:t>2</w:t>
                  </w:r>
                </w:p>
              </w:tc>
              <w:tc>
                <w:tcPr>
                  <w:tcW w:w="1833" w:type="dxa"/>
                  <w:tcBorders>
                    <w:tl2br w:val="nil"/>
                    <w:tr2bl w:val="nil"/>
                  </w:tcBorders>
                  <w:vAlign w:val="center"/>
                </w:tcPr>
                <w:p>
                  <w:pPr>
                    <w:jc w:val="center"/>
                    <w:rPr>
                      <w:rFonts w:hint="eastAsia" w:eastAsia="宋体"/>
                      <w:kern w:val="0"/>
                      <w:szCs w:val="21"/>
                      <w:lang w:val="en-US" w:eastAsia="zh-CN"/>
                    </w:rPr>
                  </w:pPr>
                  <w:r>
                    <w:rPr>
                      <w:rFonts w:hint="eastAsia"/>
                      <w:kern w:val="0"/>
                      <w:szCs w:val="21"/>
                      <w:lang w:val="en-US" w:eastAsia="zh-CN"/>
                    </w:rPr>
                    <w:t>喷塑房</w:t>
                  </w:r>
                </w:p>
              </w:tc>
              <w:tc>
                <w:tcPr>
                  <w:tcW w:w="2302" w:type="dxa"/>
                  <w:tcBorders>
                    <w:tl2br w:val="nil"/>
                    <w:tr2bl w:val="nil"/>
                  </w:tcBorders>
                  <w:vAlign w:val="center"/>
                </w:tcPr>
                <w:p>
                  <w:pPr>
                    <w:spacing w:before="62" w:beforeLines="20" w:after="62" w:afterLines="20"/>
                    <w:jc w:val="center"/>
                    <w:rPr>
                      <w:rFonts w:hint="default" w:eastAsia="宋体"/>
                      <w:szCs w:val="21"/>
                      <w:lang w:val="en-US" w:eastAsia="zh-CN"/>
                    </w:rPr>
                  </w:pPr>
                  <w:r>
                    <w:rPr>
                      <w:rFonts w:hint="eastAsia"/>
                      <w:szCs w:val="21"/>
                      <w:lang w:val="en-US" w:eastAsia="zh-CN"/>
                    </w:rPr>
                    <w:t>10m</w:t>
                  </w:r>
                  <w:r>
                    <w:rPr>
                      <w:rFonts w:hint="default" w:ascii="Arial" w:hAnsi="Arial" w:cs="Arial"/>
                      <w:szCs w:val="21"/>
                      <w:lang w:val="en-US" w:eastAsia="zh-CN"/>
                    </w:rPr>
                    <w:t>×</w:t>
                  </w:r>
                  <w:r>
                    <w:rPr>
                      <w:rFonts w:hint="eastAsia"/>
                      <w:szCs w:val="21"/>
                      <w:lang w:val="en-US" w:eastAsia="zh-CN"/>
                    </w:rPr>
                    <w:t>3m</w:t>
                  </w:r>
                  <w:r>
                    <w:rPr>
                      <w:rFonts w:hint="default" w:ascii="Arial" w:hAnsi="Arial" w:cs="Arial"/>
                      <w:szCs w:val="21"/>
                      <w:lang w:val="en-US" w:eastAsia="zh-CN"/>
                    </w:rPr>
                    <w:t>×</w:t>
                  </w:r>
                  <w:r>
                    <w:rPr>
                      <w:rFonts w:hint="eastAsia"/>
                      <w:szCs w:val="21"/>
                      <w:lang w:val="en-US" w:eastAsia="zh-CN"/>
                    </w:rPr>
                    <w:t>3m</w:t>
                  </w:r>
                </w:p>
              </w:tc>
              <w:tc>
                <w:tcPr>
                  <w:tcW w:w="868" w:type="dxa"/>
                  <w:tcBorders>
                    <w:tl2br w:val="nil"/>
                    <w:tr2bl w:val="nil"/>
                  </w:tcBorders>
                  <w:vAlign w:val="center"/>
                </w:tcPr>
                <w:p>
                  <w:pPr>
                    <w:spacing w:before="62" w:beforeLines="20" w:after="62" w:afterLines="20"/>
                    <w:jc w:val="center"/>
                    <w:rPr>
                      <w:rFonts w:hint="eastAsia" w:eastAsia="宋体"/>
                      <w:kern w:val="0"/>
                      <w:szCs w:val="21"/>
                      <w:lang w:eastAsia="zh-CN"/>
                    </w:rPr>
                  </w:pPr>
                  <w:r>
                    <w:rPr>
                      <w:rFonts w:hint="eastAsia"/>
                      <w:bCs/>
                      <w:szCs w:val="21"/>
                      <w:lang w:eastAsia="zh-CN"/>
                    </w:rPr>
                    <w:t>条</w:t>
                  </w:r>
                </w:p>
              </w:tc>
              <w:tc>
                <w:tcPr>
                  <w:tcW w:w="1000" w:type="dxa"/>
                  <w:tcBorders>
                    <w:tl2br w:val="nil"/>
                    <w:tr2bl w:val="nil"/>
                  </w:tcBorders>
                  <w:vAlign w:val="center"/>
                </w:tcPr>
                <w:p>
                  <w:pPr>
                    <w:widowControl/>
                    <w:spacing w:before="62" w:beforeLines="20" w:after="62" w:afterLines="20"/>
                    <w:jc w:val="center"/>
                    <w:textAlignment w:val="center"/>
                    <w:rPr>
                      <w:rFonts w:hint="eastAsia" w:eastAsia="宋体"/>
                      <w:kern w:val="0"/>
                      <w:szCs w:val="21"/>
                      <w:lang w:eastAsia="zh-CN"/>
                    </w:rPr>
                  </w:pPr>
                  <w:r>
                    <w:rPr>
                      <w:rFonts w:hint="eastAsia"/>
                      <w:kern w:val="0"/>
                      <w:szCs w:val="28"/>
                      <w:lang w:val="en-US" w:eastAsia="zh-CN" w:bidi="ar"/>
                    </w:rPr>
                    <w:t>2</w:t>
                  </w:r>
                </w:p>
              </w:tc>
              <w:tc>
                <w:tcPr>
                  <w:tcW w:w="1498" w:type="dxa"/>
                  <w:tcBorders>
                    <w:tl2br w:val="nil"/>
                    <w:tr2bl w:val="nil"/>
                  </w:tcBorders>
                  <w:vAlign w:val="center"/>
                </w:tcPr>
                <w:p>
                  <w:pPr>
                    <w:widowControl/>
                    <w:spacing w:before="62" w:beforeLines="20" w:after="62" w:afterLines="20"/>
                    <w:jc w:val="center"/>
                    <w:textAlignment w:val="center"/>
                    <w:rPr>
                      <w:rFonts w:hint="eastAsia" w:eastAsia="宋体"/>
                      <w:kern w:val="0"/>
                      <w:szCs w:val="21"/>
                      <w:lang w:eastAsia="zh-CN" w:bidi="ar"/>
                    </w:rPr>
                  </w:pPr>
                  <w:r>
                    <w:rPr>
                      <w:rFonts w:hint="eastAsia"/>
                      <w:color w:val="auto"/>
                      <w:kern w:val="0"/>
                      <w:szCs w:val="21"/>
                      <w:lang w:eastAsia="zh-CN" w:bidi="ar"/>
                    </w:rPr>
                    <w:t>设置</w:t>
                  </w:r>
                  <w:r>
                    <w:rPr>
                      <w:rFonts w:hint="eastAsia"/>
                      <w:color w:val="auto"/>
                      <w:kern w:val="0"/>
                      <w:szCs w:val="21"/>
                      <w:lang w:val="en-US" w:eastAsia="zh-CN" w:bidi="ar"/>
                    </w:rPr>
                    <w:t>4把喷枪，</w:t>
                  </w:r>
                  <w:r>
                    <w:rPr>
                      <w:rFonts w:hint="eastAsia"/>
                      <w:kern w:val="0"/>
                      <w:szCs w:val="21"/>
                      <w:lang w:eastAsia="zh-CN" w:bidi="ar"/>
                    </w:rPr>
                    <w:t>喷塑工序</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1" w:type="dxa"/>
                  <w:tcBorders>
                    <w:tl2br w:val="nil"/>
                    <w:tr2bl w:val="nil"/>
                  </w:tcBorders>
                  <w:vAlign w:val="center"/>
                </w:tcPr>
                <w:p>
                  <w:pPr>
                    <w:snapToGrid w:val="0"/>
                    <w:spacing w:before="62" w:beforeLines="20" w:after="62" w:afterLines="20"/>
                    <w:jc w:val="center"/>
                    <w:rPr>
                      <w:rStyle w:val="27"/>
                      <w:rFonts w:hint="default" w:ascii="Times New Roman" w:hAnsi="Times New Roman" w:cs="Times New Roman"/>
                      <w:color w:val="auto"/>
                      <w:sz w:val="21"/>
                      <w:szCs w:val="21"/>
                      <w:lang w:bidi="ar"/>
                    </w:rPr>
                  </w:pPr>
                  <w:r>
                    <w:rPr>
                      <w:szCs w:val="21"/>
                    </w:rPr>
                    <w:t>3</w:t>
                  </w:r>
                </w:p>
              </w:tc>
              <w:tc>
                <w:tcPr>
                  <w:tcW w:w="1833" w:type="dxa"/>
                  <w:tcBorders>
                    <w:tl2br w:val="nil"/>
                    <w:tr2bl w:val="nil"/>
                  </w:tcBorders>
                  <w:vAlign w:val="center"/>
                </w:tcPr>
                <w:p>
                  <w:pPr>
                    <w:jc w:val="center"/>
                    <w:rPr>
                      <w:rStyle w:val="28"/>
                      <w:rFonts w:hint="eastAsia" w:ascii="Times New Roman" w:hAnsi="Times New Roman" w:eastAsia="宋体" w:cs="Times New Roman"/>
                      <w:color w:val="auto"/>
                      <w:sz w:val="21"/>
                      <w:szCs w:val="21"/>
                      <w:lang w:eastAsia="zh-CN" w:bidi="ar"/>
                    </w:rPr>
                  </w:pPr>
                  <w:r>
                    <w:rPr>
                      <w:rStyle w:val="28"/>
                      <w:rFonts w:hint="eastAsia" w:cs="Times New Roman"/>
                      <w:color w:val="auto"/>
                      <w:sz w:val="21"/>
                      <w:szCs w:val="21"/>
                      <w:lang w:eastAsia="zh-CN" w:bidi="ar"/>
                    </w:rPr>
                    <w:t>烘干室</w:t>
                  </w:r>
                </w:p>
              </w:tc>
              <w:tc>
                <w:tcPr>
                  <w:tcW w:w="2302" w:type="dxa"/>
                  <w:tcBorders>
                    <w:tl2br w:val="nil"/>
                    <w:tr2bl w:val="nil"/>
                  </w:tcBorders>
                  <w:vAlign w:val="center"/>
                </w:tcPr>
                <w:p>
                  <w:pPr>
                    <w:spacing w:before="62" w:beforeLines="20" w:after="62" w:afterLines="20"/>
                    <w:jc w:val="center"/>
                    <w:rPr>
                      <w:rStyle w:val="28"/>
                      <w:rFonts w:hint="default" w:ascii="Times New Roman" w:hAnsi="Times New Roman" w:cs="Times New Roman"/>
                      <w:color w:val="auto"/>
                      <w:sz w:val="21"/>
                      <w:szCs w:val="21"/>
                      <w:lang w:bidi="ar"/>
                    </w:rPr>
                  </w:pPr>
                  <w:r>
                    <w:rPr>
                      <w:rFonts w:hint="eastAsia"/>
                      <w:szCs w:val="21"/>
                      <w:lang w:val="en-US" w:eastAsia="zh-CN"/>
                    </w:rPr>
                    <w:t>10m</w:t>
                  </w:r>
                  <w:r>
                    <w:rPr>
                      <w:rFonts w:hint="default" w:ascii="Arial" w:hAnsi="Arial" w:cs="Arial"/>
                      <w:szCs w:val="21"/>
                      <w:lang w:val="en-US" w:eastAsia="zh-CN"/>
                    </w:rPr>
                    <w:t>×</w:t>
                  </w:r>
                  <w:r>
                    <w:rPr>
                      <w:rFonts w:hint="eastAsia"/>
                      <w:szCs w:val="21"/>
                      <w:lang w:val="en-US" w:eastAsia="zh-CN"/>
                    </w:rPr>
                    <w:t>3m</w:t>
                  </w:r>
                  <w:r>
                    <w:rPr>
                      <w:rFonts w:hint="default" w:ascii="Arial" w:hAnsi="Arial" w:cs="Arial"/>
                      <w:szCs w:val="21"/>
                      <w:lang w:val="en-US" w:eastAsia="zh-CN"/>
                    </w:rPr>
                    <w:t>×</w:t>
                  </w:r>
                  <w:r>
                    <w:rPr>
                      <w:rFonts w:hint="eastAsia"/>
                      <w:szCs w:val="21"/>
                      <w:lang w:val="en-US" w:eastAsia="zh-CN"/>
                    </w:rPr>
                    <w:t>3m</w:t>
                  </w:r>
                </w:p>
              </w:tc>
              <w:tc>
                <w:tcPr>
                  <w:tcW w:w="868" w:type="dxa"/>
                  <w:tcBorders>
                    <w:tl2br w:val="nil"/>
                    <w:tr2bl w:val="nil"/>
                  </w:tcBorders>
                  <w:vAlign w:val="center"/>
                </w:tcPr>
                <w:p>
                  <w:pPr>
                    <w:spacing w:before="62" w:beforeLines="20" w:after="62" w:afterLines="20"/>
                    <w:jc w:val="center"/>
                    <w:rPr>
                      <w:rFonts w:hint="eastAsia" w:eastAsia="宋体"/>
                      <w:kern w:val="0"/>
                      <w:szCs w:val="21"/>
                      <w:lang w:eastAsia="zh-CN" w:bidi="ar"/>
                    </w:rPr>
                  </w:pPr>
                  <w:r>
                    <w:rPr>
                      <w:rFonts w:hint="eastAsia"/>
                      <w:bCs/>
                      <w:szCs w:val="21"/>
                      <w:lang w:eastAsia="zh-CN"/>
                    </w:rPr>
                    <w:t>间</w:t>
                  </w:r>
                </w:p>
              </w:tc>
              <w:tc>
                <w:tcPr>
                  <w:tcW w:w="1000" w:type="dxa"/>
                  <w:tcBorders>
                    <w:tl2br w:val="nil"/>
                    <w:tr2bl w:val="nil"/>
                  </w:tcBorders>
                  <w:vAlign w:val="center"/>
                </w:tcPr>
                <w:p>
                  <w:pPr>
                    <w:widowControl/>
                    <w:spacing w:before="62" w:beforeLines="20" w:after="62" w:afterLines="20"/>
                    <w:jc w:val="center"/>
                    <w:textAlignment w:val="center"/>
                    <w:rPr>
                      <w:rFonts w:hint="default" w:eastAsia="宋体"/>
                      <w:kern w:val="0"/>
                      <w:szCs w:val="21"/>
                      <w:lang w:val="en-US" w:eastAsia="zh-CN" w:bidi="ar"/>
                    </w:rPr>
                  </w:pPr>
                  <w:r>
                    <w:rPr>
                      <w:rFonts w:hint="eastAsia"/>
                      <w:kern w:val="0"/>
                      <w:szCs w:val="21"/>
                      <w:lang w:val="en-US" w:eastAsia="zh-CN" w:bidi="ar"/>
                    </w:rPr>
                    <w:t>1</w:t>
                  </w:r>
                </w:p>
              </w:tc>
              <w:tc>
                <w:tcPr>
                  <w:tcW w:w="1498" w:type="dxa"/>
                  <w:tcBorders>
                    <w:tl2br w:val="nil"/>
                    <w:tr2bl w:val="nil"/>
                  </w:tcBorders>
                  <w:vAlign w:val="center"/>
                </w:tcPr>
                <w:p>
                  <w:pPr>
                    <w:widowControl/>
                    <w:spacing w:before="62" w:beforeLines="20" w:after="62" w:afterLines="20"/>
                    <w:jc w:val="center"/>
                    <w:textAlignment w:val="center"/>
                    <w:rPr>
                      <w:rFonts w:hint="eastAsia"/>
                      <w:kern w:val="0"/>
                      <w:szCs w:val="21"/>
                      <w:lang w:eastAsia="zh-CN" w:bidi="ar"/>
                    </w:rPr>
                  </w:pPr>
                  <w:r>
                    <w:rPr>
                      <w:rFonts w:hint="eastAsia"/>
                      <w:kern w:val="0"/>
                      <w:szCs w:val="21"/>
                      <w:lang w:eastAsia="zh-CN" w:bidi="ar"/>
                    </w:rPr>
                    <w:t>固化工序</w:t>
                  </w:r>
                </w:p>
                <w:p>
                  <w:pPr>
                    <w:widowControl/>
                    <w:spacing w:before="62" w:beforeLines="20" w:after="62" w:afterLines="20"/>
                    <w:jc w:val="center"/>
                    <w:textAlignment w:val="center"/>
                    <w:rPr>
                      <w:rFonts w:hint="eastAsia" w:eastAsia="宋体"/>
                      <w:kern w:val="0"/>
                      <w:szCs w:val="21"/>
                      <w:lang w:eastAsia="zh-CN" w:bidi="ar"/>
                    </w:rPr>
                  </w:pPr>
                  <w:r>
                    <w:rPr>
                      <w:rFonts w:hint="eastAsia"/>
                      <w:kern w:val="0"/>
                      <w:szCs w:val="21"/>
                      <w:lang w:eastAsia="zh-CN" w:bidi="ar"/>
                    </w:rPr>
                    <w:t>热源为天然气</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811" w:type="dxa"/>
                  <w:tcBorders>
                    <w:tl2br w:val="nil"/>
                    <w:tr2bl w:val="nil"/>
                  </w:tcBorders>
                  <w:vAlign w:val="center"/>
                </w:tcPr>
                <w:p>
                  <w:pPr>
                    <w:snapToGrid w:val="0"/>
                    <w:spacing w:before="62" w:beforeLines="20" w:after="62" w:afterLines="20"/>
                    <w:jc w:val="center"/>
                    <w:rPr>
                      <w:rFonts w:hint="eastAsia" w:eastAsia="宋体"/>
                      <w:szCs w:val="21"/>
                      <w:lang w:val="en-US" w:eastAsia="zh-CN"/>
                    </w:rPr>
                  </w:pPr>
                  <w:r>
                    <w:rPr>
                      <w:rFonts w:hint="eastAsia"/>
                      <w:szCs w:val="21"/>
                      <w:lang w:val="en-US" w:eastAsia="zh-CN"/>
                    </w:rPr>
                    <w:t>4</w:t>
                  </w:r>
                </w:p>
              </w:tc>
              <w:tc>
                <w:tcPr>
                  <w:tcW w:w="1833" w:type="dxa"/>
                  <w:tcBorders>
                    <w:tl2br w:val="nil"/>
                    <w:tr2bl w:val="nil"/>
                  </w:tcBorders>
                  <w:vAlign w:val="center"/>
                </w:tcPr>
                <w:p>
                  <w:pPr>
                    <w:jc w:val="center"/>
                    <w:rPr>
                      <w:rStyle w:val="28"/>
                      <w:rFonts w:hint="eastAsia" w:cs="Times New Roman"/>
                      <w:color w:val="auto"/>
                      <w:sz w:val="21"/>
                      <w:szCs w:val="21"/>
                      <w:lang w:eastAsia="zh-CN" w:bidi="ar"/>
                    </w:rPr>
                  </w:pPr>
                  <w:r>
                    <w:rPr>
                      <w:rStyle w:val="28"/>
                      <w:rFonts w:hint="eastAsia" w:cs="Times New Roman"/>
                      <w:color w:val="auto"/>
                      <w:sz w:val="21"/>
                      <w:szCs w:val="21"/>
                      <w:lang w:eastAsia="zh-CN" w:bidi="ar"/>
                    </w:rPr>
                    <w:t>烘干室</w:t>
                  </w:r>
                </w:p>
              </w:tc>
              <w:tc>
                <w:tcPr>
                  <w:tcW w:w="2302" w:type="dxa"/>
                  <w:tcBorders>
                    <w:tl2br w:val="nil"/>
                    <w:tr2bl w:val="nil"/>
                  </w:tcBorders>
                  <w:vAlign w:val="center"/>
                </w:tcPr>
                <w:p>
                  <w:pPr>
                    <w:spacing w:before="62" w:beforeLines="20" w:after="62" w:afterLines="20"/>
                    <w:jc w:val="center"/>
                    <w:rPr>
                      <w:rFonts w:hint="eastAsia"/>
                      <w:szCs w:val="21"/>
                      <w:lang w:val="en-US" w:eastAsia="zh-CN"/>
                    </w:rPr>
                  </w:pPr>
                  <w:r>
                    <w:rPr>
                      <w:rFonts w:hint="eastAsia"/>
                      <w:szCs w:val="21"/>
                      <w:lang w:val="en-US" w:eastAsia="zh-CN"/>
                    </w:rPr>
                    <w:t>10m</w:t>
                  </w:r>
                  <w:r>
                    <w:rPr>
                      <w:rFonts w:hint="default" w:ascii="Arial" w:hAnsi="Arial" w:cs="Arial"/>
                      <w:szCs w:val="21"/>
                      <w:lang w:val="en-US" w:eastAsia="zh-CN"/>
                    </w:rPr>
                    <w:t>×</w:t>
                  </w:r>
                  <w:r>
                    <w:rPr>
                      <w:rFonts w:hint="eastAsia"/>
                      <w:szCs w:val="21"/>
                      <w:lang w:val="en-US" w:eastAsia="zh-CN"/>
                    </w:rPr>
                    <w:t>3m</w:t>
                  </w:r>
                  <w:r>
                    <w:rPr>
                      <w:rFonts w:hint="default" w:ascii="Arial" w:hAnsi="Arial" w:cs="Arial"/>
                      <w:szCs w:val="21"/>
                      <w:lang w:val="en-US" w:eastAsia="zh-CN"/>
                    </w:rPr>
                    <w:t>×</w:t>
                  </w:r>
                  <w:r>
                    <w:rPr>
                      <w:rFonts w:hint="eastAsia"/>
                      <w:szCs w:val="21"/>
                      <w:lang w:val="en-US" w:eastAsia="zh-CN"/>
                    </w:rPr>
                    <w:t>3m</w:t>
                  </w:r>
                </w:p>
              </w:tc>
              <w:tc>
                <w:tcPr>
                  <w:tcW w:w="868" w:type="dxa"/>
                  <w:tcBorders>
                    <w:tl2br w:val="nil"/>
                    <w:tr2bl w:val="nil"/>
                  </w:tcBorders>
                  <w:vAlign w:val="center"/>
                </w:tcPr>
                <w:p>
                  <w:pPr>
                    <w:spacing w:before="62" w:beforeLines="20" w:after="62" w:afterLines="20"/>
                    <w:jc w:val="center"/>
                    <w:rPr>
                      <w:rFonts w:hint="eastAsia" w:eastAsia="宋体"/>
                      <w:bCs/>
                      <w:szCs w:val="21"/>
                      <w:lang w:eastAsia="zh-CN"/>
                    </w:rPr>
                  </w:pPr>
                  <w:r>
                    <w:rPr>
                      <w:rFonts w:hint="eastAsia"/>
                      <w:bCs/>
                      <w:szCs w:val="21"/>
                      <w:lang w:eastAsia="zh-CN"/>
                    </w:rPr>
                    <w:t>间</w:t>
                  </w:r>
                </w:p>
              </w:tc>
              <w:tc>
                <w:tcPr>
                  <w:tcW w:w="1000" w:type="dxa"/>
                  <w:tcBorders>
                    <w:tl2br w:val="nil"/>
                    <w:tr2bl w:val="nil"/>
                  </w:tcBorders>
                  <w:vAlign w:val="center"/>
                </w:tcPr>
                <w:p>
                  <w:pPr>
                    <w:widowControl/>
                    <w:spacing w:before="62" w:beforeLines="20" w:after="62" w:afterLines="20"/>
                    <w:jc w:val="center"/>
                    <w:textAlignment w:val="center"/>
                    <w:rPr>
                      <w:rFonts w:hint="default"/>
                      <w:kern w:val="0"/>
                      <w:szCs w:val="28"/>
                      <w:lang w:val="en-US" w:eastAsia="zh-CN" w:bidi="ar"/>
                    </w:rPr>
                  </w:pPr>
                  <w:r>
                    <w:rPr>
                      <w:rFonts w:hint="eastAsia"/>
                      <w:kern w:val="0"/>
                      <w:szCs w:val="28"/>
                      <w:lang w:val="en-US" w:eastAsia="zh-CN" w:bidi="ar"/>
                    </w:rPr>
                    <w:t>1</w:t>
                  </w:r>
                </w:p>
              </w:tc>
              <w:tc>
                <w:tcPr>
                  <w:tcW w:w="1498" w:type="dxa"/>
                  <w:tcBorders>
                    <w:tl2br w:val="nil"/>
                    <w:tr2bl w:val="nil"/>
                  </w:tcBorders>
                  <w:vAlign w:val="center"/>
                </w:tcPr>
                <w:p>
                  <w:pPr>
                    <w:widowControl/>
                    <w:spacing w:before="62" w:beforeLines="20" w:after="62" w:afterLines="20"/>
                    <w:jc w:val="center"/>
                    <w:textAlignment w:val="center"/>
                    <w:rPr>
                      <w:rFonts w:hint="eastAsia"/>
                      <w:kern w:val="0"/>
                      <w:szCs w:val="21"/>
                      <w:lang w:eastAsia="zh-CN" w:bidi="ar"/>
                    </w:rPr>
                  </w:pPr>
                  <w:r>
                    <w:rPr>
                      <w:rFonts w:hint="eastAsia"/>
                      <w:kern w:val="0"/>
                      <w:szCs w:val="21"/>
                      <w:lang w:eastAsia="zh-CN" w:bidi="ar"/>
                    </w:rPr>
                    <w:t>固化工序</w:t>
                  </w:r>
                </w:p>
                <w:p>
                  <w:pPr>
                    <w:widowControl/>
                    <w:spacing w:before="62" w:beforeLines="20" w:after="62" w:afterLines="20"/>
                    <w:jc w:val="center"/>
                    <w:textAlignment w:val="center"/>
                    <w:rPr>
                      <w:rFonts w:hint="eastAsia"/>
                      <w:kern w:val="0"/>
                      <w:szCs w:val="21"/>
                      <w:lang w:bidi="ar"/>
                    </w:rPr>
                  </w:pPr>
                  <w:r>
                    <w:rPr>
                      <w:rFonts w:hint="eastAsia"/>
                      <w:kern w:val="0"/>
                      <w:szCs w:val="21"/>
                      <w:lang w:eastAsia="zh-CN" w:bidi="ar"/>
                    </w:rPr>
                    <w:t>电加热</w:t>
                  </w:r>
                </w:p>
              </w:tc>
            </w:tr>
          </w:tbl>
          <w:p>
            <w:pPr>
              <w:spacing w:line="360" w:lineRule="auto"/>
              <w:rPr>
                <w:b/>
                <w:bCs/>
                <w:sz w:val="24"/>
                <w:szCs w:val="22"/>
              </w:rPr>
            </w:pPr>
            <w:r>
              <w:rPr>
                <w:b/>
                <w:bCs/>
                <w:sz w:val="24"/>
                <w:szCs w:val="22"/>
              </w:rPr>
              <w:t>工程内容及规模（不够时可附另页）：</w:t>
            </w:r>
          </w:p>
          <w:p>
            <w:pPr>
              <w:spacing w:line="360" w:lineRule="auto"/>
              <w:ind w:firstLine="480" w:firstLineChars="200"/>
              <w:rPr>
                <w:b/>
                <w:sz w:val="24"/>
                <w:szCs w:val="22"/>
              </w:rPr>
            </w:pPr>
            <w:r>
              <w:rPr>
                <w:rFonts w:hint="eastAsia"/>
                <w:b/>
                <w:sz w:val="24"/>
                <w:szCs w:val="22"/>
              </w:rPr>
              <w:t>1、</w:t>
            </w:r>
            <w:r>
              <w:rPr>
                <w:b/>
                <w:sz w:val="24"/>
                <w:szCs w:val="22"/>
              </w:rPr>
              <w:t>项目</w:t>
            </w:r>
            <w:r>
              <w:rPr>
                <w:rFonts w:hint="eastAsia"/>
                <w:b/>
                <w:sz w:val="24"/>
                <w:szCs w:val="22"/>
              </w:rPr>
              <w:t>由来</w:t>
            </w:r>
          </w:p>
          <w:p>
            <w:pPr>
              <w:spacing w:line="360" w:lineRule="auto"/>
              <w:ind w:firstLine="480" w:firstLineChars="200"/>
              <w:rPr>
                <w:sz w:val="24"/>
                <w:szCs w:val="24"/>
              </w:rPr>
            </w:pPr>
            <w:r>
              <w:rPr>
                <w:rFonts w:hint="eastAsia"/>
                <w:sz w:val="24"/>
                <w:szCs w:val="24"/>
                <w:lang w:eastAsia="zh-CN"/>
              </w:rPr>
              <w:t>江苏思耐尔传动科技有限公司</w:t>
            </w:r>
            <w:r>
              <w:rPr>
                <w:rFonts w:hint="eastAsia"/>
                <w:sz w:val="24"/>
                <w:szCs w:val="24"/>
              </w:rPr>
              <w:t>成立于2019年11月</w:t>
            </w:r>
            <w:r>
              <w:rPr>
                <w:rFonts w:hint="eastAsia"/>
                <w:sz w:val="24"/>
                <w:szCs w:val="24"/>
                <w:lang w:val="en-US" w:eastAsia="zh-CN"/>
              </w:rPr>
              <w:t>11</w:t>
            </w:r>
            <w:r>
              <w:rPr>
                <w:rFonts w:hint="eastAsia"/>
                <w:sz w:val="24"/>
                <w:szCs w:val="24"/>
              </w:rPr>
              <w:t>日，统一社会信用代码为91320413MA20</w:t>
            </w:r>
            <w:r>
              <w:rPr>
                <w:rFonts w:hint="eastAsia"/>
                <w:sz w:val="24"/>
                <w:szCs w:val="24"/>
                <w:lang w:val="en-US" w:eastAsia="zh-CN"/>
              </w:rPr>
              <w:t>D8LY5D</w:t>
            </w:r>
            <w:r>
              <w:rPr>
                <w:rFonts w:hint="eastAsia"/>
                <w:sz w:val="24"/>
                <w:szCs w:val="24"/>
              </w:rPr>
              <w:t>，公司注册地址为常州市金坛区直溪镇工业园区水南路18号，主要经营范围为</w:t>
            </w:r>
            <w:r>
              <w:rPr>
                <w:rFonts w:hint="eastAsia"/>
                <w:sz w:val="24"/>
                <w:szCs w:val="24"/>
                <w:lang w:eastAsia="zh-CN"/>
              </w:rPr>
              <w:t>光伏光热发电用回转式驱动装置、回转式减速器及其零部件、车用零部件、电机、液压马达、回转支承总成，风力发电设备零部件，其他机械零部件的研发、制造、加工、销售和设计</w:t>
            </w:r>
            <w:r>
              <w:rPr>
                <w:rFonts w:hint="eastAsia"/>
                <w:sz w:val="24"/>
                <w:szCs w:val="24"/>
              </w:rPr>
              <w:t>。</w:t>
            </w:r>
            <w:r>
              <w:rPr>
                <w:rFonts w:hint="eastAsia"/>
                <w:sz w:val="24"/>
                <w:szCs w:val="24"/>
                <w:lang w:eastAsia="zh-CN"/>
              </w:rPr>
              <w:t>自营和代理各类商品及技术的进出口业务。</w:t>
            </w:r>
            <w:r>
              <w:rPr>
                <w:rFonts w:hint="eastAsia"/>
                <w:sz w:val="24"/>
                <w:szCs w:val="24"/>
              </w:rPr>
              <w:t>（依法须经批准的项目，经相关部门批准后方可开展经营活动）。</w:t>
            </w:r>
          </w:p>
          <w:p>
            <w:pPr>
              <w:spacing w:line="360" w:lineRule="auto"/>
              <w:ind w:firstLine="480" w:firstLineChars="200"/>
              <w:rPr>
                <w:sz w:val="24"/>
                <w:szCs w:val="24"/>
              </w:rPr>
            </w:pPr>
            <w:r>
              <w:rPr>
                <w:rFonts w:hint="eastAsia"/>
                <w:sz w:val="24"/>
                <w:szCs w:val="24"/>
                <w:lang w:eastAsia="zh-CN"/>
              </w:rPr>
              <w:t>江苏思耐尔传动科技有限公司</w:t>
            </w:r>
            <w:r>
              <w:rPr>
                <w:rFonts w:hint="eastAsia"/>
                <w:sz w:val="24"/>
                <w:szCs w:val="24"/>
              </w:rPr>
              <w:t>拟投资</w:t>
            </w:r>
            <w:r>
              <w:rPr>
                <w:rFonts w:hint="eastAsia"/>
                <w:sz w:val="24"/>
                <w:szCs w:val="24"/>
                <w:lang w:val="en-US" w:eastAsia="zh-CN"/>
              </w:rPr>
              <w:t>1000万</w:t>
            </w:r>
            <w:r>
              <w:rPr>
                <w:rFonts w:hint="eastAsia"/>
                <w:sz w:val="24"/>
                <w:szCs w:val="24"/>
              </w:rPr>
              <w:t>元，租赁江苏欧砻机械设备有限公司</w:t>
            </w:r>
            <w:r>
              <w:rPr>
                <w:rFonts w:hint="eastAsia"/>
                <w:color w:val="FF0000"/>
                <w:sz w:val="24"/>
                <w:szCs w:val="24"/>
                <w:lang w:val="en-US" w:eastAsia="zh-CN"/>
              </w:rPr>
              <w:t>2号厂房第二层和部分3号现有</w:t>
            </w:r>
            <w:r>
              <w:rPr>
                <w:rFonts w:hint="eastAsia"/>
                <w:color w:val="FF0000"/>
                <w:sz w:val="24"/>
                <w:szCs w:val="24"/>
              </w:rPr>
              <w:t>闲置厂房</w:t>
            </w:r>
            <w:r>
              <w:rPr>
                <w:rFonts w:hint="eastAsia"/>
                <w:sz w:val="24"/>
                <w:szCs w:val="24"/>
              </w:rPr>
              <w:t>（该厂房为江苏欧砻机械设备有限公司租赁常州中泽电力设备有限公司）用于建设</w:t>
            </w:r>
            <w:r>
              <w:rPr>
                <w:rFonts w:hint="eastAsia"/>
                <w:sz w:val="24"/>
                <w:szCs w:val="24"/>
                <w:lang w:eastAsia="zh-CN"/>
              </w:rPr>
              <w:t>“新建机械零部件生产项目”</w:t>
            </w:r>
            <w:r>
              <w:rPr>
                <w:rFonts w:hint="eastAsia"/>
                <w:sz w:val="24"/>
                <w:szCs w:val="24"/>
              </w:rPr>
              <w:t>，占地面</w:t>
            </w:r>
            <w:r>
              <w:rPr>
                <w:rFonts w:hint="eastAsia"/>
                <w:color w:val="FF0000"/>
                <w:sz w:val="24"/>
                <w:szCs w:val="24"/>
              </w:rPr>
              <w:t>积</w:t>
            </w:r>
            <w:r>
              <w:rPr>
                <w:rFonts w:hint="eastAsia"/>
                <w:color w:val="FF0000"/>
                <w:sz w:val="24"/>
                <w:szCs w:val="24"/>
                <w:lang w:val="en-US" w:eastAsia="zh-CN"/>
              </w:rPr>
              <w:t>2264</w:t>
            </w:r>
            <w:r>
              <w:rPr>
                <w:rFonts w:hint="eastAsia"/>
                <w:color w:val="FF0000"/>
                <w:sz w:val="24"/>
                <w:szCs w:val="24"/>
              </w:rPr>
              <w:t>m</w:t>
            </w:r>
            <w:r>
              <w:rPr>
                <w:rFonts w:hint="eastAsia"/>
                <w:color w:val="FF0000"/>
                <w:sz w:val="24"/>
                <w:szCs w:val="24"/>
                <w:vertAlign w:val="superscript"/>
              </w:rPr>
              <w:t>2</w:t>
            </w:r>
            <w:r>
              <w:rPr>
                <w:rFonts w:hint="eastAsia"/>
                <w:color w:val="FF0000"/>
                <w:sz w:val="24"/>
                <w:szCs w:val="24"/>
              </w:rPr>
              <w:t>。</w:t>
            </w:r>
            <w:r>
              <w:rPr>
                <w:rFonts w:hint="eastAsia"/>
                <w:sz w:val="24"/>
                <w:szCs w:val="24"/>
              </w:rPr>
              <w:t>项目投产后，可</w:t>
            </w:r>
            <w:r>
              <w:rPr>
                <w:rFonts w:hint="eastAsia"/>
                <w:sz w:val="24"/>
                <w:szCs w:val="24"/>
                <w:lang w:eastAsia="zh-CN"/>
              </w:rPr>
              <w:t>年产减速器20万台、其他机械零部件20万套</w:t>
            </w:r>
            <w:r>
              <w:rPr>
                <w:rFonts w:hint="eastAsia"/>
                <w:sz w:val="24"/>
                <w:szCs w:val="24"/>
              </w:rPr>
              <w:t>。</w:t>
            </w:r>
          </w:p>
          <w:p>
            <w:pPr>
              <w:spacing w:line="360" w:lineRule="auto"/>
              <w:ind w:firstLine="480" w:firstLineChars="200"/>
              <w:rPr>
                <w:sz w:val="24"/>
                <w:szCs w:val="24"/>
              </w:rPr>
            </w:pPr>
            <w:r>
              <w:rPr>
                <w:rFonts w:hint="eastAsia"/>
                <w:sz w:val="24"/>
                <w:szCs w:val="24"/>
              </w:rPr>
              <w:t>本项目已于</w:t>
            </w:r>
            <w:r>
              <w:rPr>
                <w:rFonts w:hint="eastAsia"/>
                <w:sz w:val="24"/>
                <w:szCs w:val="24"/>
                <w:lang w:eastAsia="zh-CN"/>
              </w:rPr>
              <w:t>2019年11月13日</w:t>
            </w:r>
            <w:r>
              <w:rPr>
                <w:rFonts w:hint="eastAsia"/>
                <w:sz w:val="24"/>
                <w:szCs w:val="24"/>
              </w:rPr>
              <w:t>取得江苏省金坛区发展和改革委员会《</w:t>
            </w:r>
            <w:r>
              <w:rPr>
                <w:rFonts w:hint="eastAsia"/>
                <w:sz w:val="24"/>
                <w:szCs w:val="24"/>
                <w:lang w:eastAsia="zh-CN"/>
              </w:rPr>
              <w:t>新建机械零部件生产项目</w:t>
            </w:r>
            <w:r>
              <w:rPr>
                <w:rFonts w:hint="eastAsia"/>
                <w:sz w:val="24"/>
                <w:szCs w:val="24"/>
              </w:rPr>
              <w:t>》（坛发改备</w:t>
            </w:r>
            <w:r>
              <w:rPr>
                <w:rFonts w:hint="eastAsia"/>
                <w:sz w:val="24"/>
                <w:szCs w:val="24"/>
                <w:lang w:eastAsia="zh-CN"/>
              </w:rPr>
              <w:t>【2019】162号</w:t>
            </w:r>
            <w:r>
              <w:rPr>
                <w:rFonts w:hint="eastAsia"/>
                <w:sz w:val="24"/>
                <w:szCs w:val="24"/>
              </w:rPr>
              <w:t>），项目编号为</w:t>
            </w:r>
            <w:r>
              <w:rPr>
                <w:rFonts w:hint="eastAsia"/>
                <w:sz w:val="24"/>
                <w:szCs w:val="24"/>
                <w:lang w:eastAsia="zh-CN"/>
              </w:rPr>
              <w:t>2019-320413-34-03-562245</w:t>
            </w:r>
            <w:r>
              <w:rPr>
                <w:rFonts w:hint="eastAsia"/>
                <w:sz w:val="24"/>
                <w:szCs w:val="24"/>
              </w:rPr>
              <w:t>。</w:t>
            </w:r>
          </w:p>
          <w:p>
            <w:pPr>
              <w:spacing w:line="360" w:lineRule="auto"/>
              <w:ind w:firstLine="480" w:firstLineChars="200"/>
              <w:rPr>
                <w:rFonts w:hint="eastAsia"/>
                <w:b/>
                <w:sz w:val="24"/>
                <w:szCs w:val="24"/>
              </w:rPr>
            </w:pPr>
            <w:r>
              <w:rPr>
                <w:rFonts w:hint="eastAsia"/>
                <w:b/>
                <w:sz w:val="24"/>
                <w:szCs w:val="24"/>
              </w:rPr>
              <w:t>注：</w:t>
            </w:r>
            <w:r>
              <w:rPr>
                <w:b/>
                <w:sz w:val="24"/>
                <w:szCs w:val="24"/>
              </w:rPr>
              <w:t>备案中</w:t>
            </w:r>
            <w:r>
              <w:rPr>
                <w:rFonts w:hint="eastAsia"/>
                <w:b/>
                <w:sz w:val="24"/>
                <w:szCs w:val="24"/>
              </w:rPr>
              <w:t>租赁</w:t>
            </w:r>
            <w:r>
              <w:rPr>
                <w:b/>
                <w:sz w:val="24"/>
                <w:szCs w:val="24"/>
              </w:rPr>
              <w:t>面积为</w:t>
            </w:r>
            <w:r>
              <w:rPr>
                <w:rFonts w:hint="eastAsia"/>
                <w:b/>
                <w:sz w:val="24"/>
                <w:szCs w:val="24"/>
                <w:lang w:val="en-US" w:eastAsia="zh-CN"/>
              </w:rPr>
              <w:t>4</w:t>
            </w:r>
            <w:r>
              <w:rPr>
                <w:rFonts w:hint="eastAsia"/>
                <w:b/>
                <w:sz w:val="24"/>
                <w:szCs w:val="24"/>
              </w:rPr>
              <w:t>000平方米为</w:t>
            </w:r>
            <w:r>
              <w:rPr>
                <w:b/>
                <w:sz w:val="24"/>
                <w:szCs w:val="24"/>
              </w:rPr>
              <w:t>初步估算面积，</w:t>
            </w:r>
            <w:r>
              <w:rPr>
                <w:rFonts w:hint="eastAsia"/>
                <w:b/>
                <w:sz w:val="24"/>
                <w:szCs w:val="24"/>
              </w:rPr>
              <w:t>实际</w:t>
            </w:r>
            <w:r>
              <w:rPr>
                <w:b/>
                <w:sz w:val="24"/>
                <w:szCs w:val="24"/>
              </w:rPr>
              <w:t>租赁面积</w:t>
            </w:r>
            <w:r>
              <w:rPr>
                <w:rFonts w:hint="eastAsia"/>
                <w:b/>
                <w:sz w:val="24"/>
                <w:szCs w:val="24"/>
                <w:lang w:val="en-US" w:eastAsia="zh-CN"/>
              </w:rPr>
              <w:t>2264</w:t>
            </w:r>
            <w:r>
              <w:rPr>
                <w:rFonts w:hint="eastAsia"/>
                <w:b/>
                <w:sz w:val="24"/>
                <w:szCs w:val="24"/>
              </w:rPr>
              <w:t>平方米</w:t>
            </w:r>
            <w:r>
              <w:rPr>
                <w:b/>
                <w:sz w:val="24"/>
                <w:szCs w:val="24"/>
              </w:rPr>
              <w:t>。</w:t>
            </w:r>
          </w:p>
          <w:p>
            <w:pPr>
              <w:spacing w:line="360" w:lineRule="auto"/>
              <w:ind w:firstLine="480" w:firstLineChars="200"/>
              <w:rPr>
                <w:sz w:val="24"/>
                <w:szCs w:val="24"/>
              </w:rPr>
            </w:pPr>
            <w:r>
              <w:rPr>
                <w:rFonts w:hint="eastAsia"/>
                <w:sz w:val="24"/>
                <w:szCs w:val="24"/>
              </w:rPr>
              <w:t>遵照《中华人民共和国环境保护法》、《中华人民共和国环境影响评价法》以及《建设项目环境影响评价分类管理名录》（2018）的有关规定，本项目属于《建设项目环境影响评价分类管理名录》（部令 第1号2018）</w:t>
            </w:r>
            <w:r>
              <w:rPr>
                <w:rFonts w:hint="eastAsia"/>
                <w:sz w:val="24"/>
                <w:szCs w:val="24"/>
                <w:lang w:eastAsia="zh-CN"/>
              </w:rPr>
              <w:t>“二十四</w:t>
            </w:r>
            <w:r>
              <w:rPr>
                <w:rFonts w:hint="eastAsia"/>
                <w:sz w:val="24"/>
                <w:szCs w:val="24"/>
              </w:rPr>
              <w:t>、</w:t>
            </w:r>
            <w:r>
              <w:rPr>
                <w:rFonts w:hint="eastAsia"/>
                <w:sz w:val="24"/>
                <w:szCs w:val="24"/>
                <w:lang w:eastAsia="zh-CN"/>
              </w:rPr>
              <w:t>专用设备制造业</w:t>
            </w:r>
            <w:r>
              <w:rPr>
                <w:rFonts w:hint="eastAsia"/>
                <w:sz w:val="24"/>
                <w:szCs w:val="24"/>
              </w:rPr>
              <w:t>-</w:t>
            </w:r>
            <w:r>
              <w:rPr>
                <w:rFonts w:hint="eastAsia"/>
                <w:sz w:val="24"/>
                <w:szCs w:val="24"/>
                <w:lang w:val="en-US" w:eastAsia="zh-CN"/>
              </w:rPr>
              <w:t>70</w:t>
            </w:r>
            <w:r>
              <w:rPr>
                <w:rFonts w:hint="eastAsia"/>
                <w:sz w:val="24"/>
                <w:szCs w:val="24"/>
              </w:rPr>
              <w:t>专用设备制造及维修中</w:t>
            </w:r>
            <w:r>
              <w:rPr>
                <w:rFonts w:hint="eastAsia"/>
                <w:sz w:val="24"/>
                <w:szCs w:val="24"/>
                <w:lang w:eastAsia="zh-CN"/>
              </w:rPr>
              <w:t>其他</w:t>
            </w:r>
            <w:r>
              <w:rPr>
                <w:rFonts w:hint="eastAsia"/>
                <w:sz w:val="24"/>
                <w:szCs w:val="24"/>
              </w:rPr>
              <w:t>（仅组装的除外）类，故本项目应编制环境影响报告表。为此，</w:t>
            </w:r>
            <w:r>
              <w:rPr>
                <w:rFonts w:hint="eastAsia"/>
                <w:sz w:val="24"/>
                <w:szCs w:val="24"/>
                <w:lang w:eastAsia="zh-CN"/>
              </w:rPr>
              <w:t>江苏思耐尔传动科技有限公司</w:t>
            </w:r>
            <w:r>
              <w:rPr>
                <w:rFonts w:hint="eastAsia"/>
                <w:sz w:val="24"/>
                <w:szCs w:val="24"/>
              </w:rPr>
              <w:t>委托南京昊晟环保科技有限公司承担本项目的环境影响报告表的编制工作。我单位接受委托后，认真研究了该项目的有关资料，在踏勘现场的社会、自然环境状况，调查、收集有关建设项目资料的基础上，根据项目所在区域的环境特征、结合工程污染特性等因素，编制了本项目环境影响报告表。</w:t>
            </w:r>
          </w:p>
          <w:p>
            <w:pPr>
              <w:spacing w:line="360" w:lineRule="auto"/>
              <w:ind w:firstLine="480" w:firstLineChars="200"/>
              <w:rPr>
                <w:b/>
                <w:kern w:val="0"/>
                <w:sz w:val="24"/>
                <w:szCs w:val="22"/>
              </w:rPr>
            </w:pPr>
            <w:r>
              <w:rPr>
                <w:rFonts w:hint="eastAsia"/>
                <w:b/>
                <w:kern w:val="0"/>
                <w:sz w:val="24"/>
                <w:szCs w:val="22"/>
              </w:rPr>
              <w:t>2、项目概况</w:t>
            </w:r>
          </w:p>
          <w:p>
            <w:pPr>
              <w:spacing w:line="360" w:lineRule="auto"/>
              <w:ind w:firstLine="480" w:firstLineChars="200"/>
              <w:rPr>
                <w:sz w:val="24"/>
                <w:szCs w:val="24"/>
              </w:rPr>
            </w:pPr>
            <w:r>
              <w:rPr>
                <w:rFonts w:hint="eastAsia"/>
                <w:sz w:val="24"/>
                <w:szCs w:val="24"/>
              </w:rPr>
              <w:t>项目名称：</w:t>
            </w:r>
            <w:r>
              <w:rPr>
                <w:rFonts w:hint="eastAsia"/>
                <w:sz w:val="24"/>
                <w:szCs w:val="24"/>
                <w:lang w:eastAsia="zh-CN"/>
              </w:rPr>
              <w:t>新建机械零部件生产项目</w:t>
            </w:r>
            <w:r>
              <w:rPr>
                <w:rFonts w:hint="eastAsia"/>
                <w:sz w:val="24"/>
                <w:szCs w:val="24"/>
              </w:rPr>
              <w:t>；</w:t>
            </w:r>
          </w:p>
          <w:p>
            <w:pPr>
              <w:spacing w:line="360" w:lineRule="auto"/>
              <w:ind w:firstLine="480" w:firstLineChars="200"/>
              <w:rPr>
                <w:sz w:val="24"/>
                <w:szCs w:val="24"/>
              </w:rPr>
            </w:pPr>
            <w:r>
              <w:rPr>
                <w:rFonts w:hint="eastAsia"/>
                <w:sz w:val="24"/>
                <w:szCs w:val="24"/>
              </w:rPr>
              <w:t>建设性质：新建</w:t>
            </w:r>
          </w:p>
          <w:p>
            <w:pPr>
              <w:spacing w:line="360" w:lineRule="auto"/>
              <w:ind w:firstLine="480" w:firstLineChars="200"/>
              <w:rPr>
                <w:sz w:val="24"/>
                <w:szCs w:val="24"/>
              </w:rPr>
            </w:pPr>
            <w:r>
              <w:rPr>
                <w:rFonts w:hint="eastAsia"/>
                <w:sz w:val="24"/>
                <w:szCs w:val="24"/>
              </w:rPr>
              <w:t>建设地点：常州市金坛区直溪镇工业园区水南路18号；</w:t>
            </w:r>
          </w:p>
          <w:p>
            <w:pPr>
              <w:spacing w:line="360" w:lineRule="auto"/>
              <w:ind w:firstLine="480" w:firstLineChars="200"/>
              <w:rPr>
                <w:sz w:val="24"/>
                <w:szCs w:val="24"/>
              </w:rPr>
            </w:pPr>
            <w:r>
              <w:rPr>
                <w:rFonts w:hint="eastAsia"/>
                <w:sz w:val="24"/>
                <w:szCs w:val="24"/>
              </w:rPr>
              <w:t>进展情况：项目尚未开工，预计2020年</w:t>
            </w:r>
            <w:r>
              <w:rPr>
                <w:rFonts w:hint="eastAsia"/>
                <w:sz w:val="24"/>
                <w:szCs w:val="24"/>
                <w:lang w:val="en-US" w:eastAsia="zh-CN"/>
              </w:rPr>
              <w:t>8</w:t>
            </w:r>
            <w:r>
              <w:rPr>
                <w:rFonts w:hint="eastAsia"/>
                <w:sz w:val="24"/>
                <w:szCs w:val="24"/>
              </w:rPr>
              <w:t>月投产；</w:t>
            </w:r>
          </w:p>
          <w:p>
            <w:pPr>
              <w:spacing w:line="360" w:lineRule="auto"/>
              <w:ind w:firstLine="480" w:firstLineChars="200"/>
              <w:rPr>
                <w:sz w:val="24"/>
                <w:szCs w:val="24"/>
              </w:rPr>
            </w:pPr>
            <w:r>
              <w:rPr>
                <w:rFonts w:hint="eastAsia"/>
                <w:sz w:val="24"/>
                <w:szCs w:val="24"/>
              </w:rPr>
              <w:t>投资总额：</w:t>
            </w:r>
            <w:r>
              <w:rPr>
                <w:rFonts w:hint="eastAsia"/>
                <w:sz w:val="24"/>
                <w:szCs w:val="24"/>
                <w:lang w:eastAsia="zh-CN"/>
              </w:rPr>
              <w:t>1000万元</w:t>
            </w:r>
            <w:r>
              <w:rPr>
                <w:rFonts w:hint="eastAsia"/>
                <w:sz w:val="24"/>
                <w:szCs w:val="24"/>
              </w:rPr>
              <w:t xml:space="preserve">；                                                                                                                                                                                                                                                                                                                        </w:t>
            </w:r>
          </w:p>
          <w:p>
            <w:pPr>
              <w:spacing w:line="360" w:lineRule="auto"/>
              <w:ind w:firstLine="480" w:firstLineChars="200"/>
              <w:rPr>
                <w:sz w:val="24"/>
                <w:szCs w:val="24"/>
              </w:rPr>
            </w:pPr>
            <w:r>
              <w:rPr>
                <w:rFonts w:hint="eastAsia"/>
                <w:sz w:val="24"/>
                <w:szCs w:val="24"/>
              </w:rPr>
              <w:t>员工人数：</w:t>
            </w:r>
            <w:r>
              <w:rPr>
                <w:rFonts w:hint="eastAsia"/>
                <w:sz w:val="24"/>
                <w:szCs w:val="24"/>
                <w:lang w:val="en-US" w:eastAsia="zh-CN"/>
              </w:rPr>
              <w:t>50</w:t>
            </w:r>
            <w:r>
              <w:rPr>
                <w:rFonts w:hint="eastAsia"/>
                <w:sz w:val="24"/>
                <w:szCs w:val="24"/>
              </w:rPr>
              <w:t>人；</w:t>
            </w:r>
          </w:p>
          <w:p>
            <w:pPr>
              <w:spacing w:line="360" w:lineRule="auto"/>
              <w:ind w:firstLine="480" w:firstLineChars="200"/>
              <w:rPr>
                <w:sz w:val="24"/>
                <w:szCs w:val="24"/>
              </w:rPr>
            </w:pPr>
            <w:r>
              <w:rPr>
                <w:rFonts w:hint="eastAsia"/>
                <w:sz w:val="24"/>
                <w:szCs w:val="24"/>
              </w:rPr>
              <w:t>生产制度：本项目年工作300天，</w:t>
            </w:r>
            <w:r>
              <w:rPr>
                <w:rFonts w:hint="eastAsia"/>
                <w:sz w:val="24"/>
                <w:szCs w:val="24"/>
                <w:lang w:val="en-US" w:eastAsia="zh-CN"/>
              </w:rPr>
              <w:t>1</w:t>
            </w:r>
            <w:r>
              <w:rPr>
                <w:rFonts w:hint="eastAsia"/>
                <w:sz w:val="24"/>
                <w:szCs w:val="24"/>
              </w:rPr>
              <w:t>班制，</w:t>
            </w:r>
            <w:r>
              <w:rPr>
                <w:rFonts w:hint="eastAsia"/>
                <w:sz w:val="24"/>
                <w:szCs w:val="24"/>
                <w:lang w:val="en-US" w:eastAsia="zh-CN"/>
              </w:rPr>
              <w:t>8</w:t>
            </w:r>
            <w:r>
              <w:rPr>
                <w:rFonts w:hint="eastAsia"/>
                <w:sz w:val="24"/>
                <w:szCs w:val="24"/>
              </w:rPr>
              <w:t>小时/班，本项目</w:t>
            </w:r>
            <w:r>
              <w:rPr>
                <w:rFonts w:hint="eastAsia"/>
                <w:sz w:val="24"/>
                <w:szCs w:val="24"/>
                <w:lang w:eastAsia="zh-CN"/>
              </w:rPr>
              <w:t>不设置食堂、宿舍</w:t>
            </w:r>
            <w:r>
              <w:rPr>
                <w:rFonts w:hint="eastAsia"/>
                <w:sz w:val="24"/>
                <w:szCs w:val="24"/>
              </w:rPr>
              <w:t>。</w:t>
            </w:r>
          </w:p>
          <w:p>
            <w:pPr>
              <w:spacing w:line="360" w:lineRule="auto"/>
              <w:ind w:firstLine="480" w:firstLineChars="200"/>
              <w:rPr>
                <w:b/>
                <w:kern w:val="0"/>
                <w:sz w:val="24"/>
                <w:szCs w:val="22"/>
              </w:rPr>
            </w:pPr>
            <w:r>
              <w:rPr>
                <w:rFonts w:hint="eastAsia"/>
                <w:b/>
                <w:kern w:val="0"/>
                <w:sz w:val="24"/>
                <w:szCs w:val="22"/>
              </w:rPr>
              <w:t>3、工程内容及生产规模</w:t>
            </w:r>
          </w:p>
          <w:p>
            <w:pPr>
              <w:spacing w:line="360" w:lineRule="auto"/>
              <w:ind w:firstLine="480" w:firstLineChars="200"/>
              <w:rPr>
                <w:sz w:val="24"/>
                <w:szCs w:val="22"/>
              </w:rPr>
            </w:pPr>
            <w:r>
              <w:rPr>
                <w:rFonts w:hint="eastAsia"/>
                <w:sz w:val="24"/>
                <w:szCs w:val="21"/>
              </w:rPr>
              <w:t>建设</w:t>
            </w:r>
            <w:r>
              <w:rPr>
                <w:rFonts w:hint="eastAsia"/>
                <w:sz w:val="24"/>
                <w:szCs w:val="22"/>
              </w:rPr>
              <w:t>项目产品方案见下表。</w:t>
            </w:r>
          </w:p>
          <w:p>
            <w:pPr>
              <w:ind w:firstLine="360" w:firstLineChars="150"/>
              <w:jc w:val="center"/>
              <w:rPr>
                <w:b/>
                <w:sz w:val="24"/>
                <w:szCs w:val="24"/>
              </w:rPr>
            </w:pPr>
            <w:r>
              <w:rPr>
                <w:rFonts w:hint="eastAsia"/>
                <w:b/>
                <w:sz w:val="24"/>
                <w:szCs w:val="24"/>
              </w:rPr>
              <w:t>表1-4  项目产品方案一览表</w:t>
            </w:r>
          </w:p>
          <w:tbl>
            <w:tblPr>
              <w:tblStyle w:val="1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85"/>
              <w:gridCol w:w="1746"/>
              <w:gridCol w:w="1328"/>
              <w:gridCol w:w="1571"/>
              <w:gridCol w:w="287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2" w:type="pct"/>
                  <w:tcBorders>
                    <w:tl2br w:val="nil"/>
                    <w:tr2bl w:val="nil"/>
                  </w:tcBorders>
                  <w:noWrap/>
                  <w:vAlign w:val="center"/>
                </w:tcPr>
                <w:p>
                  <w:pPr>
                    <w:pStyle w:val="25"/>
                    <w:spacing w:before="62" w:beforeLines="20" w:after="62" w:afterLines="20" w:line="240" w:lineRule="auto"/>
                    <w:jc w:val="center"/>
                    <w:rPr>
                      <w:rFonts w:eastAsia="宋体"/>
                      <w:b/>
                      <w:bCs/>
                      <w:szCs w:val="21"/>
                    </w:rPr>
                  </w:pPr>
                  <w:r>
                    <w:rPr>
                      <w:rFonts w:eastAsia="宋体"/>
                      <w:b/>
                      <w:bCs/>
                      <w:szCs w:val="21"/>
                    </w:rPr>
                    <w:t>序号</w:t>
                  </w:r>
                </w:p>
              </w:tc>
              <w:tc>
                <w:tcPr>
                  <w:tcW w:w="1050" w:type="pct"/>
                  <w:tcBorders>
                    <w:tl2br w:val="nil"/>
                    <w:tr2bl w:val="nil"/>
                  </w:tcBorders>
                  <w:noWrap/>
                  <w:vAlign w:val="center"/>
                </w:tcPr>
                <w:p>
                  <w:pPr>
                    <w:pStyle w:val="25"/>
                    <w:spacing w:before="62" w:beforeLines="20" w:after="62" w:afterLines="20" w:line="240" w:lineRule="auto"/>
                    <w:jc w:val="center"/>
                    <w:rPr>
                      <w:rFonts w:eastAsia="宋体"/>
                      <w:b/>
                      <w:bCs/>
                      <w:szCs w:val="21"/>
                    </w:rPr>
                  </w:pPr>
                  <w:r>
                    <w:rPr>
                      <w:rFonts w:eastAsia="宋体"/>
                      <w:b/>
                      <w:bCs/>
                      <w:szCs w:val="21"/>
                    </w:rPr>
                    <w:t>品名</w:t>
                  </w:r>
                </w:p>
              </w:tc>
              <w:tc>
                <w:tcPr>
                  <w:tcW w:w="799" w:type="pct"/>
                  <w:tcBorders>
                    <w:tl2br w:val="nil"/>
                    <w:tr2bl w:val="nil"/>
                  </w:tcBorders>
                  <w:noWrap/>
                  <w:vAlign w:val="center"/>
                </w:tcPr>
                <w:p>
                  <w:pPr>
                    <w:pStyle w:val="25"/>
                    <w:spacing w:before="62" w:beforeLines="20" w:after="62" w:afterLines="20" w:line="240" w:lineRule="auto"/>
                    <w:jc w:val="center"/>
                    <w:rPr>
                      <w:rFonts w:eastAsia="宋体"/>
                      <w:b/>
                      <w:bCs/>
                      <w:szCs w:val="21"/>
                    </w:rPr>
                  </w:pPr>
                  <w:r>
                    <w:rPr>
                      <w:rFonts w:eastAsia="宋体"/>
                      <w:b/>
                      <w:bCs/>
                      <w:szCs w:val="21"/>
                    </w:rPr>
                    <w:t>产量</w:t>
                  </w:r>
                </w:p>
              </w:tc>
              <w:tc>
                <w:tcPr>
                  <w:tcW w:w="945" w:type="pct"/>
                  <w:tcBorders>
                    <w:tl2br w:val="nil"/>
                    <w:tr2bl w:val="nil"/>
                  </w:tcBorders>
                  <w:noWrap/>
                  <w:vAlign w:val="center"/>
                </w:tcPr>
                <w:p>
                  <w:pPr>
                    <w:pStyle w:val="25"/>
                    <w:spacing w:before="62" w:beforeLines="20" w:after="62" w:afterLines="20" w:line="240" w:lineRule="auto"/>
                    <w:jc w:val="center"/>
                    <w:rPr>
                      <w:rFonts w:eastAsia="宋体"/>
                      <w:b/>
                      <w:bCs/>
                      <w:szCs w:val="21"/>
                    </w:rPr>
                  </w:pPr>
                  <w:r>
                    <w:rPr>
                      <w:rFonts w:hint="eastAsia" w:eastAsia="宋体"/>
                      <w:b/>
                      <w:bCs/>
                      <w:szCs w:val="21"/>
                    </w:rPr>
                    <w:t>年运行时数</w:t>
                  </w:r>
                </w:p>
              </w:tc>
              <w:tc>
                <w:tcPr>
                  <w:tcW w:w="1732" w:type="pct"/>
                  <w:tcBorders>
                    <w:tl2br w:val="nil"/>
                    <w:tr2bl w:val="nil"/>
                  </w:tcBorders>
                  <w:noWrap/>
                  <w:vAlign w:val="center"/>
                </w:tcPr>
                <w:p>
                  <w:pPr>
                    <w:pStyle w:val="25"/>
                    <w:spacing w:before="62" w:beforeLines="20" w:after="62" w:afterLines="20" w:line="240" w:lineRule="auto"/>
                    <w:jc w:val="center"/>
                    <w:rPr>
                      <w:rFonts w:hint="eastAsia" w:eastAsia="宋体"/>
                      <w:b/>
                      <w:bCs/>
                      <w:szCs w:val="21"/>
                      <w:lang w:eastAsia="zh-CN"/>
                    </w:rPr>
                  </w:pPr>
                  <w:r>
                    <w:rPr>
                      <w:rFonts w:hint="eastAsia" w:eastAsia="宋体"/>
                      <w:b/>
                      <w:bCs/>
                      <w:szCs w:val="21"/>
                      <w:lang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2" w:type="pct"/>
                  <w:tcBorders>
                    <w:tl2br w:val="nil"/>
                    <w:tr2bl w:val="nil"/>
                  </w:tcBorders>
                  <w:noWrap/>
                  <w:vAlign w:val="center"/>
                </w:tcPr>
                <w:p>
                  <w:pPr>
                    <w:pStyle w:val="25"/>
                    <w:spacing w:before="62" w:beforeLines="20" w:after="62" w:afterLines="20" w:line="240" w:lineRule="auto"/>
                    <w:jc w:val="center"/>
                    <w:rPr>
                      <w:rFonts w:eastAsia="宋体"/>
                      <w:bCs/>
                      <w:szCs w:val="21"/>
                    </w:rPr>
                  </w:pPr>
                  <w:r>
                    <w:rPr>
                      <w:rFonts w:eastAsia="宋体"/>
                      <w:bCs/>
                      <w:szCs w:val="21"/>
                    </w:rPr>
                    <w:t>1</w:t>
                  </w:r>
                </w:p>
              </w:tc>
              <w:tc>
                <w:tcPr>
                  <w:tcW w:w="1050" w:type="pct"/>
                  <w:tcBorders>
                    <w:tl2br w:val="nil"/>
                    <w:tr2bl w:val="nil"/>
                  </w:tcBorders>
                  <w:vAlign w:val="center"/>
                </w:tcPr>
                <w:p>
                  <w:pPr>
                    <w:pStyle w:val="29"/>
                    <w:snapToGrid/>
                    <w:spacing w:before="62" w:beforeLines="20" w:after="62" w:afterLines="20" w:line="240" w:lineRule="auto"/>
                    <w:ind w:firstLine="0" w:firstLineChars="0"/>
                    <w:jc w:val="center"/>
                    <w:rPr>
                      <w:rFonts w:ascii="Times New Roman" w:eastAsia="宋体"/>
                      <w:szCs w:val="21"/>
                      <w:lang w:bidi="ar"/>
                    </w:rPr>
                  </w:pPr>
                  <w:r>
                    <w:rPr>
                      <w:rFonts w:hint="eastAsia" w:ascii="Times New Roman" w:eastAsia="宋体"/>
                      <w:szCs w:val="21"/>
                      <w:lang w:bidi="ar"/>
                    </w:rPr>
                    <w:t>减速器</w:t>
                  </w:r>
                </w:p>
              </w:tc>
              <w:tc>
                <w:tcPr>
                  <w:tcW w:w="799" w:type="pct"/>
                  <w:tcBorders>
                    <w:tl2br w:val="nil"/>
                    <w:tr2bl w:val="nil"/>
                  </w:tcBorders>
                  <w:vAlign w:val="center"/>
                </w:tcPr>
                <w:p>
                  <w:pPr>
                    <w:pStyle w:val="29"/>
                    <w:snapToGrid/>
                    <w:spacing w:before="62" w:beforeLines="20" w:after="62" w:afterLines="20" w:line="240" w:lineRule="auto"/>
                    <w:ind w:firstLine="0" w:firstLineChars="0"/>
                    <w:rPr>
                      <w:rFonts w:hint="default" w:ascii="Times New Roman" w:eastAsia="宋体"/>
                      <w:szCs w:val="21"/>
                      <w:lang w:val="en-US" w:eastAsia="zh-CN"/>
                    </w:rPr>
                  </w:pPr>
                  <w:r>
                    <w:rPr>
                      <w:rFonts w:hint="eastAsia" w:ascii="Times New Roman" w:eastAsia="宋体"/>
                      <w:szCs w:val="21"/>
                      <w:lang w:val="en-US" w:eastAsia="zh-CN"/>
                    </w:rPr>
                    <w:t>20万台</w:t>
                  </w:r>
                </w:p>
              </w:tc>
              <w:tc>
                <w:tcPr>
                  <w:tcW w:w="945" w:type="pct"/>
                  <w:tcBorders>
                    <w:tl2br w:val="nil"/>
                    <w:tr2bl w:val="nil"/>
                  </w:tcBorders>
                  <w:vAlign w:val="center"/>
                </w:tcPr>
                <w:p>
                  <w:pPr>
                    <w:pStyle w:val="29"/>
                    <w:snapToGrid/>
                    <w:spacing w:before="62" w:beforeLines="20" w:after="62" w:afterLines="20" w:line="240" w:lineRule="auto"/>
                    <w:ind w:firstLine="0" w:firstLineChars="0"/>
                    <w:rPr>
                      <w:rFonts w:hint="default" w:ascii="Times New Roman" w:eastAsia="宋体"/>
                      <w:szCs w:val="21"/>
                      <w:lang w:val="en-US" w:eastAsia="zh-CN"/>
                    </w:rPr>
                  </w:pPr>
                  <w:r>
                    <w:rPr>
                      <w:rFonts w:hint="eastAsia" w:ascii="Times New Roman" w:eastAsia="宋体"/>
                      <w:szCs w:val="21"/>
                      <w:lang w:val="en-US" w:eastAsia="zh-CN"/>
                    </w:rPr>
                    <w:t>2400</w:t>
                  </w:r>
                </w:p>
              </w:tc>
              <w:tc>
                <w:tcPr>
                  <w:tcW w:w="1732" w:type="pct"/>
                  <w:tcBorders>
                    <w:tl2br w:val="nil"/>
                    <w:tr2bl w:val="nil"/>
                  </w:tcBorders>
                  <w:vAlign w:val="center"/>
                </w:tcPr>
                <w:p>
                  <w:pPr>
                    <w:pStyle w:val="29"/>
                    <w:snapToGrid/>
                    <w:spacing w:before="62" w:beforeLines="20" w:after="62" w:afterLines="20" w:line="240" w:lineRule="auto"/>
                    <w:ind w:firstLine="0" w:firstLineChars="0"/>
                    <w:rPr>
                      <w:rFonts w:hint="default" w:ascii="Times New Roman" w:eastAsia="宋体"/>
                      <w:szCs w:val="21"/>
                      <w:lang w:val="en-US" w:eastAsia="zh-CN"/>
                    </w:rPr>
                  </w:pPr>
                  <w:r>
                    <w:rPr>
                      <w:rFonts w:hint="eastAsia" w:ascii="Times New Roman" w:eastAsia="宋体"/>
                      <w:szCs w:val="21"/>
                      <w:lang w:eastAsia="zh-CN"/>
                    </w:rPr>
                    <w:t>回转式减速器</w:t>
                  </w:r>
                  <w:r>
                    <w:rPr>
                      <w:rFonts w:hint="eastAsia" w:ascii="Times New Roman" w:eastAsia="宋体"/>
                      <w:szCs w:val="21"/>
                      <w:lang w:val="en-US" w:eastAsia="zh-CN"/>
                    </w:rPr>
                    <w:t>10万台</w:t>
                  </w:r>
                </w:p>
                <w:p>
                  <w:pPr>
                    <w:pStyle w:val="29"/>
                    <w:snapToGrid/>
                    <w:spacing w:before="62" w:beforeLines="20" w:after="62" w:afterLines="20" w:line="240" w:lineRule="auto"/>
                    <w:ind w:firstLine="0" w:firstLineChars="0"/>
                    <w:rPr>
                      <w:rFonts w:hint="default" w:ascii="Times New Roman" w:eastAsia="宋体"/>
                      <w:szCs w:val="21"/>
                      <w:lang w:val="en-US" w:eastAsia="zh-CN"/>
                    </w:rPr>
                  </w:pPr>
                  <w:r>
                    <w:rPr>
                      <w:rFonts w:hint="eastAsia" w:ascii="Times New Roman" w:eastAsia="宋体"/>
                      <w:szCs w:val="21"/>
                      <w:lang w:eastAsia="zh-CN"/>
                    </w:rPr>
                    <w:t>涡轮式减速器</w:t>
                  </w:r>
                  <w:r>
                    <w:rPr>
                      <w:rFonts w:hint="eastAsia" w:ascii="Times New Roman" w:eastAsia="宋体"/>
                      <w:szCs w:val="21"/>
                      <w:lang w:val="en-US" w:eastAsia="zh-CN"/>
                    </w:rPr>
                    <w:t>10万台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2" w:type="pct"/>
                  <w:tcBorders>
                    <w:tl2br w:val="nil"/>
                    <w:tr2bl w:val="nil"/>
                  </w:tcBorders>
                  <w:noWrap/>
                  <w:vAlign w:val="center"/>
                </w:tcPr>
                <w:p>
                  <w:pPr>
                    <w:pStyle w:val="25"/>
                    <w:spacing w:before="62" w:beforeLines="20" w:after="62" w:afterLines="20" w:line="240" w:lineRule="auto"/>
                    <w:jc w:val="center"/>
                    <w:rPr>
                      <w:rFonts w:hint="eastAsia" w:eastAsia="宋体"/>
                      <w:bCs/>
                      <w:szCs w:val="21"/>
                      <w:lang w:val="en-US" w:eastAsia="zh-CN"/>
                    </w:rPr>
                  </w:pPr>
                  <w:r>
                    <w:rPr>
                      <w:rFonts w:hint="eastAsia" w:eastAsia="宋体"/>
                      <w:bCs/>
                      <w:szCs w:val="21"/>
                      <w:lang w:val="en-US" w:eastAsia="zh-CN"/>
                    </w:rPr>
                    <w:t>2</w:t>
                  </w:r>
                </w:p>
              </w:tc>
              <w:tc>
                <w:tcPr>
                  <w:tcW w:w="1050" w:type="pct"/>
                  <w:tcBorders>
                    <w:tl2br w:val="nil"/>
                    <w:tr2bl w:val="nil"/>
                  </w:tcBorders>
                  <w:vAlign w:val="center"/>
                </w:tcPr>
                <w:p>
                  <w:pPr>
                    <w:pStyle w:val="29"/>
                    <w:snapToGrid/>
                    <w:spacing w:before="62" w:beforeLines="20" w:after="62" w:afterLines="20" w:line="240" w:lineRule="auto"/>
                    <w:ind w:firstLine="0" w:firstLineChars="0"/>
                    <w:jc w:val="center"/>
                    <w:rPr>
                      <w:rFonts w:hint="eastAsia" w:ascii="Times New Roman" w:eastAsia="宋体"/>
                      <w:szCs w:val="21"/>
                      <w:lang w:bidi="ar"/>
                    </w:rPr>
                  </w:pPr>
                  <w:r>
                    <w:rPr>
                      <w:rFonts w:hint="eastAsia" w:ascii="Times New Roman" w:eastAsia="宋体"/>
                      <w:szCs w:val="21"/>
                      <w:lang w:bidi="ar"/>
                    </w:rPr>
                    <w:t>其他机械零部件</w:t>
                  </w:r>
                </w:p>
              </w:tc>
              <w:tc>
                <w:tcPr>
                  <w:tcW w:w="799" w:type="pct"/>
                  <w:tcBorders>
                    <w:tl2br w:val="nil"/>
                    <w:tr2bl w:val="nil"/>
                  </w:tcBorders>
                  <w:vAlign w:val="center"/>
                </w:tcPr>
                <w:p>
                  <w:pPr>
                    <w:pStyle w:val="29"/>
                    <w:snapToGrid/>
                    <w:spacing w:before="62" w:beforeLines="20" w:after="62" w:afterLines="20" w:line="240" w:lineRule="auto"/>
                    <w:ind w:firstLine="0" w:firstLineChars="0"/>
                    <w:rPr>
                      <w:rFonts w:hint="default" w:ascii="Times New Roman" w:eastAsia="宋体"/>
                      <w:szCs w:val="21"/>
                      <w:lang w:val="en-US" w:eastAsia="zh-CN"/>
                    </w:rPr>
                  </w:pPr>
                  <w:r>
                    <w:rPr>
                      <w:rFonts w:hint="eastAsia" w:ascii="Times New Roman" w:eastAsia="宋体"/>
                      <w:szCs w:val="21"/>
                      <w:lang w:val="en-US" w:eastAsia="zh-CN"/>
                    </w:rPr>
                    <w:t>20万套</w:t>
                  </w:r>
                </w:p>
              </w:tc>
              <w:tc>
                <w:tcPr>
                  <w:tcW w:w="945" w:type="pct"/>
                  <w:tcBorders>
                    <w:tl2br w:val="nil"/>
                    <w:tr2bl w:val="nil"/>
                  </w:tcBorders>
                  <w:vAlign w:val="center"/>
                </w:tcPr>
                <w:p>
                  <w:pPr>
                    <w:pStyle w:val="29"/>
                    <w:snapToGrid/>
                    <w:spacing w:before="62" w:beforeLines="20" w:after="62" w:afterLines="20" w:line="240" w:lineRule="auto"/>
                    <w:ind w:firstLine="0" w:firstLineChars="0"/>
                    <w:rPr>
                      <w:rFonts w:hint="default" w:ascii="Times New Roman" w:eastAsia="宋体"/>
                      <w:szCs w:val="21"/>
                      <w:lang w:val="en-US" w:eastAsia="zh-CN"/>
                    </w:rPr>
                  </w:pPr>
                  <w:r>
                    <w:rPr>
                      <w:rFonts w:hint="eastAsia" w:ascii="Times New Roman" w:eastAsia="宋体"/>
                      <w:szCs w:val="21"/>
                      <w:lang w:val="en-US" w:eastAsia="zh-CN"/>
                    </w:rPr>
                    <w:t>2400</w:t>
                  </w:r>
                </w:p>
              </w:tc>
              <w:tc>
                <w:tcPr>
                  <w:tcW w:w="1732" w:type="pct"/>
                  <w:tcBorders>
                    <w:tl2br w:val="nil"/>
                    <w:tr2bl w:val="nil"/>
                  </w:tcBorders>
                  <w:vAlign w:val="center"/>
                </w:tcPr>
                <w:p>
                  <w:pPr>
                    <w:pStyle w:val="29"/>
                    <w:snapToGrid/>
                    <w:spacing w:before="62" w:beforeLines="20" w:after="62" w:afterLines="20" w:line="240" w:lineRule="auto"/>
                    <w:ind w:firstLine="0" w:firstLineChars="0"/>
                    <w:rPr>
                      <w:rFonts w:hint="eastAsia" w:ascii="Times New Roman" w:eastAsia="宋体"/>
                      <w:szCs w:val="21"/>
                      <w:lang w:eastAsia="zh-CN"/>
                    </w:rPr>
                  </w:pPr>
                  <w:r>
                    <w:rPr>
                      <w:rFonts w:hint="eastAsia" w:ascii="Times New Roman" w:eastAsia="宋体"/>
                      <w:szCs w:val="21"/>
                      <w:lang w:eastAsia="zh-CN"/>
                    </w:rPr>
                    <w:t>主要用于电机、液压马达、回转支承</w:t>
                  </w:r>
                </w:p>
              </w:tc>
            </w:tr>
          </w:tbl>
          <w:p>
            <w:pPr>
              <w:spacing w:line="360" w:lineRule="auto"/>
              <w:ind w:firstLine="480" w:firstLineChars="200"/>
              <w:rPr>
                <w:sz w:val="24"/>
                <w:szCs w:val="22"/>
              </w:rPr>
            </w:pPr>
            <w:r>
              <w:rPr>
                <w:rFonts w:hint="eastAsia"/>
                <w:sz w:val="24"/>
                <w:szCs w:val="22"/>
              </w:rPr>
              <w:t>本项目主要工程内容详见下表。</w:t>
            </w:r>
          </w:p>
          <w:p>
            <w:pPr>
              <w:jc w:val="center"/>
              <w:rPr>
                <w:b/>
                <w:bCs/>
                <w:sz w:val="24"/>
                <w:szCs w:val="24"/>
              </w:rPr>
            </w:pPr>
            <w:r>
              <w:rPr>
                <w:rFonts w:hint="eastAsia"/>
                <w:b/>
                <w:sz w:val="24"/>
                <w:szCs w:val="24"/>
              </w:rPr>
              <w:t>表1-5   项目主要工程建设内容</w:t>
            </w:r>
          </w:p>
          <w:tbl>
            <w:tblPr>
              <w:tblStyle w:val="17"/>
              <w:tblW w:w="8312"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51" w:type="dxa"/>
                <w:bottom w:w="0" w:type="dxa"/>
                <w:right w:w="51" w:type="dxa"/>
              </w:tblCellMar>
            </w:tblPr>
            <w:tblGrid>
              <w:gridCol w:w="904"/>
              <w:gridCol w:w="1350"/>
              <w:gridCol w:w="2600"/>
              <w:gridCol w:w="2505"/>
              <w:gridCol w:w="95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1" w:type="dxa"/>
                  <w:bottom w:w="0" w:type="dxa"/>
                  <w:right w:w="51" w:type="dxa"/>
                </w:tblCellMar>
              </w:tblPrEx>
              <w:trPr>
                <w:trHeight w:val="340" w:hRule="atLeast"/>
                <w:jc w:val="center"/>
              </w:trPr>
              <w:tc>
                <w:tcPr>
                  <w:tcW w:w="904"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b/>
                      <w:bCs/>
                    </w:rPr>
                  </w:pPr>
                  <w:r>
                    <w:rPr>
                      <w:b/>
                      <w:bCs/>
                    </w:rPr>
                    <w:t>工程</w:t>
                  </w:r>
                  <w:r>
                    <w:rPr>
                      <w:rFonts w:hint="eastAsia"/>
                      <w:b/>
                      <w:bCs/>
                    </w:rPr>
                    <w:t>类别</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b/>
                      <w:bCs/>
                    </w:rPr>
                  </w:pPr>
                  <w:r>
                    <w:rPr>
                      <w:rFonts w:hint="eastAsia"/>
                      <w:b/>
                      <w:bCs/>
                    </w:rPr>
                    <w:t>单项</w:t>
                  </w:r>
                  <w:r>
                    <w:rPr>
                      <w:b/>
                      <w:bCs/>
                    </w:rPr>
                    <w:t>工名称</w:t>
                  </w:r>
                </w:p>
              </w:tc>
              <w:tc>
                <w:tcPr>
                  <w:tcW w:w="260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b/>
                      <w:bCs/>
                    </w:rPr>
                  </w:pPr>
                  <w:r>
                    <w:rPr>
                      <w:b/>
                      <w:bCs/>
                    </w:rPr>
                    <w:t>工程内容</w:t>
                  </w:r>
                </w:p>
              </w:tc>
              <w:tc>
                <w:tcPr>
                  <w:tcW w:w="2505"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b/>
                      <w:bCs/>
                    </w:rPr>
                  </w:pPr>
                  <w:r>
                    <w:rPr>
                      <w:b/>
                      <w:bCs/>
                    </w:rPr>
                    <w:t>工程规模</w:t>
                  </w:r>
                </w:p>
              </w:tc>
              <w:tc>
                <w:tcPr>
                  <w:tcW w:w="953"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b/>
                      <w:bCs/>
                    </w:rPr>
                  </w:pPr>
                  <w:r>
                    <w:rPr>
                      <w:rFonts w:hint="eastAsia"/>
                      <w:b/>
                      <w:bCs/>
                    </w:rPr>
                    <w:t>备注</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1" w:type="dxa"/>
                  <w:bottom w:w="0" w:type="dxa"/>
                  <w:right w:w="51" w:type="dxa"/>
                </w:tblCellMar>
              </w:tblPrEx>
              <w:trPr>
                <w:trHeight w:val="1093" w:hRule="atLeast"/>
                <w:jc w:val="center"/>
              </w:trPr>
              <w:tc>
                <w:tcPr>
                  <w:tcW w:w="904" w:type="dxa"/>
                  <w:vMerge w:val="restart"/>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主体工程</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eastAsia"/>
                      <w:lang w:eastAsia="zh-CN"/>
                    </w:rPr>
                  </w:pPr>
                  <w:r>
                    <w:rPr>
                      <w:rFonts w:hint="eastAsia"/>
                    </w:rPr>
                    <w:t>生产车间</w:t>
                  </w:r>
                  <w:r>
                    <w:rPr>
                      <w:rFonts w:hint="eastAsia"/>
                      <w:lang w:eastAsia="zh-CN"/>
                    </w:rPr>
                    <w:t>一</w:t>
                  </w:r>
                </w:p>
              </w:tc>
              <w:tc>
                <w:tcPr>
                  <w:tcW w:w="260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eastAsia"/>
                      <w:lang w:eastAsia="zh-CN"/>
                    </w:rPr>
                  </w:pPr>
                  <w:r>
                    <w:rPr>
                      <w:rFonts w:hint="eastAsia"/>
                      <w:lang w:eastAsia="zh-CN"/>
                    </w:rPr>
                    <w:t>建设</w:t>
                  </w:r>
                  <w:r>
                    <w:rPr>
                      <w:rFonts w:hint="eastAsia"/>
                      <w:lang w:val="en-US" w:eastAsia="zh-CN"/>
                    </w:rPr>
                    <w:t>6条组装生产线</w:t>
                  </w:r>
                </w:p>
              </w:tc>
              <w:tc>
                <w:tcPr>
                  <w:tcW w:w="2505"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lang w:eastAsia="zh-CN"/>
                    </w:rPr>
                    <w:t>位于租赁区</w:t>
                  </w:r>
                  <w:r>
                    <w:rPr>
                      <w:rFonts w:hint="eastAsia"/>
                      <w:lang w:val="en-US" w:eastAsia="zh-CN"/>
                    </w:rPr>
                    <w:t>2号厂房第2层</w:t>
                  </w:r>
                  <w:r>
                    <w:rPr>
                      <w:rFonts w:hint="eastAsia"/>
                    </w:rPr>
                    <w:t>，</w:t>
                  </w:r>
                  <w:r>
                    <w:rPr>
                      <w:rFonts w:hint="eastAsia"/>
                      <w:lang w:eastAsia="zh-CN"/>
                    </w:rPr>
                    <w:t>建筑</w:t>
                  </w:r>
                  <w:r>
                    <w:rPr>
                      <w:rFonts w:hint="eastAsia"/>
                    </w:rPr>
                    <w:t>面积</w:t>
                  </w:r>
                  <w:r>
                    <w:rPr>
                      <w:rFonts w:hint="eastAsia"/>
                      <w:lang w:val="en-US" w:eastAsia="zh-CN"/>
                    </w:rPr>
                    <w:t>1400</w:t>
                  </w:r>
                  <w:r>
                    <w:rPr>
                      <w:rFonts w:hint="eastAsia"/>
                    </w:rPr>
                    <w:t>m</w:t>
                  </w:r>
                  <w:r>
                    <w:rPr>
                      <w:rFonts w:hint="eastAsia"/>
                      <w:vertAlign w:val="superscript"/>
                    </w:rPr>
                    <w:t>2</w:t>
                  </w:r>
                  <w:r>
                    <w:rPr>
                      <w:rFonts w:hint="eastAsia"/>
                    </w:rPr>
                    <w:t>（</w:t>
                  </w:r>
                  <w:r>
                    <w:rPr>
                      <w:rFonts w:hint="eastAsia"/>
                      <w:lang w:val="en-US" w:eastAsia="zh-CN"/>
                    </w:rPr>
                    <w:t>56</w:t>
                  </w:r>
                  <w:r>
                    <w:rPr>
                      <w:rFonts w:hint="eastAsia"/>
                    </w:rPr>
                    <w:t>m</w:t>
                  </w:r>
                  <w:r>
                    <w:t>×</w:t>
                  </w:r>
                  <w:r>
                    <w:rPr>
                      <w:rFonts w:hint="eastAsia"/>
                      <w:lang w:val="en-US" w:eastAsia="zh-CN"/>
                    </w:rPr>
                    <w:t>25</w:t>
                  </w:r>
                  <w:r>
                    <w:rPr>
                      <w:rFonts w:hint="eastAsia"/>
                    </w:rPr>
                    <w:t>m</w:t>
                  </w:r>
                  <w:r>
                    <w:t>×</w:t>
                  </w:r>
                  <w:r>
                    <w:rPr>
                      <w:rFonts w:hint="eastAsia"/>
                      <w:lang w:val="en-US" w:eastAsia="zh-CN"/>
                    </w:rPr>
                    <w:t>5</w:t>
                  </w:r>
                  <w:r>
                    <w:t>m）</w:t>
                  </w:r>
                </w:p>
              </w:tc>
              <w:tc>
                <w:tcPr>
                  <w:tcW w:w="953" w:type="dxa"/>
                  <w:vMerge w:val="restart"/>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租赁方原有</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1" w:type="dxa"/>
                  <w:bottom w:w="0" w:type="dxa"/>
                  <w:right w:w="51" w:type="dxa"/>
                </w:tblCellMar>
              </w:tblPrEx>
              <w:trPr>
                <w:trHeight w:val="1033" w:hRule="atLeast"/>
                <w:jc w:val="center"/>
              </w:trPr>
              <w:tc>
                <w:tcPr>
                  <w:tcW w:w="904" w:type="dxa"/>
                  <w:vMerge w:val="continue"/>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eastAsia"/>
                    </w:rPr>
                  </w:pPr>
                </w:p>
              </w:tc>
              <w:tc>
                <w:tcPr>
                  <w:tcW w:w="135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eastAsia"/>
                      <w:lang w:eastAsia="zh-CN"/>
                    </w:rPr>
                  </w:pPr>
                  <w:r>
                    <w:rPr>
                      <w:rFonts w:hint="eastAsia"/>
                      <w:lang w:eastAsia="zh-CN"/>
                    </w:rPr>
                    <w:t>生产车间二</w:t>
                  </w:r>
                </w:p>
              </w:tc>
              <w:tc>
                <w:tcPr>
                  <w:tcW w:w="260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eastAsia"/>
                      <w:lang w:eastAsia="zh-CN"/>
                    </w:rPr>
                  </w:pPr>
                  <w:r>
                    <w:rPr>
                      <w:rFonts w:hint="eastAsia"/>
                      <w:lang w:val="en-US" w:eastAsia="zh-CN"/>
                    </w:rPr>
                    <w:t>建设2条喷塑、固化生产线</w:t>
                  </w:r>
                </w:p>
              </w:tc>
              <w:tc>
                <w:tcPr>
                  <w:tcW w:w="2505"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lang w:val="en-US" w:eastAsia="zh-CN"/>
                    </w:rPr>
                  </w:pPr>
                  <w:r>
                    <w:rPr>
                      <w:rFonts w:hint="eastAsia"/>
                      <w:lang w:eastAsia="zh-CN"/>
                    </w:rPr>
                    <w:t>位于租赁区</w:t>
                  </w:r>
                  <w:r>
                    <w:rPr>
                      <w:rFonts w:hint="eastAsia"/>
                      <w:lang w:val="en-US" w:eastAsia="zh-CN"/>
                    </w:rPr>
                    <w:t>3号厂房，</w:t>
                  </w:r>
                  <w:r>
                    <w:rPr>
                      <w:rFonts w:hint="eastAsia"/>
                      <w:lang w:eastAsia="zh-CN"/>
                    </w:rPr>
                    <w:t>建</w:t>
                  </w:r>
                  <w:r>
                    <w:rPr>
                      <w:rFonts w:hint="eastAsia"/>
                      <w:color w:val="0000FF"/>
                      <w:lang w:eastAsia="zh-CN"/>
                    </w:rPr>
                    <w:t>筑</w:t>
                  </w:r>
                  <w:r>
                    <w:rPr>
                      <w:rFonts w:hint="eastAsia"/>
                      <w:color w:val="0000FF"/>
                    </w:rPr>
                    <w:t>面积</w:t>
                  </w:r>
                  <w:r>
                    <w:rPr>
                      <w:rFonts w:hint="eastAsia"/>
                      <w:color w:val="0000FF"/>
                      <w:lang w:val="en-US" w:eastAsia="zh-CN"/>
                    </w:rPr>
                    <w:t>864</w:t>
                  </w:r>
                  <w:r>
                    <w:rPr>
                      <w:rFonts w:hint="eastAsia"/>
                      <w:color w:val="0000FF"/>
                    </w:rPr>
                    <w:t>m</w:t>
                  </w:r>
                  <w:r>
                    <w:rPr>
                      <w:rFonts w:hint="eastAsia"/>
                      <w:color w:val="0000FF"/>
                      <w:vertAlign w:val="superscript"/>
                    </w:rPr>
                    <w:t>2</w:t>
                  </w:r>
                  <w:r>
                    <w:rPr>
                      <w:rFonts w:hint="eastAsia"/>
                      <w:color w:val="0000FF"/>
                    </w:rPr>
                    <w:t>（</w:t>
                  </w:r>
                  <w:r>
                    <w:rPr>
                      <w:rFonts w:hint="eastAsia"/>
                      <w:color w:val="0000FF"/>
                      <w:lang w:val="en-US" w:eastAsia="zh-CN"/>
                    </w:rPr>
                    <w:t>48</w:t>
                  </w:r>
                  <w:r>
                    <w:rPr>
                      <w:rFonts w:hint="eastAsia"/>
                      <w:color w:val="0000FF"/>
                    </w:rPr>
                    <w:t>m</w:t>
                  </w:r>
                  <w:r>
                    <w:rPr>
                      <w:color w:val="0000FF"/>
                    </w:rPr>
                    <w:t>×</w:t>
                  </w:r>
                  <w:r>
                    <w:rPr>
                      <w:rFonts w:hint="eastAsia"/>
                      <w:color w:val="0000FF"/>
                      <w:lang w:val="en-US" w:eastAsia="zh-CN"/>
                    </w:rPr>
                    <w:t>18</w:t>
                  </w:r>
                  <w:r>
                    <w:rPr>
                      <w:rFonts w:hint="eastAsia"/>
                      <w:color w:val="0000FF"/>
                    </w:rPr>
                    <w:t>m</w:t>
                  </w:r>
                  <w:r>
                    <w:rPr>
                      <w:color w:val="0000FF"/>
                    </w:rPr>
                    <w:t>×</w:t>
                  </w:r>
                  <w:r>
                    <w:rPr>
                      <w:rFonts w:hint="eastAsia"/>
                      <w:color w:val="0000FF"/>
                      <w:lang w:val="en-US" w:eastAsia="zh-CN"/>
                    </w:rPr>
                    <w:t>9</w:t>
                  </w:r>
                  <w:r>
                    <w:rPr>
                      <w:color w:val="0000FF"/>
                    </w:rPr>
                    <w:t>m）</w:t>
                  </w:r>
                </w:p>
              </w:tc>
              <w:tc>
                <w:tcPr>
                  <w:tcW w:w="953" w:type="dxa"/>
                  <w:vMerge w:val="continue"/>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eastAsia"/>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1" w:type="dxa"/>
                  <w:bottom w:w="0" w:type="dxa"/>
                  <w:right w:w="51" w:type="dxa"/>
                </w:tblCellMar>
              </w:tblPrEx>
              <w:trPr>
                <w:trHeight w:val="69" w:hRule="atLeast"/>
                <w:jc w:val="center"/>
              </w:trPr>
              <w:tc>
                <w:tcPr>
                  <w:tcW w:w="904"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辅助工程</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办公生活区</w:t>
                  </w:r>
                </w:p>
              </w:tc>
              <w:tc>
                <w:tcPr>
                  <w:tcW w:w="260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用于办公、行政</w:t>
                  </w:r>
                </w:p>
              </w:tc>
              <w:tc>
                <w:tcPr>
                  <w:tcW w:w="2505"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1F，占地面积100m</w:t>
                  </w:r>
                  <w:r>
                    <w:rPr>
                      <w:rFonts w:hint="eastAsia"/>
                      <w:vertAlign w:val="superscript"/>
                    </w:rPr>
                    <w:t>2</w:t>
                  </w:r>
                </w:p>
              </w:tc>
              <w:tc>
                <w:tcPr>
                  <w:tcW w:w="953"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eastAsia"/>
                      <w:lang w:eastAsia="zh-CN"/>
                    </w:rPr>
                  </w:pPr>
                  <w:r>
                    <w:rPr>
                      <w:rFonts w:hint="eastAsia"/>
                      <w:lang w:eastAsia="zh-CN"/>
                    </w:rPr>
                    <w:t>位于生产车间一内</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1" w:type="dxa"/>
                  <w:bottom w:w="0" w:type="dxa"/>
                  <w:right w:w="51" w:type="dxa"/>
                </w:tblCellMar>
              </w:tblPrEx>
              <w:trPr>
                <w:trHeight w:val="81" w:hRule="atLeast"/>
                <w:jc w:val="center"/>
              </w:trPr>
              <w:tc>
                <w:tcPr>
                  <w:tcW w:w="904" w:type="dxa"/>
                  <w:vMerge w:val="restart"/>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储运工程</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原料堆放区</w:t>
                  </w:r>
                </w:p>
              </w:tc>
              <w:tc>
                <w:tcPr>
                  <w:tcW w:w="5105" w:type="dxa"/>
                  <w:gridSpan w:val="2"/>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不单独设置原料仓库，设置原料堆放区，位于生产车间内</w:t>
                  </w:r>
                </w:p>
              </w:tc>
              <w:tc>
                <w:tcPr>
                  <w:tcW w:w="953"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eastAsia"/>
                      <w:lang w:eastAsia="zh-CN"/>
                    </w:rPr>
                  </w:pPr>
                  <w:r>
                    <w:rPr>
                      <w:rFonts w:hint="eastAsia"/>
                      <w:lang w:eastAsia="zh-CN"/>
                    </w:rPr>
                    <w:t>位于生产车间一内</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1" w:type="dxa"/>
                  <w:bottom w:w="0" w:type="dxa"/>
                  <w:right w:w="51" w:type="dxa"/>
                </w:tblCellMar>
              </w:tblPrEx>
              <w:trPr>
                <w:trHeight w:val="90" w:hRule="atLeast"/>
                <w:jc w:val="center"/>
              </w:trPr>
              <w:tc>
                <w:tcPr>
                  <w:tcW w:w="904" w:type="dxa"/>
                  <w:vMerge w:val="continue"/>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p>
              </w:tc>
              <w:tc>
                <w:tcPr>
                  <w:tcW w:w="135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成品堆放区</w:t>
                  </w:r>
                </w:p>
              </w:tc>
              <w:tc>
                <w:tcPr>
                  <w:tcW w:w="5105" w:type="dxa"/>
                  <w:gridSpan w:val="2"/>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不单独设置成品仓库，设置成品堆放区，位于生产车间内</w:t>
                  </w:r>
                </w:p>
              </w:tc>
              <w:tc>
                <w:tcPr>
                  <w:tcW w:w="953"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eastAsia"/>
                      <w:lang w:eastAsia="zh-CN"/>
                    </w:rPr>
                  </w:pPr>
                  <w:r>
                    <w:rPr>
                      <w:rFonts w:hint="eastAsia"/>
                      <w:lang w:eastAsia="zh-CN"/>
                    </w:rPr>
                    <w:t>位于生产车间一内</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1" w:type="dxa"/>
                  <w:bottom w:w="0" w:type="dxa"/>
                  <w:right w:w="51" w:type="dxa"/>
                </w:tblCellMar>
              </w:tblPrEx>
              <w:trPr>
                <w:trHeight w:val="90" w:hRule="atLeast"/>
                <w:jc w:val="center"/>
              </w:trPr>
              <w:tc>
                <w:tcPr>
                  <w:tcW w:w="904" w:type="dxa"/>
                  <w:vMerge w:val="restart"/>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t>公用工程</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供水系统</w:t>
                  </w:r>
                </w:p>
              </w:tc>
              <w:tc>
                <w:tcPr>
                  <w:tcW w:w="260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市政供水管网供水</w:t>
                  </w:r>
                </w:p>
              </w:tc>
              <w:tc>
                <w:tcPr>
                  <w:tcW w:w="2505"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供水量</w:t>
                  </w:r>
                  <w:r>
                    <w:rPr>
                      <w:rFonts w:hint="eastAsia"/>
                      <w:lang w:val="en-US" w:eastAsia="zh-CN"/>
                    </w:rPr>
                    <w:t>750</w:t>
                  </w:r>
                  <w:r>
                    <w:rPr>
                      <w:rFonts w:hint="eastAsia"/>
                    </w:rPr>
                    <w:t>m</w:t>
                  </w:r>
                  <w:r>
                    <w:rPr>
                      <w:rFonts w:hint="eastAsia"/>
                      <w:vertAlign w:val="superscript"/>
                    </w:rPr>
                    <w:t>3</w:t>
                  </w:r>
                  <w:r>
                    <w:rPr>
                      <w:rFonts w:hint="eastAsia"/>
                    </w:rPr>
                    <w:t>/a</w:t>
                  </w:r>
                </w:p>
              </w:tc>
              <w:tc>
                <w:tcPr>
                  <w:tcW w:w="953"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lang w:val="en-US" w:eastAsia="zh-CN"/>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1" w:type="dxa"/>
                  <w:bottom w:w="0" w:type="dxa"/>
                  <w:right w:w="51" w:type="dxa"/>
                </w:tblCellMar>
              </w:tblPrEx>
              <w:trPr>
                <w:trHeight w:val="63" w:hRule="atLeast"/>
                <w:jc w:val="center"/>
              </w:trPr>
              <w:tc>
                <w:tcPr>
                  <w:tcW w:w="904" w:type="dxa"/>
                  <w:vMerge w:val="continue"/>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p>
              </w:tc>
              <w:tc>
                <w:tcPr>
                  <w:tcW w:w="135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排水系统</w:t>
                  </w:r>
                </w:p>
              </w:tc>
              <w:tc>
                <w:tcPr>
                  <w:tcW w:w="260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雨污分流，依托常州中泽电力设备有限公司现有雨污管网，雨水通过雨水管网市政雨水管网后排入</w:t>
                  </w:r>
                  <w:r>
                    <w:rPr>
                      <w:rFonts w:hint="eastAsia"/>
                      <w:lang w:eastAsia="zh-CN"/>
                    </w:rPr>
                    <w:t>通济河</w:t>
                  </w:r>
                  <w:r>
                    <w:rPr>
                      <w:rFonts w:hint="eastAsia"/>
                    </w:rPr>
                    <w:t>；生活污水经化粪池收集预处理排入市政污水管网进金坛区直溪鑫鑫污水处理厂。</w:t>
                  </w:r>
                </w:p>
              </w:tc>
              <w:tc>
                <w:tcPr>
                  <w:tcW w:w="2505"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生活污水排水量</w:t>
                  </w:r>
                  <w:r>
                    <w:rPr>
                      <w:rFonts w:hint="eastAsia"/>
                      <w:lang w:val="en-US" w:eastAsia="zh-CN"/>
                    </w:rPr>
                    <w:t>600</w:t>
                  </w:r>
                  <w:r>
                    <w:rPr>
                      <w:rFonts w:hint="eastAsia"/>
                    </w:rPr>
                    <w:t>m</w:t>
                  </w:r>
                  <w:r>
                    <w:rPr>
                      <w:rFonts w:hint="eastAsia"/>
                      <w:vertAlign w:val="superscript"/>
                    </w:rPr>
                    <w:t>3</w:t>
                  </w:r>
                  <w:r>
                    <w:rPr>
                      <w:rFonts w:hint="eastAsia"/>
                    </w:rPr>
                    <w:t>/a</w:t>
                  </w:r>
                </w:p>
              </w:tc>
              <w:tc>
                <w:tcPr>
                  <w:tcW w:w="953"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eastAsia"/>
                      <w:lang w:eastAsia="zh-CN"/>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1" w:type="dxa"/>
                  <w:bottom w:w="0" w:type="dxa"/>
                  <w:right w:w="51" w:type="dxa"/>
                </w:tblCellMar>
              </w:tblPrEx>
              <w:trPr>
                <w:trHeight w:val="63" w:hRule="atLeast"/>
                <w:jc w:val="center"/>
              </w:trPr>
              <w:tc>
                <w:tcPr>
                  <w:tcW w:w="904" w:type="dxa"/>
                  <w:vMerge w:val="continue"/>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p>
              </w:tc>
              <w:tc>
                <w:tcPr>
                  <w:tcW w:w="135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供电系统</w:t>
                  </w:r>
                </w:p>
              </w:tc>
              <w:tc>
                <w:tcPr>
                  <w:tcW w:w="260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市政电网</w:t>
                  </w:r>
                </w:p>
              </w:tc>
              <w:tc>
                <w:tcPr>
                  <w:tcW w:w="2505"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供电量</w:t>
                  </w:r>
                  <w:r>
                    <w:rPr>
                      <w:rFonts w:hint="eastAsia"/>
                      <w:lang w:val="en-US" w:eastAsia="zh-CN"/>
                    </w:rPr>
                    <w:t>3</w:t>
                  </w:r>
                  <w:r>
                    <w:rPr>
                      <w:rFonts w:hint="eastAsia"/>
                    </w:rPr>
                    <w:t>万kWh/a</w:t>
                  </w:r>
                </w:p>
              </w:tc>
              <w:tc>
                <w:tcPr>
                  <w:tcW w:w="953"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eastAsia"/>
                      <w:lang w:eastAsia="zh-CN"/>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1" w:type="dxa"/>
                  <w:bottom w:w="0" w:type="dxa"/>
                  <w:right w:w="51" w:type="dxa"/>
                </w:tblCellMar>
              </w:tblPrEx>
              <w:trPr>
                <w:trHeight w:val="1858" w:hRule="atLeast"/>
                <w:jc w:val="center"/>
              </w:trPr>
              <w:tc>
                <w:tcPr>
                  <w:tcW w:w="904" w:type="dxa"/>
                  <w:vMerge w:val="restart"/>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t>环保工程</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废气处理</w:t>
                  </w:r>
                </w:p>
              </w:tc>
              <w:tc>
                <w:tcPr>
                  <w:tcW w:w="5105" w:type="dxa"/>
                  <w:gridSpan w:val="2"/>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天然气经低氮燃烧装置然后产生废气经15m（1#）排气筒排放；喷塑粉尘经滤芯除尘器处理后经15m（1#）排气筒排放；固化废气经“冷却器+二级活性炭吸附装置”处理后通过15m（1#）排气筒排放。</w:t>
                  </w:r>
                </w:p>
              </w:tc>
              <w:tc>
                <w:tcPr>
                  <w:tcW w:w="953"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新建</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1" w:type="dxa"/>
                  <w:bottom w:w="0" w:type="dxa"/>
                  <w:right w:w="51" w:type="dxa"/>
                </w:tblCellMar>
              </w:tblPrEx>
              <w:trPr>
                <w:trHeight w:val="90" w:hRule="atLeast"/>
                <w:jc w:val="center"/>
              </w:trPr>
              <w:tc>
                <w:tcPr>
                  <w:tcW w:w="904" w:type="dxa"/>
                  <w:vMerge w:val="continue"/>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p>
              </w:tc>
              <w:tc>
                <w:tcPr>
                  <w:tcW w:w="135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噪声控制</w:t>
                  </w:r>
                </w:p>
              </w:tc>
              <w:tc>
                <w:tcPr>
                  <w:tcW w:w="260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减震、隔声等降噪措施</w:t>
                  </w:r>
                </w:p>
              </w:tc>
              <w:tc>
                <w:tcPr>
                  <w:tcW w:w="2505"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降噪约30dB（A），厂界外达标排放</w:t>
                  </w:r>
                </w:p>
              </w:tc>
              <w:tc>
                <w:tcPr>
                  <w:tcW w:w="953"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新建</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1" w:type="dxa"/>
                  <w:bottom w:w="0" w:type="dxa"/>
                  <w:right w:w="51" w:type="dxa"/>
                </w:tblCellMar>
              </w:tblPrEx>
              <w:trPr>
                <w:trHeight w:val="340" w:hRule="atLeast"/>
                <w:jc w:val="center"/>
              </w:trPr>
              <w:tc>
                <w:tcPr>
                  <w:tcW w:w="904" w:type="dxa"/>
                  <w:vMerge w:val="continue"/>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p>
              </w:tc>
              <w:tc>
                <w:tcPr>
                  <w:tcW w:w="135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废水处理</w:t>
                  </w:r>
                </w:p>
              </w:tc>
              <w:tc>
                <w:tcPr>
                  <w:tcW w:w="260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依托常州中泽电力设备有限公司现有化粪池预处理</w:t>
                  </w:r>
                </w:p>
              </w:tc>
              <w:tc>
                <w:tcPr>
                  <w:tcW w:w="2505"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化粪池处理能力满足项目要求</w:t>
                  </w:r>
                </w:p>
              </w:tc>
              <w:tc>
                <w:tcPr>
                  <w:tcW w:w="953"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依托</w:t>
                  </w:r>
                  <w:r>
                    <w:t>现有</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1" w:type="dxa"/>
                  <w:bottom w:w="0" w:type="dxa"/>
                  <w:right w:w="51" w:type="dxa"/>
                </w:tblCellMar>
              </w:tblPrEx>
              <w:trPr>
                <w:trHeight w:val="323" w:hRule="atLeast"/>
                <w:jc w:val="center"/>
              </w:trPr>
              <w:tc>
                <w:tcPr>
                  <w:tcW w:w="904" w:type="dxa"/>
                  <w:vMerge w:val="continue"/>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p>
              </w:tc>
              <w:tc>
                <w:tcPr>
                  <w:tcW w:w="1350" w:type="dxa"/>
                  <w:vMerge w:val="restart"/>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固废处理</w:t>
                  </w:r>
                </w:p>
              </w:tc>
              <w:tc>
                <w:tcPr>
                  <w:tcW w:w="260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新建一般固废仓库1</w:t>
                  </w:r>
                  <w:r>
                    <w:rPr>
                      <w:rFonts w:hint="eastAsia"/>
                      <w:lang w:val="en-US" w:eastAsia="zh-CN"/>
                    </w:rPr>
                    <w:t>0</w:t>
                  </w:r>
                  <w:r>
                    <w:rPr>
                      <w:rFonts w:hint="eastAsia"/>
                    </w:rPr>
                    <w:t>m</w:t>
                  </w:r>
                  <w:r>
                    <w:rPr>
                      <w:rFonts w:hint="eastAsia"/>
                      <w:vertAlign w:val="superscript"/>
                    </w:rPr>
                    <w:t>2</w:t>
                  </w:r>
                </w:p>
              </w:tc>
              <w:tc>
                <w:tcPr>
                  <w:tcW w:w="2505" w:type="dxa"/>
                  <w:vMerge w:val="restart"/>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固废</w:t>
                  </w:r>
                  <w:r>
                    <w:t>分类收集、分类堆放</w:t>
                  </w:r>
                  <w:r>
                    <w:rPr>
                      <w:rFonts w:hint="eastAsia"/>
                    </w:rPr>
                    <w:t>，分类处理</w:t>
                  </w:r>
                </w:p>
              </w:tc>
              <w:tc>
                <w:tcPr>
                  <w:tcW w:w="953" w:type="dxa"/>
                  <w:vMerge w:val="restart"/>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新建</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51" w:type="dxa"/>
                  <w:bottom w:w="0" w:type="dxa"/>
                  <w:right w:w="51" w:type="dxa"/>
                </w:tblCellMar>
              </w:tblPrEx>
              <w:trPr>
                <w:trHeight w:val="322" w:hRule="atLeast"/>
                <w:jc w:val="center"/>
              </w:trPr>
              <w:tc>
                <w:tcPr>
                  <w:tcW w:w="904" w:type="dxa"/>
                  <w:vMerge w:val="continue"/>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p>
              </w:tc>
              <w:tc>
                <w:tcPr>
                  <w:tcW w:w="1350" w:type="dxa"/>
                  <w:vMerge w:val="continue"/>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p>
              </w:tc>
              <w:tc>
                <w:tcPr>
                  <w:tcW w:w="260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新建危险废物仓库1</w:t>
                  </w:r>
                  <w:r>
                    <w:rPr>
                      <w:rFonts w:hint="eastAsia"/>
                      <w:lang w:val="en-US" w:eastAsia="zh-CN"/>
                    </w:rPr>
                    <w:t>0</w:t>
                  </w:r>
                  <w:r>
                    <w:rPr>
                      <w:rFonts w:hint="eastAsia"/>
                    </w:rPr>
                    <w:t>m</w:t>
                  </w:r>
                  <w:r>
                    <w:rPr>
                      <w:rFonts w:hint="eastAsia"/>
                      <w:vertAlign w:val="superscript"/>
                    </w:rPr>
                    <w:t>2</w:t>
                  </w:r>
                </w:p>
              </w:tc>
              <w:tc>
                <w:tcPr>
                  <w:tcW w:w="2505" w:type="dxa"/>
                  <w:vMerge w:val="continue"/>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p>
              </w:tc>
              <w:tc>
                <w:tcPr>
                  <w:tcW w:w="953" w:type="dxa"/>
                  <w:vMerge w:val="continue"/>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p>
              </w:tc>
            </w:tr>
          </w:tbl>
          <w:p>
            <w:pPr>
              <w:snapToGrid w:val="0"/>
              <w:spacing w:line="360" w:lineRule="auto"/>
              <w:rPr>
                <w:b/>
                <w:sz w:val="24"/>
              </w:rPr>
            </w:pPr>
            <w:r>
              <w:rPr>
                <w:b/>
                <w:sz w:val="24"/>
              </w:rPr>
              <w:t>厂区平面布置及周边环境概况</w:t>
            </w:r>
          </w:p>
          <w:p>
            <w:pPr>
              <w:pStyle w:val="35"/>
              <w:ind w:firstLine="482"/>
              <w:jc w:val="both"/>
              <w:rPr>
                <w:rFonts w:hint="default"/>
                <w:kern w:val="2"/>
                <w:lang w:val="en-US" w:eastAsia="zh-CN"/>
              </w:rPr>
            </w:pPr>
            <w:r>
              <w:rPr>
                <w:rFonts w:hint="eastAsia"/>
                <w:b/>
              </w:rPr>
              <w:t>项目</w:t>
            </w:r>
            <w:r>
              <w:rPr>
                <w:b/>
              </w:rPr>
              <w:t>厂区平面布置</w:t>
            </w:r>
            <w:r>
              <w:rPr>
                <w:rFonts w:hint="eastAsia"/>
                <w:b/>
              </w:rPr>
              <w:t>概况：</w:t>
            </w:r>
            <w:r>
              <w:rPr>
                <w:rFonts w:hint="eastAsia"/>
                <w:kern w:val="2"/>
              </w:rPr>
              <w:t>本项目位于常州市金坛区直溪镇工业园区水南路18号，系租赁江苏欧砻机械设备有限公司</w:t>
            </w:r>
            <w:r>
              <w:rPr>
                <w:rFonts w:hint="eastAsia"/>
                <w:color w:val="auto"/>
                <w:sz w:val="24"/>
                <w:szCs w:val="24"/>
                <w:lang w:val="en-US" w:eastAsia="zh-CN"/>
              </w:rPr>
              <w:t>2号厂房第二层（车间一）和部分3号（车间二）现有</w:t>
            </w:r>
            <w:r>
              <w:rPr>
                <w:rFonts w:hint="eastAsia"/>
                <w:color w:val="auto"/>
                <w:sz w:val="24"/>
                <w:szCs w:val="24"/>
              </w:rPr>
              <w:t>闲置厂房</w:t>
            </w:r>
            <w:r>
              <w:rPr>
                <w:rFonts w:hint="eastAsia"/>
                <w:color w:val="auto"/>
                <w:kern w:val="2"/>
              </w:rPr>
              <w:t>。</w:t>
            </w:r>
            <w:r>
              <w:rPr>
                <w:rFonts w:hint="eastAsia"/>
                <w:kern w:val="2"/>
                <w:lang w:eastAsia="zh-CN"/>
              </w:rPr>
              <w:t>厂区从北向南依次是</w:t>
            </w:r>
            <w:r>
              <w:rPr>
                <w:rFonts w:hint="eastAsia"/>
                <w:kern w:val="2"/>
                <w:lang w:val="en-US" w:eastAsia="zh-CN"/>
              </w:rPr>
              <w:t>3号厂房、2号厂房（西侧为</w:t>
            </w:r>
            <w:bookmarkStart w:id="4" w:name="_GoBack"/>
            <w:bookmarkEnd w:id="4"/>
            <w:r>
              <w:rPr>
                <w:rFonts w:hint="eastAsia"/>
                <w:kern w:val="2"/>
                <w:lang w:val="en-US" w:eastAsia="zh-CN"/>
              </w:rPr>
              <w:t>1号厂房）、办公楼。</w:t>
            </w:r>
          </w:p>
          <w:p>
            <w:pPr>
              <w:pStyle w:val="35"/>
              <w:ind w:firstLine="480"/>
              <w:jc w:val="both"/>
              <w:rPr>
                <w:rFonts w:hint="default"/>
                <w:szCs w:val="21"/>
                <w:lang w:val="en-US"/>
              </w:rPr>
            </w:pPr>
            <w:r>
              <w:rPr>
                <w:rFonts w:hint="eastAsia"/>
                <w:szCs w:val="21"/>
              </w:rPr>
              <w:t>生产车间</w:t>
            </w:r>
            <w:r>
              <w:rPr>
                <w:rFonts w:hint="eastAsia"/>
                <w:szCs w:val="21"/>
                <w:lang w:eastAsia="zh-CN"/>
              </w:rPr>
              <w:t>一</w:t>
            </w:r>
            <w:r>
              <w:rPr>
                <w:rFonts w:hint="eastAsia"/>
                <w:szCs w:val="21"/>
              </w:rPr>
              <w:t>内部，北侧为</w:t>
            </w:r>
            <w:r>
              <w:rPr>
                <w:rFonts w:hint="eastAsia"/>
                <w:szCs w:val="21"/>
                <w:lang w:eastAsia="zh-CN"/>
              </w:rPr>
              <w:t>原料区</w:t>
            </w:r>
            <w:r>
              <w:rPr>
                <w:rFonts w:hint="eastAsia"/>
                <w:szCs w:val="21"/>
              </w:rPr>
              <w:t>，</w:t>
            </w:r>
            <w:r>
              <w:rPr>
                <w:rFonts w:hint="eastAsia"/>
                <w:szCs w:val="21"/>
                <w:lang w:eastAsia="zh-CN"/>
              </w:rPr>
              <w:t>南侧为组装区</w:t>
            </w:r>
            <w:r>
              <w:rPr>
                <w:rFonts w:hint="eastAsia"/>
                <w:szCs w:val="21"/>
              </w:rPr>
              <w:t>，</w:t>
            </w:r>
            <w:r>
              <w:rPr>
                <w:rFonts w:hint="eastAsia"/>
                <w:szCs w:val="21"/>
                <w:lang w:eastAsia="zh-CN"/>
              </w:rPr>
              <w:t>西南角为办公区，东南角为一般固废暂存区。车间二北侧为喷塑房和烘干室，南侧为成品区，危险废物仓库位于西南角。</w:t>
            </w:r>
          </w:p>
          <w:p>
            <w:pPr>
              <w:pStyle w:val="35"/>
              <w:ind w:firstLine="480"/>
            </w:pPr>
            <w:r>
              <w:rPr>
                <w:rFonts w:hint="eastAsia"/>
              </w:rPr>
              <w:t>项目生产车间平面布置图详见附图三。</w:t>
            </w:r>
          </w:p>
          <w:p>
            <w:pPr>
              <w:pStyle w:val="35"/>
              <w:ind w:firstLine="482"/>
            </w:pPr>
            <w:r>
              <w:rPr>
                <w:rFonts w:hint="eastAsia"/>
                <w:b/>
              </w:rPr>
              <w:t>项目</w:t>
            </w:r>
            <w:r>
              <w:rPr>
                <w:b/>
              </w:rPr>
              <w:t>周边环境概况</w:t>
            </w:r>
            <w:r>
              <w:rPr>
                <w:rFonts w:hint="eastAsia"/>
                <w:b/>
              </w:rPr>
              <w:t>：</w:t>
            </w:r>
          </w:p>
          <w:p>
            <w:pPr>
              <w:spacing w:line="360" w:lineRule="auto"/>
              <w:ind w:left="-42" w:firstLine="520" w:firstLineChars="217"/>
              <w:rPr>
                <w:sz w:val="24"/>
              </w:rPr>
            </w:pPr>
            <w:r>
              <w:rPr>
                <w:rFonts w:hint="eastAsia"/>
                <w:sz w:val="24"/>
                <w:szCs w:val="24"/>
              </w:rPr>
              <w:t>建设项目位于常州市金坛区直溪镇工业园区水南路18号。</w:t>
            </w:r>
          </w:p>
          <w:p>
            <w:pPr>
              <w:spacing w:line="360" w:lineRule="auto"/>
              <w:ind w:left="-42" w:firstLine="520" w:firstLineChars="217"/>
              <w:rPr>
                <w:sz w:val="24"/>
                <w:szCs w:val="24"/>
              </w:rPr>
            </w:pPr>
            <w:r>
              <w:rPr>
                <w:rFonts w:hint="eastAsia"/>
                <w:sz w:val="24"/>
                <w:szCs w:val="24"/>
              </w:rPr>
              <w:t>厂区东侧为西直线路，隔道路为空地；西侧为空地；南侧为河流，北侧为江苏光达智能设备有限公司。项目周围环境概况详见附图二。</w:t>
            </w:r>
          </w:p>
          <w:p>
            <w:pPr>
              <w:spacing w:line="360" w:lineRule="auto"/>
              <w:ind w:left="-42" w:firstLine="520" w:firstLineChars="217"/>
              <w:rPr>
                <w:b/>
                <w:sz w:val="24"/>
                <w:szCs w:val="22"/>
              </w:rPr>
            </w:pPr>
            <w:r>
              <w:rPr>
                <w:rFonts w:hint="eastAsia"/>
                <w:b/>
                <w:sz w:val="24"/>
                <w:szCs w:val="22"/>
              </w:rPr>
              <w:t>4、公用及辅助工程</w:t>
            </w:r>
          </w:p>
          <w:p>
            <w:pPr>
              <w:spacing w:line="360" w:lineRule="auto"/>
              <w:ind w:left="-42" w:firstLine="520" w:firstLineChars="217"/>
              <w:rPr>
                <w:kern w:val="0"/>
                <w:sz w:val="24"/>
                <w:szCs w:val="22"/>
              </w:rPr>
            </w:pPr>
            <w:r>
              <w:rPr>
                <w:rFonts w:hint="eastAsia"/>
                <w:kern w:val="0"/>
                <w:sz w:val="24"/>
                <w:szCs w:val="22"/>
              </w:rPr>
              <w:t>（1）给水</w:t>
            </w:r>
          </w:p>
          <w:p>
            <w:pPr>
              <w:spacing w:line="360" w:lineRule="auto"/>
              <w:ind w:left="-42" w:firstLine="520" w:firstLineChars="217"/>
              <w:rPr>
                <w:sz w:val="24"/>
                <w:szCs w:val="24"/>
              </w:rPr>
            </w:pPr>
            <w:r>
              <w:rPr>
                <w:sz w:val="24"/>
                <w:szCs w:val="24"/>
              </w:rPr>
              <w:t>厂区</w:t>
            </w:r>
            <w:r>
              <w:rPr>
                <w:rFonts w:hint="eastAsia"/>
                <w:sz w:val="24"/>
                <w:szCs w:val="24"/>
              </w:rPr>
              <w:t>依托现有</w:t>
            </w:r>
            <w:r>
              <w:rPr>
                <w:sz w:val="24"/>
                <w:szCs w:val="24"/>
              </w:rPr>
              <w:t>生活用水管网，年用新</w:t>
            </w:r>
            <w:r>
              <w:rPr>
                <w:rFonts w:hint="eastAsia"/>
                <w:sz w:val="24"/>
                <w:szCs w:val="24"/>
              </w:rPr>
              <w:t>鲜</w:t>
            </w:r>
            <w:r>
              <w:rPr>
                <w:sz w:val="24"/>
                <w:szCs w:val="24"/>
              </w:rPr>
              <w:t>水量</w:t>
            </w:r>
            <w:r>
              <w:rPr>
                <w:rFonts w:hint="eastAsia"/>
                <w:sz w:val="24"/>
                <w:szCs w:val="24"/>
                <w:lang w:val="en-US" w:eastAsia="zh-CN"/>
              </w:rPr>
              <w:t>750</w:t>
            </w:r>
            <w:r>
              <w:rPr>
                <w:rFonts w:hint="eastAsia"/>
                <w:sz w:val="24"/>
                <w:szCs w:val="24"/>
              </w:rPr>
              <w:t>m</w:t>
            </w:r>
            <w:r>
              <w:rPr>
                <w:rFonts w:hint="eastAsia"/>
                <w:sz w:val="24"/>
                <w:szCs w:val="24"/>
                <w:vertAlign w:val="superscript"/>
              </w:rPr>
              <w:t>3</w:t>
            </w:r>
            <w:r>
              <w:rPr>
                <w:rFonts w:hint="eastAsia"/>
                <w:sz w:val="24"/>
                <w:szCs w:val="24"/>
              </w:rPr>
              <w:t>/a</w:t>
            </w:r>
            <w:r>
              <w:rPr>
                <w:sz w:val="24"/>
                <w:szCs w:val="24"/>
              </w:rPr>
              <w:t>，由</w:t>
            </w:r>
            <w:r>
              <w:rPr>
                <w:rFonts w:hint="eastAsia"/>
                <w:sz w:val="24"/>
                <w:szCs w:val="24"/>
              </w:rPr>
              <w:t>市政供水</w:t>
            </w:r>
            <w:r>
              <w:rPr>
                <w:sz w:val="24"/>
                <w:szCs w:val="24"/>
              </w:rPr>
              <w:t>管网接入厂区。</w:t>
            </w:r>
          </w:p>
          <w:p>
            <w:pPr>
              <w:spacing w:line="360" w:lineRule="auto"/>
              <w:ind w:left="-42" w:firstLine="520" w:firstLineChars="217"/>
              <w:rPr>
                <w:kern w:val="0"/>
                <w:sz w:val="24"/>
                <w:szCs w:val="22"/>
              </w:rPr>
            </w:pPr>
            <w:r>
              <w:rPr>
                <w:rFonts w:hint="eastAsia"/>
                <w:kern w:val="0"/>
                <w:sz w:val="24"/>
                <w:szCs w:val="22"/>
              </w:rPr>
              <w:t>（2）排水</w:t>
            </w:r>
          </w:p>
          <w:p>
            <w:pPr>
              <w:spacing w:line="360" w:lineRule="auto"/>
              <w:ind w:left="-42" w:firstLine="520" w:firstLineChars="217"/>
              <w:rPr>
                <w:kern w:val="0"/>
                <w:sz w:val="24"/>
                <w:szCs w:val="22"/>
              </w:rPr>
            </w:pPr>
            <w:r>
              <w:rPr>
                <w:rFonts w:hint="eastAsia"/>
                <w:sz w:val="24"/>
                <w:szCs w:val="24"/>
              </w:rPr>
              <w:t>本项目雨污分流，雨水依托常州中泽电力设备有限公司区现有</w:t>
            </w:r>
            <w:r>
              <w:rPr>
                <w:sz w:val="24"/>
                <w:szCs w:val="24"/>
              </w:rPr>
              <w:t>雨水管网排入</w:t>
            </w:r>
            <w:r>
              <w:rPr>
                <w:rFonts w:hint="eastAsia"/>
                <w:sz w:val="24"/>
                <w:szCs w:val="24"/>
              </w:rPr>
              <w:t>市政管网，最终汇入</w:t>
            </w:r>
            <w:r>
              <w:rPr>
                <w:rFonts w:hint="eastAsia"/>
                <w:sz w:val="24"/>
                <w:szCs w:val="24"/>
                <w:lang w:eastAsia="zh-CN"/>
              </w:rPr>
              <w:t>通济河</w:t>
            </w:r>
            <w:r>
              <w:rPr>
                <w:rFonts w:hint="eastAsia"/>
                <w:sz w:val="24"/>
                <w:szCs w:val="24"/>
              </w:rPr>
              <w:t>。项目排水仅为生活污水，生活污水排放量约为</w:t>
            </w:r>
            <w:r>
              <w:rPr>
                <w:rFonts w:hint="eastAsia"/>
                <w:sz w:val="24"/>
                <w:szCs w:val="24"/>
                <w:lang w:val="en-US" w:eastAsia="zh-CN"/>
              </w:rPr>
              <w:t>600</w:t>
            </w:r>
            <w:r>
              <w:rPr>
                <w:rFonts w:hint="eastAsia"/>
                <w:sz w:val="24"/>
                <w:szCs w:val="24"/>
              </w:rPr>
              <w:t>m</w:t>
            </w:r>
            <w:r>
              <w:rPr>
                <w:rFonts w:hint="eastAsia"/>
                <w:sz w:val="24"/>
                <w:szCs w:val="24"/>
                <w:vertAlign w:val="superscript"/>
              </w:rPr>
              <w:t>3</w:t>
            </w:r>
            <w:r>
              <w:rPr>
                <w:rFonts w:hint="eastAsia"/>
                <w:sz w:val="24"/>
                <w:szCs w:val="24"/>
              </w:rPr>
              <w:t>/a，生活污水经</w:t>
            </w:r>
            <w:r>
              <w:rPr>
                <w:rFonts w:hint="eastAsia"/>
                <w:sz w:val="24"/>
              </w:rPr>
              <w:t>化粪池</w:t>
            </w:r>
            <w:r>
              <w:rPr>
                <w:rFonts w:hint="eastAsia"/>
                <w:sz w:val="24"/>
                <w:szCs w:val="24"/>
              </w:rPr>
              <w:t>收集预处理后依托常州中泽电力设备有限公司现有污水管网排入市政污水管网，最终排入常州市金坛区直溪鑫鑫污水处理厂集中处理，达标排入通济河</w:t>
            </w:r>
            <w:r>
              <w:rPr>
                <w:rFonts w:hint="eastAsia"/>
                <w:kern w:val="0"/>
                <w:sz w:val="24"/>
                <w:szCs w:val="22"/>
              </w:rPr>
              <w:t>。</w:t>
            </w:r>
          </w:p>
          <w:p>
            <w:pPr>
              <w:spacing w:line="360" w:lineRule="auto"/>
              <w:ind w:left="-42" w:firstLine="520" w:firstLineChars="217"/>
              <w:rPr>
                <w:kern w:val="0"/>
                <w:sz w:val="24"/>
                <w:szCs w:val="22"/>
              </w:rPr>
            </w:pPr>
            <w:r>
              <w:rPr>
                <w:rFonts w:hint="eastAsia"/>
                <w:kern w:val="0"/>
                <w:sz w:val="24"/>
                <w:szCs w:val="22"/>
              </w:rPr>
              <w:t>（3）供电</w:t>
            </w:r>
          </w:p>
          <w:p>
            <w:pPr>
              <w:spacing w:line="360" w:lineRule="auto"/>
              <w:ind w:left="-42" w:firstLine="520" w:firstLineChars="217"/>
              <w:rPr>
                <w:sz w:val="24"/>
                <w:szCs w:val="24"/>
              </w:rPr>
            </w:pPr>
            <w:r>
              <w:rPr>
                <w:sz w:val="24"/>
                <w:szCs w:val="24"/>
              </w:rPr>
              <w:t>本项目利用</w:t>
            </w:r>
            <w:r>
              <w:rPr>
                <w:rFonts w:hint="eastAsia"/>
                <w:sz w:val="24"/>
                <w:szCs w:val="24"/>
              </w:rPr>
              <w:t>园区现有</w:t>
            </w:r>
            <w:r>
              <w:rPr>
                <w:sz w:val="24"/>
                <w:szCs w:val="24"/>
              </w:rPr>
              <w:t>供电管网，项目年用电量为</w:t>
            </w:r>
            <w:r>
              <w:rPr>
                <w:rFonts w:hint="eastAsia"/>
                <w:sz w:val="24"/>
                <w:szCs w:val="24"/>
                <w:lang w:val="en-US" w:eastAsia="zh-CN"/>
              </w:rPr>
              <w:t>3</w:t>
            </w:r>
            <w:r>
              <w:rPr>
                <w:rFonts w:hint="eastAsia"/>
                <w:sz w:val="24"/>
                <w:szCs w:val="24"/>
              </w:rPr>
              <w:t>万kWh</w:t>
            </w:r>
            <w:r>
              <w:rPr>
                <w:sz w:val="24"/>
                <w:szCs w:val="24"/>
              </w:rPr>
              <w:t>，由</w:t>
            </w:r>
            <w:r>
              <w:rPr>
                <w:rFonts w:hint="eastAsia"/>
                <w:sz w:val="24"/>
                <w:szCs w:val="24"/>
              </w:rPr>
              <w:t>市政</w:t>
            </w:r>
            <w:r>
              <w:rPr>
                <w:sz w:val="24"/>
                <w:szCs w:val="24"/>
              </w:rPr>
              <w:t>供电</w:t>
            </w:r>
            <w:r>
              <w:rPr>
                <w:rFonts w:hint="eastAsia"/>
                <w:sz w:val="24"/>
                <w:szCs w:val="24"/>
              </w:rPr>
              <w:t>电</w:t>
            </w:r>
            <w:r>
              <w:rPr>
                <w:sz w:val="24"/>
                <w:szCs w:val="24"/>
              </w:rPr>
              <w:t>网提供。</w:t>
            </w:r>
          </w:p>
          <w:p>
            <w:pPr>
              <w:spacing w:line="360" w:lineRule="auto"/>
              <w:ind w:left="-42" w:firstLine="520" w:firstLineChars="217"/>
              <w:rPr>
                <w:kern w:val="0"/>
                <w:sz w:val="24"/>
                <w:szCs w:val="22"/>
              </w:rPr>
            </w:pPr>
            <w:r>
              <w:rPr>
                <w:rFonts w:hint="eastAsia"/>
                <w:kern w:val="0"/>
                <w:sz w:val="24"/>
                <w:szCs w:val="22"/>
              </w:rPr>
              <w:t>（4）储运工程</w:t>
            </w:r>
          </w:p>
          <w:p>
            <w:pPr>
              <w:spacing w:line="360" w:lineRule="auto"/>
              <w:ind w:firstLine="480" w:firstLineChars="200"/>
              <w:rPr>
                <w:sz w:val="24"/>
                <w:szCs w:val="24"/>
              </w:rPr>
            </w:pPr>
            <w:r>
              <w:rPr>
                <w:sz w:val="24"/>
                <w:szCs w:val="24"/>
              </w:rPr>
              <w:t>运输：厂外运输</w:t>
            </w:r>
            <w:r>
              <w:rPr>
                <w:rFonts w:hint="eastAsia"/>
                <w:sz w:val="24"/>
                <w:szCs w:val="24"/>
              </w:rPr>
              <w:t>由原材料厂家配置</w:t>
            </w:r>
            <w:r>
              <w:rPr>
                <w:sz w:val="24"/>
                <w:szCs w:val="24"/>
              </w:rPr>
              <w:t>汽车运输，不足部分由社会运输协作解决；厂内</w:t>
            </w:r>
            <w:r>
              <w:rPr>
                <w:rFonts w:hint="eastAsia"/>
                <w:sz w:val="24"/>
                <w:szCs w:val="24"/>
              </w:rPr>
              <w:t>原料和成品由人工运送；运输量满足生产需求。</w:t>
            </w:r>
          </w:p>
          <w:p>
            <w:pPr>
              <w:spacing w:line="360" w:lineRule="auto"/>
              <w:ind w:firstLine="480" w:firstLineChars="200"/>
              <w:rPr>
                <w:sz w:val="24"/>
                <w:szCs w:val="24"/>
              </w:rPr>
            </w:pPr>
            <w:r>
              <w:rPr>
                <w:sz w:val="24"/>
                <w:szCs w:val="24"/>
              </w:rPr>
              <w:t>储存：</w:t>
            </w:r>
            <w:r>
              <w:rPr>
                <w:rFonts w:hint="eastAsia"/>
                <w:sz w:val="24"/>
                <w:szCs w:val="24"/>
              </w:rPr>
              <w:t>本项目车间</w:t>
            </w:r>
            <w:r>
              <w:rPr>
                <w:sz w:val="24"/>
                <w:szCs w:val="24"/>
              </w:rPr>
              <w:t>内</w:t>
            </w:r>
            <w:r>
              <w:rPr>
                <w:rFonts w:hint="eastAsia"/>
                <w:sz w:val="24"/>
                <w:szCs w:val="24"/>
              </w:rPr>
              <w:t>设置原料堆放区和成品堆放区，本项目不单独建设储存车间。</w:t>
            </w:r>
          </w:p>
          <w:p>
            <w:pPr>
              <w:spacing w:line="360" w:lineRule="auto"/>
              <w:ind w:firstLine="352" w:firstLineChars="147"/>
              <w:rPr>
                <w:sz w:val="24"/>
                <w:szCs w:val="24"/>
              </w:rPr>
            </w:pPr>
            <w:r>
              <w:rPr>
                <w:rFonts w:hint="eastAsia"/>
                <w:b/>
                <w:bCs/>
                <w:sz w:val="24"/>
              </w:rPr>
              <w:t xml:space="preserve"> </w:t>
            </w:r>
            <w:r>
              <w:rPr>
                <w:rFonts w:hint="eastAsia"/>
                <w:bCs/>
                <w:sz w:val="24"/>
              </w:rPr>
              <w:t>（5）</w:t>
            </w:r>
            <w:r>
              <w:rPr>
                <w:sz w:val="24"/>
                <w:szCs w:val="24"/>
              </w:rPr>
              <w:t>环保工程</w:t>
            </w:r>
          </w:p>
          <w:p>
            <w:pPr>
              <w:spacing w:line="360" w:lineRule="auto"/>
              <w:ind w:firstLine="480" w:firstLineChars="200"/>
              <w:rPr>
                <w:sz w:val="24"/>
                <w:szCs w:val="24"/>
              </w:rPr>
            </w:pPr>
            <w:r>
              <w:rPr>
                <w:rFonts w:hint="eastAsia"/>
                <w:sz w:val="24"/>
                <w:szCs w:val="24"/>
              </w:rPr>
              <w:t>废气治理：运行期废气主要为</w:t>
            </w:r>
            <w:r>
              <w:rPr>
                <w:rFonts w:hint="eastAsia"/>
                <w:sz w:val="24"/>
                <w:szCs w:val="24"/>
                <w:lang w:eastAsia="zh-CN"/>
              </w:rPr>
              <w:t>天然气燃烧废气、喷塑粉尘、固化废气</w:t>
            </w:r>
            <w:r>
              <w:rPr>
                <w:rFonts w:hint="eastAsia"/>
                <w:sz w:val="24"/>
                <w:szCs w:val="24"/>
              </w:rPr>
              <w:t>。</w:t>
            </w:r>
          </w:p>
          <w:p>
            <w:pPr>
              <w:spacing w:line="360" w:lineRule="auto"/>
              <w:ind w:firstLine="480" w:firstLineChars="200"/>
              <w:rPr>
                <w:sz w:val="24"/>
                <w:szCs w:val="24"/>
              </w:rPr>
            </w:pPr>
            <w:r>
              <w:rPr>
                <w:rFonts w:hint="eastAsia"/>
                <w:sz w:val="24"/>
                <w:szCs w:val="24"/>
              </w:rPr>
              <w:t>本项目天然气经低氮燃烧</w:t>
            </w:r>
            <w:r>
              <w:rPr>
                <w:rFonts w:hint="eastAsia"/>
                <w:sz w:val="24"/>
                <w:szCs w:val="24"/>
                <w:lang w:eastAsia="zh-CN"/>
              </w:rPr>
              <w:t>装置燃烧</w:t>
            </w:r>
            <w:r>
              <w:rPr>
                <w:rFonts w:hint="eastAsia"/>
                <w:sz w:val="24"/>
                <w:szCs w:val="24"/>
              </w:rPr>
              <w:t>后产生废气经15m（1#）排气筒排放；喷塑粉尘经滤芯除尘器处理后</w:t>
            </w:r>
            <w:r>
              <w:rPr>
                <w:rFonts w:hint="eastAsia"/>
                <w:sz w:val="24"/>
                <w:szCs w:val="24"/>
                <w:lang w:eastAsia="zh-CN"/>
              </w:rPr>
              <w:t>通过</w:t>
            </w:r>
            <w:r>
              <w:rPr>
                <w:rFonts w:hint="eastAsia"/>
                <w:sz w:val="24"/>
                <w:szCs w:val="24"/>
              </w:rPr>
              <w:t>15m（1#）排气筒排放；固化废气经“冷却器+二级活性炭吸附装置”处理后通过15m（1#）排气筒排放。</w:t>
            </w:r>
          </w:p>
          <w:p>
            <w:pPr>
              <w:spacing w:line="360" w:lineRule="auto"/>
              <w:ind w:firstLine="480" w:firstLineChars="200"/>
              <w:rPr>
                <w:sz w:val="24"/>
                <w:szCs w:val="24"/>
              </w:rPr>
            </w:pPr>
            <w:r>
              <w:rPr>
                <w:sz w:val="24"/>
                <w:szCs w:val="24"/>
              </w:rPr>
              <w:t>废水治理：</w:t>
            </w:r>
            <w:r>
              <w:rPr>
                <w:rFonts w:hint="eastAsia"/>
                <w:sz w:val="24"/>
                <w:szCs w:val="24"/>
              </w:rPr>
              <w:t>雨水依托常州中泽电力设备有限公司现有</w:t>
            </w:r>
            <w:r>
              <w:rPr>
                <w:sz w:val="24"/>
                <w:szCs w:val="24"/>
              </w:rPr>
              <w:t>雨水管网排入</w:t>
            </w:r>
            <w:r>
              <w:rPr>
                <w:rFonts w:hint="eastAsia"/>
                <w:sz w:val="24"/>
                <w:szCs w:val="24"/>
              </w:rPr>
              <w:t>市政管网，最终汇入</w:t>
            </w:r>
            <w:r>
              <w:rPr>
                <w:rFonts w:hint="eastAsia"/>
                <w:sz w:val="24"/>
                <w:szCs w:val="24"/>
                <w:lang w:eastAsia="zh-CN"/>
              </w:rPr>
              <w:t>通济河</w:t>
            </w:r>
            <w:r>
              <w:rPr>
                <w:rFonts w:hint="eastAsia"/>
                <w:sz w:val="24"/>
                <w:szCs w:val="24"/>
              </w:rPr>
              <w:t>；生活污水经</w:t>
            </w:r>
            <w:r>
              <w:rPr>
                <w:rFonts w:hint="eastAsia"/>
                <w:sz w:val="24"/>
              </w:rPr>
              <w:t>化粪池</w:t>
            </w:r>
            <w:r>
              <w:rPr>
                <w:rFonts w:hint="eastAsia"/>
                <w:sz w:val="24"/>
                <w:szCs w:val="24"/>
              </w:rPr>
              <w:t>收集预处理后依托常州中泽电力设备有限公司现有污水管网排入市政污水管网，最终排入常州市金坛区直溪鑫鑫污水处理厂集中处理，达标排入通济河</w:t>
            </w:r>
            <w:r>
              <w:rPr>
                <w:rFonts w:hint="eastAsia"/>
                <w:kern w:val="0"/>
                <w:sz w:val="24"/>
                <w:szCs w:val="22"/>
              </w:rPr>
              <w:t>。</w:t>
            </w:r>
          </w:p>
          <w:p>
            <w:pPr>
              <w:spacing w:line="360" w:lineRule="auto"/>
              <w:ind w:firstLine="480" w:firstLineChars="200"/>
              <w:rPr>
                <w:sz w:val="24"/>
                <w:szCs w:val="24"/>
              </w:rPr>
            </w:pPr>
            <w:r>
              <w:rPr>
                <w:sz w:val="24"/>
                <w:szCs w:val="24"/>
              </w:rPr>
              <w:t>噪声治理：尽量采用低噪声设备，对高噪声设备采取基础减振隔声</w:t>
            </w:r>
            <w:r>
              <w:rPr>
                <w:rFonts w:hint="eastAsia"/>
                <w:sz w:val="24"/>
                <w:szCs w:val="24"/>
              </w:rPr>
              <w:t>措施，厂界噪声满足</w:t>
            </w:r>
            <w:r>
              <w:rPr>
                <w:spacing w:val="-6"/>
                <w:sz w:val="24"/>
              </w:rPr>
              <w:t>《工业企业厂界环境噪声排放标准》（GB12348-2008）表1中</w:t>
            </w:r>
            <w:r>
              <w:rPr>
                <w:rFonts w:hint="eastAsia"/>
                <w:spacing w:val="-6"/>
                <w:sz w:val="24"/>
              </w:rPr>
              <w:t>3</w:t>
            </w:r>
            <w:r>
              <w:rPr>
                <w:spacing w:val="-6"/>
                <w:sz w:val="24"/>
              </w:rPr>
              <w:t>类区标准</w:t>
            </w:r>
            <w:r>
              <w:rPr>
                <w:rFonts w:hint="eastAsia"/>
                <w:spacing w:val="-6"/>
                <w:sz w:val="24"/>
                <w:lang w:eastAsia="zh-CN"/>
              </w:rPr>
              <w:t>限值</w:t>
            </w:r>
            <w:r>
              <w:rPr>
                <w:sz w:val="24"/>
                <w:szCs w:val="24"/>
              </w:rPr>
              <w:t>。</w:t>
            </w:r>
          </w:p>
          <w:p>
            <w:pPr>
              <w:spacing w:line="360" w:lineRule="auto"/>
              <w:ind w:firstLine="480" w:firstLineChars="200"/>
              <w:rPr>
                <w:sz w:val="24"/>
                <w:szCs w:val="24"/>
              </w:rPr>
            </w:pPr>
            <w:r>
              <w:rPr>
                <w:rFonts w:hint="eastAsia"/>
                <w:sz w:val="24"/>
                <w:szCs w:val="24"/>
              </w:rPr>
              <w:t>固废治理：生产车间内设置一般固废仓库和危险废物仓库，一般固废仓库建筑面积为1</w:t>
            </w:r>
            <w:r>
              <w:rPr>
                <w:rFonts w:hint="eastAsia"/>
                <w:sz w:val="24"/>
                <w:szCs w:val="24"/>
                <w:lang w:val="en-US" w:eastAsia="zh-CN"/>
              </w:rPr>
              <w:t>0</w:t>
            </w:r>
            <w:r>
              <w:rPr>
                <w:rFonts w:hint="eastAsia"/>
                <w:sz w:val="24"/>
                <w:szCs w:val="24"/>
              </w:rPr>
              <w:t>m</w:t>
            </w:r>
            <w:r>
              <w:rPr>
                <w:rFonts w:hint="eastAsia"/>
                <w:sz w:val="24"/>
                <w:szCs w:val="24"/>
                <w:vertAlign w:val="superscript"/>
              </w:rPr>
              <w:t>2</w:t>
            </w:r>
            <w:r>
              <w:rPr>
                <w:rFonts w:hint="eastAsia"/>
                <w:sz w:val="24"/>
                <w:szCs w:val="24"/>
              </w:rPr>
              <w:t>，危险废物仓库面积为1</w:t>
            </w:r>
            <w:r>
              <w:rPr>
                <w:rFonts w:hint="eastAsia"/>
                <w:sz w:val="24"/>
                <w:szCs w:val="24"/>
                <w:lang w:val="en-US" w:eastAsia="zh-CN"/>
              </w:rPr>
              <w:t>0</w:t>
            </w:r>
            <w:r>
              <w:rPr>
                <w:rFonts w:hint="eastAsia"/>
                <w:sz w:val="24"/>
                <w:szCs w:val="24"/>
              </w:rPr>
              <w:t>m</w:t>
            </w:r>
            <w:r>
              <w:rPr>
                <w:rFonts w:hint="eastAsia"/>
                <w:sz w:val="24"/>
                <w:szCs w:val="24"/>
                <w:vertAlign w:val="superscript"/>
              </w:rPr>
              <w:t>2</w:t>
            </w:r>
            <w:r>
              <w:rPr>
                <w:rFonts w:hint="eastAsia"/>
                <w:sz w:val="24"/>
                <w:szCs w:val="24"/>
              </w:rPr>
              <w:t>。</w:t>
            </w:r>
          </w:p>
          <w:p>
            <w:pPr>
              <w:tabs>
                <w:tab w:val="left" w:pos="2730"/>
              </w:tabs>
              <w:spacing w:line="360" w:lineRule="auto"/>
              <w:ind w:firstLine="480" w:firstLineChars="200"/>
              <w:rPr>
                <w:b/>
                <w:kern w:val="0"/>
                <w:sz w:val="24"/>
                <w:szCs w:val="22"/>
              </w:rPr>
            </w:pPr>
            <w:r>
              <w:rPr>
                <w:rFonts w:hint="eastAsia"/>
                <w:b/>
                <w:kern w:val="0"/>
                <w:sz w:val="24"/>
                <w:szCs w:val="22"/>
              </w:rPr>
              <w:t>5、选址合理性与产业政策相符性分析</w:t>
            </w:r>
          </w:p>
          <w:p>
            <w:pPr>
              <w:tabs>
                <w:tab w:val="left" w:pos="2730"/>
              </w:tabs>
              <w:spacing w:line="360" w:lineRule="auto"/>
              <w:ind w:firstLine="480" w:firstLineChars="200"/>
              <w:rPr>
                <w:b/>
                <w:bCs/>
                <w:sz w:val="24"/>
              </w:rPr>
            </w:pPr>
            <w:r>
              <w:rPr>
                <w:rFonts w:hint="eastAsia"/>
                <w:b/>
                <w:bCs/>
                <w:sz w:val="24"/>
              </w:rPr>
              <w:t>①</w:t>
            </w:r>
            <w:r>
              <w:rPr>
                <w:rFonts w:hint="eastAsia"/>
                <w:b/>
                <w:bCs/>
                <w:kern w:val="0"/>
                <w:sz w:val="24"/>
                <w:szCs w:val="22"/>
              </w:rPr>
              <w:t>选址合理性分析</w:t>
            </w:r>
          </w:p>
          <w:p>
            <w:pPr>
              <w:tabs>
                <w:tab w:val="left" w:pos="2730"/>
              </w:tabs>
              <w:spacing w:line="360" w:lineRule="auto"/>
              <w:ind w:firstLine="480" w:firstLineChars="200"/>
              <w:rPr>
                <w:sz w:val="24"/>
              </w:rPr>
            </w:pPr>
            <w:r>
              <w:rPr>
                <w:rFonts w:hint="eastAsia"/>
                <w:sz w:val="24"/>
              </w:rPr>
              <w:t>项目位于</w:t>
            </w:r>
            <w:r>
              <w:rPr>
                <w:rFonts w:hint="eastAsia"/>
                <w:spacing w:val="-4"/>
                <w:sz w:val="24"/>
              </w:rPr>
              <w:t>常州市金坛区直溪镇工业园区水南路18号</w:t>
            </w:r>
            <w:r>
              <w:rPr>
                <w:rFonts w:hint="eastAsia"/>
                <w:sz w:val="24"/>
              </w:rPr>
              <w:t>，其选址交通便利、水电通信等基础设施齐全，因此项目选址合理可行。</w:t>
            </w:r>
          </w:p>
          <w:p>
            <w:pPr>
              <w:tabs>
                <w:tab w:val="left" w:pos="2730"/>
              </w:tabs>
              <w:spacing w:line="360" w:lineRule="auto"/>
              <w:ind w:firstLine="480" w:firstLineChars="200"/>
              <w:rPr>
                <w:b/>
                <w:bCs/>
                <w:sz w:val="24"/>
              </w:rPr>
            </w:pPr>
            <w:r>
              <w:rPr>
                <w:rFonts w:hint="eastAsia"/>
                <w:b/>
                <w:bCs/>
                <w:sz w:val="24"/>
              </w:rPr>
              <w:t>②产业政策相符性分析</w:t>
            </w:r>
          </w:p>
          <w:p>
            <w:pPr>
              <w:tabs>
                <w:tab w:val="left" w:pos="2730"/>
              </w:tabs>
              <w:spacing w:line="360" w:lineRule="auto"/>
              <w:ind w:firstLine="480" w:firstLineChars="200"/>
              <w:rPr>
                <w:sz w:val="24"/>
              </w:rPr>
            </w:pPr>
            <w:r>
              <w:rPr>
                <w:rFonts w:hint="eastAsia"/>
                <w:sz w:val="24"/>
              </w:rPr>
              <w:t>本项目为</w:t>
            </w:r>
            <w:r>
              <w:rPr>
                <w:rFonts w:hint="eastAsia"/>
                <w:sz w:val="24"/>
                <w:szCs w:val="24"/>
                <w:lang w:eastAsia="zh-CN"/>
              </w:rPr>
              <w:t>C3499 其他未列明通用设备制造业</w:t>
            </w:r>
            <w:r>
              <w:rPr>
                <w:rFonts w:hint="eastAsia"/>
                <w:sz w:val="24"/>
                <w:szCs w:val="24"/>
              </w:rPr>
              <w:t>，</w:t>
            </w:r>
            <w:r>
              <w:rPr>
                <w:rFonts w:hint="eastAsia"/>
                <w:snapToGrid w:val="0"/>
                <w:sz w:val="24"/>
              </w:rPr>
              <w:t>根据《产业结构调整指导目录（2019）》（2020年1月1日实施），本项目不属于</w:t>
            </w:r>
            <w:r>
              <w:rPr>
                <w:sz w:val="24"/>
              </w:rPr>
              <w:t>其限制类或淘汰类项目，属于允许建设项目，因此，本项目的建设符合国家产业政策要求。</w:t>
            </w:r>
          </w:p>
          <w:p>
            <w:pPr>
              <w:tabs>
                <w:tab w:val="left" w:pos="2730"/>
              </w:tabs>
              <w:spacing w:line="360" w:lineRule="auto"/>
              <w:ind w:firstLine="480" w:firstLineChars="200"/>
              <w:rPr>
                <w:snapToGrid w:val="0"/>
                <w:sz w:val="24"/>
              </w:rPr>
            </w:pPr>
            <w:r>
              <w:rPr>
                <w:rFonts w:hint="eastAsia"/>
                <w:snapToGrid w:val="0"/>
                <w:sz w:val="24"/>
              </w:rPr>
              <w:t>根据《江苏省工业和信息产业结构调整指导目录》（苏政办发</w:t>
            </w:r>
            <w:r>
              <w:rPr>
                <w:rFonts w:hint="eastAsia"/>
                <w:snapToGrid w:val="0"/>
                <w:sz w:val="24"/>
                <w:lang w:eastAsia="zh-CN"/>
              </w:rPr>
              <w:t>〔</w:t>
            </w:r>
            <w:r>
              <w:rPr>
                <w:snapToGrid w:val="0"/>
                <w:sz w:val="24"/>
              </w:rPr>
              <w:t>2013</w:t>
            </w:r>
            <w:r>
              <w:rPr>
                <w:rFonts w:hint="eastAsia"/>
                <w:snapToGrid w:val="0"/>
                <w:sz w:val="24"/>
                <w:lang w:eastAsia="zh-CN"/>
              </w:rPr>
              <w:t>〕</w:t>
            </w:r>
            <w:r>
              <w:rPr>
                <w:snapToGrid w:val="0"/>
                <w:sz w:val="24"/>
              </w:rPr>
              <w:t>9号</w:t>
            </w:r>
            <w:r>
              <w:rPr>
                <w:rFonts w:hint="eastAsia"/>
                <w:snapToGrid w:val="0"/>
                <w:sz w:val="24"/>
              </w:rPr>
              <w:t>），《关于加快全省化工钢铁煤电行业转型升级高质量发展的实施意见》（苏办发〔2018〕32号）附件3《江苏省产业结构调整限制、淘汰和禁止目录》、《关于修改</w:t>
            </w:r>
            <w:r>
              <w:rPr>
                <w:snapToGrid w:val="0"/>
                <w:sz w:val="24"/>
              </w:rPr>
              <w:t>&lt;</w:t>
            </w:r>
            <w:r>
              <w:rPr>
                <w:rFonts w:hint="eastAsia"/>
                <w:snapToGrid w:val="0"/>
                <w:sz w:val="24"/>
              </w:rPr>
              <w:t>江苏省工业和信息产业结构调整指导目录（</w:t>
            </w:r>
            <w:r>
              <w:rPr>
                <w:snapToGrid w:val="0"/>
                <w:sz w:val="24"/>
              </w:rPr>
              <w:t>2012</w:t>
            </w:r>
            <w:r>
              <w:rPr>
                <w:rFonts w:hint="eastAsia"/>
                <w:snapToGrid w:val="0"/>
                <w:sz w:val="24"/>
              </w:rPr>
              <w:t>年本）</w:t>
            </w:r>
            <w:r>
              <w:rPr>
                <w:snapToGrid w:val="0"/>
                <w:sz w:val="24"/>
              </w:rPr>
              <w:t>&gt;</w:t>
            </w:r>
            <w:r>
              <w:rPr>
                <w:rFonts w:hint="eastAsia"/>
                <w:snapToGrid w:val="0"/>
                <w:sz w:val="24"/>
              </w:rPr>
              <w:t>部分条目的通知》，苏经信产业</w:t>
            </w:r>
            <w:r>
              <w:rPr>
                <w:rFonts w:hint="eastAsia"/>
                <w:snapToGrid w:val="0"/>
                <w:sz w:val="24"/>
                <w:lang w:eastAsia="zh-CN"/>
              </w:rPr>
              <w:t>〔</w:t>
            </w:r>
            <w:r>
              <w:rPr>
                <w:snapToGrid w:val="0"/>
                <w:sz w:val="24"/>
              </w:rPr>
              <w:t>2013</w:t>
            </w:r>
            <w:r>
              <w:rPr>
                <w:rFonts w:hint="eastAsia"/>
                <w:snapToGrid w:val="0"/>
                <w:sz w:val="24"/>
                <w:lang w:eastAsia="zh-CN"/>
              </w:rPr>
              <w:t>〕</w:t>
            </w:r>
            <w:r>
              <w:rPr>
                <w:snapToGrid w:val="0"/>
                <w:sz w:val="24"/>
              </w:rPr>
              <w:t>183</w:t>
            </w:r>
            <w:r>
              <w:rPr>
                <w:rFonts w:hint="eastAsia"/>
                <w:snapToGrid w:val="0"/>
                <w:sz w:val="24"/>
              </w:rPr>
              <w:t>号，</w:t>
            </w:r>
            <w:r>
              <w:rPr>
                <w:snapToGrid w:val="0"/>
                <w:sz w:val="24"/>
              </w:rPr>
              <w:t>2013</w:t>
            </w:r>
            <w:r>
              <w:rPr>
                <w:rFonts w:hint="eastAsia"/>
                <w:snapToGrid w:val="0"/>
                <w:sz w:val="24"/>
              </w:rPr>
              <w:t>年</w:t>
            </w:r>
            <w:r>
              <w:rPr>
                <w:snapToGrid w:val="0"/>
                <w:sz w:val="24"/>
              </w:rPr>
              <w:t>3</w:t>
            </w:r>
            <w:r>
              <w:rPr>
                <w:rFonts w:hint="eastAsia"/>
                <w:snapToGrid w:val="0"/>
                <w:sz w:val="24"/>
              </w:rPr>
              <w:t>月</w:t>
            </w:r>
            <w:r>
              <w:rPr>
                <w:snapToGrid w:val="0"/>
                <w:sz w:val="24"/>
              </w:rPr>
              <w:t>15</w:t>
            </w:r>
            <w:r>
              <w:rPr>
                <w:rFonts w:hint="eastAsia"/>
                <w:snapToGrid w:val="0"/>
                <w:sz w:val="24"/>
              </w:rPr>
              <w:t>日）</w:t>
            </w:r>
            <w:r>
              <w:rPr>
                <w:sz w:val="24"/>
              </w:rPr>
              <w:t>，本项目不属于目录中的限制类</w:t>
            </w:r>
            <w:r>
              <w:rPr>
                <w:rFonts w:hint="eastAsia"/>
                <w:sz w:val="24"/>
              </w:rPr>
              <w:t>、禁止类</w:t>
            </w:r>
            <w:r>
              <w:rPr>
                <w:sz w:val="24"/>
              </w:rPr>
              <w:t>和淘汰类，属于允许类建设项目</w:t>
            </w:r>
            <w:r>
              <w:rPr>
                <w:rFonts w:hint="eastAsia"/>
                <w:snapToGrid w:val="0"/>
                <w:sz w:val="24"/>
              </w:rPr>
              <w:t>。</w:t>
            </w:r>
          </w:p>
          <w:p>
            <w:pPr>
              <w:tabs>
                <w:tab w:val="left" w:pos="2730"/>
              </w:tabs>
              <w:spacing w:line="360" w:lineRule="auto"/>
              <w:ind w:firstLine="480" w:firstLineChars="200"/>
              <w:rPr>
                <w:sz w:val="24"/>
              </w:rPr>
            </w:pPr>
            <w:r>
              <w:rPr>
                <w:rFonts w:hint="eastAsia"/>
                <w:sz w:val="24"/>
              </w:rPr>
              <w:t>根据《市场准入负面清单》（2</w:t>
            </w:r>
            <w:r>
              <w:rPr>
                <w:sz w:val="24"/>
              </w:rPr>
              <w:t>018</w:t>
            </w:r>
            <w:r>
              <w:rPr>
                <w:rFonts w:hint="eastAsia"/>
                <w:sz w:val="24"/>
              </w:rPr>
              <w:t>版），本项目不属于</w:t>
            </w:r>
            <w:r>
              <w:rPr>
                <w:rFonts w:hint="eastAsia"/>
                <w:sz w:val="24"/>
                <w:lang w:eastAsia="zh-CN"/>
              </w:rPr>
              <w:t>“</w:t>
            </w:r>
            <w:r>
              <w:rPr>
                <w:rFonts w:hint="eastAsia"/>
                <w:sz w:val="24"/>
              </w:rPr>
              <w:t>禁止准入类</w:t>
            </w:r>
            <w:r>
              <w:rPr>
                <w:rFonts w:hint="eastAsia"/>
                <w:sz w:val="24"/>
                <w:lang w:eastAsia="zh-CN"/>
              </w:rPr>
              <w:t>”</w:t>
            </w:r>
            <w:r>
              <w:rPr>
                <w:rFonts w:hint="eastAsia"/>
                <w:sz w:val="24"/>
              </w:rPr>
              <w:t>。</w:t>
            </w:r>
          </w:p>
          <w:p>
            <w:pPr>
              <w:tabs>
                <w:tab w:val="left" w:pos="2730"/>
              </w:tabs>
              <w:spacing w:line="360" w:lineRule="auto"/>
              <w:ind w:firstLine="480" w:firstLineChars="200"/>
              <w:rPr>
                <w:sz w:val="24"/>
                <w:szCs w:val="24"/>
              </w:rPr>
            </w:pPr>
            <w:r>
              <w:rPr>
                <w:sz w:val="24"/>
                <w:szCs w:val="24"/>
              </w:rPr>
              <w:t>建设项目已于</w:t>
            </w:r>
            <w:r>
              <w:rPr>
                <w:rFonts w:hint="eastAsia"/>
                <w:sz w:val="24"/>
                <w:szCs w:val="24"/>
                <w:lang w:eastAsia="zh-CN"/>
              </w:rPr>
              <w:t>2019年11月13日</w:t>
            </w:r>
            <w:r>
              <w:rPr>
                <w:sz w:val="24"/>
                <w:szCs w:val="24"/>
              </w:rPr>
              <w:t>通过</w:t>
            </w:r>
            <w:r>
              <w:rPr>
                <w:rFonts w:hint="eastAsia"/>
                <w:sz w:val="24"/>
              </w:rPr>
              <w:t>江苏省金坛区发展和改革委员会</w:t>
            </w:r>
            <w:r>
              <w:rPr>
                <w:sz w:val="24"/>
              </w:rPr>
              <w:t>备案，并准予开展有关工作</w:t>
            </w:r>
            <w:r>
              <w:rPr>
                <w:sz w:val="24"/>
                <w:szCs w:val="24"/>
              </w:rPr>
              <w:t>（企业投资项目备案通知书见附件</w:t>
            </w:r>
            <w:r>
              <w:rPr>
                <w:rFonts w:hint="eastAsia"/>
                <w:sz w:val="24"/>
                <w:szCs w:val="24"/>
              </w:rPr>
              <w:t>一</w:t>
            </w:r>
            <w:r>
              <w:rPr>
                <w:sz w:val="24"/>
                <w:szCs w:val="24"/>
              </w:rPr>
              <w:t>）。</w:t>
            </w:r>
          </w:p>
          <w:p>
            <w:pPr>
              <w:tabs>
                <w:tab w:val="left" w:pos="2730"/>
              </w:tabs>
              <w:spacing w:line="360" w:lineRule="auto"/>
              <w:ind w:firstLine="480" w:firstLineChars="200"/>
              <w:rPr>
                <w:sz w:val="24"/>
              </w:rPr>
            </w:pPr>
            <w:r>
              <w:rPr>
                <w:rFonts w:hint="eastAsia"/>
                <w:sz w:val="24"/>
              </w:rPr>
              <w:t>综上</w:t>
            </w:r>
            <w:r>
              <w:rPr>
                <w:sz w:val="24"/>
              </w:rPr>
              <w:t>，本项目的建设符合</w:t>
            </w:r>
            <w:r>
              <w:rPr>
                <w:rFonts w:hint="eastAsia"/>
                <w:sz w:val="24"/>
              </w:rPr>
              <w:t>相关</w:t>
            </w:r>
            <w:r>
              <w:rPr>
                <w:sz w:val="24"/>
              </w:rPr>
              <w:t>产业政策要求。</w:t>
            </w:r>
          </w:p>
          <w:p>
            <w:pPr>
              <w:tabs>
                <w:tab w:val="left" w:pos="960"/>
                <w:tab w:val="left" w:pos="2730"/>
              </w:tabs>
              <w:spacing w:line="360" w:lineRule="auto"/>
              <w:ind w:firstLine="464" w:firstLineChars="200"/>
              <w:rPr>
                <w:b/>
                <w:bCs/>
                <w:spacing w:val="-4"/>
                <w:sz w:val="24"/>
              </w:rPr>
            </w:pPr>
            <w:r>
              <w:rPr>
                <w:rFonts w:hint="eastAsia"/>
                <w:b/>
                <w:bCs/>
                <w:spacing w:val="-4"/>
                <w:sz w:val="24"/>
              </w:rPr>
              <w:t>③与用地规划的相符性分析</w:t>
            </w:r>
          </w:p>
          <w:p>
            <w:pPr>
              <w:tabs>
                <w:tab w:val="left" w:pos="2730"/>
              </w:tabs>
              <w:spacing w:line="360" w:lineRule="auto"/>
              <w:ind w:left="-4" w:leftChars="-2" w:firstLine="464" w:firstLineChars="200"/>
              <w:rPr>
                <w:spacing w:val="-4"/>
                <w:sz w:val="24"/>
              </w:rPr>
            </w:pPr>
            <w:r>
              <w:rPr>
                <w:rFonts w:hint="eastAsia"/>
                <w:spacing w:val="-4"/>
                <w:sz w:val="24"/>
              </w:rPr>
              <w:t>本项目厂区位于常州市金坛区直溪镇工业园区水南路18号，根据土地证，为工业用地。项目不属于《限制用地项目目录（2012年本）》、《禁止用地项目目录（2012年本）》、《江苏省限制用地项目目录（2013年本）》及《江苏省禁止用地项目目录（2013年本）》中的限制和禁止用地项目，且项目周边范围内无矿床、文物古迹和军事设施达到环保准入、投入强度、消防安全等相关规定，因此，本项目选址合理。</w:t>
            </w:r>
          </w:p>
          <w:p>
            <w:pPr>
              <w:tabs>
                <w:tab w:val="left" w:pos="2730"/>
              </w:tabs>
              <w:spacing w:line="360" w:lineRule="auto"/>
              <w:ind w:left="-4" w:leftChars="-2" w:firstLine="464" w:firstLineChars="200"/>
              <w:rPr>
                <w:b/>
                <w:sz w:val="24"/>
                <w:szCs w:val="24"/>
              </w:rPr>
            </w:pPr>
            <w:r>
              <w:rPr>
                <w:rFonts w:hint="eastAsia"/>
                <w:spacing w:val="-4"/>
                <w:sz w:val="24"/>
              </w:rPr>
              <w:t>综上，本项目符合国家、地方产业政策，符合相关环保法规，项目选址符合区域总体规划。</w:t>
            </w:r>
          </w:p>
          <w:p>
            <w:pPr>
              <w:tabs>
                <w:tab w:val="left" w:pos="960"/>
                <w:tab w:val="left" w:pos="2730"/>
              </w:tabs>
              <w:spacing w:line="360" w:lineRule="auto"/>
              <w:ind w:firstLine="464" w:firstLineChars="200"/>
              <w:rPr>
                <w:b/>
                <w:bCs/>
                <w:spacing w:val="-4"/>
                <w:sz w:val="24"/>
              </w:rPr>
            </w:pPr>
            <w:r>
              <w:rPr>
                <w:rFonts w:hint="eastAsia"/>
                <w:b/>
                <w:bCs/>
                <w:spacing w:val="-4"/>
                <w:sz w:val="24"/>
              </w:rPr>
              <w:t>④与《金坛市直溪工业园控制性详细规划》相符性分析</w:t>
            </w:r>
          </w:p>
          <w:p>
            <w:pPr>
              <w:tabs>
                <w:tab w:val="left" w:pos="960"/>
                <w:tab w:val="left" w:pos="2730"/>
              </w:tabs>
              <w:spacing w:line="360" w:lineRule="auto"/>
              <w:ind w:firstLine="464" w:firstLineChars="200"/>
              <w:rPr>
                <w:spacing w:val="-4"/>
                <w:sz w:val="24"/>
              </w:rPr>
            </w:pPr>
            <w:r>
              <w:rPr>
                <w:rFonts w:hint="eastAsia"/>
                <w:spacing w:val="-4"/>
                <w:sz w:val="24"/>
              </w:rPr>
              <w:t>本项目位于常州市金坛区直溪镇工业园区水南路18号，根据《金坛市直溪工业园控制性详细规划》，项目所在地已规划为工业用地；本项目</w:t>
            </w:r>
            <w:r>
              <w:rPr>
                <w:rFonts w:hint="eastAsia"/>
                <w:spacing w:val="-4"/>
                <w:sz w:val="24"/>
                <w:lang w:eastAsia="zh-CN"/>
              </w:rPr>
              <w:t>从事机械零部件、设备</w:t>
            </w:r>
            <w:r>
              <w:rPr>
                <w:rFonts w:hint="eastAsia"/>
                <w:spacing w:val="-4"/>
                <w:sz w:val="24"/>
              </w:rPr>
              <w:t>生产，符合金坛区直溪镇工业集中区以发展一类工业为主、适当发展二类工业，优先发展高新技术产业的产业规划；且项目所在地区域给水、排水、供电、道路交通等基础设施完备，具备污染集中控制条件，符合区域环保规划要求。</w:t>
            </w:r>
          </w:p>
          <w:p>
            <w:pPr>
              <w:tabs>
                <w:tab w:val="left" w:pos="960"/>
                <w:tab w:val="left" w:pos="2730"/>
              </w:tabs>
              <w:spacing w:line="360" w:lineRule="auto"/>
              <w:ind w:firstLine="464" w:firstLineChars="200"/>
              <w:rPr>
                <w:b/>
                <w:bCs/>
                <w:spacing w:val="-4"/>
                <w:sz w:val="24"/>
                <w:szCs w:val="22"/>
              </w:rPr>
            </w:pPr>
            <w:r>
              <w:rPr>
                <w:rFonts w:hint="eastAsia"/>
                <w:b/>
                <w:bCs/>
                <w:spacing w:val="-4"/>
                <w:sz w:val="24"/>
                <w:szCs w:val="22"/>
              </w:rPr>
              <w:t>⑤与相关文件相符性分析</w:t>
            </w:r>
          </w:p>
          <w:p>
            <w:pPr>
              <w:pStyle w:val="24"/>
              <w:ind w:firstLine="0" w:firstLineChars="0"/>
              <w:jc w:val="center"/>
              <w:rPr>
                <w:rFonts w:ascii="Times New Roman" w:hAnsi="Times New Roman"/>
                <w:b/>
                <w:bCs/>
                <w:sz w:val="24"/>
                <w:szCs w:val="24"/>
              </w:rPr>
            </w:pPr>
            <w:r>
              <w:rPr>
                <w:rFonts w:ascii="Times New Roman" w:hAnsi="Times New Roman"/>
                <w:b/>
                <w:bCs/>
                <w:sz w:val="24"/>
                <w:szCs w:val="24"/>
              </w:rPr>
              <w:t>表1-6  本项目与相关文件的相符性分析</w:t>
            </w:r>
          </w:p>
          <w:tbl>
            <w:tblPr>
              <w:tblStyle w:val="17"/>
              <w:tblW w:w="831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69"/>
              <w:gridCol w:w="2981"/>
              <w:gridCol w:w="3243"/>
              <w:gridCol w:w="101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69" w:type="dxa"/>
                  <w:vAlign w:val="center"/>
                </w:tcPr>
                <w:p>
                  <w:pPr>
                    <w:pStyle w:val="36"/>
                    <w:spacing w:line="240" w:lineRule="auto"/>
                    <w:rPr>
                      <w:rFonts w:eastAsia="宋体"/>
                      <w:b/>
                      <w:szCs w:val="21"/>
                    </w:rPr>
                  </w:pPr>
                  <w:r>
                    <w:rPr>
                      <w:rFonts w:eastAsia="宋体"/>
                      <w:b/>
                      <w:szCs w:val="21"/>
                    </w:rPr>
                    <w:t>文件</w:t>
                  </w:r>
                </w:p>
              </w:tc>
              <w:tc>
                <w:tcPr>
                  <w:tcW w:w="2981" w:type="dxa"/>
                  <w:vAlign w:val="center"/>
                </w:tcPr>
                <w:p>
                  <w:pPr>
                    <w:pStyle w:val="36"/>
                    <w:spacing w:line="240" w:lineRule="auto"/>
                    <w:rPr>
                      <w:rFonts w:eastAsia="宋体"/>
                      <w:b/>
                      <w:szCs w:val="21"/>
                    </w:rPr>
                  </w:pPr>
                  <w:r>
                    <w:rPr>
                      <w:rFonts w:eastAsia="宋体"/>
                      <w:b/>
                      <w:szCs w:val="21"/>
                    </w:rPr>
                    <w:t>与项目相关要求</w:t>
                  </w:r>
                </w:p>
              </w:tc>
              <w:tc>
                <w:tcPr>
                  <w:tcW w:w="3243" w:type="dxa"/>
                  <w:vAlign w:val="center"/>
                </w:tcPr>
                <w:p>
                  <w:pPr>
                    <w:pStyle w:val="36"/>
                    <w:spacing w:line="240" w:lineRule="auto"/>
                    <w:rPr>
                      <w:rFonts w:eastAsia="宋体"/>
                      <w:b/>
                      <w:szCs w:val="21"/>
                    </w:rPr>
                  </w:pPr>
                  <w:r>
                    <w:rPr>
                      <w:rFonts w:eastAsia="宋体"/>
                      <w:b/>
                      <w:szCs w:val="21"/>
                    </w:rPr>
                    <w:t>本项目相符性分析</w:t>
                  </w:r>
                </w:p>
              </w:tc>
              <w:tc>
                <w:tcPr>
                  <w:tcW w:w="1019" w:type="dxa"/>
                  <w:vAlign w:val="center"/>
                </w:tcPr>
                <w:p>
                  <w:pPr>
                    <w:pStyle w:val="36"/>
                    <w:spacing w:line="240" w:lineRule="auto"/>
                    <w:rPr>
                      <w:rFonts w:eastAsia="宋体"/>
                      <w:b/>
                      <w:szCs w:val="21"/>
                    </w:rPr>
                  </w:pPr>
                  <w:r>
                    <w:rPr>
                      <w:rFonts w:eastAsia="宋体"/>
                      <w:b/>
                      <w:szCs w:val="21"/>
                    </w:rPr>
                    <w:t>是否相符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69" w:type="dxa"/>
                  <w:vMerge w:val="restart"/>
                  <w:vAlign w:val="center"/>
                </w:tcPr>
                <w:p>
                  <w:pPr>
                    <w:pStyle w:val="36"/>
                    <w:rPr>
                      <w:rFonts w:eastAsia="宋体"/>
                      <w:b/>
                      <w:szCs w:val="21"/>
                    </w:rPr>
                  </w:pPr>
                  <w:r>
                    <w:rPr>
                      <w:rFonts w:eastAsia="宋体"/>
                      <w:b/>
                      <w:szCs w:val="21"/>
                    </w:rPr>
                    <w:t>关于印发《重点行业挥发性有机物综合治理方案》的通知</w:t>
                  </w:r>
                </w:p>
                <w:p>
                  <w:pPr>
                    <w:pStyle w:val="36"/>
                    <w:spacing w:line="240" w:lineRule="auto"/>
                    <w:jc w:val="both"/>
                    <w:rPr>
                      <w:rFonts w:eastAsia="宋体"/>
                      <w:b/>
                      <w:szCs w:val="21"/>
                    </w:rPr>
                  </w:pPr>
                  <w:r>
                    <w:rPr>
                      <w:rFonts w:eastAsia="宋体"/>
                      <w:b/>
                      <w:szCs w:val="21"/>
                    </w:rPr>
                    <w:t>环大气</w:t>
                  </w:r>
                  <w:r>
                    <w:rPr>
                      <w:rFonts w:hint="eastAsia" w:eastAsia="宋体"/>
                      <w:b/>
                      <w:szCs w:val="21"/>
                      <w:lang w:eastAsia="zh-CN"/>
                    </w:rPr>
                    <w:t>〔</w:t>
                  </w:r>
                  <w:r>
                    <w:rPr>
                      <w:rFonts w:eastAsia="宋体"/>
                      <w:b/>
                      <w:szCs w:val="21"/>
                    </w:rPr>
                    <w:t>2019</w:t>
                  </w:r>
                  <w:r>
                    <w:rPr>
                      <w:rFonts w:hint="eastAsia" w:eastAsia="宋体"/>
                      <w:b/>
                      <w:szCs w:val="21"/>
                      <w:lang w:eastAsia="zh-CN"/>
                    </w:rPr>
                    <w:t>〕</w:t>
                  </w:r>
                  <w:r>
                    <w:rPr>
                      <w:rFonts w:eastAsia="宋体"/>
                      <w:b/>
                      <w:szCs w:val="21"/>
                    </w:rPr>
                    <w:t>53号</w:t>
                  </w:r>
                </w:p>
              </w:tc>
              <w:tc>
                <w:tcPr>
                  <w:tcW w:w="2981" w:type="dxa"/>
                  <w:vAlign w:val="center"/>
                </w:tcPr>
                <w:p>
                  <w:pPr>
                    <w:pStyle w:val="36"/>
                    <w:spacing w:line="320" w:lineRule="atLeast"/>
                    <w:jc w:val="both"/>
                    <w:rPr>
                      <w:rFonts w:eastAsia="宋体"/>
                      <w:szCs w:val="21"/>
                    </w:rPr>
                  </w:pPr>
                  <w:r>
                    <w:rPr>
                      <w:rFonts w:eastAsia="宋体"/>
                      <w:szCs w:val="21"/>
                    </w:rPr>
                    <w:t>重点对含VOCs物料（包括含VOCs原辅材料、含VOCs产品、含VOCs废料以及有机聚合物材料等）储存、转移和输送、设备与管线组件泄漏、敞开液面逸散以及工艺过程等五类排放源实施管控，通过采取设备与场所密闭、工艺改进、废气有效收集等措施，削减VOCs无组织排放。</w:t>
                  </w:r>
                </w:p>
              </w:tc>
              <w:tc>
                <w:tcPr>
                  <w:tcW w:w="3243" w:type="dxa"/>
                  <w:vAlign w:val="center"/>
                </w:tcPr>
                <w:p>
                  <w:pPr>
                    <w:pStyle w:val="36"/>
                    <w:spacing w:line="320" w:lineRule="atLeast"/>
                    <w:rPr>
                      <w:rFonts w:eastAsia="宋体"/>
                      <w:szCs w:val="21"/>
                    </w:rPr>
                  </w:pPr>
                  <w:r>
                    <w:rPr>
                      <w:rFonts w:eastAsia="宋体"/>
                      <w:szCs w:val="21"/>
                    </w:rPr>
                    <w:t>本项目</w:t>
                  </w:r>
                  <w:r>
                    <w:rPr>
                      <w:rFonts w:hint="eastAsia" w:asciiTheme="minorEastAsia" w:hAnsiTheme="minorEastAsia" w:eastAsiaTheme="minorEastAsia" w:cstheme="minorEastAsia"/>
                      <w:szCs w:val="21"/>
                      <w:lang w:eastAsia="zh-CN"/>
                    </w:rPr>
                    <w:t>喷塑、固化工序均在生产车间内专用房内进行</w:t>
                  </w:r>
                  <w:r>
                    <w:rPr>
                      <w:rFonts w:eastAsia="宋体"/>
                      <w:szCs w:val="21"/>
                    </w:rPr>
                    <w:t>，</w:t>
                  </w:r>
                  <w:r>
                    <w:rPr>
                      <w:rFonts w:hint="eastAsia" w:eastAsia="宋体"/>
                      <w:szCs w:val="21"/>
                      <w:lang w:eastAsia="zh-CN"/>
                    </w:rPr>
                    <w:t>非甲烷总烃</w:t>
                  </w:r>
                  <w:r>
                    <w:rPr>
                      <w:rFonts w:eastAsia="宋体"/>
                      <w:szCs w:val="21"/>
                    </w:rPr>
                    <w:t>无组织排放量较小。</w:t>
                  </w:r>
                </w:p>
              </w:tc>
              <w:tc>
                <w:tcPr>
                  <w:tcW w:w="1019" w:type="dxa"/>
                  <w:vAlign w:val="center"/>
                </w:tcPr>
                <w:p>
                  <w:pPr>
                    <w:pStyle w:val="36"/>
                    <w:spacing w:line="240" w:lineRule="auto"/>
                    <w:rPr>
                      <w:rFonts w:hint="eastAsia" w:eastAsia="宋体"/>
                      <w:szCs w:val="21"/>
                      <w:lang w:eastAsia="zh-CN"/>
                    </w:rPr>
                  </w:pPr>
                  <w:r>
                    <w:rPr>
                      <w:rFonts w:hint="eastAsia" w:eastAsia="宋体"/>
                      <w:szCs w:val="21"/>
                      <w:lang w:eastAsia="zh-CN"/>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69" w:type="dxa"/>
                  <w:vMerge w:val="continue"/>
                  <w:vAlign w:val="center"/>
                </w:tcPr>
                <w:p>
                  <w:pPr>
                    <w:pStyle w:val="36"/>
                    <w:spacing w:line="240" w:lineRule="auto"/>
                    <w:jc w:val="both"/>
                    <w:rPr>
                      <w:rFonts w:eastAsia="宋体"/>
                      <w:b/>
                      <w:szCs w:val="21"/>
                    </w:rPr>
                  </w:pPr>
                </w:p>
              </w:tc>
              <w:tc>
                <w:tcPr>
                  <w:tcW w:w="2981" w:type="dxa"/>
                  <w:vAlign w:val="center"/>
                </w:tcPr>
                <w:p>
                  <w:pPr>
                    <w:pStyle w:val="36"/>
                    <w:spacing w:line="320" w:lineRule="atLeast"/>
                    <w:jc w:val="both"/>
                    <w:rPr>
                      <w:rFonts w:eastAsia="宋体"/>
                      <w:szCs w:val="21"/>
                    </w:rPr>
                  </w:pPr>
                  <w:r>
                    <w:rPr>
                      <w:rFonts w:eastAsia="宋体"/>
                      <w:szCs w:val="21"/>
                    </w:rPr>
                    <w:t>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高浓度废气，优先进行溶剂回收，难以回收的，宜采用高温焚烧、催化燃烧等技术。油气（溶剂）回收宜采用冷凝+吸附、吸附+吸收、膜分离+吸附等技术。低温等离子、光催化、光氧化技术主要适用于恶臭异味等治理；生物法主要适用于低浓度VOCs废气治理和恶臭异味治理。非水溶性的VOCs废气禁止采用水或水溶液喷淋吸收处理。采用一次性活性炭吸附技术的，应定期更换活性炭，废旧活性炭应再生或处理处置。有条件的工业园区和产业集群等，推广集中喷涂、溶剂集中回收、活性炭集中再生等，加强资源共享，提高VOCs治理效率。</w:t>
                  </w:r>
                </w:p>
              </w:tc>
              <w:tc>
                <w:tcPr>
                  <w:tcW w:w="3243" w:type="dxa"/>
                  <w:vAlign w:val="center"/>
                </w:tcPr>
                <w:p>
                  <w:pPr>
                    <w:pStyle w:val="36"/>
                    <w:spacing w:line="320" w:lineRule="atLeast"/>
                    <w:rPr>
                      <w:rFonts w:hint="eastAsia" w:eastAsia="宋体"/>
                      <w:szCs w:val="21"/>
                      <w:lang w:eastAsia="zh-CN"/>
                    </w:rPr>
                  </w:pPr>
                  <w:r>
                    <w:rPr>
                      <w:rFonts w:eastAsia="宋体"/>
                      <w:szCs w:val="21"/>
                    </w:rPr>
                    <w:t>本项目</w:t>
                  </w:r>
                  <w:r>
                    <w:rPr>
                      <w:rFonts w:hint="eastAsia" w:eastAsia="宋体"/>
                      <w:szCs w:val="21"/>
                      <w:lang w:eastAsia="zh-CN"/>
                    </w:rPr>
                    <w:t>固化工序产生非甲烷总烃</w:t>
                  </w:r>
                  <w:r>
                    <w:rPr>
                      <w:rFonts w:eastAsia="宋体"/>
                      <w:szCs w:val="21"/>
                    </w:rPr>
                    <w:t>，采用</w:t>
                  </w:r>
                  <w:r>
                    <w:rPr>
                      <w:rFonts w:hint="eastAsia" w:eastAsia="宋体"/>
                      <w:szCs w:val="21"/>
                    </w:rPr>
                    <w:t>二级</w:t>
                  </w:r>
                  <w:r>
                    <w:rPr>
                      <w:rFonts w:eastAsia="宋体"/>
                      <w:szCs w:val="21"/>
                    </w:rPr>
                    <w:t>活性炭吸附处理</w:t>
                  </w:r>
                  <w:r>
                    <w:rPr>
                      <w:rFonts w:hint="eastAsia" w:eastAsia="宋体"/>
                      <w:szCs w:val="21"/>
                    </w:rPr>
                    <w:t>，经预测，可以达标排放。</w:t>
                  </w:r>
                  <w:r>
                    <w:rPr>
                      <w:rFonts w:hint="eastAsia" w:eastAsia="宋体"/>
                      <w:szCs w:val="21"/>
                      <w:lang w:eastAsia="zh-CN"/>
                    </w:rPr>
                    <w:t>本项目产生废活性炭委托有资质单位处置。</w:t>
                  </w:r>
                </w:p>
              </w:tc>
              <w:tc>
                <w:tcPr>
                  <w:tcW w:w="1019" w:type="dxa"/>
                  <w:vAlign w:val="center"/>
                </w:tcPr>
                <w:p>
                  <w:pPr>
                    <w:pStyle w:val="36"/>
                    <w:spacing w:line="240" w:lineRule="auto"/>
                    <w:rPr>
                      <w:rFonts w:hint="eastAsia" w:eastAsia="宋体"/>
                      <w:szCs w:val="21"/>
                      <w:lang w:eastAsia="zh-CN"/>
                    </w:rPr>
                  </w:pPr>
                  <w:r>
                    <w:rPr>
                      <w:rFonts w:hint="eastAsia" w:eastAsia="宋体"/>
                      <w:szCs w:val="21"/>
                      <w:lang w:eastAsia="zh-CN"/>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69" w:type="dxa"/>
                  <w:vAlign w:val="center"/>
                </w:tcPr>
                <w:p>
                  <w:pPr>
                    <w:pStyle w:val="36"/>
                    <w:spacing w:line="240" w:lineRule="auto"/>
                    <w:jc w:val="both"/>
                    <w:rPr>
                      <w:rFonts w:eastAsia="宋体"/>
                      <w:b/>
                      <w:szCs w:val="21"/>
                    </w:rPr>
                  </w:pPr>
                  <w:r>
                    <w:rPr>
                      <w:rFonts w:eastAsia="宋体"/>
                      <w:b/>
                      <w:szCs w:val="21"/>
                    </w:rPr>
                    <w:t>江苏省</w:t>
                  </w:r>
                  <w:r>
                    <w:rPr>
                      <w:rFonts w:hint="eastAsia" w:eastAsia="宋体"/>
                      <w:b/>
                      <w:szCs w:val="21"/>
                      <w:lang w:eastAsia="zh-CN"/>
                    </w:rPr>
                    <w:t>“</w:t>
                  </w:r>
                  <w:r>
                    <w:rPr>
                      <w:rFonts w:eastAsia="宋体"/>
                      <w:b/>
                      <w:szCs w:val="21"/>
                    </w:rPr>
                    <w:t>两减六治三提升</w:t>
                  </w:r>
                  <w:r>
                    <w:rPr>
                      <w:rFonts w:hint="eastAsia" w:eastAsia="宋体"/>
                      <w:b/>
                      <w:szCs w:val="21"/>
                      <w:lang w:eastAsia="zh-CN"/>
                    </w:rPr>
                    <w:t>”</w:t>
                  </w:r>
                  <w:r>
                    <w:rPr>
                      <w:rFonts w:eastAsia="宋体"/>
                      <w:b/>
                      <w:szCs w:val="21"/>
                    </w:rPr>
                    <w:t>环保专项行动方案</w:t>
                  </w:r>
                </w:p>
              </w:tc>
              <w:tc>
                <w:tcPr>
                  <w:tcW w:w="2981" w:type="dxa"/>
                  <w:vAlign w:val="center"/>
                </w:tcPr>
                <w:p>
                  <w:pPr>
                    <w:pStyle w:val="36"/>
                    <w:spacing w:line="240" w:lineRule="auto"/>
                    <w:jc w:val="center"/>
                    <w:rPr>
                      <w:rFonts w:hint="eastAsia" w:eastAsia="宋体"/>
                      <w:szCs w:val="21"/>
                    </w:rPr>
                  </w:pPr>
                  <w:r>
                    <w:rPr>
                      <w:rFonts w:hint="eastAsia" w:eastAsia="宋体"/>
                      <w:szCs w:val="21"/>
                    </w:rPr>
                    <w:t>强制重点行业清洁原料替代</w:t>
                  </w:r>
                  <w:r>
                    <w:rPr>
                      <w:rFonts w:hint="eastAsia" w:eastAsia="宋体"/>
                      <w:szCs w:val="21"/>
                      <w:lang w:eastAsia="zh-CN"/>
                    </w:rPr>
                    <w:t>：</w:t>
                  </w:r>
                  <w:r>
                    <w:rPr>
                      <w:rFonts w:hint="eastAsia" w:eastAsia="宋体"/>
                      <w:szCs w:val="21"/>
                    </w:rPr>
                    <w:t>2017年底前，包装印刷、集装箱、交通工具、机械设备、人</w:t>
                  </w:r>
                </w:p>
                <w:p>
                  <w:pPr>
                    <w:pStyle w:val="36"/>
                    <w:spacing w:line="240" w:lineRule="auto"/>
                    <w:jc w:val="center"/>
                    <w:rPr>
                      <w:rFonts w:eastAsia="宋体"/>
                      <w:szCs w:val="21"/>
                    </w:rPr>
                  </w:pPr>
                  <w:r>
                    <w:rPr>
                      <w:rFonts w:hint="eastAsia" w:eastAsia="宋体"/>
                      <w:szCs w:val="21"/>
                    </w:rPr>
                    <w:t>造板、家具、船舶制造等行业，全面使用低VOCs含量的涂胶黏剂、清洗剂、油墨替代原有的有机溶剂。集装箱制造行业在整箱抛</w:t>
                  </w:r>
                  <w:r>
                    <w:rPr>
                      <w:rFonts w:hint="eastAsia" w:eastAsia="宋体"/>
                      <w:szCs w:val="21"/>
                      <w:lang w:eastAsia="zh-CN"/>
                    </w:rPr>
                    <w:t>（</w:t>
                  </w:r>
                  <w:r>
                    <w:rPr>
                      <w:rFonts w:hint="eastAsia" w:eastAsia="宋体"/>
                      <w:szCs w:val="21"/>
                    </w:rPr>
                    <w:t>喷</w:t>
                  </w:r>
                  <w:r>
                    <w:rPr>
                      <w:rFonts w:hint="eastAsia" w:eastAsia="宋体"/>
                      <w:szCs w:val="21"/>
                      <w:lang w:eastAsia="zh-CN"/>
                    </w:rPr>
                    <w:t>）</w:t>
                  </w:r>
                  <w:r>
                    <w:rPr>
                      <w:rFonts w:hint="eastAsia" w:eastAsia="宋体"/>
                      <w:szCs w:val="21"/>
                    </w:rPr>
                    <w:t>砂、箱内外凃装、底架凃装和木地板凃装等工序全面使用水性等低VOCs含量涂料替代。交通工具制造行业使用高固体分、水性、粉末、无溶剂型等低VOCs含量凃料替代。家具制造行业使用水性、紫外光固化、高固体分等低VOCs含量凃</w:t>
                  </w:r>
                  <w:r>
                    <w:rPr>
                      <w:rFonts w:hint="eastAsia" w:eastAsia="宋体"/>
                      <w:szCs w:val="21"/>
                      <w:lang w:eastAsia="zh-CN"/>
                    </w:rPr>
                    <w:t>料</w:t>
                  </w:r>
                  <w:r>
                    <w:rPr>
                      <w:rFonts w:hint="eastAsia" w:eastAsia="宋体"/>
                      <w:szCs w:val="21"/>
                    </w:rPr>
                    <w:t>替代溶剂型凃料。机械设备、钢结构制造行业使用高固体分等低</w:t>
                  </w:r>
                  <w:r>
                    <w:rPr>
                      <w:rFonts w:hint="eastAsia" w:eastAsia="宋体"/>
                      <w:szCs w:val="21"/>
                      <w:lang w:val="en-US" w:eastAsia="zh-CN"/>
                    </w:rPr>
                    <w:t>VOC</w:t>
                  </w:r>
                  <w:r>
                    <w:rPr>
                      <w:rFonts w:hint="eastAsia" w:eastAsia="宋体"/>
                      <w:szCs w:val="21"/>
                    </w:rPr>
                    <w:t>s含量涂料替代。包装印刷行业使用水性、醇溶性、大豆基、紫外光固化等低VOCs含量的油墨替代。人造板制造行业使用低</w:t>
                  </w:r>
                  <w:r>
                    <w:rPr>
                      <w:rFonts w:hint="eastAsia" w:eastAsia="宋体"/>
                      <w:szCs w:val="21"/>
                      <w:lang w:eastAsia="zh-CN"/>
                    </w:rPr>
                    <w:t>（</w:t>
                  </w:r>
                  <w:r>
                    <w:rPr>
                      <w:rFonts w:hint="eastAsia" w:eastAsia="宋体"/>
                      <w:szCs w:val="21"/>
                    </w:rPr>
                    <w:t>无</w:t>
                  </w:r>
                  <w:r>
                    <w:rPr>
                      <w:rFonts w:hint="eastAsia" w:eastAsia="宋体"/>
                      <w:szCs w:val="21"/>
                      <w:lang w:eastAsia="zh-CN"/>
                    </w:rPr>
                    <w:t>）</w:t>
                  </w:r>
                  <w:r>
                    <w:rPr>
                      <w:rFonts w:hint="eastAsia" w:eastAsia="宋体"/>
                      <w:szCs w:val="21"/>
                      <w:lang w:val="en-US" w:eastAsia="zh-CN"/>
                    </w:rPr>
                    <w:t>V</w:t>
                  </w:r>
                  <w:r>
                    <w:rPr>
                      <w:rFonts w:hint="eastAsia" w:eastAsia="宋体"/>
                      <w:szCs w:val="21"/>
                    </w:rPr>
                    <w:t>OCs含量的胶黏剂替代。</w:t>
                  </w:r>
                </w:p>
              </w:tc>
              <w:tc>
                <w:tcPr>
                  <w:tcW w:w="3243" w:type="dxa"/>
                  <w:vAlign w:val="center"/>
                </w:tcPr>
                <w:p>
                  <w:pPr>
                    <w:pStyle w:val="36"/>
                    <w:spacing w:line="240" w:lineRule="auto"/>
                    <w:jc w:val="both"/>
                    <w:rPr>
                      <w:rFonts w:eastAsia="宋体"/>
                      <w:szCs w:val="21"/>
                    </w:rPr>
                  </w:pPr>
                  <w:r>
                    <w:rPr>
                      <w:rFonts w:eastAsia="宋体"/>
                      <w:szCs w:val="21"/>
                    </w:rPr>
                    <w:t>本项目</w:t>
                  </w:r>
                  <w:r>
                    <w:rPr>
                      <w:rFonts w:hint="eastAsia" w:eastAsia="宋体"/>
                      <w:szCs w:val="21"/>
                      <w:lang w:eastAsia="zh-CN"/>
                    </w:rPr>
                    <w:t>使用塑粉，塑粉中</w:t>
                  </w:r>
                  <w:r>
                    <w:rPr>
                      <w:rFonts w:hint="eastAsia" w:eastAsia="宋体"/>
                      <w:szCs w:val="21"/>
                      <w:lang w:val="en-US" w:eastAsia="zh-CN"/>
                    </w:rPr>
                    <w:t>VOCs含量较低，固化工序产生的</w:t>
                  </w:r>
                  <w:r>
                    <w:rPr>
                      <w:rFonts w:hint="eastAsia" w:eastAsia="宋体"/>
                      <w:szCs w:val="21"/>
                      <w:lang w:eastAsia="zh-CN"/>
                    </w:rPr>
                    <w:t>非甲烷总烃</w:t>
                  </w:r>
                  <w:r>
                    <w:rPr>
                      <w:rFonts w:eastAsia="宋体"/>
                      <w:szCs w:val="21"/>
                    </w:rPr>
                    <w:t>采用</w:t>
                  </w:r>
                  <w:r>
                    <w:rPr>
                      <w:rFonts w:hint="eastAsia" w:eastAsia="宋体"/>
                      <w:szCs w:val="21"/>
                      <w:lang w:eastAsia="zh-CN"/>
                    </w:rPr>
                    <w:t>“</w:t>
                  </w:r>
                  <w:r>
                    <w:rPr>
                      <w:rFonts w:hint="eastAsia" w:eastAsia="宋体"/>
                      <w:szCs w:val="21"/>
                    </w:rPr>
                    <w:t>二级</w:t>
                  </w:r>
                  <w:r>
                    <w:rPr>
                      <w:rFonts w:eastAsia="宋体"/>
                      <w:szCs w:val="21"/>
                    </w:rPr>
                    <w:t>活性炭吸附装置</w:t>
                  </w:r>
                  <w:r>
                    <w:rPr>
                      <w:rFonts w:hint="eastAsia" w:eastAsia="宋体"/>
                      <w:szCs w:val="21"/>
                      <w:lang w:eastAsia="zh-CN"/>
                    </w:rPr>
                    <w:t>”</w:t>
                  </w:r>
                  <w:r>
                    <w:rPr>
                      <w:rFonts w:eastAsia="宋体"/>
                      <w:szCs w:val="21"/>
                    </w:rPr>
                    <w:t>处理后经15米高排气筒</w:t>
                  </w:r>
                  <w:r>
                    <w:rPr>
                      <w:rFonts w:hint="eastAsia" w:eastAsia="宋体"/>
                      <w:szCs w:val="21"/>
                    </w:rPr>
                    <w:t>1</w:t>
                  </w:r>
                  <w:r>
                    <w:rPr>
                      <w:rFonts w:eastAsia="宋体"/>
                      <w:szCs w:val="21"/>
                    </w:rPr>
                    <w:t>#排放。</w:t>
                  </w:r>
                </w:p>
              </w:tc>
              <w:tc>
                <w:tcPr>
                  <w:tcW w:w="1019" w:type="dxa"/>
                  <w:vAlign w:val="center"/>
                </w:tcPr>
                <w:p>
                  <w:pPr>
                    <w:pStyle w:val="36"/>
                    <w:spacing w:line="240" w:lineRule="auto"/>
                    <w:rPr>
                      <w:rFonts w:eastAsia="宋体"/>
                      <w:szCs w:val="21"/>
                    </w:rPr>
                  </w:pPr>
                  <w:r>
                    <w:rPr>
                      <w:rFonts w:eastAsia="宋体"/>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69" w:type="dxa"/>
                  <w:vAlign w:val="center"/>
                </w:tcPr>
                <w:p>
                  <w:pPr>
                    <w:pStyle w:val="36"/>
                    <w:spacing w:line="240" w:lineRule="auto"/>
                    <w:jc w:val="both"/>
                    <w:rPr>
                      <w:rFonts w:eastAsia="宋体"/>
                      <w:b/>
                      <w:szCs w:val="21"/>
                    </w:rPr>
                  </w:pPr>
                  <w:r>
                    <w:rPr>
                      <w:rFonts w:eastAsia="宋体"/>
                      <w:b/>
                      <w:szCs w:val="21"/>
                    </w:rPr>
                    <w:t>《</w:t>
                  </w:r>
                  <w:r>
                    <w:rPr>
                      <w:rFonts w:hint="eastAsia" w:eastAsia="宋体"/>
                      <w:b/>
                      <w:szCs w:val="21"/>
                      <w:lang w:eastAsia="zh-CN"/>
                    </w:rPr>
                    <w:t>“</w:t>
                  </w:r>
                  <w:r>
                    <w:rPr>
                      <w:rFonts w:eastAsia="宋体"/>
                      <w:b/>
                      <w:szCs w:val="21"/>
                    </w:rPr>
                    <w:t>十三五</w:t>
                  </w:r>
                  <w:r>
                    <w:rPr>
                      <w:rFonts w:hint="eastAsia" w:eastAsia="宋体"/>
                      <w:b/>
                      <w:szCs w:val="21"/>
                      <w:lang w:eastAsia="zh-CN"/>
                    </w:rPr>
                    <w:t>”</w:t>
                  </w:r>
                  <w:r>
                    <w:rPr>
                      <w:rFonts w:eastAsia="宋体"/>
                      <w:b/>
                      <w:szCs w:val="21"/>
                    </w:rPr>
                    <w:t>挥发性有机物污染防治工作方案》</w:t>
                  </w:r>
                </w:p>
              </w:tc>
              <w:tc>
                <w:tcPr>
                  <w:tcW w:w="2981" w:type="dxa"/>
                  <w:vAlign w:val="center"/>
                </w:tcPr>
                <w:p>
                  <w:pPr>
                    <w:pStyle w:val="36"/>
                    <w:spacing w:line="240" w:lineRule="auto"/>
                    <w:rPr>
                      <w:rFonts w:eastAsia="宋体"/>
                      <w:szCs w:val="21"/>
                    </w:rPr>
                  </w:pPr>
                  <w:r>
                    <w:rPr>
                      <w:rFonts w:eastAsia="宋体"/>
                      <w:szCs w:val="21"/>
                    </w:rPr>
                    <w:t>（2）严格建设项目环境准入：新建涉VOCs 排放的工业企业要入园区；</w:t>
                  </w:r>
                </w:p>
                <w:p>
                  <w:pPr>
                    <w:pStyle w:val="36"/>
                    <w:spacing w:line="240" w:lineRule="auto"/>
                    <w:rPr>
                      <w:rFonts w:eastAsia="宋体"/>
                      <w:szCs w:val="21"/>
                    </w:rPr>
                  </w:pPr>
                  <w:r>
                    <w:rPr>
                      <w:rFonts w:eastAsia="宋体"/>
                      <w:szCs w:val="21"/>
                    </w:rPr>
                    <w:t>新、改、扩建涉VOCs 排放项目，应从源头加强控制，使用低（无）VOCs 含量的原辅材料，加强废气收集，安装高效治理设施。</w:t>
                  </w:r>
                </w:p>
              </w:tc>
              <w:tc>
                <w:tcPr>
                  <w:tcW w:w="3243" w:type="dxa"/>
                  <w:vAlign w:val="center"/>
                </w:tcPr>
                <w:p>
                  <w:pPr>
                    <w:pStyle w:val="36"/>
                    <w:spacing w:line="240" w:lineRule="auto"/>
                    <w:rPr>
                      <w:rFonts w:eastAsia="宋体"/>
                      <w:szCs w:val="21"/>
                    </w:rPr>
                  </w:pPr>
                  <w:r>
                    <w:rPr>
                      <w:rFonts w:eastAsia="宋体"/>
                      <w:szCs w:val="21"/>
                    </w:rPr>
                    <w:t>本项目位于</w:t>
                  </w:r>
                  <w:r>
                    <w:rPr>
                      <w:rFonts w:hint="eastAsia" w:eastAsia="宋体"/>
                      <w:szCs w:val="21"/>
                    </w:rPr>
                    <w:t>常州市金坛区直溪镇工业园区水南路18号</w:t>
                  </w:r>
                  <w:r>
                    <w:rPr>
                      <w:rFonts w:eastAsia="宋体"/>
                      <w:szCs w:val="21"/>
                    </w:rPr>
                    <w:t>，位于</w:t>
                  </w:r>
                  <w:r>
                    <w:rPr>
                      <w:rFonts w:hint="eastAsia" w:eastAsia="宋体"/>
                      <w:szCs w:val="21"/>
                    </w:rPr>
                    <w:t>直溪镇工业园区</w:t>
                  </w:r>
                  <w:r>
                    <w:rPr>
                      <w:rFonts w:eastAsia="宋体"/>
                      <w:szCs w:val="21"/>
                    </w:rPr>
                    <w:t>。</w:t>
                  </w:r>
                </w:p>
                <w:p>
                  <w:pPr>
                    <w:pStyle w:val="36"/>
                    <w:spacing w:line="240" w:lineRule="auto"/>
                    <w:rPr>
                      <w:rFonts w:eastAsia="宋体"/>
                      <w:szCs w:val="21"/>
                    </w:rPr>
                  </w:pPr>
                  <w:r>
                    <w:rPr>
                      <w:rFonts w:eastAsia="宋体"/>
                      <w:szCs w:val="21"/>
                    </w:rPr>
                    <w:t>本项目生产加工过程中产生的</w:t>
                  </w:r>
                  <w:r>
                    <w:rPr>
                      <w:rFonts w:hint="eastAsia" w:eastAsia="宋体"/>
                      <w:szCs w:val="21"/>
                      <w:lang w:eastAsia="zh-CN"/>
                    </w:rPr>
                    <w:t>非甲烷总烃</w:t>
                  </w:r>
                  <w:r>
                    <w:rPr>
                      <w:rFonts w:eastAsia="宋体"/>
                      <w:szCs w:val="21"/>
                    </w:rPr>
                    <w:t>经</w:t>
                  </w:r>
                  <w:r>
                    <w:rPr>
                      <w:rFonts w:hint="eastAsia" w:eastAsia="宋体"/>
                      <w:szCs w:val="21"/>
                      <w:lang w:eastAsia="zh-CN"/>
                    </w:rPr>
                    <w:t>“</w:t>
                  </w:r>
                  <w:r>
                    <w:rPr>
                      <w:rFonts w:hint="eastAsia" w:eastAsia="宋体"/>
                      <w:szCs w:val="21"/>
                    </w:rPr>
                    <w:t>二级</w:t>
                  </w:r>
                  <w:r>
                    <w:rPr>
                      <w:rFonts w:eastAsia="宋体"/>
                      <w:szCs w:val="21"/>
                    </w:rPr>
                    <w:t>活性炭吸附装置</w:t>
                  </w:r>
                  <w:r>
                    <w:rPr>
                      <w:rFonts w:hint="eastAsia" w:eastAsia="宋体"/>
                      <w:szCs w:val="21"/>
                      <w:lang w:eastAsia="zh-CN"/>
                    </w:rPr>
                    <w:t>”</w:t>
                  </w:r>
                  <w:r>
                    <w:rPr>
                      <w:rFonts w:eastAsia="宋体"/>
                      <w:szCs w:val="21"/>
                    </w:rPr>
                    <w:t>处理后可达标排放</w:t>
                  </w:r>
                  <w:r>
                    <w:rPr>
                      <w:rFonts w:hint="eastAsia" w:eastAsia="宋体"/>
                      <w:szCs w:val="21"/>
                      <w:lang w:eastAsia="zh-CN"/>
                    </w:rPr>
                    <w:t>，均为密闭收集，收集效率较高</w:t>
                  </w:r>
                  <w:r>
                    <w:rPr>
                      <w:rFonts w:eastAsia="宋体"/>
                      <w:szCs w:val="21"/>
                    </w:rPr>
                    <w:t>。</w:t>
                  </w:r>
                </w:p>
              </w:tc>
              <w:tc>
                <w:tcPr>
                  <w:tcW w:w="1019" w:type="dxa"/>
                  <w:vAlign w:val="center"/>
                </w:tcPr>
                <w:p>
                  <w:pPr>
                    <w:pStyle w:val="36"/>
                    <w:spacing w:line="240" w:lineRule="auto"/>
                    <w:rPr>
                      <w:rFonts w:eastAsia="宋体"/>
                      <w:szCs w:val="21"/>
                    </w:rPr>
                  </w:pPr>
                  <w:r>
                    <w:rPr>
                      <w:rFonts w:eastAsia="宋体"/>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69" w:type="dxa"/>
                  <w:vAlign w:val="center"/>
                </w:tcPr>
                <w:p>
                  <w:pPr>
                    <w:pStyle w:val="36"/>
                    <w:spacing w:line="240" w:lineRule="auto"/>
                    <w:jc w:val="both"/>
                    <w:rPr>
                      <w:rFonts w:eastAsia="宋体"/>
                      <w:b/>
                      <w:szCs w:val="21"/>
                    </w:rPr>
                  </w:pPr>
                  <w:r>
                    <w:rPr>
                      <w:rFonts w:eastAsia="宋体"/>
                      <w:b/>
                      <w:szCs w:val="21"/>
                    </w:rPr>
                    <w:t>《江苏省重点行业挥发性有机物污染控制指南》</w:t>
                  </w:r>
                </w:p>
              </w:tc>
              <w:tc>
                <w:tcPr>
                  <w:tcW w:w="2981" w:type="dxa"/>
                  <w:vAlign w:val="center"/>
                </w:tcPr>
                <w:p>
                  <w:pPr>
                    <w:pStyle w:val="36"/>
                    <w:spacing w:line="240" w:lineRule="auto"/>
                    <w:rPr>
                      <w:rFonts w:eastAsia="宋体"/>
                      <w:szCs w:val="21"/>
                    </w:rPr>
                  </w:pPr>
                  <w:r>
                    <w:rPr>
                      <w:rFonts w:eastAsia="宋体"/>
                      <w:szCs w:val="21"/>
                    </w:rPr>
                    <w:t>其中有机化工、医药化工、橡胶和塑料制品（有溶剂浸胶工艺）、溶剂型涂料表面涂装、包装印刷业的VOCs总收集、处理率均不低于90%，其他行业原则上不低于75%。</w:t>
                  </w:r>
                </w:p>
              </w:tc>
              <w:tc>
                <w:tcPr>
                  <w:tcW w:w="3243" w:type="dxa"/>
                  <w:vAlign w:val="center"/>
                </w:tcPr>
                <w:p>
                  <w:pPr>
                    <w:pStyle w:val="36"/>
                    <w:spacing w:line="240" w:lineRule="auto"/>
                    <w:rPr>
                      <w:rFonts w:eastAsia="宋体"/>
                      <w:szCs w:val="21"/>
                    </w:rPr>
                  </w:pPr>
                  <w:r>
                    <w:rPr>
                      <w:rFonts w:eastAsia="宋体"/>
                      <w:szCs w:val="21"/>
                    </w:rPr>
                    <w:t>本项目为</w:t>
                  </w:r>
                  <w:r>
                    <w:rPr>
                      <w:rFonts w:hint="eastAsia" w:eastAsia="宋体"/>
                      <w:szCs w:val="21"/>
                      <w:lang w:eastAsia="zh-CN"/>
                    </w:rPr>
                    <w:t>C3499 其他未列明通用设备制造业</w:t>
                  </w:r>
                  <w:r>
                    <w:rPr>
                      <w:rFonts w:eastAsia="宋体"/>
                      <w:szCs w:val="21"/>
                    </w:rPr>
                    <w:t>。项目</w:t>
                  </w:r>
                  <w:r>
                    <w:rPr>
                      <w:rFonts w:hint="eastAsia" w:eastAsia="宋体"/>
                      <w:szCs w:val="21"/>
                      <w:lang w:eastAsia="zh-CN"/>
                    </w:rPr>
                    <w:t>非甲烷总烃</w:t>
                  </w:r>
                  <w:r>
                    <w:rPr>
                      <w:rFonts w:eastAsia="宋体"/>
                      <w:szCs w:val="21"/>
                    </w:rPr>
                    <w:t>用集气罩收集后通过</w:t>
                  </w:r>
                  <w:r>
                    <w:rPr>
                      <w:rFonts w:hint="eastAsia" w:eastAsia="宋体"/>
                      <w:szCs w:val="21"/>
                      <w:lang w:eastAsia="zh-CN"/>
                    </w:rPr>
                    <w:t>“</w:t>
                  </w:r>
                  <w:r>
                    <w:rPr>
                      <w:rFonts w:hint="eastAsia" w:eastAsia="宋体"/>
                      <w:szCs w:val="21"/>
                    </w:rPr>
                    <w:t>二级活性炭吸附装置</w:t>
                  </w:r>
                  <w:r>
                    <w:rPr>
                      <w:rFonts w:hint="eastAsia" w:eastAsia="宋体"/>
                      <w:szCs w:val="21"/>
                      <w:lang w:eastAsia="zh-CN"/>
                    </w:rPr>
                    <w:t>”</w:t>
                  </w:r>
                  <w:r>
                    <w:rPr>
                      <w:rFonts w:eastAsia="宋体"/>
                      <w:szCs w:val="21"/>
                    </w:rPr>
                    <w:t>吸附处理，收集效率</w:t>
                  </w:r>
                  <w:r>
                    <w:rPr>
                      <w:rFonts w:hint="eastAsia" w:eastAsia="宋体"/>
                      <w:szCs w:val="21"/>
                      <w:lang w:eastAsia="zh-CN"/>
                    </w:rPr>
                    <w:t>高于</w:t>
                  </w:r>
                  <w:r>
                    <w:rPr>
                      <w:rFonts w:hint="eastAsia" w:eastAsia="宋体"/>
                      <w:szCs w:val="21"/>
                    </w:rPr>
                    <w:t>90%以上</w:t>
                  </w:r>
                  <w:r>
                    <w:rPr>
                      <w:rFonts w:hint="eastAsia" w:eastAsia="宋体"/>
                      <w:szCs w:val="21"/>
                      <w:lang w:eastAsia="zh-CN"/>
                    </w:rPr>
                    <w:t>，处理效率不低于</w:t>
                  </w:r>
                  <w:r>
                    <w:rPr>
                      <w:rFonts w:hint="eastAsia" w:eastAsia="宋体"/>
                      <w:szCs w:val="21"/>
                      <w:lang w:val="en-US" w:eastAsia="zh-CN"/>
                    </w:rPr>
                    <w:t>75%</w:t>
                  </w:r>
                  <w:r>
                    <w:rPr>
                      <w:rFonts w:eastAsia="宋体"/>
                      <w:szCs w:val="21"/>
                    </w:rPr>
                    <w:t>。</w:t>
                  </w:r>
                </w:p>
              </w:tc>
              <w:tc>
                <w:tcPr>
                  <w:tcW w:w="1019" w:type="dxa"/>
                  <w:vAlign w:val="center"/>
                </w:tcPr>
                <w:p>
                  <w:pPr>
                    <w:pStyle w:val="36"/>
                    <w:spacing w:line="240" w:lineRule="auto"/>
                    <w:rPr>
                      <w:rFonts w:eastAsia="宋体"/>
                      <w:szCs w:val="21"/>
                    </w:rPr>
                  </w:pPr>
                  <w:r>
                    <w:rPr>
                      <w:rFonts w:eastAsia="宋体"/>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69" w:type="dxa"/>
                  <w:vMerge w:val="restart"/>
                  <w:vAlign w:val="center"/>
                </w:tcPr>
                <w:p>
                  <w:pPr>
                    <w:pStyle w:val="36"/>
                    <w:spacing w:line="240" w:lineRule="auto"/>
                    <w:jc w:val="both"/>
                    <w:rPr>
                      <w:rFonts w:eastAsia="宋体"/>
                      <w:szCs w:val="21"/>
                    </w:rPr>
                  </w:pPr>
                  <w:r>
                    <w:rPr>
                      <w:rFonts w:eastAsia="宋体"/>
                      <w:b/>
                      <w:szCs w:val="21"/>
                    </w:rPr>
                    <w:t>《国务院关于印发打赢蓝天保卫战三年行动计划的通知》 （国发〔2018〕22号）</w:t>
                  </w:r>
                </w:p>
              </w:tc>
              <w:tc>
                <w:tcPr>
                  <w:tcW w:w="2981" w:type="dxa"/>
                  <w:vAlign w:val="center"/>
                </w:tcPr>
                <w:p>
                  <w:pPr>
                    <w:pStyle w:val="36"/>
                    <w:spacing w:line="240" w:lineRule="auto"/>
                    <w:rPr>
                      <w:rFonts w:eastAsia="宋体"/>
                      <w:szCs w:val="21"/>
                    </w:rPr>
                  </w:pPr>
                  <w:r>
                    <w:rPr>
                      <w:rFonts w:eastAsia="宋体"/>
                      <w:szCs w:val="21"/>
                    </w:rPr>
                    <w:t>重点区域严禁新增钢铁、焦化、电解铝、铸造、水泥和平板玻璃等产能；严格执行钢铁、水泥、平板玻璃等行业产能置换实施办法；新、改、扩建涉及大宗物料运输的建设目，原则上不得采用公路运输。</w:t>
                  </w:r>
                </w:p>
              </w:tc>
              <w:tc>
                <w:tcPr>
                  <w:tcW w:w="3243" w:type="dxa"/>
                  <w:vAlign w:val="center"/>
                </w:tcPr>
                <w:p>
                  <w:pPr>
                    <w:pStyle w:val="36"/>
                    <w:spacing w:line="240" w:lineRule="auto"/>
                    <w:rPr>
                      <w:rFonts w:eastAsia="宋体"/>
                      <w:szCs w:val="21"/>
                    </w:rPr>
                  </w:pPr>
                  <w:r>
                    <w:rPr>
                      <w:rFonts w:eastAsia="宋体"/>
                      <w:szCs w:val="21"/>
                    </w:rPr>
                    <w:t>本项目属于</w:t>
                  </w:r>
                  <w:r>
                    <w:rPr>
                      <w:rFonts w:hint="eastAsia" w:eastAsia="宋体"/>
                      <w:szCs w:val="21"/>
                      <w:lang w:eastAsia="zh-CN"/>
                    </w:rPr>
                    <w:t>C3499 其他未列明通用设备制造业</w:t>
                  </w:r>
                  <w:r>
                    <w:rPr>
                      <w:rFonts w:eastAsia="宋体"/>
                      <w:szCs w:val="21"/>
                    </w:rPr>
                    <w:t>，不属于禁止行业。</w:t>
                  </w:r>
                </w:p>
              </w:tc>
              <w:tc>
                <w:tcPr>
                  <w:tcW w:w="1019" w:type="dxa"/>
                  <w:vAlign w:val="center"/>
                </w:tcPr>
                <w:p>
                  <w:pPr>
                    <w:pStyle w:val="36"/>
                    <w:spacing w:line="240" w:lineRule="auto"/>
                    <w:rPr>
                      <w:rFonts w:eastAsia="宋体"/>
                      <w:szCs w:val="21"/>
                    </w:rPr>
                  </w:pPr>
                  <w:r>
                    <w:rPr>
                      <w:rFonts w:eastAsia="宋体"/>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69" w:type="dxa"/>
                  <w:vMerge w:val="continue"/>
                  <w:vAlign w:val="center"/>
                </w:tcPr>
                <w:p>
                  <w:pPr>
                    <w:rPr>
                      <w:szCs w:val="21"/>
                    </w:rPr>
                  </w:pPr>
                </w:p>
              </w:tc>
              <w:tc>
                <w:tcPr>
                  <w:tcW w:w="2981" w:type="dxa"/>
                  <w:vAlign w:val="center"/>
                </w:tcPr>
                <w:p>
                  <w:pPr>
                    <w:pStyle w:val="36"/>
                    <w:spacing w:line="240" w:lineRule="auto"/>
                    <w:rPr>
                      <w:rFonts w:eastAsia="宋体"/>
                      <w:szCs w:val="21"/>
                    </w:rPr>
                  </w:pPr>
                  <w:r>
                    <w:rPr>
                      <w:rFonts w:eastAsia="宋体"/>
                      <w:szCs w:val="21"/>
                    </w:rPr>
                    <w:t>推进重点行业污染治理升级改造。重点区域二氧化硫、氮氧化物、颗粒物、挥性有机物（VOC）全面执行大气污染物特别排放限值。</w:t>
                  </w:r>
                </w:p>
              </w:tc>
              <w:tc>
                <w:tcPr>
                  <w:tcW w:w="3243" w:type="dxa"/>
                  <w:vAlign w:val="center"/>
                </w:tcPr>
                <w:p>
                  <w:pPr>
                    <w:pStyle w:val="36"/>
                    <w:spacing w:line="240" w:lineRule="auto"/>
                    <w:rPr>
                      <w:rFonts w:eastAsia="宋体"/>
                      <w:szCs w:val="21"/>
                    </w:rPr>
                  </w:pPr>
                  <w:r>
                    <w:rPr>
                      <w:rFonts w:eastAsia="宋体"/>
                      <w:szCs w:val="21"/>
                    </w:rPr>
                    <w:t>本次环评要求建设单位</w:t>
                  </w:r>
                  <w:r>
                    <w:rPr>
                      <w:rFonts w:hint="eastAsia" w:eastAsia="宋体"/>
                      <w:szCs w:val="21"/>
                      <w:lang w:eastAsia="zh-CN"/>
                    </w:rPr>
                    <w:t>非甲烷总烃</w:t>
                  </w:r>
                  <w:r>
                    <w:rPr>
                      <w:rFonts w:hint="eastAsia" w:eastAsia="宋体"/>
                      <w:szCs w:val="21"/>
                    </w:rPr>
                    <w:t>采用《合成树脂工业污染物排放标准》（GB31572-2015）中特别排放限值，颗粒物、SO</w:t>
                  </w:r>
                  <w:r>
                    <w:rPr>
                      <w:rFonts w:hint="eastAsia" w:eastAsia="宋体"/>
                      <w:szCs w:val="21"/>
                      <w:vertAlign w:val="subscript"/>
                    </w:rPr>
                    <w:t>2</w:t>
                  </w:r>
                  <w:r>
                    <w:rPr>
                      <w:rFonts w:hint="eastAsia" w:eastAsia="宋体"/>
                      <w:szCs w:val="21"/>
                    </w:rPr>
                    <w:t>、NOx排放满足《工业炉窑大气污染物排放标准》（DB32/3728-2019）表1“常规大气污染物排放限值”和《长三角地区2019-2020年秋冬季大气污染综合治理攻坚行动方案》中氮氧化物排放浓度不高于50mg/m</w:t>
                  </w:r>
                  <w:r>
                    <w:rPr>
                      <w:rFonts w:hint="eastAsia" w:eastAsia="宋体"/>
                      <w:szCs w:val="21"/>
                      <w:vertAlign w:val="superscript"/>
                    </w:rPr>
                    <w:t>3</w:t>
                  </w:r>
                  <w:r>
                    <w:rPr>
                      <w:rFonts w:hint="eastAsia" w:eastAsia="宋体"/>
                      <w:szCs w:val="21"/>
                    </w:rPr>
                    <w:t>的要求</w:t>
                  </w:r>
                </w:p>
              </w:tc>
              <w:tc>
                <w:tcPr>
                  <w:tcW w:w="1019" w:type="dxa"/>
                  <w:vAlign w:val="center"/>
                </w:tcPr>
                <w:p>
                  <w:pPr>
                    <w:pStyle w:val="36"/>
                    <w:spacing w:line="240" w:lineRule="auto"/>
                    <w:rPr>
                      <w:rFonts w:eastAsia="宋体"/>
                      <w:szCs w:val="21"/>
                    </w:rPr>
                  </w:pPr>
                  <w:r>
                    <w:rPr>
                      <w:rFonts w:eastAsia="宋体"/>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69" w:type="dxa"/>
                  <w:vMerge w:val="restart"/>
                  <w:vAlign w:val="center"/>
                </w:tcPr>
                <w:p>
                  <w:pPr>
                    <w:pStyle w:val="36"/>
                    <w:spacing w:line="240" w:lineRule="auto"/>
                    <w:jc w:val="both"/>
                    <w:rPr>
                      <w:rFonts w:eastAsia="宋体"/>
                      <w:b/>
                      <w:szCs w:val="21"/>
                    </w:rPr>
                  </w:pPr>
                  <w:r>
                    <w:rPr>
                      <w:rFonts w:eastAsia="宋体"/>
                      <w:b/>
                      <w:szCs w:val="21"/>
                    </w:rPr>
                    <w:t>太湖流域管理条例</w:t>
                  </w:r>
                </w:p>
              </w:tc>
              <w:tc>
                <w:tcPr>
                  <w:tcW w:w="2981" w:type="dxa"/>
                  <w:vAlign w:val="center"/>
                </w:tcPr>
                <w:p>
                  <w:pPr>
                    <w:rPr>
                      <w:szCs w:val="21"/>
                    </w:rPr>
                  </w:pPr>
                  <w:r>
                    <w:rPr>
                      <w:szCs w:val="21"/>
                    </w:rPr>
                    <w:t>排污单位排放水污染物，不得超过经核定的水污染物排放总量，并应当按照规定设置便于检查、采样的规范化排污口，悬挂标志牌；不得私设暗管或者采取其他规避监管的方式排放水污染物。</w:t>
                  </w:r>
                </w:p>
              </w:tc>
              <w:tc>
                <w:tcPr>
                  <w:tcW w:w="3243" w:type="dxa"/>
                  <w:vAlign w:val="center"/>
                </w:tcPr>
                <w:p>
                  <w:pPr>
                    <w:jc w:val="center"/>
                    <w:rPr>
                      <w:szCs w:val="21"/>
                    </w:rPr>
                  </w:pPr>
                  <w:r>
                    <w:rPr>
                      <w:szCs w:val="21"/>
                    </w:rPr>
                    <w:t>本次环评要求建设单位根据要求申请总量，按照规定设置便于检查、采样的规范化排放口，悬挂标志牌；不得私设暗管或者采取其他规范监管的方式排放水污染物</w:t>
                  </w:r>
                </w:p>
              </w:tc>
              <w:tc>
                <w:tcPr>
                  <w:tcW w:w="1019" w:type="dxa"/>
                  <w:vAlign w:val="center"/>
                </w:tcPr>
                <w:p>
                  <w:pPr>
                    <w:pStyle w:val="36"/>
                    <w:spacing w:line="240" w:lineRule="auto"/>
                    <w:rPr>
                      <w:rFonts w:eastAsia="宋体"/>
                      <w:szCs w:val="21"/>
                    </w:rPr>
                  </w:pPr>
                  <w:r>
                    <w:rPr>
                      <w:rFonts w:eastAsia="宋体"/>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69" w:type="dxa"/>
                  <w:vMerge w:val="continue"/>
                  <w:vAlign w:val="center"/>
                </w:tcPr>
                <w:p>
                  <w:pPr>
                    <w:rPr>
                      <w:szCs w:val="21"/>
                    </w:rPr>
                  </w:pPr>
                </w:p>
              </w:tc>
              <w:tc>
                <w:tcPr>
                  <w:tcW w:w="2981" w:type="dxa"/>
                  <w:vAlign w:val="center"/>
                </w:tcPr>
                <w:p>
                  <w:pPr>
                    <w:rPr>
                      <w:szCs w:val="21"/>
                    </w:rPr>
                  </w:pPr>
                  <w:r>
                    <w:rPr>
                      <w:szCs w:val="21"/>
                    </w:rPr>
                    <w:t>禁止在太湖流域设置不符合国家产业政策和水环境综合治理要求的造纸、制革、酒精、淀粉、冶金、酿造、</w:t>
                  </w:r>
                  <w:r>
                    <w:rPr>
                      <w:szCs w:val="21"/>
                    </w:rPr>
                    <w:cr/>
                  </w:r>
                  <w:r>
                    <w:rPr>
                      <w:szCs w:val="21"/>
                    </w:rPr>
                    <w:t>染、电镀等排放水污染物的生产项目，现有</w:t>
                  </w:r>
                  <w:r>
                    <w:rPr>
                      <w:szCs w:val="21"/>
                    </w:rPr>
                    <w:cr/>
                  </w:r>
                  <w:r>
                    <w:rPr>
                      <w:szCs w:val="21"/>
                    </w:rPr>
                    <w:t>生产项目不能实现达标排放的，应当依法关闭。</w:t>
                  </w:r>
                </w:p>
              </w:tc>
              <w:tc>
                <w:tcPr>
                  <w:tcW w:w="3243" w:type="dxa"/>
                  <w:vAlign w:val="center"/>
                </w:tcPr>
                <w:p>
                  <w:pPr>
                    <w:jc w:val="center"/>
                    <w:rPr>
                      <w:szCs w:val="21"/>
                    </w:rPr>
                  </w:pPr>
                  <w:r>
                    <w:rPr>
                      <w:szCs w:val="21"/>
                    </w:rPr>
                    <w:t>本项目从事</w:t>
                  </w:r>
                  <w:r>
                    <w:rPr>
                      <w:rFonts w:hint="eastAsia"/>
                      <w:szCs w:val="21"/>
                      <w:lang w:eastAsia="zh-CN"/>
                    </w:rPr>
                    <w:t>C3499 其他未列明通用设备制造业</w:t>
                  </w:r>
                  <w:r>
                    <w:rPr>
                      <w:szCs w:val="21"/>
                    </w:rPr>
                    <w:t>，不属于太湖流域禁止类项目</w:t>
                  </w:r>
                </w:p>
              </w:tc>
              <w:tc>
                <w:tcPr>
                  <w:tcW w:w="1019" w:type="dxa"/>
                  <w:vAlign w:val="center"/>
                </w:tcPr>
                <w:p>
                  <w:pPr>
                    <w:pStyle w:val="36"/>
                    <w:spacing w:line="240" w:lineRule="auto"/>
                    <w:rPr>
                      <w:rFonts w:eastAsia="宋体"/>
                      <w:szCs w:val="21"/>
                    </w:rPr>
                  </w:pPr>
                  <w:r>
                    <w:rPr>
                      <w:rFonts w:eastAsia="宋体"/>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69" w:type="dxa"/>
                  <w:vMerge w:val="continue"/>
                  <w:vAlign w:val="center"/>
                </w:tcPr>
                <w:p>
                  <w:pPr>
                    <w:rPr>
                      <w:szCs w:val="21"/>
                    </w:rPr>
                  </w:pPr>
                </w:p>
              </w:tc>
              <w:tc>
                <w:tcPr>
                  <w:tcW w:w="2981" w:type="dxa"/>
                  <w:vAlign w:val="center"/>
                </w:tcPr>
                <w:p>
                  <w:pPr>
                    <w:rPr>
                      <w:szCs w:val="21"/>
                    </w:rPr>
                  </w:pPr>
                  <w:r>
                    <w:rPr>
                      <w:szCs w:val="21"/>
                    </w:rPr>
                    <w:t>在太湖流域新设企业应当符合国家规定的清洁生产要求，现有的企业尚未达到清洁生产要求的</w:t>
                  </w:r>
                  <w:r>
                    <w:rPr>
                      <w:szCs w:val="21"/>
                    </w:rPr>
                    <w:cr/>
                  </w:r>
                  <w:r>
                    <w:rPr>
                      <w:szCs w:val="21"/>
                    </w:rPr>
                    <w:t>应当按照清洁生产规划要求进行技术改造，两省一市人民政府应当加强监督检查。</w:t>
                  </w:r>
                </w:p>
              </w:tc>
              <w:tc>
                <w:tcPr>
                  <w:tcW w:w="3243" w:type="dxa"/>
                  <w:vAlign w:val="center"/>
                </w:tcPr>
                <w:p>
                  <w:pPr>
                    <w:jc w:val="center"/>
                    <w:rPr>
                      <w:szCs w:val="21"/>
                    </w:rPr>
                  </w:pPr>
                  <w:r>
                    <w:rPr>
                      <w:szCs w:val="21"/>
                    </w:rPr>
                    <w:t>本项目为新建项目，项目未使用国家淘汰的设备和工艺，符合国家规定的清洁生产的要求</w:t>
                  </w:r>
                </w:p>
              </w:tc>
              <w:tc>
                <w:tcPr>
                  <w:tcW w:w="1019" w:type="dxa"/>
                  <w:vAlign w:val="center"/>
                </w:tcPr>
                <w:p>
                  <w:pPr>
                    <w:pStyle w:val="36"/>
                    <w:spacing w:line="240" w:lineRule="auto"/>
                    <w:rPr>
                      <w:rFonts w:eastAsia="宋体"/>
                      <w:szCs w:val="21"/>
                    </w:rPr>
                  </w:pPr>
                  <w:r>
                    <w:rPr>
                      <w:rFonts w:eastAsia="宋体"/>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69" w:type="dxa"/>
                  <w:vMerge w:val="restart"/>
                  <w:vAlign w:val="center"/>
                </w:tcPr>
                <w:p>
                  <w:pPr>
                    <w:pStyle w:val="36"/>
                    <w:spacing w:line="240" w:lineRule="auto"/>
                    <w:jc w:val="both"/>
                    <w:rPr>
                      <w:rFonts w:eastAsia="宋体"/>
                      <w:b/>
                      <w:szCs w:val="21"/>
                    </w:rPr>
                  </w:pPr>
                  <w:r>
                    <w:rPr>
                      <w:rFonts w:eastAsia="宋体"/>
                      <w:b/>
                      <w:szCs w:val="21"/>
                    </w:rPr>
                    <w:t>江苏省太湖水污染防治条例</w:t>
                  </w:r>
                </w:p>
              </w:tc>
              <w:tc>
                <w:tcPr>
                  <w:tcW w:w="2981" w:type="dxa"/>
                  <w:vAlign w:val="center"/>
                </w:tcPr>
                <w:p>
                  <w:pPr>
                    <w:rPr>
                      <w:szCs w:val="21"/>
                    </w:rPr>
                  </w:pPr>
                  <w:r>
                    <w:rPr>
                      <w:szCs w:val="21"/>
                    </w:rPr>
                    <w:t>在太湖流域新建、改建、扩建可能产生水污染的建设项目应当依法进行环境影响评价。</w:t>
                  </w:r>
                </w:p>
              </w:tc>
              <w:tc>
                <w:tcPr>
                  <w:tcW w:w="3243" w:type="dxa"/>
                  <w:vAlign w:val="center"/>
                </w:tcPr>
                <w:p>
                  <w:pPr>
                    <w:jc w:val="center"/>
                    <w:rPr>
                      <w:szCs w:val="21"/>
                    </w:rPr>
                  </w:pPr>
                  <w:r>
                    <w:rPr>
                      <w:szCs w:val="21"/>
                    </w:rPr>
                    <w:t>本项目目前正在进行环境影响评价</w:t>
                  </w:r>
                </w:p>
              </w:tc>
              <w:tc>
                <w:tcPr>
                  <w:tcW w:w="1019" w:type="dxa"/>
                  <w:vAlign w:val="center"/>
                </w:tcPr>
                <w:p>
                  <w:pPr>
                    <w:pStyle w:val="36"/>
                    <w:spacing w:line="240" w:lineRule="auto"/>
                    <w:rPr>
                      <w:rFonts w:eastAsia="宋体"/>
                      <w:szCs w:val="21"/>
                    </w:rPr>
                  </w:pPr>
                  <w:r>
                    <w:rPr>
                      <w:rFonts w:eastAsia="宋体"/>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69" w:type="dxa"/>
                  <w:vMerge w:val="continue"/>
                  <w:vAlign w:val="center"/>
                </w:tcPr>
                <w:p>
                  <w:pPr>
                    <w:rPr>
                      <w:szCs w:val="21"/>
                    </w:rPr>
                  </w:pPr>
                </w:p>
              </w:tc>
              <w:tc>
                <w:tcPr>
                  <w:tcW w:w="2981" w:type="dxa"/>
                  <w:vAlign w:val="center"/>
                </w:tcPr>
                <w:p>
                  <w:pPr>
                    <w:rPr>
                      <w:szCs w:val="21"/>
                    </w:rPr>
                  </w:pPr>
                  <w:r>
                    <w:rPr>
                      <w:szCs w:val="21"/>
                    </w:rPr>
                    <w:t>建设项目的水污染防治设施，应当与主体工程同时设计、同时</w:t>
                  </w:r>
                  <w:r>
                    <w:rPr>
                      <w:szCs w:val="21"/>
                    </w:rPr>
                    <w:cr/>
                  </w:r>
                  <w:r>
                    <w:rPr>
                      <w:szCs w:val="21"/>
                    </w:rPr>
                    <w:t>工、同时投入使用</w:t>
                  </w:r>
                </w:p>
              </w:tc>
              <w:tc>
                <w:tcPr>
                  <w:tcW w:w="3243" w:type="dxa"/>
                  <w:vAlign w:val="center"/>
                </w:tcPr>
                <w:p>
                  <w:pPr>
                    <w:jc w:val="center"/>
                    <w:rPr>
                      <w:szCs w:val="21"/>
                    </w:rPr>
                  </w:pPr>
                  <w:r>
                    <w:rPr>
                      <w:szCs w:val="21"/>
                    </w:rPr>
                    <w:t>本次环评严格要求建设单位执行</w:t>
                  </w:r>
                  <w:r>
                    <w:rPr>
                      <w:rFonts w:hint="eastAsia"/>
                      <w:szCs w:val="21"/>
                      <w:lang w:eastAsia="zh-CN"/>
                    </w:rPr>
                    <w:t>“</w:t>
                  </w:r>
                  <w:r>
                    <w:rPr>
                      <w:szCs w:val="21"/>
                    </w:rPr>
                    <w:t>三同时制度</w:t>
                  </w:r>
                  <w:r>
                    <w:rPr>
                      <w:rFonts w:hint="eastAsia"/>
                      <w:szCs w:val="21"/>
                      <w:lang w:eastAsia="zh-CN"/>
                    </w:rPr>
                    <w:t>”</w:t>
                  </w:r>
                  <w:r>
                    <w:rPr>
                      <w:szCs w:val="21"/>
                    </w:rPr>
                    <w:t>。</w:t>
                  </w:r>
                </w:p>
              </w:tc>
              <w:tc>
                <w:tcPr>
                  <w:tcW w:w="1019" w:type="dxa"/>
                  <w:vAlign w:val="center"/>
                </w:tcPr>
                <w:p>
                  <w:pPr>
                    <w:pStyle w:val="36"/>
                    <w:spacing w:line="240" w:lineRule="auto"/>
                    <w:rPr>
                      <w:rFonts w:eastAsia="宋体"/>
                      <w:szCs w:val="21"/>
                    </w:rPr>
                  </w:pPr>
                  <w:r>
                    <w:rPr>
                      <w:rFonts w:eastAsia="宋体"/>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69" w:type="dxa"/>
                  <w:vMerge w:val="continue"/>
                  <w:vAlign w:val="center"/>
                </w:tcPr>
                <w:p>
                  <w:pPr>
                    <w:rPr>
                      <w:szCs w:val="21"/>
                    </w:rPr>
                  </w:pPr>
                </w:p>
              </w:tc>
              <w:tc>
                <w:tcPr>
                  <w:tcW w:w="2981" w:type="dxa"/>
                  <w:vAlign w:val="center"/>
                </w:tcPr>
                <w:p>
                  <w:pPr>
                    <w:rPr>
                      <w:szCs w:val="21"/>
                    </w:rPr>
                  </w:pPr>
                  <w:r>
                    <w:rPr>
                      <w:szCs w:val="21"/>
                    </w:rPr>
                    <w:t>直接或者间接向水体排放污染物的企业事业单位和其他生产经营者应当按照国家和省有关规定设置排污口。禁止私设排污口。</w:t>
                  </w:r>
                </w:p>
              </w:tc>
              <w:tc>
                <w:tcPr>
                  <w:tcW w:w="3243" w:type="dxa"/>
                  <w:vAlign w:val="center"/>
                </w:tcPr>
                <w:p>
                  <w:pPr>
                    <w:jc w:val="center"/>
                    <w:rPr>
                      <w:szCs w:val="21"/>
                    </w:rPr>
                  </w:pPr>
                  <w:r>
                    <w:rPr>
                      <w:szCs w:val="21"/>
                    </w:rPr>
                    <w:t>本次环评要求建单位按照国家和省关规定设置排污口。禁止私排污口。</w:t>
                  </w:r>
                </w:p>
              </w:tc>
              <w:tc>
                <w:tcPr>
                  <w:tcW w:w="1019" w:type="dxa"/>
                  <w:vAlign w:val="center"/>
                </w:tcPr>
                <w:p>
                  <w:pPr>
                    <w:pStyle w:val="36"/>
                    <w:spacing w:line="240" w:lineRule="auto"/>
                    <w:rPr>
                      <w:rFonts w:eastAsia="宋体"/>
                      <w:szCs w:val="21"/>
                    </w:rPr>
                  </w:pPr>
                  <w:r>
                    <w:rPr>
                      <w:rFonts w:eastAsia="宋体"/>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69" w:type="dxa"/>
                  <w:vMerge w:val="continue"/>
                  <w:vAlign w:val="center"/>
                </w:tcPr>
                <w:p>
                  <w:pPr>
                    <w:rPr>
                      <w:szCs w:val="21"/>
                    </w:rPr>
                  </w:pPr>
                </w:p>
              </w:tc>
              <w:tc>
                <w:tcPr>
                  <w:tcW w:w="2981" w:type="dxa"/>
                  <w:vAlign w:val="center"/>
                </w:tcPr>
                <w:p>
                  <w:pPr>
                    <w:rPr>
                      <w:szCs w:val="21"/>
                    </w:rPr>
                  </w:pPr>
                  <w:r>
                    <w:rPr>
                      <w:szCs w:val="21"/>
                    </w:rPr>
                    <w:t>各类污水处理设施产生的污泥应当进行安全处置，不得随意堆放和弃置，不得排入水体；属于危险废物的，应当委托有资质的单位处置。污泥的收集、贮存应当符合国家相关规定和标准。</w:t>
                  </w:r>
                </w:p>
              </w:tc>
              <w:tc>
                <w:tcPr>
                  <w:tcW w:w="3243" w:type="dxa"/>
                  <w:vAlign w:val="center"/>
                </w:tcPr>
                <w:p>
                  <w:pPr>
                    <w:rPr>
                      <w:szCs w:val="21"/>
                    </w:rPr>
                  </w:pPr>
                  <w:r>
                    <w:rPr>
                      <w:szCs w:val="21"/>
                    </w:rPr>
                    <w:t>本次环评要求建设单位固废均分类收集、分类暂存、分类处置。一般固体废弃物执行《一般工业固体废物贮存、处置场污染控制标准》（GB18599-2001）及其修改单；危险废物执行《危险废物贮存污染控制标准》（GB 18597-2001）及其修改单</w:t>
                  </w:r>
                </w:p>
              </w:tc>
              <w:tc>
                <w:tcPr>
                  <w:tcW w:w="1019" w:type="dxa"/>
                  <w:vAlign w:val="center"/>
                </w:tcPr>
                <w:p>
                  <w:pPr>
                    <w:pStyle w:val="36"/>
                    <w:spacing w:line="240" w:lineRule="auto"/>
                    <w:rPr>
                      <w:rFonts w:eastAsia="宋体"/>
                      <w:szCs w:val="21"/>
                    </w:rPr>
                  </w:pPr>
                  <w:r>
                    <w:rPr>
                      <w:rFonts w:eastAsia="宋体"/>
                      <w:szCs w:val="21"/>
                    </w:rPr>
                    <w:t>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069" w:type="dxa"/>
                  <w:vMerge w:val="continue"/>
                  <w:vAlign w:val="center"/>
                </w:tcPr>
                <w:p>
                  <w:pPr>
                    <w:rPr>
                      <w:szCs w:val="21"/>
                    </w:rPr>
                  </w:pPr>
                </w:p>
              </w:tc>
              <w:tc>
                <w:tcPr>
                  <w:tcW w:w="2981" w:type="dxa"/>
                  <w:vAlign w:val="center"/>
                </w:tcPr>
                <w:p>
                  <w:pPr>
                    <w:rPr>
                      <w:szCs w:val="21"/>
                    </w:rPr>
                  </w:pPr>
                  <w:r>
                    <w:rPr>
                      <w:szCs w:val="21"/>
                    </w:rPr>
                    <w:t>太湖流域一、二、三级保护区禁止下列行为：（一）新建、改建、扩建化学制浆造纸、制革、酿造、染料、印染、电镀以及其他排放含磷、氮等污染物的企业和项目，城镇污水集中处理等环境基础设施项目和第四十六条规定的情形除外；</w:t>
                  </w:r>
                </w:p>
                <w:p>
                  <w:pPr>
                    <w:rPr>
                      <w:szCs w:val="21"/>
                    </w:rPr>
                  </w:pPr>
                  <w:r>
                    <w:rPr>
                      <w:szCs w:val="21"/>
                    </w:rPr>
                    <w:t>（二）销售、使用含磷洗涤用品；</w:t>
                  </w:r>
                </w:p>
                <w:p>
                  <w:pPr>
                    <w:rPr>
                      <w:szCs w:val="21"/>
                    </w:rPr>
                  </w:pPr>
                  <w:r>
                    <w:rPr>
                      <w:szCs w:val="21"/>
                    </w:rPr>
                    <w:t xml:space="preserve">（三）向水体排放或者倾倒油类、酸液、碱液、剧毒废渣废液、含放射性废渣废液、含病原体污水、工业废渣以及其他废弃物； </w:t>
                  </w:r>
                </w:p>
              </w:tc>
              <w:tc>
                <w:tcPr>
                  <w:tcW w:w="3243" w:type="dxa"/>
                  <w:vAlign w:val="center"/>
                </w:tcPr>
                <w:p>
                  <w:pPr>
                    <w:jc w:val="center"/>
                    <w:rPr>
                      <w:szCs w:val="21"/>
                    </w:rPr>
                  </w:pPr>
                  <w:r>
                    <w:rPr>
                      <w:szCs w:val="21"/>
                    </w:rPr>
                    <w:t>（一）本项目不属于化学制浆造纸、制革、酿造、染料、印染、电镀以及其他排放含磷、氮等污染物项目；</w:t>
                  </w:r>
                </w:p>
                <w:p>
                  <w:pPr>
                    <w:jc w:val="center"/>
                    <w:rPr>
                      <w:szCs w:val="21"/>
                    </w:rPr>
                  </w:pPr>
                  <w:r>
                    <w:rPr>
                      <w:szCs w:val="21"/>
                    </w:rPr>
                    <w:t>（二）本项目不销售、使用含磷洗涤用品；</w:t>
                  </w:r>
                </w:p>
                <w:p>
                  <w:pPr>
                    <w:jc w:val="center"/>
                    <w:rPr>
                      <w:szCs w:val="21"/>
                    </w:rPr>
                  </w:pPr>
                  <w:r>
                    <w:rPr>
                      <w:szCs w:val="21"/>
                    </w:rPr>
                    <w:t>（三）项目固废分类收集、分类暂存、分类处置。</w:t>
                  </w:r>
                </w:p>
              </w:tc>
              <w:tc>
                <w:tcPr>
                  <w:tcW w:w="1019" w:type="dxa"/>
                  <w:vAlign w:val="center"/>
                </w:tcPr>
                <w:p>
                  <w:pPr>
                    <w:pStyle w:val="36"/>
                    <w:spacing w:line="240" w:lineRule="auto"/>
                    <w:rPr>
                      <w:rFonts w:eastAsia="宋体"/>
                      <w:szCs w:val="21"/>
                    </w:rPr>
                  </w:pPr>
                  <w:r>
                    <w:rPr>
                      <w:rFonts w:eastAsia="宋体"/>
                      <w:szCs w:val="21"/>
                    </w:rPr>
                    <w:t>相符</w:t>
                  </w:r>
                </w:p>
              </w:tc>
            </w:tr>
          </w:tbl>
          <w:p>
            <w:pPr>
              <w:pStyle w:val="37"/>
              <w:tabs>
                <w:tab w:val="left" w:pos="2730"/>
              </w:tabs>
              <w:adjustRightInd w:val="0"/>
              <w:snapToGrid w:val="0"/>
              <w:spacing w:before="156" w:beforeLines="50"/>
              <w:ind w:firstLine="482"/>
              <w:rPr>
                <w:b/>
                <w:kern w:val="2"/>
                <w:szCs w:val="24"/>
              </w:rPr>
            </w:pPr>
            <w:r>
              <w:rPr>
                <w:rFonts w:hint="eastAsia"/>
                <w:b/>
                <w:kern w:val="2"/>
                <w:szCs w:val="24"/>
              </w:rPr>
              <w:t>6、</w:t>
            </w:r>
            <w:r>
              <w:rPr>
                <w:rFonts w:hint="eastAsia"/>
                <w:b/>
                <w:kern w:val="2"/>
                <w:szCs w:val="24"/>
                <w:lang w:eastAsia="zh-CN"/>
              </w:rPr>
              <w:t>“</w:t>
            </w:r>
            <w:r>
              <w:rPr>
                <w:b/>
                <w:kern w:val="2"/>
                <w:szCs w:val="24"/>
              </w:rPr>
              <w:t>三线一单</w:t>
            </w:r>
            <w:r>
              <w:rPr>
                <w:rFonts w:hint="eastAsia"/>
                <w:b/>
                <w:kern w:val="2"/>
                <w:szCs w:val="24"/>
                <w:lang w:eastAsia="zh-CN"/>
              </w:rPr>
              <w:t>”</w:t>
            </w:r>
            <w:r>
              <w:rPr>
                <w:b/>
                <w:kern w:val="2"/>
                <w:szCs w:val="24"/>
              </w:rPr>
              <w:t>相符性分析</w:t>
            </w:r>
          </w:p>
          <w:p>
            <w:pPr>
              <w:pStyle w:val="37"/>
              <w:tabs>
                <w:tab w:val="left" w:pos="2730"/>
              </w:tabs>
              <w:adjustRightInd w:val="0"/>
              <w:snapToGrid w:val="0"/>
              <w:ind w:firstLine="482"/>
              <w:rPr>
                <w:rFonts w:hint="eastAsia" w:eastAsia="宋体"/>
                <w:b/>
                <w:bCs/>
                <w:kern w:val="2"/>
                <w:szCs w:val="24"/>
                <w:lang w:val="en-US" w:eastAsia="zh-CN"/>
              </w:rPr>
            </w:pPr>
            <w:r>
              <w:rPr>
                <w:rFonts w:hint="eastAsia"/>
                <w:b/>
                <w:bCs/>
                <w:kern w:val="2"/>
                <w:szCs w:val="24"/>
              </w:rPr>
              <w:t>（</w:t>
            </w:r>
            <w:r>
              <w:rPr>
                <w:b/>
                <w:bCs/>
                <w:kern w:val="2"/>
                <w:szCs w:val="24"/>
              </w:rPr>
              <w:t>1</w:t>
            </w:r>
            <w:r>
              <w:rPr>
                <w:rFonts w:hint="eastAsia"/>
                <w:b/>
                <w:bCs/>
                <w:kern w:val="2"/>
                <w:szCs w:val="24"/>
              </w:rPr>
              <w:t>）与生态红线区域保护规划的相符性</w:t>
            </w:r>
            <w:r>
              <w:rPr>
                <w:rFonts w:hint="eastAsia"/>
                <w:b/>
                <w:bCs/>
                <w:kern w:val="2"/>
                <w:szCs w:val="24"/>
                <w:lang w:val="en-US" w:eastAsia="zh-CN"/>
              </w:rPr>
              <w:t>·</w:t>
            </w:r>
          </w:p>
          <w:p>
            <w:pPr>
              <w:pStyle w:val="37"/>
              <w:tabs>
                <w:tab w:val="left" w:pos="2730"/>
              </w:tabs>
              <w:adjustRightInd w:val="0"/>
              <w:snapToGrid w:val="0"/>
              <w:ind w:firstLine="480"/>
              <w:rPr>
                <w:color w:val="FF0000"/>
              </w:rPr>
            </w:pPr>
            <w:r>
              <w:rPr>
                <w:rFonts w:hint="eastAsia"/>
              </w:rPr>
              <w:t>根据</w:t>
            </w:r>
            <w:r>
              <w:rPr>
                <w:rFonts w:hint="default" w:ascii="Times New Roman" w:hAnsi="Times New Roman" w:cs="Times New Roman"/>
                <w:color w:val="auto"/>
              </w:rPr>
              <w:t>《省政府关于印发江苏省生态空间管控区域规划的通知》（苏政发〔2020〕1号）</w:t>
            </w:r>
            <w:r>
              <w:rPr>
                <w:rFonts w:hint="eastAsia"/>
              </w:rPr>
              <w:t>，常州市生态红线区域为47片，国家级生态保护红线311.02平方公里，生态空间管控区域937.68平方公里，区域总面积（扣除重叠）942.83平方公里，占常州市国土总面积的21.56%。项目所在地附近生态红线区域见下表。</w:t>
            </w:r>
          </w:p>
          <w:p>
            <w:pPr>
              <w:pStyle w:val="37"/>
              <w:tabs>
                <w:tab w:val="left" w:pos="2730"/>
              </w:tabs>
              <w:adjustRightInd w:val="0"/>
              <w:snapToGrid w:val="0"/>
              <w:spacing w:line="240" w:lineRule="auto"/>
              <w:ind w:firstLine="0" w:firstLineChars="0"/>
              <w:jc w:val="center"/>
              <w:rPr>
                <w:b/>
                <w:bCs/>
                <w:szCs w:val="24"/>
              </w:rPr>
            </w:pPr>
            <w:r>
              <w:rPr>
                <w:rFonts w:hint="eastAsia"/>
                <w:b/>
                <w:bCs/>
                <w:szCs w:val="24"/>
              </w:rPr>
              <w:t>表1-7 项目与周边区域生态红线区域位置关系</w:t>
            </w:r>
          </w:p>
          <w:tbl>
            <w:tblPr>
              <w:tblStyle w:val="18"/>
              <w:tblW w:w="8416" w:type="dxa"/>
              <w:tblInd w:w="10" w:type="dxa"/>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427"/>
              <w:gridCol w:w="739"/>
              <w:gridCol w:w="687"/>
              <w:gridCol w:w="873"/>
              <w:gridCol w:w="1433"/>
              <w:gridCol w:w="834"/>
              <w:gridCol w:w="831"/>
              <w:gridCol w:w="772"/>
              <w:gridCol w:w="890"/>
              <w:gridCol w:w="930"/>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c>
                <w:tcPr>
                  <w:tcW w:w="407" w:type="dxa"/>
                  <w:vMerge w:val="restart"/>
                  <w:tcBorders>
                    <w:tl2br w:val="nil"/>
                    <w:tr2bl w:val="nil"/>
                  </w:tcBorders>
                  <w:vAlign w:val="center"/>
                </w:tcPr>
                <w:p>
                  <w:pPr>
                    <w:pStyle w:val="37"/>
                    <w:tabs>
                      <w:tab w:val="left" w:pos="2730"/>
                    </w:tabs>
                    <w:adjustRightInd w:val="0"/>
                    <w:snapToGrid w:val="0"/>
                    <w:spacing w:line="240" w:lineRule="auto"/>
                    <w:ind w:firstLine="0" w:firstLineChars="0"/>
                    <w:jc w:val="center"/>
                    <w:rPr>
                      <w:b/>
                      <w:bCs/>
                      <w:sz w:val="21"/>
                      <w:szCs w:val="21"/>
                    </w:rPr>
                  </w:pPr>
                  <w:r>
                    <w:rPr>
                      <w:rFonts w:hint="eastAsia"/>
                      <w:b/>
                      <w:bCs/>
                      <w:sz w:val="21"/>
                      <w:szCs w:val="21"/>
                    </w:rPr>
                    <w:t>地区</w:t>
                  </w:r>
                </w:p>
              </w:tc>
              <w:tc>
                <w:tcPr>
                  <w:tcW w:w="747" w:type="dxa"/>
                  <w:vMerge w:val="restart"/>
                  <w:tcBorders>
                    <w:tl2br w:val="nil"/>
                    <w:tr2bl w:val="nil"/>
                  </w:tcBorders>
                  <w:vAlign w:val="center"/>
                </w:tcPr>
                <w:p>
                  <w:pPr>
                    <w:pStyle w:val="37"/>
                    <w:tabs>
                      <w:tab w:val="left" w:pos="2730"/>
                    </w:tabs>
                    <w:adjustRightInd w:val="0"/>
                    <w:snapToGrid w:val="0"/>
                    <w:spacing w:line="240" w:lineRule="auto"/>
                    <w:ind w:firstLine="0" w:firstLineChars="0"/>
                    <w:jc w:val="center"/>
                    <w:rPr>
                      <w:b/>
                      <w:bCs/>
                      <w:sz w:val="21"/>
                      <w:szCs w:val="21"/>
                    </w:rPr>
                  </w:pPr>
                  <w:r>
                    <w:rPr>
                      <w:rFonts w:hint="eastAsia"/>
                      <w:b/>
                      <w:bCs/>
                      <w:sz w:val="21"/>
                      <w:szCs w:val="21"/>
                    </w:rPr>
                    <w:t>红线区域名称</w:t>
                  </w:r>
                </w:p>
              </w:tc>
              <w:tc>
                <w:tcPr>
                  <w:tcW w:w="693" w:type="dxa"/>
                  <w:vMerge w:val="restart"/>
                  <w:tcBorders>
                    <w:tl2br w:val="nil"/>
                    <w:tr2bl w:val="nil"/>
                  </w:tcBorders>
                  <w:vAlign w:val="center"/>
                </w:tcPr>
                <w:p>
                  <w:pPr>
                    <w:pStyle w:val="37"/>
                    <w:tabs>
                      <w:tab w:val="left" w:pos="2730"/>
                    </w:tabs>
                    <w:adjustRightInd w:val="0"/>
                    <w:snapToGrid w:val="0"/>
                    <w:spacing w:line="240" w:lineRule="auto"/>
                    <w:ind w:firstLine="0" w:firstLineChars="0"/>
                    <w:jc w:val="center"/>
                    <w:rPr>
                      <w:b/>
                      <w:bCs/>
                      <w:sz w:val="21"/>
                      <w:szCs w:val="21"/>
                    </w:rPr>
                  </w:pPr>
                  <w:r>
                    <w:rPr>
                      <w:rFonts w:hint="eastAsia"/>
                      <w:b/>
                      <w:bCs/>
                      <w:sz w:val="21"/>
                      <w:szCs w:val="21"/>
                    </w:rPr>
                    <w:t>主导生</w:t>
                  </w:r>
                </w:p>
                <w:p>
                  <w:pPr>
                    <w:pStyle w:val="37"/>
                    <w:tabs>
                      <w:tab w:val="left" w:pos="2730"/>
                    </w:tabs>
                    <w:adjustRightInd w:val="0"/>
                    <w:snapToGrid w:val="0"/>
                    <w:spacing w:line="240" w:lineRule="auto"/>
                    <w:ind w:firstLine="0" w:firstLineChars="0"/>
                    <w:jc w:val="center"/>
                    <w:rPr>
                      <w:b/>
                      <w:bCs/>
                      <w:sz w:val="21"/>
                      <w:szCs w:val="21"/>
                    </w:rPr>
                  </w:pPr>
                  <w:r>
                    <w:rPr>
                      <w:rFonts w:hint="eastAsia"/>
                      <w:b/>
                      <w:bCs/>
                      <w:sz w:val="21"/>
                      <w:szCs w:val="21"/>
                    </w:rPr>
                    <w:t>态功能</w:t>
                  </w:r>
                </w:p>
              </w:tc>
              <w:tc>
                <w:tcPr>
                  <w:tcW w:w="2334" w:type="dxa"/>
                  <w:gridSpan w:val="2"/>
                  <w:tcBorders>
                    <w:tl2br w:val="nil"/>
                    <w:tr2bl w:val="nil"/>
                  </w:tcBorders>
                  <w:vAlign w:val="center"/>
                </w:tcPr>
                <w:p>
                  <w:pPr>
                    <w:pStyle w:val="37"/>
                    <w:tabs>
                      <w:tab w:val="left" w:pos="2730"/>
                    </w:tabs>
                    <w:adjustRightInd w:val="0"/>
                    <w:snapToGrid w:val="0"/>
                    <w:spacing w:line="240" w:lineRule="auto"/>
                    <w:ind w:firstLine="0" w:firstLineChars="0"/>
                    <w:jc w:val="center"/>
                    <w:rPr>
                      <w:b/>
                      <w:bCs/>
                      <w:sz w:val="21"/>
                      <w:szCs w:val="21"/>
                    </w:rPr>
                  </w:pPr>
                  <w:r>
                    <w:rPr>
                      <w:rFonts w:hint="eastAsia"/>
                      <w:b/>
                      <w:bCs/>
                      <w:sz w:val="21"/>
                      <w:szCs w:val="21"/>
                    </w:rPr>
                    <w:t>红线区域范围</w:t>
                  </w:r>
                </w:p>
              </w:tc>
              <w:tc>
                <w:tcPr>
                  <w:tcW w:w="2448" w:type="dxa"/>
                  <w:gridSpan w:val="3"/>
                  <w:tcBorders>
                    <w:tl2br w:val="nil"/>
                    <w:tr2bl w:val="nil"/>
                  </w:tcBorders>
                  <w:vAlign w:val="center"/>
                </w:tcPr>
                <w:p>
                  <w:pPr>
                    <w:pStyle w:val="37"/>
                    <w:tabs>
                      <w:tab w:val="left" w:pos="2730"/>
                    </w:tabs>
                    <w:adjustRightInd w:val="0"/>
                    <w:snapToGrid w:val="0"/>
                    <w:spacing w:line="240" w:lineRule="auto"/>
                    <w:ind w:firstLine="0" w:firstLineChars="0"/>
                    <w:jc w:val="center"/>
                    <w:rPr>
                      <w:b/>
                      <w:bCs/>
                      <w:sz w:val="21"/>
                      <w:szCs w:val="21"/>
                    </w:rPr>
                  </w:pPr>
                  <w:r>
                    <w:rPr>
                      <w:rFonts w:hint="eastAsia"/>
                      <w:b/>
                      <w:bCs/>
                      <w:sz w:val="21"/>
                      <w:szCs w:val="21"/>
                    </w:rPr>
                    <w:t>面积（平方公里）</w:t>
                  </w:r>
                </w:p>
              </w:tc>
              <w:tc>
                <w:tcPr>
                  <w:tcW w:w="899" w:type="dxa"/>
                  <w:vMerge w:val="restart"/>
                  <w:tcBorders>
                    <w:tl2br w:val="nil"/>
                    <w:tr2bl w:val="nil"/>
                  </w:tcBorders>
                  <w:vAlign w:val="center"/>
                </w:tcPr>
                <w:p>
                  <w:pPr>
                    <w:pStyle w:val="37"/>
                    <w:tabs>
                      <w:tab w:val="left" w:pos="2730"/>
                    </w:tabs>
                    <w:adjustRightInd w:val="0"/>
                    <w:snapToGrid w:val="0"/>
                    <w:spacing w:line="240" w:lineRule="auto"/>
                    <w:ind w:firstLine="0" w:firstLineChars="0"/>
                    <w:jc w:val="center"/>
                    <w:rPr>
                      <w:b/>
                      <w:bCs/>
                      <w:sz w:val="21"/>
                      <w:szCs w:val="21"/>
                    </w:rPr>
                  </w:pPr>
                  <w:r>
                    <w:rPr>
                      <w:rFonts w:hint="eastAsia"/>
                      <w:b/>
                      <w:bCs/>
                      <w:sz w:val="21"/>
                      <w:szCs w:val="21"/>
                    </w:rPr>
                    <w:t>与本项目方位</w:t>
                  </w:r>
                </w:p>
              </w:tc>
              <w:tc>
                <w:tcPr>
                  <w:tcW w:w="888" w:type="dxa"/>
                  <w:vMerge w:val="restart"/>
                  <w:tcBorders>
                    <w:tl2br w:val="nil"/>
                    <w:tr2bl w:val="nil"/>
                  </w:tcBorders>
                  <w:vAlign w:val="center"/>
                </w:tcPr>
                <w:p>
                  <w:pPr>
                    <w:pStyle w:val="37"/>
                    <w:tabs>
                      <w:tab w:val="left" w:pos="2730"/>
                    </w:tabs>
                    <w:adjustRightInd w:val="0"/>
                    <w:snapToGrid w:val="0"/>
                    <w:spacing w:line="240" w:lineRule="auto"/>
                    <w:ind w:firstLine="0" w:firstLineChars="0"/>
                    <w:jc w:val="center"/>
                    <w:rPr>
                      <w:b/>
                      <w:bCs/>
                      <w:sz w:val="21"/>
                      <w:szCs w:val="21"/>
                    </w:rPr>
                  </w:pPr>
                  <w:r>
                    <w:rPr>
                      <w:rFonts w:hint="eastAsia"/>
                      <w:b/>
                      <w:bCs/>
                      <w:sz w:val="21"/>
                      <w:szCs w:val="21"/>
                    </w:rPr>
                    <w:t>与本项目相距（km）</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c>
                <w:tcPr>
                  <w:tcW w:w="407" w:type="dxa"/>
                  <w:vMerge w:val="continue"/>
                  <w:tcBorders>
                    <w:tl2br w:val="nil"/>
                    <w:tr2bl w:val="nil"/>
                  </w:tcBorders>
                  <w:vAlign w:val="center"/>
                </w:tcPr>
                <w:p>
                  <w:pPr>
                    <w:pStyle w:val="37"/>
                    <w:tabs>
                      <w:tab w:val="left" w:pos="2730"/>
                    </w:tabs>
                    <w:adjustRightInd w:val="0"/>
                    <w:snapToGrid w:val="0"/>
                    <w:spacing w:line="240" w:lineRule="auto"/>
                    <w:ind w:firstLine="0" w:firstLineChars="0"/>
                    <w:jc w:val="center"/>
                    <w:rPr>
                      <w:b/>
                      <w:bCs/>
                      <w:sz w:val="21"/>
                      <w:szCs w:val="21"/>
                    </w:rPr>
                  </w:pPr>
                </w:p>
              </w:tc>
              <w:tc>
                <w:tcPr>
                  <w:tcW w:w="747" w:type="dxa"/>
                  <w:vMerge w:val="continue"/>
                  <w:tcBorders>
                    <w:tl2br w:val="nil"/>
                    <w:tr2bl w:val="nil"/>
                  </w:tcBorders>
                  <w:vAlign w:val="center"/>
                </w:tcPr>
                <w:p>
                  <w:pPr>
                    <w:pStyle w:val="37"/>
                    <w:tabs>
                      <w:tab w:val="left" w:pos="2730"/>
                    </w:tabs>
                    <w:adjustRightInd w:val="0"/>
                    <w:snapToGrid w:val="0"/>
                    <w:spacing w:line="240" w:lineRule="auto"/>
                    <w:ind w:firstLine="0" w:firstLineChars="0"/>
                    <w:jc w:val="center"/>
                    <w:rPr>
                      <w:b/>
                      <w:bCs/>
                      <w:sz w:val="21"/>
                      <w:szCs w:val="21"/>
                    </w:rPr>
                  </w:pPr>
                </w:p>
              </w:tc>
              <w:tc>
                <w:tcPr>
                  <w:tcW w:w="693" w:type="dxa"/>
                  <w:vMerge w:val="continue"/>
                  <w:tcBorders>
                    <w:tl2br w:val="nil"/>
                    <w:tr2bl w:val="nil"/>
                  </w:tcBorders>
                  <w:vAlign w:val="center"/>
                </w:tcPr>
                <w:p>
                  <w:pPr>
                    <w:pStyle w:val="37"/>
                    <w:tabs>
                      <w:tab w:val="left" w:pos="2730"/>
                    </w:tabs>
                    <w:adjustRightInd w:val="0"/>
                    <w:snapToGrid w:val="0"/>
                    <w:spacing w:line="240" w:lineRule="auto"/>
                    <w:ind w:firstLine="0" w:firstLineChars="0"/>
                    <w:jc w:val="center"/>
                    <w:rPr>
                      <w:b/>
                      <w:bCs/>
                      <w:sz w:val="21"/>
                      <w:szCs w:val="21"/>
                    </w:rPr>
                  </w:pPr>
                </w:p>
              </w:tc>
              <w:tc>
                <w:tcPr>
                  <w:tcW w:w="883" w:type="dxa"/>
                  <w:tcBorders>
                    <w:tl2br w:val="nil"/>
                    <w:tr2bl w:val="nil"/>
                  </w:tcBorders>
                  <w:vAlign w:val="center"/>
                </w:tcPr>
                <w:p>
                  <w:pPr>
                    <w:pStyle w:val="37"/>
                    <w:tabs>
                      <w:tab w:val="left" w:pos="2730"/>
                    </w:tabs>
                    <w:adjustRightInd w:val="0"/>
                    <w:snapToGrid w:val="0"/>
                    <w:spacing w:line="240" w:lineRule="auto"/>
                    <w:ind w:firstLine="0" w:firstLineChars="0"/>
                    <w:jc w:val="center"/>
                    <w:rPr>
                      <w:b/>
                      <w:bCs/>
                      <w:sz w:val="21"/>
                      <w:szCs w:val="21"/>
                    </w:rPr>
                  </w:pPr>
                  <w:r>
                    <w:rPr>
                      <w:rFonts w:hint="eastAsia"/>
                      <w:b/>
                      <w:bCs/>
                      <w:sz w:val="21"/>
                      <w:szCs w:val="21"/>
                    </w:rPr>
                    <w:t>一级管控区</w:t>
                  </w:r>
                </w:p>
              </w:tc>
              <w:tc>
                <w:tcPr>
                  <w:tcW w:w="1451" w:type="dxa"/>
                  <w:tcBorders>
                    <w:tl2br w:val="nil"/>
                    <w:tr2bl w:val="nil"/>
                  </w:tcBorders>
                  <w:vAlign w:val="center"/>
                </w:tcPr>
                <w:p>
                  <w:pPr>
                    <w:pStyle w:val="37"/>
                    <w:tabs>
                      <w:tab w:val="left" w:pos="2730"/>
                    </w:tabs>
                    <w:adjustRightInd w:val="0"/>
                    <w:snapToGrid w:val="0"/>
                    <w:spacing w:line="240" w:lineRule="auto"/>
                    <w:ind w:firstLine="0" w:firstLineChars="0"/>
                    <w:jc w:val="center"/>
                    <w:rPr>
                      <w:b/>
                      <w:bCs/>
                      <w:sz w:val="21"/>
                      <w:szCs w:val="21"/>
                    </w:rPr>
                  </w:pPr>
                  <w:r>
                    <w:rPr>
                      <w:rFonts w:hint="eastAsia"/>
                      <w:b/>
                      <w:bCs/>
                      <w:sz w:val="21"/>
                      <w:szCs w:val="21"/>
                    </w:rPr>
                    <w:t>二级管控区</w:t>
                  </w:r>
                </w:p>
              </w:tc>
              <w:tc>
                <w:tcPr>
                  <w:tcW w:w="837" w:type="dxa"/>
                  <w:tcBorders>
                    <w:tl2br w:val="nil"/>
                    <w:tr2bl w:val="nil"/>
                  </w:tcBorders>
                  <w:vAlign w:val="center"/>
                </w:tcPr>
                <w:p>
                  <w:pPr>
                    <w:pStyle w:val="37"/>
                    <w:tabs>
                      <w:tab w:val="left" w:pos="2730"/>
                    </w:tabs>
                    <w:adjustRightInd w:val="0"/>
                    <w:snapToGrid w:val="0"/>
                    <w:spacing w:line="240" w:lineRule="auto"/>
                    <w:ind w:firstLine="0" w:firstLineChars="0"/>
                    <w:jc w:val="center"/>
                    <w:rPr>
                      <w:b/>
                      <w:bCs/>
                      <w:sz w:val="21"/>
                      <w:szCs w:val="21"/>
                    </w:rPr>
                  </w:pPr>
                  <w:r>
                    <w:rPr>
                      <w:rFonts w:hint="eastAsia"/>
                      <w:b/>
                      <w:bCs/>
                      <w:sz w:val="21"/>
                      <w:szCs w:val="21"/>
                    </w:rPr>
                    <w:t>总面积</w:t>
                  </w:r>
                </w:p>
              </w:tc>
              <w:tc>
                <w:tcPr>
                  <w:tcW w:w="837" w:type="dxa"/>
                  <w:tcBorders>
                    <w:tl2br w:val="nil"/>
                    <w:tr2bl w:val="nil"/>
                  </w:tcBorders>
                  <w:vAlign w:val="center"/>
                </w:tcPr>
                <w:p>
                  <w:pPr>
                    <w:pStyle w:val="37"/>
                    <w:tabs>
                      <w:tab w:val="left" w:pos="2730"/>
                    </w:tabs>
                    <w:adjustRightInd w:val="0"/>
                    <w:snapToGrid w:val="0"/>
                    <w:spacing w:line="240" w:lineRule="auto"/>
                    <w:ind w:firstLine="0" w:firstLineChars="0"/>
                    <w:jc w:val="center"/>
                    <w:rPr>
                      <w:b/>
                      <w:bCs/>
                      <w:sz w:val="21"/>
                      <w:szCs w:val="21"/>
                    </w:rPr>
                  </w:pPr>
                  <w:r>
                    <w:rPr>
                      <w:rFonts w:hint="eastAsia"/>
                      <w:b/>
                      <w:bCs/>
                      <w:sz w:val="21"/>
                      <w:szCs w:val="21"/>
                    </w:rPr>
                    <w:t>一级管控区</w:t>
                  </w:r>
                </w:p>
              </w:tc>
              <w:tc>
                <w:tcPr>
                  <w:tcW w:w="774" w:type="dxa"/>
                  <w:tcBorders>
                    <w:tl2br w:val="nil"/>
                    <w:tr2bl w:val="nil"/>
                  </w:tcBorders>
                  <w:vAlign w:val="center"/>
                </w:tcPr>
                <w:p>
                  <w:pPr>
                    <w:pStyle w:val="37"/>
                    <w:tabs>
                      <w:tab w:val="left" w:pos="2730"/>
                    </w:tabs>
                    <w:adjustRightInd w:val="0"/>
                    <w:snapToGrid w:val="0"/>
                    <w:spacing w:line="240" w:lineRule="auto"/>
                    <w:ind w:firstLine="0" w:firstLineChars="0"/>
                    <w:jc w:val="center"/>
                    <w:rPr>
                      <w:b/>
                      <w:bCs/>
                      <w:sz w:val="21"/>
                      <w:szCs w:val="21"/>
                    </w:rPr>
                  </w:pPr>
                  <w:r>
                    <w:rPr>
                      <w:rFonts w:hint="eastAsia"/>
                      <w:b/>
                      <w:bCs/>
                      <w:sz w:val="21"/>
                      <w:szCs w:val="21"/>
                    </w:rPr>
                    <w:t>二级管控区</w:t>
                  </w:r>
                </w:p>
              </w:tc>
              <w:tc>
                <w:tcPr>
                  <w:tcW w:w="899" w:type="dxa"/>
                  <w:vMerge w:val="continue"/>
                  <w:tcBorders>
                    <w:tl2br w:val="nil"/>
                    <w:tr2bl w:val="nil"/>
                  </w:tcBorders>
                  <w:vAlign w:val="center"/>
                </w:tcPr>
                <w:p>
                  <w:pPr>
                    <w:pStyle w:val="37"/>
                    <w:tabs>
                      <w:tab w:val="left" w:pos="2730"/>
                    </w:tabs>
                    <w:adjustRightInd w:val="0"/>
                    <w:snapToGrid w:val="0"/>
                    <w:spacing w:line="240" w:lineRule="auto"/>
                    <w:ind w:firstLine="0" w:firstLineChars="0"/>
                    <w:jc w:val="center"/>
                    <w:rPr>
                      <w:b/>
                      <w:bCs/>
                      <w:sz w:val="21"/>
                      <w:szCs w:val="21"/>
                    </w:rPr>
                  </w:pPr>
                </w:p>
              </w:tc>
              <w:tc>
                <w:tcPr>
                  <w:tcW w:w="888" w:type="dxa"/>
                  <w:vMerge w:val="continue"/>
                  <w:tcBorders>
                    <w:tl2br w:val="nil"/>
                    <w:tr2bl w:val="nil"/>
                  </w:tcBorders>
                  <w:vAlign w:val="center"/>
                </w:tcPr>
                <w:p>
                  <w:pPr>
                    <w:pStyle w:val="37"/>
                    <w:tabs>
                      <w:tab w:val="left" w:pos="2730"/>
                    </w:tabs>
                    <w:adjustRightInd w:val="0"/>
                    <w:snapToGrid w:val="0"/>
                    <w:spacing w:line="240" w:lineRule="auto"/>
                    <w:ind w:firstLine="0" w:firstLineChars="0"/>
                    <w:jc w:val="center"/>
                    <w:rPr>
                      <w:b/>
                      <w:bCs/>
                      <w:sz w:val="21"/>
                      <w:szCs w:val="21"/>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c>
                <w:tcPr>
                  <w:tcW w:w="407" w:type="dxa"/>
                  <w:tcBorders>
                    <w:tl2br w:val="nil"/>
                    <w:tr2bl w:val="nil"/>
                  </w:tcBorders>
                  <w:vAlign w:val="center"/>
                </w:tcPr>
                <w:p>
                  <w:pPr>
                    <w:pStyle w:val="37"/>
                    <w:tabs>
                      <w:tab w:val="left" w:pos="2730"/>
                    </w:tabs>
                    <w:adjustRightInd w:val="0"/>
                    <w:snapToGrid w:val="0"/>
                    <w:spacing w:line="240" w:lineRule="auto"/>
                    <w:ind w:firstLine="0" w:firstLineChars="0"/>
                    <w:jc w:val="center"/>
                    <w:rPr>
                      <w:sz w:val="21"/>
                      <w:szCs w:val="21"/>
                    </w:rPr>
                  </w:pPr>
                  <w:r>
                    <w:rPr>
                      <w:rFonts w:hint="eastAsia"/>
                      <w:sz w:val="21"/>
                      <w:szCs w:val="21"/>
                    </w:rPr>
                    <w:t>金坛</w:t>
                  </w:r>
                </w:p>
              </w:tc>
              <w:tc>
                <w:tcPr>
                  <w:tcW w:w="747" w:type="dxa"/>
                  <w:tcBorders>
                    <w:tl2br w:val="nil"/>
                    <w:tr2bl w:val="nil"/>
                  </w:tcBorders>
                  <w:vAlign w:val="center"/>
                </w:tcPr>
                <w:p>
                  <w:pPr>
                    <w:pStyle w:val="37"/>
                    <w:tabs>
                      <w:tab w:val="left" w:pos="2730"/>
                    </w:tabs>
                    <w:adjustRightInd w:val="0"/>
                    <w:snapToGrid w:val="0"/>
                    <w:spacing w:line="240" w:lineRule="auto"/>
                    <w:ind w:firstLine="0" w:firstLineChars="0"/>
                    <w:jc w:val="center"/>
                    <w:rPr>
                      <w:sz w:val="21"/>
                      <w:szCs w:val="21"/>
                    </w:rPr>
                  </w:pPr>
                  <w:r>
                    <w:rPr>
                      <w:rFonts w:hint="eastAsia"/>
                      <w:sz w:val="21"/>
                      <w:szCs w:val="21"/>
                    </w:rPr>
                    <w:t>天荒湖饮用水水源保护区</w:t>
                  </w:r>
                </w:p>
              </w:tc>
              <w:tc>
                <w:tcPr>
                  <w:tcW w:w="693" w:type="dxa"/>
                  <w:tcBorders>
                    <w:tl2br w:val="nil"/>
                    <w:tr2bl w:val="nil"/>
                  </w:tcBorders>
                  <w:vAlign w:val="center"/>
                </w:tcPr>
                <w:p>
                  <w:pPr>
                    <w:pStyle w:val="37"/>
                    <w:tabs>
                      <w:tab w:val="left" w:pos="2730"/>
                    </w:tabs>
                    <w:adjustRightInd w:val="0"/>
                    <w:snapToGrid w:val="0"/>
                    <w:spacing w:line="240" w:lineRule="auto"/>
                    <w:ind w:firstLine="0" w:firstLineChars="0"/>
                    <w:jc w:val="center"/>
                    <w:rPr>
                      <w:sz w:val="21"/>
                      <w:szCs w:val="21"/>
                    </w:rPr>
                  </w:pPr>
                  <w:r>
                    <w:rPr>
                      <w:rFonts w:hint="eastAsia"/>
                      <w:sz w:val="21"/>
                      <w:szCs w:val="21"/>
                    </w:rPr>
                    <w:t>水源水质保护</w:t>
                  </w:r>
                </w:p>
              </w:tc>
              <w:tc>
                <w:tcPr>
                  <w:tcW w:w="883" w:type="dxa"/>
                  <w:tcBorders>
                    <w:tl2br w:val="nil"/>
                    <w:tr2bl w:val="nil"/>
                  </w:tcBorders>
                  <w:vAlign w:val="center"/>
                </w:tcPr>
                <w:p>
                  <w:pPr>
                    <w:pStyle w:val="37"/>
                    <w:tabs>
                      <w:tab w:val="left" w:pos="2730"/>
                    </w:tabs>
                    <w:adjustRightInd w:val="0"/>
                    <w:snapToGrid w:val="0"/>
                    <w:spacing w:line="240" w:lineRule="auto"/>
                    <w:ind w:firstLine="0" w:firstLineChars="0"/>
                    <w:jc w:val="center"/>
                    <w:rPr>
                      <w:sz w:val="21"/>
                      <w:szCs w:val="21"/>
                    </w:rPr>
                  </w:pPr>
                  <w:r>
                    <w:rPr>
                      <w:rFonts w:hint="eastAsia"/>
                      <w:sz w:val="21"/>
                      <w:szCs w:val="21"/>
                    </w:rPr>
                    <w:t>南天荒</w:t>
                  </w:r>
                </w:p>
                <w:p>
                  <w:pPr>
                    <w:pStyle w:val="37"/>
                    <w:tabs>
                      <w:tab w:val="left" w:pos="2730"/>
                    </w:tabs>
                    <w:adjustRightInd w:val="0"/>
                    <w:snapToGrid w:val="0"/>
                    <w:spacing w:line="240" w:lineRule="auto"/>
                    <w:ind w:firstLine="0" w:firstLineChars="0"/>
                    <w:jc w:val="center"/>
                    <w:rPr>
                      <w:sz w:val="21"/>
                      <w:szCs w:val="21"/>
                    </w:rPr>
                  </w:pPr>
                  <w:r>
                    <w:rPr>
                      <w:rFonts w:hint="eastAsia"/>
                      <w:sz w:val="21"/>
                      <w:szCs w:val="21"/>
                    </w:rPr>
                    <w:t>全部水</w:t>
                  </w:r>
                </w:p>
                <w:p>
                  <w:pPr>
                    <w:pStyle w:val="37"/>
                    <w:tabs>
                      <w:tab w:val="left" w:pos="2730"/>
                    </w:tabs>
                    <w:adjustRightInd w:val="0"/>
                    <w:snapToGrid w:val="0"/>
                    <w:spacing w:line="240" w:lineRule="auto"/>
                    <w:ind w:firstLine="0" w:firstLineChars="0"/>
                    <w:jc w:val="center"/>
                    <w:rPr>
                      <w:sz w:val="21"/>
                      <w:szCs w:val="21"/>
                    </w:rPr>
                  </w:pPr>
                  <w:r>
                    <w:rPr>
                      <w:rFonts w:hint="eastAsia"/>
                      <w:sz w:val="21"/>
                      <w:szCs w:val="21"/>
                    </w:rPr>
                    <w:t>面区域</w:t>
                  </w:r>
                </w:p>
              </w:tc>
              <w:tc>
                <w:tcPr>
                  <w:tcW w:w="1451" w:type="dxa"/>
                  <w:tcBorders>
                    <w:tl2br w:val="nil"/>
                    <w:tr2bl w:val="nil"/>
                  </w:tcBorders>
                  <w:vAlign w:val="center"/>
                </w:tcPr>
                <w:p>
                  <w:pPr>
                    <w:pStyle w:val="37"/>
                    <w:tabs>
                      <w:tab w:val="left" w:pos="2730"/>
                    </w:tabs>
                    <w:adjustRightInd w:val="0"/>
                    <w:snapToGrid w:val="0"/>
                    <w:spacing w:line="240" w:lineRule="auto"/>
                    <w:ind w:firstLine="0" w:firstLineChars="0"/>
                    <w:jc w:val="center"/>
                    <w:rPr>
                      <w:sz w:val="21"/>
                      <w:szCs w:val="21"/>
                    </w:rPr>
                  </w:pPr>
                  <w:r>
                    <w:rPr>
                      <w:rFonts w:hint="eastAsia"/>
                      <w:sz w:val="21"/>
                      <w:szCs w:val="21"/>
                    </w:rPr>
                    <w:t>中天荒、北天荒、养殖场、东至北圩、西至建昌村、南至茅山河一线范围</w:t>
                  </w:r>
                </w:p>
              </w:tc>
              <w:tc>
                <w:tcPr>
                  <w:tcW w:w="837" w:type="dxa"/>
                  <w:tcBorders>
                    <w:tl2br w:val="nil"/>
                    <w:tr2bl w:val="nil"/>
                  </w:tcBorders>
                  <w:vAlign w:val="center"/>
                </w:tcPr>
                <w:p>
                  <w:pPr>
                    <w:pStyle w:val="37"/>
                    <w:tabs>
                      <w:tab w:val="left" w:pos="2730"/>
                    </w:tabs>
                    <w:adjustRightInd w:val="0"/>
                    <w:snapToGrid w:val="0"/>
                    <w:spacing w:line="240" w:lineRule="auto"/>
                    <w:ind w:firstLine="0" w:firstLineChars="0"/>
                    <w:jc w:val="center"/>
                    <w:rPr>
                      <w:sz w:val="21"/>
                      <w:szCs w:val="21"/>
                    </w:rPr>
                  </w:pPr>
                  <w:r>
                    <w:rPr>
                      <w:rFonts w:hint="eastAsia"/>
                      <w:sz w:val="21"/>
                      <w:szCs w:val="21"/>
                    </w:rPr>
                    <w:t>18.06</w:t>
                  </w:r>
                </w:p>
              </w:tc>
              <w:tc>
                <w:tcPr>
                  <w:tcW w:w="837" w:type="dxa"/>
                  <w:tcBorders>
                    <w:tl2br w:val="nil"/>
                    <w:tr2bl w:val="nil"/>
                  </w:tcBorders>
                  <w:vAlign w:val="center"/>
                </w:tcPr>
                <w:p>
                  <w:pPr>
                    <w:pStyle w:val="37"/>
                    <w:tabs>
                      <w:tab w:val="left" w:pos="2730"/>
                    </w:tabs>
                    <w:adjustRightInd w:val="0"/>
                    <w:snapToGrid w:val="0"/>
                    <w:spacing w:line="240" w:lineRule="auto"/>
                    <w:ind w:firstLine="0" w:firstLineChars="0"/>
                    <w:jc w:val="center"/>
                    <w:rPr>
                      <w:sz w:val="21"/>
                      <w:szCs w:val="21"/>
                    </w:rPr>
                  </w:pPr>
                  <w:r>
                    <w:rPr>
                      <w:rFonts w:hint="eastAsia"/>
                      <w:sz w:val="21"/>
                      <w:szCs w:val="21"/>
                    </w:rPr>
                    <w:t>0.86</w:t>
                  </w:r>
                </w:p>
              </w:tc>
              <w:tc>
                <w:tcPr>
                  <w:tcW w:w="774" w:type="dxa"/>
                  <w:tcBorders>
                    <w:tl2br w:val="nil"/>
                    <w:tr2bl w:val="nil"/>
                  </w:tcBorders>
                  <w:vAlign w:val="center"/>
                </w:tcPr>
                <w:p>
                  <w:pPr>
                    <w:pStyle w:val="37"/>
                    <w:tabs>
                      <w:tab w:val="left" w:pos="2730"/>
                    </w:tabs>
                    <w:adjustRightInd w:val="0"/>
                    <w:snapToGrid w:val="0"/>
                    <w:spacing w:line="240" w:lineRule="auto"/>
                    <w:ind w:firstLine="0" w:firstLineChars="0"/>
                    <w:jc w:val="center"/>
                    <w:rPr>
                      <w:sz w:val="21"/>
                      <w:szCs w:val="21"/>
                    </w:rPr>
                  </w:pPr>
                  <w:r>
                    <w:rPr>
                      <w:rFonts w:hint="eastAsia"/>
                      <w:sz w:val="21"/>
                      <w:szCs w:val="21"/>
                    </w:rPr>
                    <w:t>17.22</w:t>
                  </w:r>
                </w:p>
              </w:tc>
              <w:tc>
                <w:tcPr>
                  <w:tcW w:w="899" w:type="dxa"/>
                  <w:tcBorders>
                    <w:tl2br w:val="nil"/>
                    <w:tr2bl w:val="nil"/>
                  </w:tcBorders>
                  <w:vAlign w:val="center"/>
                </w:tcPr>
                <w:p>
                  <w:pPr>
                    <w:pStyle w:val="37"/>
                    <w:tabs>
                      <w:tab w:val="left" w:pos="2730"/>
                    </w:tabs>
                    <w:adjustRightInd w:val="0"/>
                    <w:snapToGrid w:val="0"/>
                    <w:spacing w:line="240" w:lineRule="auto"/>
                    <w:ind w:firstLine="0" w:firstLineChars="0"/>
                    <w:jc w:val="center"/>
                    <w:rPr>
                      <w:sz w:val="21"/>
                      <w:szCs w:val="21"/>
                    </w:rPr>
                  </w:pPr>
                  <w:r>
                    <w:rPr>
                      <w:rFonts w:hint="eastAsia"/>
                      <w:sz w:val="21"/>
                      <w:szCs w:val="21"/>
                    </w:rPr>
                    <w:t>NE</w:t>
                  </w:r>
                </w:p>
              </w:tc>
              <w:tc>
                <w:tcPr>
                  <w:tcW w:w="888" w:type="dxa"/>
                  <w:tcBorders>
                    <w:tl2br w:val="nil"/>
                    <w:tr2bl w:val="nil"/>
                  </w:tcBorders>
                  <w:vAlign w:val="center"/>
                </w:tcPr>
                <w:p>
                  <w:pPr>
                    <w:pStyle w:val="37"/>
                    <w:tabs>
                      <w:tab w:val="left" w:pos="2730"/>
                    </w:tabs>
                    <w:adjustRightInd w:val="0"/>
                    <w:snapToGrid w:val="0"/>
                    <w:spacing w:line="240" w:lineRule="auto"/>
                    <w:ind w:firstLine="0" w:firstLineChars="0"/>
                    <w:jc w:val="center"/>
                    <w:rPr>
                      <w:sz w:val="21"/>
                      <w:szCs w:val="21"/>
                    </w:rPr>
                  </w:pPr>
                  <w:r>
                    <w:rPr>
                      <w:rFonts w:hint="eastAsia"/>
                      <w:sz w:val="21"/>
                      <w:szCs w:val="21"/>
                    </w:rPr>
                    <w:t>3.7</w:t>
                  </w:r>
                </w:p>
              </w:tc>
            </w:tr>
          </w:tbl>
          <w:p>
            <w:pPr>
              <w:pStyle w:val="37"/>
              <w:tabs>
                <w:tab w:val="left" w:pos="2730"/>
              </w:tabs>
              <w:adjustRightInd w:val="0"/>
              <w:snapToGrid w:val="0"/>
              <w:ind w:firstLine="480"/>
            </w:pPr>
            <w:r>
              <w:t>本项目不在金坛区生态红线区域，且项目不会对附近生态红线区域造成影响，符合《江苏省生态红线区域保护规划》管控要求。</w:t>
            </w:r>
          </w:p>
          <w:p>
            <w:pPr>
              <w:pStyle w:val="37"/>
              <w:tabs>
                <w:tab w:val="left" w:pos="2730"/>
              </w:tabs>
              <w:adjustRightInd w:val="0"/>
              <w:snapToGrid w:val="0"/>
              <w:ind w:firstLine="480"/>
            </w:pPr>
            <w:r>
              <w:rPr>
                <w:rStyle w:val="22"/>
                <w:rFonts w:hint="eastAsia"/>
                <w:kern w:val="2"/>
                <w:sz w:val="24"/>
                <w:szCs w:val="24"/>
              </w:rPr>
              <w:t>根据《江苏省国家级生态保护红线规划》，金坛区生态保护红线名称为矛东省级森林公园</w:t>
            </w:r>
            <w:r>
              <w:rPr>
                <w:rStyle w:val="22"/>
                <w:rFonts w:hint="eastAsia"/>
                <w:kern w:val="2"/>
                <w:sz w:val="24"/>
                <w:szCs w:val="24"/>
                <w:lang w:eastAsia="zh-CN"/>
              </w:rPr>
              <w:t>、茅山省级风景名胜区（金坛区）、长荡湖国家级水产种质资源保护区、长荡湖（金坛区）重要湿地、金坛长荡湖国家湿地公园（试点）</w:t>
            </w:r>
            <w:r>
              <w:rPr>
                <w:rStyle w:val="22"/>
                <w:rFonts w:hint="eastAsia"/>
                <w:kern w:val="2"/>
                <w:sz w:val="24"/>
                <w:szCs w:val="24"/>
              </w:rPr>
              <w:t>。本项目不位于</w:t>
            </w:r>
            <w:r>
              <w:rPr>
                <w:rStyle w:val="22"/>
                <w:rFonts w:hint="eastAsia"/>
                <w:kern w:val="2"/>
                <w:sz w:val="24"/>
                <w:szCs w:val="24"/>
                <w:lang w:eastAsia="zh-CN"/>
              </w:rPr>
              <w:t>上述国家</w:t>
            </w:r>
            <w:r>
              <w:rPr>
                <w:rStyle w:val="22"/>
                <w:rFonts w:hint="eastAsia"/>
                <w:kern w:val="2"/>
                <w:sz w:val="24"/>
                <w:szCs w:val="24"/>
              </w:rPr>
              <w:t>级生态保护红线范围内，因此本项目满足《江苏省国家级生态保护红线规划》。</w:t>
            </w:r>
          </w:p>
          <w:p>
            <w:pPr>
              <w:pStyle w:val="37"/>
              <w:tabs>
                <w:tab w:val="left" w:pos="2730"/>
              </w:tabs>
              <w:adjustRightInd w:val="0"/>
              <w:snapToGrid w:val="0"/>
              <w:ind w:firstLine="482"/>
              <w:rPr>
                <w:b/>
                <w:bCs/>
                <w:kern w:val="2"/>
                <w:szCs w:val="24"/>
              </w:rPr>
            </w:pPr>
            <w:r>
              <w:rPr>
                <w:rFonts w:hint="eastAsia"/>
                <w:b/>
                <w:bCs/>
                <w:kern w:val="2"/>
                <w:szCs w:val="24"/>
              </w:rPr>
              <w:t>（</w:t>
            </w:r>
            <w:r>
              <w:rPr>
                <w:b/>
                <w:bCs/>
                <w:kern w:val="2"/>
                <w:szCs w:val="24"/>
              </w:rPr>
              <w:t>2</w:t>
            </w:r>
            <w:r>
              <w:rPr>
                <w:rFonts w:hint="eastAsia"/>
                <w:b/>
                <w:bCs/>
                <w:kern w:val="2"/>
                <w:szCs w:val="24"/>
              </w:rPr>
              <w:t>）环境质量底线相符性</w:t>
            </w:r>
          </w:p>
          <w:p>
            <w:pPr>
              <w:pStyle w:val="37"/>
              <w:tabs>
                <w:tab w:val="left" w:pos="2730"/>
              </w:tabs>
              <w:adjustRightInd w:val="0"/>
              <w:snapToGrid w:val="0"/>
              <w:ind w:firstLine="480"/>
              <w:rPr>
                <w:kern w:val="2"/>
                <w:szCs w:val="24"/>
              </w:rPr>
            </w:pPr>
            <w:r>
              <w:rPr>
                <w:rFonts w:hint="eastAsia"/>
                <w:kern w:val="2"/>
                <w:szCs w:val="24"/>
              </w:rPr>
              <w:t>项目所在地大气环境满足《环境空气质量标准》（GB3095-2012）中二级标准要求；纳污河流通济河监测断面各项水质指标均能达到《地表水环境质量标准》（GB3838-2002）中IV类标准要求，水质良好；声环境达到《声环境质量标准》（GB3096-2008）中的3类</w:t>
            </w:r>
            <w:r>
              <w:rPr>
                <w:rFonts w:hint="eastAsia"/>
                <w:kern w:val="2"/>
                <w:szCs w:val="24"/>
                <w:lang w:eastAsia="zh-CN"/>
              </w:rPr>
              <w:t>限值</w:t>
            </w:r>
            <w:r>
              <w:rPr>
                <w:rFonts w:hint="eastAsia"/>
                <w:kern w:val="2"/>
                <w:szCs w:val="24"/>
              </w:rPr>
              <w:t>。本项目废气、废水均达标排放，固废合理处置，噪声对周边影响较小，不会突破项目所在地的环境质量底线。因此项目的建设符合环境质量底线标准。</w:t>
            </w:r>
          </w:p>
          <w:p>
            <w:pPr>
              <w:pStyle w:val="37"/>
              <w:tabs>
                <w:tab w:val="left" w:pos="2730"/>
              </w:tabs>
              <w:adjustRightInd w:val="0"/>
              <w:snapToGrid w:val="0"/>
              <w:ind w:firstLine="482"/>
              <w:rPr>
                <w:b/>
                <w:bCs/>
                <w:kern w:val="2"/>
                <w:szCs w:val="24"/>
              </w:rPr>
            </w:pPr>
            <w:r>
              <w:rPr>
                <w:rFonts w:hint="eastAsia"/>
                <w:b/>
                <w:bCs/>
                <w:kern w:val="2"/>
                <w:szCs w:val="24"/>
              </w:rPr>
              <w:t>（</w:t>
            </w:r>
            <w:r>
              <w:rPr>
                <w:b/>
                <w:bCs/>
                <w:kern w:val="2"/>
                <w:szCs w:val="24"/>
              </w:rPr>
              <w:t>3</w:t>
            </w:r>
            <w:r>
              <w:rPr>
                <w:rFonts w:hint="eastAsia"/>
                <w:b/>
                <w:bCs/>
                <w:kern w:val="2"/>
                <w:szCs w:val="24"/>
              </w:rPr>
              <w:t>）资源利用上线相符性</w:t>
            </w:r>
          </w:p>
          <w:p>
            <w:pPr>
              <w:pStyle w:val="37"/>
              <w:tabs>
                <w:tab w:val="left" w:pos="2730"/>
              </w:tabs>
              <w:adjustRightInd w:val="0"/>
              <w:snapToGrid w:val="0"/>
              <w:ind w:firstLine="480"/>
              <w:rPr>
                <w:kern w:val="2"/>
                <w:szCs w:val="24"/>
              </w:rPr>
            </w:pPr>
            <w:r>
              <w:rPr>
                <w:rFonts w:hint="eastAsia"/>
                <w:kern w:val="2"/>
                <w:szCs w:val="24"/>
              </w:rPr>
              <w:t>项目位于</w:t>
            </w:r>
            <w:r>
              <w:rPr>
                <w:rFonts w:hint="eastAsia"/>
                <w:szCs w:val="24"/>
              </w:rPr>
              <w:t>常州市金坛区直溪镇工业园区水南路18号，</w:t>
            </w:r>
            <w:r>
              <w:rPr>
                <w:rFonts w:hint="eastAsia"/>
                <w:kern w:val="2"/>
                <w:szCs w:val="24"/>
              </w:rPr>
              <w:t>用水来源为市政自来水，用电为市政电网。</w:t>
            </w:r>
            <w:r>
              <w:rPr>
                <w:rFonts w:hint="eastAsia"/>
                <w:szCs w:val="24"/>
              </w:rPr>
              <w:t>项目使用的水电量均较小，</w:t>
            </w:r>
            <w:r>
              <w:rPr>
                <w:rFonts w:hint="eastAsia"/>
                <w:kern w:val="2"/>
                <w:szCs w:val="24"/>
              </w:rPr>
              <w:t>项目所需的原材料均可就近购买，因此建设</w:t>
            </w:r>
            <w:r>
              <w:rPr>
                <w:kern w:val="2"/>
                <w:szCs w:val="24"/>
              </w:rPr>
              <w:t>项目与资源利用上线相符。</w:t>
            </w:r>
          </w:p>
          <w:p>
            <w:pPr>
              <w:pStyle w:val="37"/>
              <w:adjustRightInd w:val="0"/>
              <w:snapToGrid w:val="0"/>
              <w:ind w:firstLine="482"/>
              <w:rPr>
                <w:b/>
                <w:bCs/>
                <w:kern w:val="2"/>
                <w:szCs w:val="24"/>
              </w:rPr>
            </w:pPr>
            <w:r>
              <w:rPr>
                <w:rFonts w:hint="eastAsia"/>
                <w:b/>
                <w:bCs/>
                <w:kern w:val="2"/>
                <w:szCs w:val="24"/>
              </w:rPr>
              <w:t>（4）</w:t>
            </w:r>
            <w:r>
              <w:rPr>
                <w:b/>
                <w:bCs/>
                <w:kern w:val="2"/>
                <w:szCs w:val="24"/>
              </w:rPr>
              <w:t>环境准入负面清单</w:t>
            </w:r>
            <w:r>
              <w:rPr>
                <w:rFonts w:hint="eastAsia"/>
                <w:b/>
                <w:bCs/>
                <w:kern w:val="2"/>
                <w:szCs w:val="24"/>
              </w:rPr>
              <w:t>相符性分析</w:t>
            </w:r>
          </w:p>
          <w:p>
            <w:pPr>
              <w:pStyle w:val="37"/>
              <w:adjustRightInd w:val="0"/>
              <w:snapToGrid w:val="0"/>
              <w:ind w:firstLine="480"/>
              <w:rPr>
                <w:kern w:val="2"/>
                <w:szCs w:val="24"/>
              </w:rPr>
            </w:pPr>
            <w:r>
              <w:rPr>
                <w:rFonts w:hint="eastAsia"/>
                <w:kern w:val="2"/>
                <w:szCs w:val="24"/>
              </w:rPr>
              <w:t>金坛区尚未颁布环境准入负面清单，本次环评对照国家、地方相关产业政策、市场准入负面清单（2</w:t>
            </w:r>
            <w:r>
              <w:rPr>
                <w:kern w:val="2"/>
                <w:szCs w:val="24"/>
              </w:rPr>
              <w:t>018</w:t>
            </w:r>
            <w:r>
              <w:rPr>
                <w:rFonts w:hint="eastAsia"/>
                <w:kern w:val="2"/>
                <w:szCs w:val="24"/>
              </w:rPr>
              <w:t>版）分析等文件分析。详见下表。</w:t>
            </w:r>
          </w:p>
          <w:p>
            <w:pPr>
              <w:tabs>
                <w:tab w:val="left" w:pos="960"/>
              </w:tabs>
              <w:jc w:val="center"/>
              <w:rPr>
                <w:b/>
                <w:bCs/>
                <w:spacing w:val="-4"/>
                <w:sz w:val="24"/>
                <w:szCs w:val="24"/>
              </w:rPr>
            </w:pPr>
            <w:r>
              <w:rPr>
                <w:b/>
                <w:bCs/>
                <w:spacing w:val="-4"/>
                <w:sz w:val="24"/>
                <w:szCs w:val="24"/>
              </w:rPr>
              <w:t>表1-</w:t>
            </w:r>
            <w:r>
              <w:rPr>
                <w:rFonts w:hint="eastAsia"/>
                <w:b/>
                <w:bCs/>
                <w:spacing w:val="-4"/>
                <w:sz w:val="24"/>
                <w:szCs w:val="24"/>
              </w:rPr>
              <w:t>8</w:t>
            </w:r>
            <w:r>
              <w:rPr>
                <w:b/>
                <w:bCs/>
                <w:spacing w:val="-4"/>
                <w:sz w:val="24"/>
                <w:szCs w:val="24"/>
              </w:rPr>
              <w:t xml:space="preserve">  环境准入负面清单对照</w:t>
            </w:r>
          </w:p>
          <w:tbl>
            <w:tblPr>
              <w:tblStyle w:val="17"/>
              <w:tblW w:w="8307"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650"/>
              <w:gridCol w:w="6489"/>
              <w:gridCol w:w="116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before="63" w:beforeLines="20" w:after="63" w:afterLines="20"/>
                    <w:ind w:right="0" w:rightChars="0"/>
                    <w:jc w:val="center"/>
                    <w:textAlignment w:val="auto"/>
                    <w:rPr>
                      <w:b/>
                      <w:bCs/>
                      <w:szCs w:val="21"/>
                    </w:rPr>
                  </w:pPr>
                  <w:r>
                    <w:rPr>
                      <w:rFonts w:hint="eastAsia"/>
                      <w:b/>
                      <w:bCs/>
                      <w:szCs w:val="21"/>
                    </w:rPr>
                    <w:t>序号</w:t>
                  </w:r>
                </w:p>
              </w:tc>
              <w:tc>
                <w:tcPr>
                  <w:tcW w:w="64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before="63" w:beforeLines="20" w:after="63" w:afterLines="20"/>
                    <w:ind w:right="0" w:rightChars="0"/>
                    <w:jc w:val="center"/>
                    <w:textAlignment w:val="auto"/>
                    <w:rPr>
                      <w:b/>
                      <w:bCs/>
                      <w:szCs w:val="21"/>
                    </w:rPr>
                  </w:pPr>
                  <w:r>
                    <w:rPr>
                      <w:rFonts w:hint="eastAsia"/>
                      <w:b/>
                      <w:bCs/>
                      <w:szCs w:val="21"/>
                    </w:rPr>
                    <w:t>法律、法规、政策文件等</w:t>
                  </w:r>
                </w:p>
              </w:tc>
              <w:tc>
                <w:tcPr>
                  <w:tcW w:w="116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before="63" w:beforeLines="20" w:after="63" w:afterLines="20"/>
                    <w:ind w:right="0" w:rightChars="0"/>
                    <w:jc w:val="center"/>
                    <w:textAlignment w:val="auto"/>
                    <w:rPr>
                      <w:b/>
                      <w:bCs/>
                      <w:szCs w:val="21"/>
                    </w:rPr>
                  </w:pPr>
                  <w:r>
                    <w:rPr>
                      <w:rFonts w:hint="eastAsia"/>
                      <w:b/>
                      <w:bCs/>
                      <w:szCs w:val="21"/>
                    </w:rPr>
                    <w:t>是否属于</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before="63" w:beforeLines="20" w:after="63" w:afterLines="20"/>
                    <w:ind w:right="0" w:rightChars="0"/>
                    <w:jc w:val="center"/>
                    <w:textAlignment w:val="auto"/>
                    <w:rPr>
                      <w:bCs/>
                      <w:szCs w:val="21"/>
                    </w:rPr>
                  </w:pPr>
                  <w:r>
                    <w:rPr>
                      <w:bCs/>
                      <w:szCs w:val="21"/>
                    </w:rPr>
                    <w:t>1</w:t>
                  </w:r>
                </w:p>
              </w:tc>
              <w:tc>
                <w:tcPr>
                  <w:tcW w:w="64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before="63" w:beforeLines="20" w:after="63" w:afterLines="20"/>
                    <w:ind w:right="0" w:rightChars="0"/>
                    <w:jc w:val="center"/>
                    <w:textAlignment w:val="auto"/>
                    <w:rPr>
                      <w:bCs/>
                      <w:szCs w:val="21"/>
                    </w:rPr>
                  </w:pPr>
                  <w:r>
                    <w:rPr>
                      <w:rFonts w:hint="eastAsia"/>
                      <w:bCs/>
                      <w:szCs w:val="21"/>
                    </w:rPr>
                    <w:t>属于《江苏省生态红线区域保护规划》中规定的位于生态红线保护区以及管控区内与保护主要生态功能无关的开发建设项目、位于生态红线保护区二级管控区内禁止从事的开发建设项目</w:t>
                  </w:r>
                </w:p>
              </w:tc>
              <w:tc>
                <w:tcPr>
                  <w:tcW w:w="116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before="63" w:beforeLines="20" w:after="63" w:afterLines="20"/>
                    <w:ind w:right="0" w:rightChars="0"/>
                    <w:jc w:val="center"/>
                    <w:textAlignment w:val="auto"/>
                    <w:rPr>
                      <w:bCs/>
                      <w:szCs w:val="21"/>
                    </w:rPr>
                  </w:pPr>
                  <w:r>
                    <w:rPr>
                      <w:rFonts w:hint="eastAsia"/>
                      <w:bCs/>
                      <w:szCs w:val="21"/>
                    </w:rPr>
                    <w:t>不属于</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before="63" w:beforeLines="20" w:after="63" w:afterLines="20"/>
                    <w:ind w:right="0" w:rightChars="0"/>
                    <w:jc w:val="center"/>
                    <w:textAlignment w:val="auto"/>
                    <w:rPr>
                      <w:bCs/>
                      <w:szCs w:val="21"/>
                    </w:rPr>
                  </w:pPr>
                  <w:r>
                    <w:rPr>
                      <w:bCs/>
                      <w:szCs w:val="21"/>
                    </w:rPr>
                    <w:t>2</w:t>
                  </w:r>
                </w:p>
              </w:tc>
              <w:tc>
                <w:tcPr>
                  <w:tcW w:w="64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before="63" w:beforeLines="20" w:after="63" w:afterLines="20"/>
                    <w:ind w:right="0" w:rightChars="0"/>
                    <w:jc w:val="center"/>
                    <w:textAlignment w:val="auto"/>
                    <w:rPr>
                      <w:bCs/>
                      <w:szCs w:val="21"/>
                    </w:rPr>
                  </w:pPr>
                  <w:r>
                    <w:rPr>
                      <w:rFonts w:hint="eastAsia"/>
                      <w:bCs/>
                      <w:szCs w:val="21"/>
                    </w:rPr>
                    <w:t>属于《江苏省人民代表大会常务委员会关于加强饮用水源地保护的决定》中规定的位于饮用水源准保护区、二级保护区、一级保护区内禁止从事的开发建设项目</w:t>
                  </w:r>
                </w:p>
              </w:tc>
              <w:tc>
                <w:tcPr>
                  <w:tcW w:w="116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before="63" w:beforeLines="20" w:after="63" w:afterLines="20"/>
                    <w:ind w:right="0" w:rightChars="0"/>
                    <w:jc w:val="center"/>
                    <w:textAlignment w:val="auto"/>
                    <w:rPr>
                      <w:bCs/>
                      <w:szCs w:val="21"/>
                    </w:rPr>
                  </w:pPr>
                  <w:r>
                    <w:rPr>
                      <w:rFonts w:hint="eastAsia"/>
                      <w:bCs/>
                      <w:szCs w:val="21"/>
                    </w:rPr>
                    <w:t>不属于</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before="63" w:beforeLines="20" w:after="63" w:afterLines="20"/>
                    <w:ind w:right="0" w:rightChars="0"/>
                    <w:jc w:val="center"/>
                    <w:textAlignment w:val="auto"/>
                    <w:rPr>
                      <w:bCs/>
                      <w:szCs w:val="21"/>
                    </w:rPr>
                  </w:pPr>
                  <w:r>
                    <w:rPr>
                      <w:bCs/>
                      <w:szCs w:val="21"/>
                    </w:rPr>
                    <w:t>3</w:t>
                  </w:r>
                </w:p>
              </w:tc>
              <w:tc>
                <w:tcPr>
                  <w:tcW w:w="64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before="63" w:beforeLines="20" w:after="63" w:afterLines="20"/>
                    <w:ind w:right="0" w:rightChars="0"/>
                    <w:jc w:val="center"/>
                    <w:textAlignment w:val="auto"/>
                    <w:rPr>
                      <w:bCs/>
                      <w:szCs w:val="21"/>
                    </w:rPr>
                  </w:pPr>
                  <w:r>
                    <w:rPr>
                      <w:rFonts w:hint="eastAsia"/>
                      <w:bCs/>
                      <w:szCs w:val="21"/>
                    </w:rPr>
                    <w:t>不符合城市总体规划、土地利用规划、环境保护规划的建设项目</w:t>
                  </w:r>
                </w:p>
              </w:tc>
              <w:tc>
                <w:tcPr>
                  <w:tcW w:w="116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before="63" w:beforeLines="20" w:after="63" w:afterLines="20"/>
                    <w:ind w:right="0" w:rightChars="0"/>
                    <w:jc w:val="center"/>
                    <w:textAlignment w:val="auto"/>
                    <w:rPr>
                      <w:bCs/>
                      <w:szCs w:val="21"/>
                    </w:rPr>
                  </w:pPr>
                  <w:r>
                    <w:rPr>
                      <w:rFonts w:hint="eastAsia"/>
                      <w:bCs/>
                      <w:szCs w:val="21"/>
                    </w:rPr>
                    <w:t>不属于</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before="63" w:beforeLines="20" w:after="63" w:afterLines="20"/>
                    <w:ind w:right="0" w:rightChars="0"/>
                    <w:jc w:val="center"/>
                    <w:textAlignment w:val="auto"/>
                    <w:rPr>
                      <w:bCs/>
                      <w:szCs w:val="21"/>
                    </w:rPr>
                  </w:pPr>
                  <w:r>
                    <w:rPr>
                      <w:bCs/>
                      <w:szCs w:val="21"/>
                    </w:rPr>
                    <w:t>4</w:t>
                  </w:r>
                </w:p>
              </w:tc>
              <w:tc>
                <w:tcPr>
                  <w:tcW w:w="64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before="63" w:beforeLines="20" w:after="63" w:afterLines="20"/>
                    <w:ind w:right="0" w:rightChars="0"/>
                    <w:jc w:val="center"/>
                    <w:textAlignment w:val="auto"/>
                    <w:rPr>
                      <w:bCs/>
                      <w:szCs w:val="21"/>
                    </w:rPr>
                  </w:pPr>
                  <w:r>
                    <w:rPr>
                      <w:rFonts w:hint="eastAsia"/>
                      <w:kern w:val="0"/>
                      <w:szCs w:val="21"/>
                    </w:rPr>
                    <w:t>环境污染严重、污染物排放总量指标未落实的项目</w:t>
                  </w:r>
                </w:p>
              </w:tc>
              <w:tc>
                <w:tcPr>
                  <w:tcW w:w="116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before="63" w:beforeLines="20" w:after="63" w:afterLines="20"/>
                    <w:ind w:right="0" w:rightChars="0"/>
                    <w:jc w:val="center"/>
                    <w:textAlignment w:val="auto"/>
                    <w:rPr>
                      <w:bCs/>
                      <w:szCs w:val="21"/>
                    </w:rPr>
                  </w:pPr>
                  <w:r>
                    <w:rPr>
                      <w:rFonts w:hint="eastAsia"/>
                      <w:bCs/>
                      <w:szCs w:val="21"/>
                    </w:rPr>
                    <w:t>不属于</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before="63" w:beforeLines="20" w:after="63" w:afterLines="20"/>
                    <w:ind w:right="0" w:rightChars="0"/>
                    <w:jc w:val="center"/>
                    <w:textAlignment w:val="auto"/>
                    <w:rPr>
                      <w:bCs/>
                      <w:szCs w:val="21"/>
                    </w:rPr>
                  </w:pPr>
                  <w:r>
                    <w:rPr>
                      <w:bCs/>
                      <w:szCs w:val="21"/>
                    </w:rPr>
                    <w:t>5</w:t>
                  </w:r>
                </w:p>
              </w:tc>
              <w:tc>
                <w:tcPr>
                  <w:tcW w:w="64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before="63" w:beforeLines="20" w:after="63" w:afterLines="20"/>
                    <w:ind w:right="0" w:rightChars="0"/>
                    <w:jc w:val="center"/>
                    <w:textAlignment w:val="auto"/>
                    <w:rPr>
                      <w:bCs/>
                      <w:szCs w:val="21"/>
                    </w:rPr>
                  </w:pPr>
                  <w:r>
                    <w:rPr>
                      <w:rFonts w:hint="eastAsia"/>
                      <w:kern w:val="0"/>
                      <w:szCs w:val="21"/>
                    </w:rPr>
                    <w:t>国家、江苏省明确规定不得审批的建设项目</w:t>
                  </w:r>
                </w:p>
              </w:tc>
              <w:tc>
                <w:tcPr>
                  <w:tcW w:w="116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before="63" w:beforeLines="20" w:after="63" w:afterLines="20"/>
                    <w:ind w:right="0" w:rightChars="0"/>
                    <w:jc w:val="center"/>
                    <w:textAlignment w:val="auto"/>
                    <w:rPr>
                      <w:bCs/>
                      <w:szCs w:val="21"/>
                    </w:rPr>
                  </w:pPr>
                  <w:r>
                    <w:rPr>
                      <w:rFonts w:hint="eastAsia"/>
                      <w:bCs/>
                      <w:szCs w:val="21"/>
                    </w:rPr>
                    <w:t>不属于</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before="63" w:beforeLines="20" w:after="63" w:afterLines="20"/>
                    <w:ind w:right="0" w:rightChars="0"/>
                    <w:jc w:val="center"/>
                    <w:textAlignment w:val="auto"/>
                    <w:rPr>
                      <w:bCs/>
                      <w:szCs w:val="21"/>
                    </w:rPr>
                  </w:pPr>
                  <w:r>
                    <w:rPr>
                      <w:rFonts w:hint="eastAsia"/>
                      <w:bCs/>
                      <w:szCs w:val="21"/>
                    </w:rPr>
                    <w:t>6</w:t>
                  </w:r>
                </w:p>
              </w:tc>
              <w:tc>
                <w:tcPr>
                  <w:tcW w:w="648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before="63" w:beforeLines="20" w:after="63" w:afterLines="20"/>
                    <w:ind w:right="0" w:rightChars="0"/>
                    <w:jc w:val="center"/>
                    <w:textAlignment w:val="auto"/>
                    <w:rPr>
                      <w:kern w:val="0"/>
                      <w:szCs w:val="21"/>
                    </w:rPr>
                  </w:pPr>
                  <w:r>
                    <w:rPr>
                      <w:rFonts w:hint="eastAsia"/>
                      <w:kern w:val="0"/>
                      <w:szCs w:val="21"/>
                    </w:rPr>
                    <w:t>根据</w:t>
                  </w:r>
                  <w:r>
                    <w:rPr>
                      <w:rFonts w:hint="eastAsia"/>
                      <w:szCs w:val="24"/>
                    </w:rPr>
                    <w:t>市场准入负面清单（2</w:t>
                  </w:r>
                  <w:r>
                    <w:rPr>
                      <w:szCs w:val="24"/>
                    </w:rPr>
                    <w:t>018</w:t>
                  </w:r>
                  <w:r>
                    <w:rPr>
                      <w:rFonts w:hint="eastAsia"/>
                      <w:szCs w:val="24"/>
                    </w:rPr>
                    <w:t>版），本项目不属于</w:t>
                  </w:r>
                  <w:r>
                    <w:rPr>
                      <w:rFonts w:hint="eastAsia"/>
                      <w:szCs w:val="24"/>
                      <w:lang w:eastAsia="zh-CN"/>
                    </w:rPr>
                    <w:t>“</w:t>
                  </w:r>
                  <w:r>
                    <w:rPr>
                      <w:rFonts w:hint="eastAsia"/>
                      <w:szCs w:val="24"/>
                    </w:rPr>
                    <w:t>禁止准入类</w:t>
                  </w:r>
                  <w:r>
                    <w:rPr>
                      <w:rFonts w:hint="eastAsia"/>
                      <w:szCs w:val="24"/>
                      <w:lang w:eastAsia="zh-CN"/>
                    </w:rPr>
                    <w:t>”</w:t>
                  </w:r>
                  <w:r>
                    <w:rPr>
                      <w:rFonts w:hint="eastAsia"/>
                      <w:szCs w:val="24"/>
                    </w:rPr>
                    <w:t>。</w:t>
                  </w:r>
                </w:p>
              </w:tc>
              <w:tc>
                <w:tcPr>
                  <w:tcW w:w="116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val="0"/>
                    <w:spacing w:before="63" w:beforeLines="20" w:after="63" w:afterLines="20"/>
                    <w:ind w:right="0" w:rightChars="0"/>
                    <w:jc w:val="center"/>
                    <w:textAlignment w:val="auto"/>
                    <w:rPr>
                      <w:bCs/>
                      <w:szCs w:val="21"/>
                    </w:rPr>
                  </w:pPr>
                  <w:r>
                    <w:rPr>
                      <w:rFonts w:hint="eastAsia"/>
                      <w:bCs/>
                      <w:szCs w:val="21"/>
                    </w:rPr>
                    <w:t>不属于</w:t>
                  </w:r>
                </w:p>
              </w:tc>
            </w:tr>
          </w:tbl>
          <w:p>
            <w:pPr>
              <w:pStyle w:val="37"/>
              <w:adjustRightInd w:val="0"/>
              <w:snapToGrid w:val="0"/>
              <w:ind w:firstLine="480"/>
              <w:rPr>
                <w:kern w:val="2"/>
                <w:szCs w:val="24"/>
              </w:rPr>
            </w:pPr>
            <w:r>
              <w:rPr>
                <w:rFonts w:hint="eastAsia"/>
                <w:kern w:val="2"/>
                <w:szCs w:val="24"/>
              </w:rPr>
              <w:t>根据上表，本项目符合</w:t>
            </w:r>
            <w:r>
              <w:rPr>
                <w:spacing w:val="-6"/>
              </w:rPr>
              <w:t>国家和地方产业政策要求</w:t>
            </w:r>
            <w:r>
              <w:rPr>
                <w:rFonts w:hint="eastAsia"/>
                <w:spacing w:val="-6"/>
              </w:rPr>
              <w:t>，满足园区的相关规划，因此本项目满足金坛区相关产业要求。</w:t>
            </w:r>
          </w:p>
          <w:p>
            <w:pPr>
              <w:spacing w:line="360" w:lineRule="auto"/>
              <w:ind w:firstLine="456" w:firstLineChars="200"/>
              <w:rPr>
                <w:spacing w:val="-6"/>
                <w:sz w:val="24"/>
              </w:rPr>
            </w:pPr>
            <w:r>
              <w:rPr>
                <w:rFonts w:hint="eastAsia"/>
                <w:spacing w:val="-6"/>
                <w:sz w:val="24"/>
              </w:rPr>
              <w:t>综上，本项目建设满足</w:t>
            </w:r>
            <w:r>
              <w:rPr>
                <w:rFonts w:hint="eastAsia"/>
                <w:spacing w:val="-6"/>
                <w:sz w:val="24"/>
                <w:lang w:eastAsia="zh-CN"/>
              </w:rPr>
              <w:t>“</w:t>
            </w:r>
            <w:r>
              <w:rPr>
                <w:rFonts w:hint="eastAsia"/>
                <w:spacing w:val="-6"/>
                <w:sz w:val="24"/>
              </w:rPr>
              <w:t>三线一单</w:t>
            </w:r>
            <w:r>
              <w:rPr>
                <w:rFonts w:hint="eastAsia"/>
                <w:spacing w:val="-6"/>
                <w:sz w:val="24"/>
                <w:lang w:eastAsia="zh-CN"/>
              </w:rPr>
              <w:t>”</w:t>
            </w:r>
            <w:r>
              <w:rPr>
                <w:rFonts w:hint="eastAsia"/>
                <w:spacing w:val="-6"/>
                <w:sz w:val="24"/>
              </w:rPr>
              <w:t>的要求。</w:t>
            </w:r>
          </w:p>
          <w:p>
            <w:pPr>
              <w:spacing w:line="360" w:lineRule="auto"/>
              <w:ind w:firstLine="480" w:firstLineChars="200"/>
              <w:rPr>
                <w:b/>
                <w:sz w:val="24"/>
                <w:szCs w:val="24"/>
              </w:rPr>
            </w:pPr>
            <w:r>
              <w:rPr>
                <w:rFonts w:hint="eastAsia"/>
                <w:b/>
                <w:sz w:val="24"/>
                <w:szCs w:val="24"/>
              </w:rPr>
              <w:t>7、环保投资</w:t>
            </w:r>
          </w:p>
          <w:p>
            <w:pPr>
              <w:tabs>
                <w:tab w:val="left" w:pos="6691"/>
              </w:tabs>
              <w:spacing w:line="360" w:lineRule="auto"/>
              <w:ind w:firstLine="480" w:firstLineChars="200"/>
              <w:rPr>
                <w:sz w:val="24"/>
              </w:rPr>
            </w:pPr>
            <w:r>
              <w:rPr>
                <w:sz w:val="24"/>
              </w:rPr>
              <w:t>本项目环保投资为</w:t>
            </w:r>
            <w:r>
              <w:rPr>
                <w:rFonts w:hint="eastAsia"/>
                <w:sz w:val="24"/>
                <w:lang w:val="en-US" w:eastAsia="zh-CN"/>
              </w:rPr>
              <w:t>40</w:t>
            </w:r>
            <w:r>
              <w:rPr>
                <w:sz w:val="24"/>
              </w:rPr>
              <w:t>万元，占总投资（</w:t>
            </w:r>
            <w:r>
              <w:rPr>
                <w:rFonts w:hint="eastAsia"/>
                <w:sz w:val="24"/>
                <w:lang w:eastAsia="zh-CN"/>
              </w:rPr>
              <w:t>1000万元</w:t>
            </w:r>
            <w:r>
              <w:rPr>
                <w:sz w:val="24"/>
              </w:rPr>
              <w:t>）的</w:t>
            </w:r>
            <w:r>
              <w:rPr>
                <w:rFonts w:hint="eastAsia"/>
                <w:sz w:val="24"/>
                <w:lang w:val="en-US" w:eastAsia="zh-CN"/>
              </w:rPr>
              <w:t>4</w:t>
            </w:r>
            <w:r>
              <w:rPr>
                <w:rFonts w:hint="eastAsia"/>
                <w:sz w:val="24"/>
              </w:rPr>
              <w:t>%</w:t>
            </w:r>
            <w:r>
              <w:rPr>
                <w:sz w:val="24"/>
              </w:rPr>
              <w:t>，详见下</w:t>
            </w:r>
            <w:r>
              <w:rPr>
                <w:rFonts w:hint="eastAsia"/>
                <w:sz w:val="24"/>
              </w:rPr>
              <w:t>表。</w:t>
            </w:r>
          </w:p>
          <w:p>
            <w:pPr>
              <w:jc w:val="center"/>
              <w:rPr>
                <w:b/>
                <w:sz w:val="24"/>
                <w:szCs w:val="24"/>
              </w:rPr>
            </w:pPr>
            <w:r>
              <w:rPr>
                <w:b/>
                <w:sz w:val="24"/>
                <w:szCs w:val="24"/>
              </w:rPr>
              <w:t>表</w:t>
            </w:r>
            <w:r>
              <w:rPr>
                <w:rFonts w:hint="eastAsia"/>
                <w:b/>
                <w:sz w:val="24"/>
                <w:szCs w:val="24"/>
              </w:rPr>
              <w:t>1-9</w:t>
            </w:r>
            <w:r>
              <w:rPr>
                <w:b/>
                <w:sz w:val="24"/>
                <w:szCs w:val="24"/>
              </w:rPr>
              <w:t xml:space="preserve">  环保投资估算</w:t>
            </w:r>
          </w:p>
          <w:tbl>
            <w:tblPr>
              <w:tblStyle w:val="17"/>
              <w:tblW w:w="831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45" w:type="dxa"/>
                <w:bottom w:w="0" w:type="dxa"/>
                <w:right w:w="45" w:type="dxa"/>
              </w:tblCellMar>
            </w:tblPr>
            <w:tblGrid>
              <w:gridCol w:w="847"/>
              <w:gridCol w:w="1937"/>
              <w:gridCol w:w="1286"/>
              <w:gridCol w:w="1785"/>
              <w:gridCol w:w="1439"/>
              <w:gridCol w:w="101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5" w:type="dxa"/>
                  <w:bottom w:w="0" w:type="dxa"/>
                  <w:right w:w="45" w:type="dxa"/>
                </w:tblCellMar>
              </w:tblPrEx>
              <w:trPr>
                <w:trHeight w:val="324" w:hRule="atLeast"/>
                <w:jc w:val="center"/>
              </w:trPr>
              <w:tc>
                <w:tcPr>
                  <w:tcW w:w="847"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b/>
                      <w:szCs w:val="21"/>
                    </w:rPr>
                  </w:pPr>
                  <w:r>
                    <w:rPr>
                      <w:b/>
                      <w:szCs w:val="21"/>
                    </w:rPr>
                    <w:t>名称</w:t>
                  </w:r>
                </w:p>
              </w:tc>
              <w:tc>
                <w:tcPr>
                  <w:tcW w:w="3223" w:type="dxa"/>
                  <w:gridSpan w:val="2"/>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b/>
                      <w:szCs w:val="21"/>
                    </w:rPr>
                  </w:pPr>
                  <w:r>
                    <w:rPr>
                      <w:b/>
                      <w:szCs w:val="21"/>
                    </w:rPr>
                    <w:t>环保设施名称</w:t>
                  </w:r>
                </w:p>
              </w:tc>
              <w:tc>
                <w:tcPr>
                  <w:tcW w:w="1785"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b/>
                      <w:szCs w:val="21"/>
                    </w:rPr>
                  </w:pPr>
                  <w:r>
                    <w:rPr>
                      <w:b/>
                      <w:szCs w:val="21"/>
                    </w:rPr>
                    <w:t>环保投资（万元）</w:t>
                  </w:r>
                </w:p>
              </w:tc>
              <w:tc>
                <w:tcPr>
                  <w:tcW w:w="1439"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b/>
                      <w:szCs w:val="21"/>
                    </w:rPr>
                  </w:pPr>
                  <w:r>
                    <w:rPr>
                      <w:rFonts w:hint="eastAsia"/>
                      <w:b/>
                      <w:szCs w:val="21"/>
                    </w:rPr>
                    <w:t>备注</w:t>
                  </w:r>
                </w:p>
              </w:tc>
              <w:tc>
                <w:tcPr>
                  <w:tcW w:w="1018"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b/>
                      <w:szCs w:val="21"/>
                    </w:rPr>
                  </w:pPr>
                  <w:r>
                    <w:rPr>
                      <w:b/>
                      <w:szCs w:val="21"/>
                    </w:rPr>
                    <w:t>进度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5" w:type="dxa"/>
                  <w:bottom w:w="0" w:type="dxa"/>
                  <w:right w:w="45" w:type="dxa"/>
                </w:tblCellMar>
              </w:tblPrEx>
              <w:trPr>
                <w:trHeight w:val="340" w:hRule="atLeast"/>
                <w:jc w:val="center"/>
              </w:trPr>
              <w:tc>
                <w:tcPr>
                  <w:tcW w:w="847"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szCs w:val="21"/>
                    </w:rPr>
                  </w:pPr>
                  <w:r>
                    <w:rPr>
                      <w:szCs w:val="21"/>
                    </w:rPr>
                    <w:t>废水</w:t>
                  </w:r>
                </w:p>
              </w:tc>
              <w:tc>
                <w:tcPr>
                  <w:tcW w:w="3223" w:type="dxa"/>
                  <w:gridSpan w:val="2"/>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szCs w:val="21"/>
                    </w:rPr>
                  </w:pPr>
                  <w:r>
                    <w:rPr>
                      <w:szCs w:val="21"/>
                    </w:rPr>
                    <w:t>雨污分流管网、化粪池</w:t>
                  </w:r>
                </w:p>
              </w:tc>
              <w:tc>
                <w:tcPr>
                  <w:tcW w:w="1785"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szCs w:val="21"/>
                    </w:rPr>
                  </w:pPr>
                  <w:r>
                    <w:rPr>
                      <w:szCs w:val="21"/>
                    </w:rPr>
                    <w:t>0</w:t>
                  </w:r>
                </w:p>
              </w:tc>
              <w:tc>
                <w:tcPr>
                  <w:tcW w:w="1439"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szCs w:val="21"/>
                    </w:rPr>
                  </w:pPr>
                  <w:r>
                    <w:rPr>
                      <w:rFonts w:hint="eastAsia"/>
                      <w:szCs w:val="21"/>
                    </w:rPr>
                    <w:t>依托</w:t>
                  </w:r>
                </w:p>
              </w:tc>
              <w:tc>
                <w:tcPr>
                  <w:tcW w:w="1018"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szCs w:val="21"/>
                    </w:rPr>
                  </w:pPr>
                  <w:r>
                    <w:rPr>
                      <w:szCs w:val="21"/>
                    </w:rPr>
                    <w:t>与建设项目同时设计、同时施工、同时投入运行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5" w:type="dxa"/>
                  <w:bottom w:w="0" w:type="dxa"/>
                  <w:right w:w="45" w:type="dxa"/>
                </w:tblCellMar>
              </w:tblPrEx>
              <w:trPr>
                <w:trHeight w:val="78" w:hRule="atLeast"/>
                <w:jc w:val="center"/>
              </w:trPr>
              <w:tc>
                <w:tcPr>
                  <w:tcW w:w="847" w:type="dxa"/>
                  <w:vMerge w:val="restart"/>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szCs w:val="21"/>
                    </w:rPr>
                  </w:pPr>
                  <w:r>
                    <w:rPr>
                      <w:szCs w:val="21"/>
                    </w:rPr>
                    <w:t>废气</w:t>
                  </w:r>
                </w:p>
              </w:tc>
              <w:tc>
                <w:tcPr>
                  <w:tcW w:w="1937" w:type="dxa"/>
                  <w:vAlign w:val="center"/>
                </w:tcPr>
                <w:p>
                  <w:pPr>
                    <w:keepNext w:val="0"/>
                    <w:keepLines w:val="0"/>
                    <w:pageBreakBefore w:val="0"/>
                    <w:widowControl w:val="0"/>
                    <w:kinsoku/>
                    <w:wordWrap/>
                    <w:overflowPunct/>
                    <w:topLinePunct w:val="0"/>
                    <w:autoSpaceDE/>
                    <w:autoSpaceDN/>
                    <w:bidi w:val="0"/>
                    <w:snapToGrid w:val="0"/>
                    <w:spacing w:before="63" w:beforeLines="20" w:after="63" w:afterLines="20"/>
                    <w:jc w:val="center"/>
                    <w:textAlignment w:val="auto"/>
                    <w:rPr>
                      <w:rFonts w:hint="eastAsia" w:eastAsia="宋体"/>
                      <w:szCs w:val="21"/>
                      <w:lang w:eastAsia="zh-CN"/>
                    </w:rPr>
                  </w:pPr>
                  <w:r>
                    <w:rPr>
                      <w:rFonts w:hint="eastAsia"/>
                      <w:szCs w:val="21"/>
                      <w:lang w:eastAsia="zh-CN"/>
                    </w:rPr>
                    <w:t>冷却器+二级活性炭吸附装置</w:t>
                  </w:r>
                </w:p>
              </w:tc>
              <w:tc>
                <w:tcPr>
                  <w:tcW w:w="1286" w:type="dxa"/>
                  <w:vMerge w:val="restart"/>
                  <w:vAlign w:val="center"/>
                </w:tcPr>
                <w:p>
                  <w:pPr>
                    <w:keepNext w:val="0"/>
                    <w:keepLines w:val="0"/>
                    <w:pageBreakBefore w:val="0"/>
                    <w:widowControl w:val="0"/>
                    <w:kinsoku/>
                    <w:wordWrap/>
                    <w:overflowPunct/>
                    <w:topLinePunct w:val="0"/>
                    <w:autoSpaceDE/>
                    <w:autoSpaceDN/>
                    <w:bidi w:val="0"/>
                    <w:snapToGrid w:val="0"/>
                    <w:spacing w:before="63" w:beforeLines="20" w:after="63" w:afterLines="20"/>
                    <w:jc w:val="center"/>
                    <w:textAlignment w:val="auto"/>
                    <w:rPr>
                      <w:szCs w:val="21"/>
                    </w:rPr>
                  </w:pPr>
                  <w:r>
                    <w:rPr>
                      <w:rFonts w:hint="eastAsia"/>
                      <w:szCs w:val="21"/>
                    </w:rPr>
                    <w:t>+15m排气筒（1#）</w:t>
                  </w:r>
                </w:p>
              </w:tc>
              <w:tc>
                <w:tcPr>
                  <w:tcW w:w="1785"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rFonts w:hint="default" w:eastAsia="宋体"/>
                      <w:szCs w:val="21"/>
                      <w:lang w:val="en-US" w:eastAsia="zh-CN"/>
                    </w:rPr>
                  </w:pPr>
                  <w:r>
                    <w:rPr>
                      <w:rFonts w:hint="eastAsia"/>
                      <w:szCs w:val="21"/>
                      <w:lang w:val="en-US" w:eastAsia="zh-CN"/>
                    </w:rPr>
                    <w:t>20</w:t>
                  </w:r>
                </w:p>
              </w:tc>
              <w:tc>
                <w:tcPr>
                  <w:tcW w:w="1439" w:type="dxa"/>
                  <w:vMerge w:val="restart"/>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szCs w:val="21"/>
                    </w:rPr>
                  </w:pPr>
                  <w:r>
                    <w:rPr>
                      <w:rFonts w:hint="eastAsia"/>
                      <w:szCs w:val="21"/>
                    </w:rPr>
                    <w:t>新建</w:t>
                  </w:r>
                </w:p>
              </w:tc>
              <w:tc>
                <w:tcPr>
                  <w:tcW w:w="1018"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5" w:type="dxa"/>
                  <w:bottom w:w="0" w:type="dxa"/>
                  <w:right w:w="45" w:type="dxa"/>
                </w:tblCellMar>
              </w:tblPrEx>
              <w:trPr>
                <w:trHeight w:val="78" w:hRule="atLeast"/>
                <w:jc w:val="center"/>
              </w:trPr>
              <w:tc>
                <w:tcPr>
                  <w:tcW w:w="847" w:type="dxa"/>
                  <w:vMerge w:val="continue"/>
                  <w:vAlign w:val="center"/>
                </w:tcPr>
                <w:p>
                  <w:pPr>
                    <w:keepNext w:val="0"/>
                    <w:keepLines w:val="0"/>
                    <w:pageBreakBefore w:val="0"/>
                    <w:widowControl w:val="0"/>
                    <w:kinsoku/>
                    <w:wordWrap/>
                    <w:overflowPunct/>
                    <w:topLinePunct w:val="0"/>
                    <w:autoSpaceDE/>
                    <w:autoSpaceDN/>
                    <w:bidi w:val="0"/>
                    <w:snapToGrid w:val="0"/>
                    <w:spacing w:before="63" w:beforeLines="20" w:after="63" w:afterLines="20"/>
                    <w:jc w:val="center"/>
                    <w:textAlignment w:val="auto"/>
                  </w:pPr>
                </w:p>
              </w:tc>
              <w:tc>
                <w:tcPr>
                  <w:tcW w:w="1937" w:type="dxa"/>
                  <w:vAlign w:val="center"/>
                </w:tcPr>
                <w:p>
                  <w:pPr>
                    <w:keepNext w:val="0"/>
                    <w:keepLines w:val="0"/>
                    <w:pageBreakBefore w:val="0"/>
                    <w:widowControl w:val="0"/>
                    <w:kinsoku/>
                    <w:wordWrap/>
                    <w:overflowPunct/>
                    <w:topLinePunct w:val="0"/>
                    <w:autoSpaceDE/>
                    <w:autoSpaceDN/>
                    <w:bidi w:val="0"/>
                    <w:snapToGrid w:val="0"/>
                    <w:spacing w:before="63" w:beforeLines="20" w:after="63" w:afterLines="20"/>
                    <w:jc w:val="center"/>
                    <w:textAlignment w:val="auto"/>
                  </w:pPr>
                  <w:r>
                    <w:rPr>
                      <w:rFonts w:hint="eastAsia"/>
                      <w:lang w:eastAsia="zh-CN"/>
                    </w:rPr>
                    <w:t>滤芯</w:t>
                  </w:r>
                  <w:r>
                    <w:rPr>
                      <w:rFonts w:hint="eastAsia"/>
                    </w:rPr>
                    <w:t>除尘器</w:t>
                  </w:r>
                </w:p>
              </w:tc>
              <w:tc>
                <w:tcPr>
                  <w:tcW w:w="1286" w:type="dxa"/>
                  <w:vMerge w:val="continue"/>
                  <w:vAlign w:val="center"/>
                </w:tcPr>
                <w:p>
                  <w:pPr>
                    <w:keepNext w:val="0"/>
                    <w:keepLines w:val="0"/>
                    <w:pageBreakBefore w:val="0"/>
                    <w:widowControl w:val="0"/>
                    <w:kinsoku/>
                    <w:wordWrap/>
                    <w:overflowPunct/>
                    <w:topLinePunct w:val="0"/>
                    <w:autoSpaceDE/>
                    <w:autoSpaceDN/>
                    <w:bidi w:val="0"/>
                    <w:snapToGrid w:val="0"/>
                    <w:spacing w:before="63" w:beforeLines="20" w:after="63" w:afterLines="20"/>
                    <w:jc w:val="center"/>
                    <w:textAlignment w:val="auto"/>
                    <w:rPr>
                      <w:szCs w:val="21"/>
                    </w:rPr>
                  </w:pPr>
                </w:p>
              </w:tc>
              <w:tc>
                <w:tcPr>
                  <w:tcW w:w="1785" w:type="dxa"/>
                  <w:vAlign w:val="center"/>
                </w:tcPr>
                <w:p>
                  <w:pPr>
                    <w:keepNext w:val="0"/>
                    <w:keepLines w:val="0"/>
                    <w:pageBreakBefore w:val="0"/>
                    <w:widowControl w:val="0"/>
                    <w:kinsoku/>
                    <w:wordWrap/>
                    <w:overflowPunct/>
                    <w:topLinePunct w:val="0"/>
                    <w:autoSpaceDE/>
                    <w:autoSpaceDN/>
                    <w:bidi w:val="0"/>
                    <w:snapToGrid w:val="0"/>
                    <w:spacing w:before="63" w:beforeLines="20" w:after="63" w:afterLines="20"/>
                    <w:jc w:val="center"/>
                    <w:textAlignment w:val="auto"/>
                    <w:rPr>
                      <w:szCs w:val="21"/>
                    </w:rPr>
                  </w:pPr>
                  <w:r>
                    <w:rPr>
                      <w:rFonts w:hint="eastAsia"/>
                      <w:szCs w:val="21"/>
                    </w:rPr>
                    <w:t>5</w:t>
                  </w:r>
                </w:p>
              </w:tc>
              <w:tc>
                <w:tcPr>
                  <w:tcW w:w="1439" w:type="dxa"/>
                  <w:vMerge w:val="continue"/>
                  <w:vAlign w:val="center"/>
                </w:tcPr>
                <w:p>
                  <w:pPr>
                    <w:keepNext w:val="0"/>
                    <w:keepLines w:val="0"/>
                    <w:pageBreakBefore w:val="0"/>
                    <w:widowControl w:val="0"/>
                    <w:kinsoku/>
                    <w:wordWrap/>
                    <w:overflowPunct/>
                    <w:topLinePunct w:val="0"/>
                    <w:autoSpaceDE/>
                    <w:autoSpaceDN/>
                    <w:bidi w:val="0"/>
                    <w:snapToGrid w:val="0"/>
                    <w:spacing w:before="63" w:beforeLines="20" w:after="63" w:afterLines="20"/>
                    <w:jc w:val="center"/>
                    <w:textAlignment w:val="auto"/>
                    <w:rPr>
                      <w:szCs w:val="21"/>
                    </w:rPr>
                  </w:pPr>
                </w:p>
              </w:tc>
              <w:tc>
                <w:tcPr>
                  <w:tcW w:w="1018" w:type="dxa"/>
                  <w:vMerge w:val="continue"/>
                  <w:vAlign w:val="center"/>
                </w:tcPr>
                <w:p>
                  <w:pPr>
                    <w:keepNext w:val="0"/>
                    <w:keepLines w:val="0"/>
                    <w:pageBreakBefore w:val="0"/>
                    <w:widowControl w:val="0"/>
                    <w:kinsoku/>
                    <w:wordWrap/>
                    <w:overflowPunct/>
                    <w:topLinePunct w:val="0"/>
                    <w:autoSpaceDE/>
                    <w:autoSpaceDN/>
                    <w:bidi w:val="0"/>
                    <w:snapToGrid w:val="0"/>
                    <w:spacing w:before="63" w:beforeLines="20" w:after="63" w:afterLines="20"/>
                    <w:jc w:val="center"/>
                    <w:textAlignment w:val="auto"/>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5" w:type="dxa"/>
                  <w:bottom w:w="0" w:type="dxa"/>
                  <w:right w:w="45" w:type="dxa"/>
                </w:tblCellMar>
              </w:tblPrEx>
              <w:trPr>
                <w:trHeight w:val="78" w:hRule="atLeast"/>
                <w:jc w:val="center"/>
              </w:trPr>
              <w:tc>
                <w:tcPr>
                  <w:tcW w:w="847" w:type="dxa"/>
                  <w:vMerge w:val="continue"/>
                  <w:vAlign w:val="center"/>
                </w:tcPr>
                <w:p>
                  <w:pPr>
                    <w:keepNext w:val="0"/>
                    <w:keepLines w:val="0"/>
                    <w:pageBreakBefore w:val="0"/>
                    <w:widowControl w:val="0"/>
                    <w:kinsoku/>
                    <w:wordWrap/>
                    <w:overflowPunct/>
                    <w:topLinePunct w:val="0"/>
                    <w:autoSpaceDE/>
                    <w:autoSpaceDN/>
                    <w:bidi w:val="0"/>
                    <w:snapToGrid w:val="0"/>
                    <w:spacing w:before="63" w:beforeLines="20" w:after="63" w:afterLines="20"/>
                    <w:jc w:val="center"/>
                    <w:textAlignment w:val="auto"/>
                  </w:pPr>
                </w:p>
              </w:tc>
              <w:tc>
                <w:tcPr>
                  <w:tcW w:w="1937" w:type="dxa"/>
                  <w:vAlign w:val="center"/>
                </w:tcPr>
                <w:p>
                  <w:pPr>
                    <w:keepNext w:val="0"/>
                    <w:keepLines w:val="0"/>
                    <w:pageBreakBefore w:val="0"/>
                    <w:widowControl w:val="0"/>
                    <w:kinsoku/>
                    <w:wordWrap/>
                    <w:overflowPunct/>
                    <w:topLinePunct w:val="0"/>
                    <w:autoSpaceDE/>
                    <w:autoSpaceDN/>
                    <w:bidi w:val="0"/>
                    <w:snapToGrid w:val="0"/>
                    <w:spacing w:before="63" w:beforeLines="20" w:after="63" w:afterLines="20"/>
                    <w:jc w:val="center"/>
                    <w:textAlignment w:val="auto"/>
                    <w:rPr>
                      <w:rFonts w:hint="eastAsia"/>
                      <w:lang w:eastAsia="zh-CN"/>
                    </w:rPr>
                  </w:pPr>
                  <w:r>
                    <w:rPr>
                      <w:rFonts w:hint="eastAsia"/>
                      <w:lang w:eastAsia="zh-CN"/>
                    </w:rPr>
                    <w:t>低氮燃烧器</w:t>
                  </w:r>
                </w:p>
              </w:tc>
              <w:tc>
                <w:tcPr>
                  <w:tcW w:w="1286" w:type="dxa"/>
                  <w:vMerge w:val="continue"/>
                  <w:vAlign w:val="center"/>
                </w:tcPr>
                <w:p>
                  <w:pPr>
                    <w:keepNext w:val="0"/>
                    <w:keepLines w:val="0"/>
                    <w:pageBreakBefore w:val="0"/>
                    <w:widowControl w:val="0"/>
                    <w:kinsoku/>
                    <w:wordWrap/>
                    <w:overflowPunct/>
                    <w:topLinePunct w:val="0"/>
                    <w:autoSpaceDE/>
                    <w:autoSpaceDN/>
                    <w:bidi w:val="0"/>
                    <w:snapToGrid w:val="0"/>
                    <w:spacing w:before="63" w:beforeLines="20" w:after="63" w:afterLines="20"/>
                    <w:jc w:val="center"/>
                    <w:textAlignment w:val="auto"/>
                    <w:rPr>
                      <w:szCs w:val="21"/>
                    </w:rPr>
                  </w:pPr>
                </w:p>
              </w:tc>
              <w:tc>
                <w:tcPr>
                  <w:tcW w:w="1785" w:type="dxa"/>
                  <w:vAlign w:val="center"/>
                </w:tcPr>
                <w:p>
                  <w:pPr>
                    <w:keepNext w:val="0"/>
                    <w:keepLines w:val="0"/>
                    <w:pageBreakBefore w:val="0"/>
                    <w:widowControl w:val="0"/>
                    <w:kinsoku/>
                    <w:wordWrap/>
                    <w:overflowPunct/>
                    <w:topLinePunct w:val="0"/>
                    <w:autoSpaceDE/>
                    <w:autoSpaceDN/>
                    <w:bidi w:val="0"/>
                    <w:snapToGrid w:val="0"/>
                    <w:spacing w:before="63" w:beforeLines="20" w:after="63" w:afterLines="20"/>
                    <w:jc w:val="center"/>
                    <w:textAlignment w:val="auto"/>
                    <w:rPr>
                      <w:rFonts w:hint="default" w:eastAsia="宋体"/>
                      <w:szCs w:val="21"/>
                      <w:lang w:val="en-US" w:eastAsia="zh-CN"/>
                    </w:rPr>
                  </w:pPr>
                  <w:r>
                    <w:rPr>
                      <w:rFonts w:hint="eastAsia"/>
                      <w:szCs w:val="21"/>
                      <w:lang w:val="en-US" w:eastAsia="zh-CN"/>
                    </w:rPr>
                    <w:t>10</w:t>
                  </w:r>
                </w:p>
              </w:tc>
              <w:tc>
                <w:tcPr>
                  <w:tcW w:w="1439" w:type="dxa"/>
                  <w:vMerge w:val="continue"/>
                  <w:vAlign w:val="center"/>
                </w:tcPr>
                <w:p>
                  <w:pPr>
                    <w:keepNext w:val="0"/>
                    <w:keepLines w:val="0"/>
                    <w:pageBreakBefore w:val="0"/>
                    <w:widowControl w:val="0"/>
                    <w:kinsoku/>
                    <w:wordWrap/>
                    <w:overflowPunct/>
                    <w:topLinePunct w:val="0"/>
                    <w:autoSpaceDE/>
                    <w:autoSpaceDN/>
                    <w:bidi w:val="0"/>
                    <w:snapToGrid w:val="0"/>
                    <w:spacing w:before="63" w:beforeLines="20" w:after="63" w:afterLines="20"/>
                    <w:jc w:val="center"/>
                    <w:textAlignment w:val="auto"/>
                    <w:rPr>
                      <w:szCs w:val="21"/>
                    </w:rPr>
                  </w:pPr>
                </w:p>
              </w:tc>
              <w:tc>
                <w:tcPr>
                  <w:tcW w:w="1018" w:type="dxa"/>
                  <w:vMerge w:val="continue"/>
                  <w:vAlign w:val="center"/>
                </w:tcPr>
                <w:p>
                  <w:pPr>
                    <w:keepNext w:val="0"/>
                    <w:keepLines w:val="0"/>
                    <w:pageBreakBefore w:val="0"/>
                    <w:widowControl w:val="0"/>
                    <w:kinsoku/>
                    <w:wordWrap/>
                    <w:overflowPunct/>
                    <w:topLinePunct w:val="0"/>
                    <w:autoSpaceDE/>
                    <w:autoSpaceDN/>
                    <w:bidi w:val="0"/>
                    <w:snapToGrid w:val="0"/>
                    <w:spacing w:before="63" w:beforeLines="20" w:after="63" w:afterLines="20"/>
                    <w:jc w:val="center"/>
                    <w:textAlignment w:val="auto"/>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5" w:type="dxa"/>
                  <w:bottom w:w="0" w:type="dxa"/>
                  <w:right w:w="45" w:type="dxa"/>
                </w:tblCellMar>
              </w:tblPrEx>
              <w:trPr>
                <w:trHeight w:val="340" w:hRule="atLeast"/>
                <w:jc w:val="center"/>
              </w:trPr>
              <w:tc>
                <w:tcPr>
                  <w:tcW w:w="847"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szCs w:val="21"/>
                    </w:rPr>
                  </w:pPr>
                  <w:r>
                    <w:rPr>
                      <w:szCs w:val="21"/>
                    </w:rPr>
                    <w:t>固废</w:t>
                  </w:r>
                </w:p>
              </w:tc>
              <w:tc>
                <w:tcPr>
                  <w:tcW w:w="3223" w:type="dxa"/>
                  <w:gridSpan w:val="2"/>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szCs w:val="21"/>
                      <w:vertAlign w:val="superscript"/>
                    </w:rPr>
                  </w:pPr>
                  <w:r>
                    <w:rPr>
                      <w:szCs w:val="21"/>
                    </w:rPr>
                    <w:t>设置</w:t>
                  </w:r>
                  <w:r>
                    <w:rPr>
                      <w:rFonts w:hint="eastAsia"/>
                      <w:szCs w:val="21"/>
                    </w:rPr>
                    <w:t>一般固废仓库一座</w:t>
                  </w:r>
                  <w:r>
                    <w:rPr>
                      <w:szCs w:val="21"/>
                    </w:rPr>
                    <w:t>和</w:t>
                  </w:r>
                  <w:r>
                    <w:rPr>
                      <w:rFonts w:hint="eastAsia"/>
                      <w:szCs w:val="21"/>
                    </w:rPr>
                    <w:t>危险废物仓库一间</w:t>
                  </w:r>
                </w:p>
              </w:tc>
              <w:tc>
                <w:tcPr>
                  <w:tcW w:w="1785"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szCs w:val="21"/>
                    </w:rPr>
                  </w:pPr>
                  <w:r>
                    <w:rPr>
                      <w:rFonts w:hint="eastAsia"/>
                      <w:szCs w:val="21"/>
                    </w:rPr>
                    <w:t>3</w:t>
                  </w:r>
                </w:p>
              </w:tc>
              <w:tc>
                <w:tcPr>
                  <w:tcW w:w="1439"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szCs w:val="21"/>
                    </w:rPr>
                  </w:pPr>
                  <w:r>
                    <w:rPr>
                      <w:rFonts w:hint="eastAsia"/>
                      <w:szCs w:val="21"/>
                    </w:rPr>
                    <w:t>新建</w:t>
                  </w:r>
                </w:p>
              </w:tc>
              <w:tc>
                <w:tcPr>
                  <w:tcW w:w="1018"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5" w:type="dxa"/>
                  <w:bottom w:w="0" w:type="dxa"/>
                  <w:right w:w="45" w:type="dxa"/>
                </w:tblCellMar>
              </w:tblPrEx>
              <w:trPr>
                <w:trHeight w:val="340" w:hRule="atLeast"/>
                <w:jc w:val="center"/>
              </w:trPr>
              <w:tc>
                <w:tcPr>
                  <w:tcW w:w="847"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szCs w:val="21"/>
                    </w:rPr>
                  </w:pPr>
                  <w:r>
                    <w:rPr>
                      <w:szCs w:val="21"/>
                    </w:rPr>
                    <w:t>噪声</w:t>
                  </w:r>
                </w:p>
              </w:tc>
              <w:tc>
                <w:tcPr>
                  <w:tcW w:w="3223" w:type="dxa"/>
                  <w:gridSpan w:val="2"/>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szCs w:val="21"/>
                    </w:rPr>
                  </w:pPr>
                  <w:r>
                    <w:rPr>
                      <w:szCs w:val="21"/>
                    </w:rPr>
                    <w:t>减振、隔声设施</w:t>
                  </w:r>
                </w:p>
              </w:tc>
              <w:tc>
                <w:tcPr>
                  <w:tcW w:w="1785"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szCs w:val="21"/>
                    </w:rPr>
                  </w:pPr>
                  <w:r>
                    <w:rPr>
                      <w:rFonts w:hint="eastAsia"/>
                      <w:szCs w:val="21"/>
                    </w:rPr>
                    <w:t>2</w:t>
                  </w:r>
                </w:p>
              </w:tc>
              <w:tc>
                <w:tcPr>
                  <w:tcW w:w="1439"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szCs w:val="21"/>
                    </w:rPr>
                  </w:pPr>
                  <w:r>
                    <w:rPr>
                      <w:rFonts w:hint="eastAsia"/>
                      <w:szCs w:val="21"/>
                    </w:rPr>
                    <w:t>新建</w:t>
                  </w:r>
                </w:p>
              </w:tc>
              <w:tc>
                <w:tcPr>
                  <w:tcW w:w="1018"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45" w:type="dxa"/>
                  <w:bottom w:w="0" w:type="dxa"/>
                  <w:right w:w="45" w:type="dxa"/>
                </w:tblCellMar>
              </w:tblPrEx>
              <w:trPr>
                <w:trHeight w:val="340" w:hRule="atLeast"/>
                <w:jc w:val="center"/>
              </w:trPr>
              <w:tc>
                <w:tcPr>
                  <w:tcW w:w="4070" w:type="dxa"/>
                  <w:gridSpan w:val="3"/>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szCs w:val="21"/>
                    </w:rPr>
                  </w:pPr>
                  <w:r>
                    <w:rPr>
                      <w:szCs w:val="21"/>
                    </w:rPr>
                    <w:t>合计</w:t>
                  </w:r>
                  <w:r>
                    <w:rPr>
                      <w:b/>
                      <w:szCs w:val="21"/>
                    </w:rPr>
                    <w:t>（万元）</w:t>
                  </w:r>
                </w:p>
              </w:tc>
              <w:tc>
                <w:tcPr>
                  <w:tcW w:w="3224" w:type="dxa"/>
                  <w:gridSpan w:val="2"/>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rFonts w:hint="default" w:eastAsia="宋体"/>
                      <w:szCs w:val="21"/>
                      <w:lang w:val="en-US" w:eastAsia="zh-CN"/>
                    </w:rPr>
                  </w:pPr>
                  <w:r>
                    <w:rPr>
                      <w:rFonts w:hint="eastAsia"/>
                      <w:szCs w:val="21"/>
                      <w:lang w:val="en-US" w:eastAsia="zh-CN"/>
                    </w:rPr>
                    <w:t>40</w:t>
                  </w:r>
                </w:p>
              </w:tc>
              <w:tc>
                <w:tcPr>
                  <w:tcW w:w="1018"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szCs w:val="21"/>
                    </w:rPr>
                  </w:pPr>
                </w:p>
              </w:tc>
            </w:tr>
          </w:tbl>
          <w:p>
            <w:pPr>
              <w:spacing w:line="336" w:lineRule="auto"/>
              <w:rPr>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99" w:hRule="atLeast"/>
          <w:jc w:val="center"/>
        </w:trPr>
        <w:tc>
          <w:tcPr>
            <w:tcW w:w="8528" w:type="dxa"/>
            <w:gridSpan w:val="10"/>
            <w:tcBorders>
              <w:top w:val="single" w:color="auto" w:sz="12" w:space="0"/>
              <w:left w:val="single" w:color="auto" w:sz="12" w:space="0"/>
              <w:bottom w:val="single" w:color="auto" w:sz="12" w:space="0"/>
              <w:right w:val="single" w:color="auto" w:sz="12" w:space="0"/>
            </w:tcBorders>
          </w:tcPr>
          <w:p>
            <w:pPr>
              <w:spacing w:line="360" w:lineRule="auto"/>
              <w:rPr>
                <w:b/>
                <w:sz w:val="24"/>
              </w:rPr>
            </w:pPr>
            <w:r>
              <w:rPr>
                <w:b/>
                <w:sz w:val="24"/>
              </w:rPr>
              <w:t>与本项目有关的原有污染情况及主要环境问题：</w:t>
            </w:r>
          </w:p>
          <w:p>
            <w:pPr>
              <w:spacing w:line="360" w:lineRule="auto"/>
              <w:ind w:firstLine="480" w:firstLineChars="200"/>
              <w:rPr>
                <w:sz w:val="24"/>
                <w:szCs w:val="24"/>
              </w:rPr>
            </w:pPr>
            <w:r>
              <w:rPr>
                <w:b/>
                <w:kern w:val="0"/>
                <w:sz w:val="24"/>
                <w:szCs w:val="24"/>
              </w:rPr>
              <w:t>1、本项目有关的原有污染情况及主要环境问题</w:t>
            </w:r>
          </w:p>
          <w:p>
            <w:pPr>
              <w:spacing w:line="360" w:lineRule="auto"/>
              <w:ind w:firstLine="480" w:firstLineChars="200"/>
              <w:rPr>
                <w:color w:val="auto"/>
                <w:spacing w:val="-4"/>
                <w:sz w:val="24"/>
                <w:szCs w:val="24"/>
              </w:rPr>
            </w:pPr>
            <w:r>
              <w:rPr>
                <w:color w:val="auto"/>
                <w:sz w:val="24"/>
                <w:szCs w:val="24"/>
              </w:rPr>
              <w:t>本项目</w:t>
            </w:r>
            <w:r>
              <w:rPr>
                <w:color w:val="auto"/>
                <w:spacing w:val="-4"/>
                <w:sz w:val="24"/>
                <w:szCs w:val="24"/>
              </w:rPr>
              <w:t>租用</w:t>
            </w:r>
            <w:r>
              <w:rPr>
                <w:rFonts w:hint="eastAsia"/>
                <w:color w:val="auto"/>
                <w:sz w:val="24"/>
                <w:szCs w:val="24"/>
              </w:rPr>
              <w:t>江苏欧砻机械设备有限公司</w:t>
            </w:r>
            <w:r>
              <w:rPr>
                <w:rFonts w:hint="eastAsia"/>
                <w:color w:val="FF0000"/>
                <w:sz w:val="24"/>
                <w:szCs w:val="24"/>
                <w:lang w:val="en-US" w:eastAsia="zh-CN"/>
              </w:rPr>
              <w:t>2号厂房第二层和部分三号现有</w:t>
            </w:r>
            <w:r>
              <w:rPr>
                <w:rFonts w:hint="eastAsia"/>
                <w:color w:val="FF0000"/>
                <w:sz w:val="24"/>
                <w:szCs w:val="24"/>
              </w:rPr>
              <w:t>闲置厂</w:t>
            </w:r>
            <w:r>
              <w:rPr>
                <w:rFonts w:hint="eastAsia"/>
                <w:color w:val="auto"/>
                <w:spacing w:val="-4"/>
                <w:sz w:val="24"/>
                <w:szCs w:val="24"/>
              </w:rPr>
              <w:t>共</w:t>
            </w:r>
            <w:r>
              <w:rPr>
                <w:rFonts w:hint="eastAsia"/>
                <w:color w:val="auto"/>
                <w:spacing w:val="-4"/>
                <w:sz w:val="24"/>
                <w:szCs w:val="24"/>
                <w:lang w:eastAsia="zh-CN"/>
              </w:rPr>
              <w:t>2264</w:t>
            </w:r>
            <w:r>
              <w:rPr>
                <w:color w:val="auto"/>
                <w:spacing w:val="-4"/>
                <w:sz w:val="24"/>
                <w:szCs w:val="24"/>
              </w:rPr>
              <w:t>m</w:t>
            </w:r>
            <w:r>
              <w:rPr>
                <w:color w:val="auto"/>
                <w:spacing w:val="-4"/>
                <w:sz w:val="24"/>
                <w:szCs w:val="24"/>
                <w:vertAlign w:val="superscript"/>
              </w:rPr>
              <w:t>2</w:t>
            </w:r>
            <w:r>
              <w:rPr>
                <w:color w:val="auto"/>
                <w:sz w:val="24"/>
                <w:szCs w:val="24"/>
              </w:rPr>
              <w:t>进行生产。</w:t>
            </w:r>
            <w:r>
              <w:rPr>
                <w:rFonts w:hint="eastAsia"/>
                <w:color w:val="auto"/>
                <w:sz w:val="24"/>
                <w:szCs w:val="24"/>
              </w:rPr>
              <w:t>该厂房是常州中泽电力设备有限公司《新建年产2000套高、低压电力设备生产线项目》时建设，共建设三栋厂房一座办公楼，基础设施建成后，未进行项目建设，将厂房和办公楼全部租赁给江苏欧砻机械设备有限公司建设《新建年产5000套（台）自动化生产设备项目》使用，</w:t>
            </w:r>
            <w:r>
              <w:rPr>
                <w:rFonts w:hint="eastAsia"/>
                <w:color w:val="auto"/>
                <w:sz w:val="24"/>
                <w:szCs w:val="24"/>
                <w:lang w:eastAsia="zh-CN"/>
              </w:rPr>
              <w:t>该项目主要污染物为颗粒物、</w:t>
            </w:r>
            <w:r>
              <w:rPr>
                <w:rFonts w:hint="eastAsia"/>
                <w:color w:val="auto"/>
                <w:sz w:val="24"/>
                <w:szCs w:val="24"/>
                <w:lang w:val="en-US" w:eastAsia="zh-CN"/>
              </w:rPr>
              <w:t>SO</w:t>
            </w:r>
            <w:r>
              <w:rPr>
                <w:rFonts w:hint="eastAsia"/>
                <w:color w:val="auto"/>
                <w:sz w:val="24"/>
                <w:szCs w:val="24"/>
                <w:vertAlign w:val="subscript"/>
                <w:lang w:val="en-US" w:eastAsia="zh-CN"/>
              </w:rPr>
              <w:t>2</w:t>
            </w:r>
            <w:r>
              <w:rPr>
                <w:rFonts w:hint="eastAsia"/>
                <w:color w:val="auto"/>
                <w:sz w:val="24"/>
                <w:szCs w:val="24"/>
                <w:lang w:val="en-US" w:eastAsia="zh-CN"/>
              </w:rPr>
              <w:t>、NOx、VOCs，均按照环保要求进行有效处置并达标排放，</w:t>
            </w:r>
            <w:r>
              <w:rPr>
                <w:rFonts w:hint="eastAsia"/>
                <w:sz w:val="24"/>
                <w:szCs w:val="24"/>
              </w:rPr>
              <w:t>江苏欧砻机械设备有限公司项目建成后由于厂内生产布局发生变化，将</w:t>
            </w:r>
            <w:r>
              <w:rPr>
                <w:rFonts w:hint="eastAsia"/>
                <w:sz w:val="24"/>
                <w:szCs w:val="24"/>
                <w:lang w:eastAsia="zh-CN"/>
              </w:rPr>
              <w:t>本项目</w:t>
            </w:r>
            <w:r>
              <w:rPr>
                <w:rFonts w:hint="eastAsia"/>
                <w:sz w:val="24"/>
                <w:szCs w:val="24"/>
              </w:rPr>
              <w:t>所租用的</w:t>
            </w:r>
            <w:r>
              <w:rPr>
                <w:rFonts w:hint="eastAsia"/>
                <w:sz w:val="24"/>
                <w:szCs w:val="24"/>
                <w:lang w:val="en-US" w:eastAsia="zh-CN"/>
              </w:rPr>
              <w:t>2号</w:t>
            </w:r>
            <w:r>
              <w:rPr>
                <w:rFonts w:hint="eastAsia"/>
                <w:sz w:val="24"/>
                <w:szCs w:val="24"/>
              </w:rPr>
              <w:t>厂房</w:t>
            </w:r>
            <w:r>
              <w:rPr>
                <w:rFonts w:hint="eastAsia"/>
                <w:sz w:val="24"/>
                <w:szCs w:val="24"/>
                <w:lang w:eastAsia="zh-CN"/>
              </w:rPr>
              <w:t>第二层和</w:t>
            </w:r>
            <w:r>
              <w:rPr>
                <w:rFonts w:hint="eastAsia"/>
                <w:sz w:val="24"/>
                <w:szCs w:val="24"/>
                <w:lang w:val="en-US" w:eastAsia="zh-CN"/>
              </w:rPr>
              <w:t>3号部分厂房</w:t>
            </w:r>
            <w:r>
              <w:rPr>
                <w:rFonts w:hint="eastAsia"/>
                <w:sz w:val="24"/>
                <w:szCs w:val="24"/>
              </w:rPr>
              <w:t>（原环评计划用于</w:t>
            </w:r>
            <w:r>
              <w:rPr>
                <w:rFonts w:hint="eastAsia"/>
                <w:sz w:val="24"/>
                <w:szCs w:val="24"/>
                <w:lang w:eastAsia="zh-CN"/>
              </w:rPr>
              <w:t>机械加工车间</w:t>
            </w:r>
            <w:r>
              <w:rPr>
                <w:rFonts w:hint="eastAsia"/>
                <w:sz w:val="24"/>
                <w:szCs w:val="24"/>
              </w:rPr>
              <w:t>）租赁给</w:t>
            </w:r>
            <w:r>
              <w:rPr>
                <w:rFonts w:hint="eastAsia"/>
                <w:sz w:val="24"/>
                <w:szCs w:val="24"/>
                <w:lang w:eastAsia="zh-CN"/>
              </w:rPr>
              <w:t>江苏思耐尔传动科技有限公司</w:t>
            </w:r>
            <w:r>
              <w:rPr>
                <w:rFonts w:hint="eastAsia"/>
                <w:sz w:val="24"/>
                <w:szCs w:val="24"/>
              </w:rPr>
              <w:t>使用。</w:t>
            </w:r>
            <w:r>
              <w:rPr>
                <w:rFonts w:hint="eastAsia"/>
                <w:color w:val="auto"/>
                <w:sz w:val="24"/>
                <w:szCs w:val="24"/>
              </w:rPr>
              <w:t>该部分厂房目前已闲置，</w:t>
            </w:r>
            <w:r>
              <w:rPr>
                <w:rFonts w:hint="eastAsia"/>
                <w:color w:val="auto"/>
                <w:sz w:val="24"/>
                <w:szCs w:val="24"/>
                <w:lang w:eastAsia="zh-CN"/>
              </w:rPr>
              <w:t>厂房内固废等均清理完毕，该部分厂房未建设过危险废物暂存场所，</w:t>
            </w:r>
            <w:r>
              <w:rPr>
                <w:rFonts w:hint="eastAsia"/>
                <w:color w:val="auto"/>
                <w:sz w:val="24"/>
                <w:szCs w:val="24"/>
              </w:rPr>
              <w:t>且</w:t>
            </w:r>
            <w:r>
              <w:rPr>
                <w:color w:val="auto"/>
                <w:sz w:val="24"/>
                <w:szCs w:val="24"/>
              </w:rPr>
              <w:t>近两年内未引起环境污染事故及污染纠纷，厂区内已实现</w:t>
            </w:r>
            <w:r>
              <w:rPr>
                <w:rFonts w:hint="eastAsia"/>
                <w:color w:val="auto"/>
                <w:sz w:val="24"/>
                <w:szCs w:val="24"/>
                <w:lang w:eastAsia="zh-CN"/>
              </w:rPr>
              <w:t>“</w:t>
            </w:r>
            <w:r>
              <w:rPr>
                <w:color w:val="auto"/>
                <w:sz w:val="24"/>
                <w:szCs w:val="24"/>
              </w:rPr>
              <w:t>雨污分流</w:t>
            </w:r>
            <w:r>
              <w:rPr>
                <w:rFonts w:hint="eastAsia"/>
                <w:color w:val="auto"/>
                <w:sz w:val="24"/>
                <w:szCs w:val="24"/>
                <w:lang w:eastAsia="zh-CN"/>
              </w:rPr>
              <w:t>”</w:t>
            </w:r>
            <w:r>
              <w:rPr>
                <w:color w:val="auto"/>
                <w:sz w:val="24"/>
                <w:szCs w:val="24"/>
              </w:rPr>
              <w:t>，废水接管至</w:t>
            </w:r>
            <w:r>
              <w:rPr>
                <w:rFonts w:hint="eastAsia"/>
                <w:color w:val="auto"/>
                <w:sz w:val="24"/>
                <w:szCs w:val="24"/>
              </w:rPr>
              <w:t>常州市金坛区直溪鑫鑫污水处理厂</w:t>
            </w:r>
            <w:r>
              <w:rPr>
                <w:color w:val="auto"/>
                <w:sz w:val="24"/>
                <w:szCs w:val="24"/>
              </w:rPr>
              <w:t>集中处理，目前项目所在地无</w:t>
            </w:r>
            <w:r>
              <w:rPr>
                <w:rFonts w:hint="eastAsia"/>
                <w:color w:val="auto"/>
                <w:sz w:val="24"/>
                <w:szCs w:val="24"/>
                <w:lang w:eastAsia="zh-CN"/>
              </w:rPr>
              <w:t>遗留</w:t>
            </w:r>
            <w:r>
              <w:rPr>
                <w:color w:val="auto"/>
                <w:sz w:val="24"/>
                <w:szCs w:val="24"/>
              </w:rPr>
              <w:t>环境问题</w:t>
            </w:r>
            <w:r>
              <w:rPr>
                <w:color w:val="auto"/>
                <w:spacing w:val="-4"/>
                <w:sz w:val="24"/>
                <w:szCs w:val="24"/>
              </w:rPr>
              <w:t>。</w:t>
            </w:r>
          </w:p>
          <w:p>
            <w:pPr>
              <w:spacing w:line="360" w:lineRule="auto"/>
              <w:ind w:firstLine="464" w:firstLineChars="200"/>
              <w:rPr>
                <w:b/>
                <w:sz w:val="24"/>
              </w:rPr>
            </w:pPr>
            <w:r>
              <w:rPr>
                <w:spacing w:val="-4"/>
                <w:sz w:val="24"/>
                <w:szCs w:val="24"/>
              </w:rPr>
              <w:t xml:space="preserve"> </w:t>
            </w:r>
            <w:r>
              <w:rPr>
                <w:b/>
                <w:sz w:val="24"/>
              </w:rPr>
              <w:t>2、本项目与</w:t>
            </w:r>
            <w:r>
              <w:rPr>
                <w:rFonts w:hint="eastAsia"/>
                <w:b/>
                <w:sz w:val="24"/>
              </w:rPr>
              <w:t>常州中泽电力设备有限公司</w:t>
            </w:r>
            <w:r>
              <w:rPr>
                <w:b/>
                <w:sz w:val="24"/>
              </w:rPr>
              <w:t>依托关系：</w:t>
            </w:r>
          </w:p>
          <w:p>
            <w:pPr>
              <w:spacing w:line="360" w:lineRule="auto"/>
              <w:ind w:firstLine="480" w:firstLineChars="200"/>
              <w:rPr>
                <w:sz w:val="24"/>
                <w:szCs w:val="24"/>
              </w:rPr>
            </w:pPr>
            <w:r>
              <w:rPr>
                <w:sz w:val="24"/>
                <w:szCs w:val="24"/>
              </w:rPr>
              <w:t>本项目租用</w:t>
            </w:r>
            <w:r>
              <w:rPr>
                <w:rFonts w:hint="eastAsia"/>
                <w:sz w:val="24"/>
                <w:szCs w:val="24"/>
              </w:rPr>
              <w:t>江苏欧砻机械设备有限公司</w:t>
            </w:r>
            <w:r>
              <w:rPr>
                <w:sz w:val="24"/>
                <w:szCs w:val="24"/>
              </w:rPr>
              <w:t>现有空置车间进行生产，</w:t>
            </w:r>
            <w:r>
              <w:rPr>
                <w:rFonts w:hint="eastAsia"/>
                <w:sz w:val="24"/>
                <w:szCs w:val="24"/>
              </w:rPr>
              <w:t>该厂房建设者为常州中泽电力设备有限公司，常州中泽电力设备有限公司</w:t>
            </w:r>
            <w:r>
              <w:rPr>
                <w:sz w:val="24"/>
                <w:szCs w:val="24"/>
              </w:rPr>
              <w:t>按照</w:t>
            </w:r>
            <w:r>
              <w:rPr>
                <w:rFonts w:hint="eastAsia"/>
                <w:sz w:val="24"/>
                <w:szCs w:val="24"/>
                <w:lang w:eastAsia="zh-CN"/>
              </w:rPr>
              <w:t>“</w:t>
            </w:r>
            <w:r>
              <w:rPr>
                <w:sz w:val="24"/>
                <w:szCs w:val="24"/>
              </w:rPr>
              <w:t>雨污分流</w:t>
            </w:r>
            <w:r>
              <w:rPr>
                <w:rFonts w:hint="eastAsia"/>
                <w:sz w:val="24"/>
                <w:szCs w:val="24"/>
                <w:lang w:eastAsia="zh-CN"/>
              </w:rPr>
              <w:t>”</w:t>
            </w:r>
            <w:r>
              <w:rPr>
                <w:sz w:val="24"/>
                <w:szCs w:val="24"/>
              </w:rPr>
              <w:t>的原则进行建设，设置一个污水接管口和雨水排口。</w:t>
            </w:r>
          </w:p>
          <w:p>
            <w:pPr>
              <w:spacing w:line="360" w:lineRule="auto"/>
              <w:ind w:firstLine="480" w:firstLineChars="200"/>
              <w:rPr>
                <w:sz w:val="24"/>
                <w:szCs w:val="24"/>
              </w:rPr>
            </w:pPr>
            <w:r>
              <w:rPr>
                <w:sz w:val="24"/>
                <w:szCs w:val="24"/>
              </w:rPr>
              <w:t>经与建设单位核实，本项目与其依托关系如下：本项目废水依托</w:t>
            </w:r>
            <w:r>
              <w:rPr>
                <w:rFonts w:hint="eastAsia"/>
                <w:bCs/>
                <w:sz w:val="24"/>
                <w:szCs w:val="24"/>
              </w:rPr>
              <w:t>常州中泽电力设备有限公司</w:t>
            </w:r>
            <w:r>
              <w:rPr>
                <w:sz w:val="24"/>
                <w:szCs w:val="24"/>
              </w:rPr>
              <w:t>原有污水管网和排污口接入区域污水管网，本项目员工生活污水经</w:t>
            </w:r>
            <w:r>
              <w:rPr>
                <w:rFonts w:hint="eastAsia"/>
                <w:b/>
                <w:sz w:val="24"/>
              </w:rPr>
              <w:t>常州中泽电力设备有限公司</w:t>
            </w:r>
            <w:r>
              <w:rPr>
                <w:sz w:val="24"/>
                <w:szCs w:val="24"/>
              </w:rPr>
              <w:t>污水管网一起接入市政污水管网，进</w:t>
            </w:r>
            <w:r>
              <w:rPr>
                <w:rFonts w:hint="eastAsia"/>
                <w:sz w:val="24"/>
                <w:szCs w:val="24"/>
              </w:rPr>
              <w:t>常州市金坛区直溪鑫鑫污水处理厂</w:t>
            </w:r>
            <w:r>
              <w:rPr>
                <w:sz w:val="24"/>
                <w:szCs w:val="24"/>
              </w:rPr>
              <w:t>处理。全厂设一个污水接管口。</w:t>
            </w:r>
          </w:p>
          <w:p>
            <w:pPr>
              <w:spacing w:line="360" w:lineRule="auto"/>
              <w:ind w:firstLine="480" w:firstLineChars="200"/>
              <w:rPr>
                <w:sz w:val="24"/>
                <w:szCs w:val="24"/>
              </w:rPr>
            </w:pPr>
            <w:r>
              <w:rPr>
                <w:rFonts w:hint="eastAsia"/>
                <w:b/>
                <w:sz w:val="24"/>
              </w:rPr>
              <w:t>常州中泽电力设备有限公司</w:t>
            </w:r>
            <w:r>
              <w:rPr>
                <w:sz w:val="24"/>
                <w:szCs w:val="24"/>
              </w:rPr>
              <w:t>应加强管理，确保厂区废水总排污口各因子可达</w:t>
            </w:r>
            <w:r>
              <w:rPr>
                <w:rFonts w:hint="eastAsia"/>
                <w:sz w:val="24"/>
                <w:szCs w:val="24"/>
              </w:rPr>
              <w:t>常州市金坛区直溪鑫鑫污水处理厂</w:t>
            </w:r>
            <w:r>
              <w:rPr>
                <w:sz w:val="24"/>
                <w:szCs w:val="24"/>
              </w:rPr>
              <w:t>接管标准要求。若</w:t>
            </w:r>
            <w:r>
              <w:rPr>
                <w:rFonts w:hint="eastAsia"/>
                <w:b/>
                <w:sz w:val="24"/>
              </w:rPr>
              <w:t>常州中泽电力设备有限公司</w:t>
            </w:r>
            <w:r>
              <w:rPr>
                <w:sz w:val="24"/>
                <w:szCs w:val="24"/>
              </w:rPr>
              <w:t>总排口出现超标排放，由</w:t>
            </w:r>
            <w:r>
              <w:rPr>
                <w:rFonts w:hint="eastAsia"/>
                <w:b/>
                <w:sz w:val="24"/>
              </w:rPr>
              <w:t>常州中泽电力设备有限公司</w:t>
            </w:r>
            <w:r>
              <w:rPr>
                <w:sz w:val="24"/>
                <w:szCs w:val="24"/>
              </w:rPr>
              <w:t>承担相关责任。</w:t>
            </w:r>
          </w:p>
          <w:p>
            <w:pPr>
              <w:spacing w:line="360" w:lineRule="auto"/>
              <w:ind w:firstLine="480" w:firstLineChars="200"/>
              <w:rPr>
                <w:sz w:val="24"/>
                <w:szCs w:val="24"/>
              </w:rPr>
            </w:pPr>
            <w:r>
              <w:rPr>
                <w:sz w:val="24"/>
                <w:szCs w:val="24"/>
              </w:rPr>
              <w:t>（1）</w:t>
            </w:r>
            <w:r>
              <w:rPr>
                <w:rFonts w:hint="eastAsia"/>
                <w:sz w:val="24"/>
                <w:szCs w:val="24"/>
                <w:lang w:eastAsia="zh-CN"/>
              </w:rPr>
              <w:t>江苏思耐尔传动科技有限公司</w:t>
            </w:r>
            <w:r>
              <w:rPr>
                <w:sz w:val="24"/>
                <w:szCs w:val="24"/>
              </w:rPr>
              <w:t>应确保本项目仅排放员工的生活污水，严禁向排污口倾倒其他废水、废液等。</w:t>
            </w:r>
          </w:p>
          <w:p>
            <w:pPr>
              <w:spacing w:line="360" w:lineRule="auto"/>
              <w:ind w:firstLine="480" w:firstLineChars="200"/>
              <w:rPr>
                <w:sz w:val="24"/>
                <w:szCs w:val="24"/>
              </w:rPr>
            </w:pPr>
            <w:r>
              <w:rPr>
                <w:sz w:val="24"/>
                <w:szCs w:val="24"/>
              </w:rPr>
              <w:t>（2）本项目不增设雨水管网及雨水排口，依托</w:t>
            </w:r>
            <w:r>
              <w:rPr>
                <w:rFonts w:hint="eastAsia"/>
                <w:b/>
                <w:sz w:val="24"/>
              </w:rPr>
              <w:t>常州中泽电力设备有限公司</w:t>
            </w:r>
            <w:r>
              <w:rPr>
                <w:sz w:val="24"/>
                <w:szCs w:val="24"/>
              </w:rPr>
              <w:t>区已有雨水管网及雨水排口。</w:t>
            </w:r>
          </w:p>
          <w:p>
            <w:pPr>
              <w:spacing w:line="360" w:lineRule="auto"/>
              <w:ind w:firstLine="480" w:firstLineChars="200"/>
              <w:rPr>
                <w:sz w:val="24"/>
                <w:szCs w:val="24"/>
              </w:rPr>
            </w:pPr>
            <w:r>
              <w:rPr>
                <w:sz w:val="24"/>
                <w:szCs w:val="24"/>
              </w:rPr>
              <w:t>（3）本项目供水、供电等基础设施均依托</w:t>
            </w:r>
            <w:r>
              <w:rPr>
                <w:rFonts w:hint="eastAsia"/>
                <w:b/>
                <w:sz w:val="24"/>
              </w:rPr>
              <w:t>常州中泽电力设备有限公司</w:t>
            </w:r>
            <w:r>
              <w:rPr>
                <w:sz w:val="24"/>
                <w:szCs w:val="24"/>
              </w:rPr>
              <w:t>。</w:t>
            </w:r>
          </w:p>
          <w:p>
            <w:pPr>
              <w:spacing w:line="360" w:lineRule="auto"/>
              <w:rPr>
                <w:b/>
                <w:sz w:val="24"/>
                <w:szCs w:val="24"/>
              </w:rPr>
            </w:pPr>
          </w:p>
        </w:tc>
      </w:tr>
    </w:tbl>
    <w:p>
      <w:pPr>
        <w:pStyle w:val="23"/>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建设项目所在地自然环境</w:t>
      </w:r>
    </w:p>
    <w:tbl>
      <w:tblPr>
        <w:tblStyle w:val="17"/>
        <w:tblW w:w="8744"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74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129" w:hRule="atLeast"/>
          <w:jc w:val="center"/>
        </w:trPr>
        <w:tc>
          <w:tcPr>
            <w:tcW w:w="8744" w:type="dxa"/>
          </w:tcPr>
          <w:p>
            <w:pPr>
              <w:adjustRightInd w:val="0"/>
              <w:snapToGrid w:val="0"/>
              <w:spacing w:line="360" w:lineRule="auto"/>
              <w:ind w:firstLine="480"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自然环境简况：</w:t>
            </w:r>
          </w:p>
          <w:p>
            <w:pPr>
              <w:spacing w:line="360" w:lineRule="auto"/>
              <w:ind w:firstLine="480"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1、地理位置</w:t>
            </w:r>
          </w:p>
          <w:p>
            <w:pPr>
              <w:spacing w:line="360" w:lineRule="auto"/>
              <w:ind w:firstLine="480" w:firstLineChars="200"/>
              <w:rPr>
                <w:color w:val="000000" w:themeColor="text1"/>
                <w:sz w:val="24"/>
                <w14:textFill>
                  <w14:solidFill>
                    <w14:schemeClr w14:val="tx1"/>
                  </w14:solidFill>
                </w14:textFill>
              </w:rPr>
            </w:pPr>
            <w:r>
              <w:rPr>
                <w:color w:val="000000" w:themeColor="text1"/>
                <w:kern w:val="0"/>
                <w:sz w:val="24"/>
                <w14:textFill>
                  <w14:solidFill>
                    <w14:schemeClr w14:val="tx1"/>
                  </w14:solidFill>
                </w14:textFill>
              </w:rPr>
              <w:t>金坛区地处江苏省南部，位于北纬31°33′42″～31°53′22″，东径119°17′45″～119°44′59″，为宁（南京）、沪（上海）、杭（杭州）三角地带之中枢</w:t>
            </w:r>
            <w:r>
              <w:rPr>
                <w:color w:val="000000" w:themeColor="text1"/>
                <w:sz w:val="24"/>
                <w14:textFill>
                  <w14:solidFill>
                    <w14:schemeClr w14:val="tx1"/>
                  </w14:solidFill>
                </w14:textFill>
              </w:rPr>
              <w:t>。常州至溧水公路东西横贯，镇江至广德公路南北穿越。境内水陆交通便捷，东与常州市武进区相连；西界茅山，与句容市接壤；南濒洮湖，与溧阳、宜兴市依水相望；北与丹阳市、镇江丹徒区毗邻。全市总面积975.46平方公里，其中陆地面积781.27平方公里，水域面</w:t>
            </w:r>
            <w:r>
              <w:rPr>
                <w:rFonts w:hint="eastAsia"/>
                <w:color w:val="000000" w:themeColor="text1"/>
                <w:sz w:val="24"/>
                <w14:textFill>
                  <w14:solidFill>
                    <w14:schemeClr w14:val="tx1"/>
                  </w14:solidFill>
                </w14:textFill>
              </w:rPr>
              <w:t>积194.22平方公里。</w:t>
            </w:r>
          </w:p>
          <w:p>
            <w:pPr>
              <w:widowControl/>
              <w:spacing w:line="360" w:lineRule="auto"/>
              <w:ind w:firstLine="420"/>
              <w:jc w:val="left"/>
              <w:rPr>
                <w:color w:val="FF0000"/>
                <w:sz w:val="24"/>
                <w:szCs w:val="24"/>
              </w:rPr>
            </w:pPr>
            <w:r>
              <w:rPr>
                <w:rFonts w:hint="eastAsia"/>
                <w:kern w:val="0"/>
                <w:sz w:val="24"/>
                <w:szCs w:val="24"/>
                <w:shd w:val="clear" w:color="auto" w:fill="FFFFFF"/>
                <w:lang w:bidi="ar"/>
              </w:rPr>
              <w:t>直溪镇，地处国家卫生城市、国家 环保城市、平原绿化先进市金坛区的西北。镇域总面积106.3平方公里，总人口5.5万人，辖19个行政村和3个居委会。耕地面积5345公顷，水面1675公顷。地形为平原圩区，茅山余脉延伸入境，地势西高东低。主要河流有通济河、简渎河，有天荒湖、鲍塘等湖泊和建昌圩、马山门圩等超万亩圩堤。金坛盐矿主储藏区位于境内，</w:t>
            </w:r>
            <w:r>
              <w:rPr>
                <w:rFonts w:hint="eastAsia"/>
                <w:kern w:val="0"/>
                <w:sz w:val="24"/>
                <w:szCs w:val="24"/>
                <w:shd w:val="clear" w:color="auto" w:fill="FFFFFF"/>
                <w:lang w:eastAsia="zh-CN" w:bidi="ar"/>
              </w:rPr>
              <w:t>“</w:t>
            </w:r>
            <w:r>
              <w:rPr>
                <w:rFonts w:hint="eastAsia"/>
                <w:kern w:val="0"/>
                <w:sz w:val="24"/>
                <w:szCs w:val="24"/>
                <w:shd w:val="clear" w:color="auto" w:fill="FFFFFF"/>
                <w:lang w:bidi="ar"/>
              </w:rPr>
              <w:t>西气东输</w:t>
            </w:r>
            <w:r>
              <w:rPr>
                <w:rFonts w:hint="eastAsia"/>
                <w:kern w:val="0"/>
                <w:sz w:val="24"/>
                <w:szCs w:val="24"/>
                <w:shd w:val="clear" w:color="auto" w:fill="FFFFFF"/>
                <w:lang w:eastAsia="zh-CN" w:bidi="ar"/>
              </w:rPr>
              <w:t>”</w:t>
            </w:r>
            <w:r>
              <w:rPr>
                <w:rFonts w:hint="eastAsia"/>
                <w:kern w:val="0"/>
                <w:sz w:val="24"/>
                <w:szCs w:val="24"/>
                <w:shd w:val="clear" w:color="auto" w:fill="FFFFFF"/>
                <w:lang w:bidi="ar"/>
              </w:rPr>
              <w:t>工程大型储气库项目在建。</w:t>
            </w:r>
          </w:p>
          <w:p>
            <w:pPr>
              <w:spacing w:line="360" w:lineRule="auto"/>
              <w:ind w:firstLine="480" w:firstLineChars="200"/>
              <w:rPr>
                <w:color w:val="000000"/>
                <w:sz w:val="24"/>
              </w:rPr>
            </w:pPr>
            <w:r>
              <w:rPr>
                <w:rFonts w:hint="eastAsia"/>
                <w:color w:val="000000"/>
                <w:sz w:val="24"/>
              </w:rPr>
              <w:t>本项目位于常州市金坛区直溪镇工业园区水南路18号，项目地理位置图见附图一。</w:t>
            </w:r>
          </w:p>
          <w:p>
            <w:pPr>
              <w:spacing w:line="360" w:lineRule="auto"/>
              <w:ind w:firstLine="480"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2、地形、地貌、地质</w:t>
            </w:r>
          </w:p>
          <w:p>
            <w:pPr>
              <w:spacing w:line="360" w:lineRule="auto"/>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地形：平原地区，境内地势平坦，一般田面的高程为8.6m，少量圩田（吴淞零点）为4.6~5.4m。</w:t>
            </w:r>
          </w:p>
          <w:p>
            <w:pPr>
              <w:tabs>
                <w:tab w:val="left" w:pos="8494"/>
              </w:tabs>
              <w:spacing w:line="360" w:lineRule="auto"/>
              <w:ind w:firstLine="480" w:firstLineChars="200"/>
              <w:rPr>
                <w:color w:val="000000" w:themeColor="text1"/>
                <w:sz w:val="24"/>
                <w14:textFill>
                  <w14:solidFill>
                    <w14:schemeClr w14:val="tx1"/>
                  </w14:solidFill>
                </w14:textFill>
              </w:rPr>
            </w:pPr>
            <w:r>
              <w:rPr>
                <w:rFonts w:hint="eastAsia"/>
                <w:color w:val="000000" w:themeColor="text1"/>
                <w:kern w:val="0"/>
                <w:sz w:val="24"/>
                <w14:textFill>
                  <w14:solidFill>
                    <w14:schemeClr w14:val="tx1"/>
                  </w14:solidFill>
                </w14:textFill>
              </w:rPr>
              <w:t>地貌、地质：金坛区域为南北走向的茅山低山丘陵，其东为长江三角洲西部的冲击湖积平原区。地势为自西向东倾斜。在地质构造上，该地区属于扬子古陆东端的下扬子台褶带。根据地貌形态和岩体工程地质类型等条件分类，金坛经济开发区为硬土地基。</w:t>
            </w:r>
          </w:p>
          <w:p>
            <w:pPr>
              <w:spacing w:line="360" w:lineRule="auto"/>
              <w:ind w:firstLine="480" w:firstLineChars="200"/>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3、气候、气象</w:t>
            </w:r>
          </w:p>
          <w:p>
            <w:pPr>
              <w:spacing w:line="360" w:lineRule="auto"/>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金坛区地处北亚热带湿润性季风气候区，气候湿润温和，日照充足，四季分明。夏季受热带或副热带海洋气团影响盛行东东南风，天气炎热，雨量充沛，并且每年在6月中旬至7月中旬因太平洋暖湿气团与北方冷锋云系交汇于长江中下游，形成一年一度的梅雨季节：冬季受极地大陆气团的影响，盛行北东北风，降雨较少。</w:t>
            </w:r>
          </w:p>
          <w:p>
            <w:pPr>
              <w:spacing w:line="360" w:lineRule="auto"/>
              <w:ind w:firstLine="480" w:firstLineChars="200"/>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4、水文</w:t>
            </w:r>
          </w:p>
          <w:p>
            <w:pPr>
              <w:pStyle w:val="8"/>
              <w:snapToGrid/>
              <w:spacing w:before="0" w:line="360" w:lineRule="auto"/>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金坛区区的水系以丹金溧漕河为主，上游接丹阳境内大运河经谏壁通长江，下游向南连长荡湖、滆湖，注入太湖，市区内有通济河、运粮河、社桥河，东有尧塘河、下丘河，南有老鸭河及东、西城河。老城河仅在北部及东南部尚有残留河段，其余均已填没。金坛区区以外还有许多湖泊，主要包括长荡湖、小型湖泊（如钱资荡）、湖荡（如天荒湖）三种。丹金溧漕河、钱资荡、长荡湖为市区地表水水源。</w:t>
            </w:r>
          </w:p>
          <w:p>
            <w:pPr>
              <w:spacing w:line="360" w:lineRule="auto"/>
              <w:ind w:firstLine="480" w:firstLineChars="200"/>
              <w:rPr>
                <w:rFonts w:eastAsiaTheme="minorEastAsia"/>
                <w:sz w:val="24"/>
                <w:szCs w:val="24"/>
              </w:rPr>
            </w:pPr>
            <w:r>
              <w:rPr>
                <w:rFonts w:hint="eastAsia"/>
                <w:sz w:val="24"/>
                <w:szCs w:val="24"/>
              </w:rPr>
              <w:t>（1）</w:t>
            </w:r>
            <w:r>
              <w:rPr>
                <w:rFonts w:eastAsiaTheme="minorEastAsia"/>
                <w:sz w:val="24"/>
                <w:szCs w:val="24"/>
              </w:rPr>
              <w:t>丹金溧漕河</w:t>
            </w:r>
            <w:r>
              <w:rPr>
                <w:rFonts w:hint="eastAsia"/>
                <w:sz w:val="24"/>
                <w:szCs w:val="24"/>
              </w:rPr>
              <w:t>：</w:t>
            </w:r>
            <w:r>
              <w:rPr>
                <w:rFonts w:eastAsiaTheme="minorEastAsia"/>
                <w:sz w:val="24"/>
                <w:szCs w:val="24"/>
              </w:rPr>
              <w:t>该河为太湖流域地区排洪、引水、航运的骨干河流，北接京杭运河，南入长荡湖，全长66.5公里。丹金溧漕河市区段河面宽60m</w:t>
            </w:r>
            <w:r>
              <w:rPr>
                <w:rFonts w:hint="eastAsia" w:eastAsiaTheme="minorEastAsia"/>
                <w:sz w:val="24"/>
                <w:szCs w:val="24"/>
                <w:lang w:eastAsia="zh-CN"/>
              </w:rPr>
              <w:t>，</w:t>
            </w:r>
            <w:r>
              <w:rPr>
                <w:rFonts w:eastAsiaTheme="minorEastAsia"/>
                <w:sz w:val="24"/>
                <w:szCs w:val="24"/>
              </w:rPr>
              <w:t>底宽20m，航道等级现为五级。2000 年汛期入境水量为6.992亿m，年平均流量为28. 8m*/s，最高洪水水位为6.4m</w:t>
            </w:r>
            <w:r>
              <w:rPr>
                <w:rFonts w:hint="eastAsia" w:eastAsiaTheme="minorEastAsia"/>
                <w:sz w:val="24"/>
                <w:szCs w:val="24"/>
                <w:lang w:eastAsia="zh-CN"/>
              </w:rPr>
              <w:t>，</w:t>
            </w:r>
            <w:r>
              <w:rPr>
                <w:rFonts w:eastAsiaTheme="minorEastAsia"/>
                <w:sz w:val="24"/>
                <w:szCs w:val="24"/>
              </w:rPr>
              <w:t>最低枯水水位为2.12m，常年平均水位为3.49m</w:t>
            </w:r>
            <w:r>
              <w:rPr>
                <w:rFonts w:hint="eastAsia" w:eastAsiaTheme="minorEastAsia"/>
                <w:sz w:val="24"/>
                <w:szCs w:val="24"/>
                <w:lang w:eastAsia="zh-CN"/>
              </w:rPr>
              <w:t>，</w:t>
            </w:r>
            <w:r>
              <w:rPr>
                <w:rFonts w:eastAsiaTheme="minorEastAsia"/>
                <w:sz w:val="24"/>
                <w:szCs w:val="24"/>
              </w:rPr>
              <w:t>市区段全年水质处于IV~ V类。</w:t>
            </w:r>
          </w:p>
          <w:p>
            <w:pPr>
              <w:spacing w:line="360" w:lineRule="auto"/>
              <w:ind w:firstLine="480" w:firstLineChars="200"/>
              <w:rPr>
                <w:rFonts w:eastAsiaTheme="minorEastAsia"/>
                <w:sz w:val="24"/>
                <w:szCs w:val="24"/>
              </w:rPr>
            </w:pPr>
            <w:r>
              <w:rPr>
                <w:rFonts w:hint="eastAsia"/>
                <w:sz w:val="24"/>
                <w:szCs w:val="24"/>
              </w:rPr>
              <w:t>（2）</w:t>
            </w:r>
            <w:r>
              <w:rPr>
                <w:rFonts w:eastAsiaTheme="minorEastAsia"/>
                <w:sz w:val="24"/>
                <w:szCs w:val="24"/>
              </w:rPr>
              <w:t>尧塘河</w:t>
            </w:r>
            <w:r>
              <w:rPr>
                <w:rFonts w:hint="eastAsia"/>
                <w:sz w:val="24"/>
                <w:szCs w:val="24"/>
              </w:rPr>
              <w:t>：</w:t>
            </w:r>
            <w:r>
              <w:rPr>
                <w:rFonts w:eastAsiaTheme="minorEastAsia"/>
                <w:sz w:val="24"/>
                <w:szCs w:val="24"/>
              </w:rPr>
              <w:t>为丹金溧漕河支流</w:t>
            </w:r>
            <w:r>
              <w:rPr>
                <w:rFonts w:hint="eastAsia" w:eastAsiaTheme="minorEastAsia"/>
                <w:sz w:val="24"/>
                <w:szCs w:val="24"/>
                <w:lang w:eastAsia="zh-CN"/>
              </w:rPr>
              <w:t>，</w:t>
            </w:r>
            <w:r>
              <w:rPr>
                <w:rFonts w:eastAsiaTheme="minorEastAsia"/>
                <w:sz w:val="24"/>
                <w:szCs w:val="24"/>
              </w:rPr>
              <w:t>水面宽32m</w:t>
            </w:r>
            <w:r>
              <w:rPr>
                <w:rFonts w:hint="eastAsia" w:eastAsiaTheme="minorEastAsia"/>
                <w:sz w:val="24"/>
                <w:szCs w:val="24"/>
                <w:lang w:eastAsia="zh-CN"/>
              </w:rPr>
              <w:t>，</w:t>
            </w:r>
            <w:r>
              <w:rPr>
                <w:rFonts w:eastAsiaTheme="minorEastAsia"/>
                <w:sz w:val="24"/>
                <w:szCs w:val="24"/>
              </w:rPr>
              <w:t>平均水深1. 5m</w:t>
            </w:r>
            <w:r>
              <w:rPr>
                <w:rFonts w:hint="eastAsia" w:eastAsiaTheme="minorEastAsia"/>
                <w:sz w:val="24"/>
                <w:szCs w:val="24"/>
                <w:lang w:eastAsia="zh-CN"/>
              </w:rPr>
              <w:t>，</w:t>
            </w:r>
            <w:r>
              <w:rPr>
                <w:rFonts w:eastAsiaTheme="minorEastAsia"/>
                <w:sz w:val="24"/>
                <w:szCs w:val="24"/>
              </w:rPr>
              <w:t>流速0.16m/s</w:t>
            </w:r>
            <w:r>
              <w:rPr>
                <w:rFonts w:hint="eastAsia" w:eastAsiaTheme="minorEastAsia"/>
                <w:sz w:val="24"/>
                <w:szCs w:val="24"/>
                <w:lang w:eastAsia="zh-CN"/>
              </w:rPr>
              <w:t>，</w:t>
            </w:r>
            <w:r>
              <w:rPr>
                <w:rFonts w:eastAsiaTheme="minorEastAsia"/>
                <w:sz w:val="24"/>
                <w:szCs w:val="24"/>
              </w:rPr>
              <w:t>西起丹金溧漕河，东至武进夏溪镇，全长17.3公里，主要功能为工业、农业用水，属于太湖流域湖西水系，水质目标为IV类。</w:t>
            </w:r>
          </w:p>
          <w:p>
            <w:pPr>
              <w:spacing w:line="360" w:lineRule="auto"/>
              <w:ind w:firstLine="480" w:firstLineChars="200"/>
              <w:rPr>
                <w:rFonts w:eastAsiaTheme="minorEastAsia"/>
                <w:sz w:val="24"/>
                <w:szCs w:val="24"/>
              </w:rPr>
            </w:pPr>
            <w:r>
              <w:rPr>
                <w:rFonts w:hint="eastAsia"/>
                <w:sz w:val="24"/>
                <w:szCs w:val="24"/>
              </w:rPr>
              <w:t>（3）</w:t>
            </w:r>
            <w:r>
              <w:rPr>
                <w:rFonts w:eastAsiaTheme="minorEastAsia"/>
                <w:sz w:val="24"/>
                <w:szCs w:val="24"/>
              </w:rPr>
              <w:t>通济河</w:t>
            </w:r>
            <w:r>
              <w:rPr>
                <w:rFonts w:hint="eastAsia"/>
                <w:sz w:val="24"/>
                <w:szCs w:val="24"/>
              </w:rPr>
              <w:t>：</w:t>
            </w:r>
            <w:r>
              <w:rPr>
                <w:rFonts w:eastAsiaTheme="minorEastAsia"/>
                <w:sz w:val="24"/>
                <w:szCs w:val="24"/>
              </w:rPr>
              <w:t>有名直溪、直里河，通济河总集体面积752平方公里，跨越镇江市句容、丹徒、丹阳。其西北为丘陵山区，东南为平原圩区，地面高差达60余米，属山丘区特性的河道。自丹徒县丁角开始至三岔河入金坛境，经直溪、舍田桥至三里桥与丹金溧漕河相会，金坛区地段全厂25. 88公里。通济河下游分支河道通济河南河，从舍田桥经铜板桥至白龙荡，长11. 06公里。水质目标为IV类。</w:t>
            </w:r>
          </w:p>
          <w:p>
            <w:pPr>
              <w:spacing w:line="360" w:lineRule="auto"/>
              <w:ind w:firstLine="480" w:firstLineChars="200"/>
              <w:rPr>
                <w:rFonts w:eastAsiaTheme="minorEastAsia"/>
                <w:sz w:val="24"/>
                <w:szCs w:val="24"/>
              </w:rPr>
            </w:pPr>
            <w:r>
              <w:rPr>
                <w:rFonts w:eastAsiaTheme="minorEastAsia"/>
                <w:sz w:val="24"/>
                <w:szCs w:val="24"/>
              </w:rPr>
              <w:t>此外，金坛区以外还有许多湖泊。其中，长荡湖现面积约99平方公里，属金坛境内的水面面积76. 58平方公里</w:t>
            </w:r>
            <w:r>
              <w:rPr>
                <w:rFonts w:hint="eastAsia" w:eastAsiaTheme="minorEastAsia"/>
                <w:sz w:val="24"/>
                <w:szCs w:val="24"/>
              </w:rPr>
              <w:t>（</w:t>
            </w:r>
            <w:r>
              <w:rPr>
                <w:rFonts w:eastAsiaTheme="minorEastAsia"/>
                <w:sz w:val="24"/>
                <w:szCs w:val="24"/>
              </w:rPr>
              <w:t>11.49万亩</w:t>
            </w:r>
            <w:r>
              <w:rPr>
                <w:rFonts w:hint="eastAsia" w:eastAsiaTheme="minorEastAsia"/>
                <w:sz w:val="24"/>
                <w:szCs w:val="24"/>
              </w:rPr>
              <w:t>）</w:t>
            </w:r>
            <w:r>
              <w:rPr>
                <w:rFonts w:eastAsiaTheme="minorEastAsia"/>
                <w:sz w:val="24"/>
                <w:szCs w:val="24"/>
              </w:rPr>
              <w:t>，具有蓄洪、灌溉、养殖之功能，是金坛区的主要湖泊。其次还有钱资荡、南天荒湖等。中小型水库27座，总库容量4347.8万立方米，其中中型水库有茅东水库;小型水库有海底水库、新浮山水库、东进水库、向阳山水库、青龙洞水库和瓦沟水库;其他小型水库共有20座。</w:t>
            </w:r>
          </w:p>
          <w:p>
            <w:pPr>
              <w:spacing w:line="360" w:lineRule="auto"/>
              <w:ind w:firstLine="480" w:firstLineChars="200"/>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5、</w:t>
            </w:r>
            <w:r>
              <w:rPr>
                <w:rFonts w:hint="eastAsia"/>
                <w:b/>
                <w:color w:val="000000" w:themeColor="text1"/>
                <w:sz w:val="24"/>
                <w:szCs w:val="24"/>
                <w14:textFill>
                  <w14:solidFill>
                    <w14:schemeClr w14:val="tx1"/>
                  </w14:solidFill>
                </w14:textFill>
              </w:rPr>
              <w:t>生态概况</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在开发的过程中，金坛十分重视自然生态环境的保护，但总体上，随着工业用地地不断扩张，自然生态逐步被人工生态所替代，建成区内已基本无大型野生动物，野生植被也日趋被人工植被所替代。</w:t>
            </w:r>
          </w:p>
          <w:p>
            <w:pPr>
              <w:tabs>
                <w:tab w:val="left" w:pos="2310"/>
              </w:tabs>
              <w:spacing w:line="360" w:lineRule="auto"/>
              <w:ind w:firstLine="482"/>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出于防洪和通航的需要，区内主要河流丹金溧漕河两岸驳岸硬化程度较高；但尧塘河与下塘河还保持较好的生态环境，两岸沟塘较多，原生植被被保留；开发区内大部分河道中还有鱼、虾等水生动物存在，水生生态较好。</w:t>
            </w:r>
          </w:p>
          <w:p>
            <w:pPr>
              <w:tabs>
                <w:tab w:val="left" w:pos="2310"/>
              </w:tabs>
              <w:spacing w:line="360" w:lineRule="auto"/>
              <w:ind w:firstLine="482"/>
              <w:rPr>
                <w:color w:val="000000" w:themeColor="text1"/>
                <w14:textFill>
                  <w14:solidFill>
                    <w14:schemeClr w14:val="tx1"/>
                  </w14:solidFill>
                </w14:textFill>
              </w:rPr>
            </w:pPr>
            <w:r>
              <w:rPr>
                <w:rFonts w:hint="eastAsia"/>
                <w:color w:val="000000" w:themeColor="text1"/>
                <w:sz w:val="24"/>
                <w14:textFill>
                  <w14:solidFill>
                    <w14:schemeClr w14:val="tx1"/>
                  </w14:solidFill>
                </w14:textFill>
              </w:rPr>
              <w:t>居民小区、学校以及村宅房前屋后亦以绿化环境为目的的种植乔、灌、草以及各种花卉，由于人类活动和生态环境的改变，树木草从仅有人工饲养的禽畜以及少量的鸟类、鼠类、蛙类、蛇类及各种昆虫等小型动物。</w:t>
            </w:r>
          </w:p>
          <w:p>
            <w:pPr>
              <w:spacing w:line="360" w:lineRule="auto"/>
              <w:ind w:firstLine="480" w:firstLineChars="200"/>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6、土壤与植被</w:t>
            </w:r>
          </w:p>
          <w:p>
            <w:pPr>
              <w:pStyle w:val="2"/>
              <w:spacing w:after="0" w:line="360" w:lineRule="auto"/>
              <w:ind w:firstLine="480" w:firstLineChars="200"/>
              <w:rPr>
                <w:color w:val="000000" w:themeColor="text1"/>
                <w:sz w:val="24"/>
                <w:szCs w:val="22"/>
                <w14:textFill>
                  <w14:solidFill>
                    <w14:schemeClr w14:val="tx1"/>
                  </w14:solidFill>
                </w14:textFill>
              </w:rPr>
            </w:pPr>
            <w:r>
              <w:rPr>
                <w:rFonts w:hint="eastAsia"/>
                <w:color w:val="000000" w:themeColor="text1"/>
                <w:sz w:val="24"/>
                <w:szCs w:val="22"/>
                <w14:textFill>
                  <w14:solidFill>
                    <w14:schemeClr w14:val="tx1"/>
                  </w14:solidFill>
                </w14:textFill>
              </w:rPr>
              <w:t>建设项目所在区域上壤类型以发育于黄土状物质的黄泥土为主，土壤的粘土矿物以水云母为主，并有蒙脱土、高岭土等，土壤质地以重壤为主，耕作层有机质含量（2.0~2.15） % ，含氮（0.15~0.2） %，土壤pH为6.5~7.2，粘粒含量约（20~30） %，土质疏松。丘陵坡地分为粘土层和泥灰层。土壤的黏土矿物皆以水云母为主，并有蒙脱石和高岭石等。土壤质地以重壤为主，耕层有机质含量为2.0~2.5%</w:t>
            </w:r>
            <w:r>
              <w:rPr>
                <w:rFonts w:hint="eastAsia"/>
                <w:color w:val="000000" w:themeColor="text1"/>
                <w:sz w:val="24"/>
                <w:szCs w:val="22"/>
                <w:lang w:eastAsia="zh-CN"/>
                <w14:textFill>
                  <w14:solidFill>
                    <w14:schemeClr w14:val="tx1"/>
                  </w14:solidFill>
                </w14:textFill>
              </w:rPr>
              <w:t>，</w:t>
            </w:r>
            <w:r>
              <w:rPr>
                <w:rFonts w:hint="eastAsia"/>
                <w:color w:val="000000" w:themeColor="text1"/>
                <w:sz w:val="24"/>
                <w:szCs w:val="22"/>
                <w14:textFill>
                  <w14:solidFill>
                    <w14:schemeClr w14:val="tx1"/>
                  </w14:solidFill>
                </w14:textFill>
              </w:rPr>
              <w:t>，土壤酸碱度为中性。主要植被是以马尾松、黑松、杉木为建群种的针叶树林和以麻栎、栓皮栎、</w:t>
            </w:r>
          </w:p>
          <w:p>
            <w:pPr>
              <w:pStyle w:val="2"/>
              <w:spacing w:after="0" w:line="360" w:lineRule="auto"/>
              <w:ind w:firstLine="480" w:firstLineChars="200"/>
              <w:rPr>
                <w:color w:val="000000" w:themeColor="text1"/>
                <w:sz w:val="24"/>
                <w:szCs w:val="22"/>
                <w14:textFill>
                  <w14:solidFill>
                    <w14:schemeClr w14:val="tx1"/>
                  </w14:solidFill>
                </w14:textFill>
              </w:rPr>
            </w:pPr>
            <w:r>
              <w:rPr>
                <w:rFonts w:hint="eastAsia"/>
                <w:color w:val="000000" w:themeColor="text1"/>
                <w:sz w:val="24"/>
                <w:szCs w:val="22"/>
                <w14:textFill>
                  <w14:solidFill>
                    <w14:schemeClr w14:val="tx1"/>
                  </w14:solidFill>
                </w14:textFill>
              </w:rPr>
              <w:t>白栎等壳斗科树种为基本建群种的阔叶树林，计有800多个品种。野生动物有豺狗、野兔等70多种；水产品种有草鱼、鲢鱼、鳙鱼等60多种，还有黄鳝、甲鱼、</w:t>
            </w:r>
          </w:p>
          <w:p>
            <w:pPr>
              <w:pStyle w:val="2"/>
              <w:spacing w:after="0" w:line="360" w:lineRule="auto"/>
              <w:rPr>
                <w:color w:val="000000" w:themeColor="text1"/>
                <w:sz w:val="24"/>
                <w:szCs w:val="22"/>
                <w14:textFill>
                  <w14:solidFill>
                    <w14:schemeClr w14:val="tx1"/>
                  </w14:solidFill>
                </w14:textFill>
              </w:rPr>
            </w:pPr>
            <w:r>
              <w:rPr>
                <w:rFonts w:hint="eastAsia"/>
                <w:color w:val="000000" w:themeColor="text1"/>
                <w:sz w:val="24"/>
                <w:szCs w:val="22"/>
                <w14:textFill>
                  <w14:solidFill>
                    <w14:schemeClr w14:val="tx1"/>
                  </w14:solidFill>
                </w14:textFill>
              </w:rPr>
              <w:t>鳗鱼、青蛙、牛蛙、螃蟹等特种水产。蛇类及其它无脊椎动物资源也十分丰富。</w:t>
            </w:r>
          </w:p>
          <w:p>
            <w:pPr>
              <w:spacing w:line="360" w:lineRule="auto"/>
              <w:ind w:firstLine="420" w:firstLineChars="200"/>
              <w:rPr>
                <w:color w:val="000000" w:themeColor="text1"/>
                <w14:textFill>
                  <w14:solidFill>
                    <w14:schemeClr w14:val="tx1"/>
                  </w14:solidFill>
                </w14:textFill>
              </w:rPr>
            </w:pPr>
          </w:p>
        </w:tc>
      </w:tr>
    </w:tbl>
    <w:p>
      <w:pPr>
        <w:pStyle w:val="23"/>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环境质量状况</w:t>
      </w:r>
    </w:p>
    <w:tbl>
      <w:tblPr>
        <w:tblStyle w:val="17"/>
        <w:tblW w:w="852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52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226" w:hRule="atLeast"/>
          <w:jc w:val="center"/>
        </w:trPr>
        <w:tc>
          <w:tcPr>
            <w:tcW w:w="8528" w:type="dxa"/>
          </w:tcPr>
          <w:p>
            <w:pPr>
              <w:snapToGrid w:val="0"/>
              <w:rPr>
                <w:b/>
                <w:color w:val="000000" w:themeColor="text1"/>
                <w:sz w:val="10"/>
                <w14:textFill>
                  <w14:solidFill>
                    <w14:schemeClr w14:val="tx1"/>
                  </w14:solidFill>
                </w14:textFill>
              </w:rPr>
            </w:pPr>
          </w:p>
          <w:p>
            <w:pPr>
              <w:snapToGrid w:val="0"/>
              <w:rPr>
                <w:b/>
                <w:bCs/>
                <w:color w:val="000000" w:themeColor="text1"/>
                <w:sz w:val="24"/>
                <w:szCs w:val="24"/>
                <w14:textFill>
                  <w14:solidFill>
                    <w14:schemeClr w14:val="tx1"/>
                  </w14:solidFill>
                </w14:textFill>
              </w:rPr>
            </w:pPr>
            <w:r>
              <w:rPr>
                <w:b/>
                <w:bCs/>
                <w:color w:val="000000" w:themeColor="text1"/>
                <w:sz w:val="24"/>
                <w:szCs w:val="24"/>
                <w14:textFill>
                  <w14:solidFill>
                    <w14:schemeClr w14:val="tx1"/>
                  </w14:solidFill>
                </w14:textFill>
              </w:rPr>
              <w:t>建设项目所在地区域环境质量现状及主要环境问题</w:t>
            </w:r>
            <w:r>
              <w:rPr>
                <w:rFonts w:hint="eastAsia"/>
                <w:b/>
                <w:bCs/>
                <w:color w:val="000000" w:themeColor="text1"/>
                <w:sz w:val="24"/>
                <w:szCs w:val="24"/>
                <w14:textFill>
                  <w14:solidFill>
                    <w14:schemeClr w14:val="tx1"/>
                  </w14:solidFill>
                </w14:textFill>
              </w:rPr>
              <w:t>（</w:t>
            </w:r>
            <w:r>
              <w:rPr>
                <w:b/>
                <w:bCs/>
                <w:color w:val="000000" w:themeColor="text1"/>
                <w:sz w:val="24"/>
                <w:szCs w:val="24"/>
                <w14:textFill>
                  <w14:solidFill>
                    <w14:schemeClr w14:val="tx1"/>
                  </w14:solidFill>
                </w14:textFill>
              </w:rPr>
              <w:t>环境空气、地面水、地下水、声环境、生态环境等</w:t>
            </w:r>
            <w:r>
              <w:rPr>
                <w:rFonts w:hint="eastAsia"/>
                <w:b/>
                <w:bCs/>
                <w:color w:val="000000" w:themeColor="text1"/>
                <w:sz w:val="24"/>
                <w:szCs w:val="24"/>
                <w14:textFill>
                  <w14:solidFill>
                    <w14:schemeClr w14:val="tx1"/>
                  </w14:solidFill>
                </w14:textFill>
              </w:rPr>
              <w:t>）</w:t>
            </w:r>
            <w:r>
              <w:rPr>
                <w:b/>
                <w:bCs/>
                <w:color w:val="000000" w:themeColor="text1"/>
                <w:sz w:val="24"/>
                <w:szCs w:val="24"/>
                <w14:textFill>
                  <w14:solidFill>
                    <w14:schemeClr w14:val="tx1"/>
                  </w14:solidFill>
                </w14:textFill>
              </w:rPr>
              <w:t>：</w:t>
            </w:r>
          </w:p>
          <w:p>
            <w:pPr>
              <w:spacing w:line="360" w:lineRule="auto"/>
              <w:ind w:firstLine="480" w:firstLineChars="200"/>
              <w:textAlignment w:val="baseline"/>
              <w:rPr>
                <w:b/>
                <w:color w:val="000000" w:themeColor="text1"/>
                <w:kern w:val="28"/>
                <w:sz w:val="24"/>
                <w14:textFill>
                  <w14:solidFill>
                    <w14:schemeClr w14:val="tx1"/>
                  </w14:solidFill>
                </w14:textFill>
              </w:rPr>
            </w:pPr>
            <w:r>
              <w:rPr>
                <w:b/>
                <w:color w:val="000000" w:themeColor="text1"/>
                <w:kern w:val="28"/>
                <w:sz w:val="24"/>
                <w14:textFill>
                  <w14:solidFill>
                    <w14:schemeClr w14:val="tx1"/>
                  </w14:solidFill>
                </w14:textFill>
              </w:rPr>
              <w:t>1、大气环境质量现状</w:t>
            </w:r>
          </w:p>
          <w:p>
            <w:pPr>
              <w:spacing w:line="360" w:lineRule="auto"/>
              <w:ind w:firstLine="480" w:firstLineChars="200"/>
              <w:jc w:val="left"/>
              <w:rPr>
                <w:rFonts w:ascii="宋体" w:cs="宋体"/>
                <w:b/>
                <w:color w:val="000000" w:themeColor="text1"/>
                <w:kern w:val="0"/>
                <w:sz w:val="24"/>
                <w:szCs w:val="24"/>
                <w14:textFill>
                  <w14:solidFill>
                    <w14:schemeClr w14:val="tx1"/>
                  </w14:solidFill>
                </w14:textFill>
              </w:rPr>
            </w:pPr>
            <w:r>
              <w:rPr>
                <w:rFonts w:hint="eastAsia" w:ascii="宋体" w:cs="宋体"/>
                <w:b/>
                <w:color w:val="000000" w:themeColor="text1"/>
                <w:kern w:val="0"/>
                <w:sz w:val="24"/>
                <w:szCs w:val="24"/>
                <w14:textFill>
                  <w14:solidFill>
                    <w14:schemeClr w14:val="tx1"/>
                  </w14:solidFill>
                </w14:textFill>
              </w:rPr>
              <w:t>（1）区域达标判定</w:t>
            </w:r>
          </w:p>
          <w:p>
            <w:pPr>
              <w:spacing w:line="360" w:lineRule="auto"/>
              <w:ind w:firstLine="480" w:firstLineChars="200"/>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为了解项目所在地区的环境质量现状，本项目引用《</w:t>
            </w:r>
            <w:r>
              <w:rPr>
                <w:rFonts w:hint="default" w:ascii="Times New Roman" w:hAnsi="Times New Roman" w:cs="Times New Roman"/>
                <w:sz w:val="24"/>
              </w:rPr>
              <w:t>2018年常州市生态环境状况公报</w:t>
            </w:r>
            <w:r>
              <w:rPr>
                <w:color w:val="000000" w:themeColor="text1"/>
                <w:sz w:val="24"/>
                <w14:textFill>
                  <w14:solidFill>
                    <w14:schemeClr w14:val="tx1"/>
                  </w14:solidFill>
                </w14:textFill>
              </w:rPr>
              <w:t>》中环境空气质量数据。本次评价选取201</w:t>
            </w:r>
            <w:r>
              <w:rPr>
                <w:rFonts w:hint="eastAsia"/>
                <w:color w:val="000000" w:themeColor="text1"/>
                <w:sz w:val="24"/>
                <w14:textFill>
                  <w14:solidFill>
                    <w14:schemeClr w14:val="tx1"/>
                  </w14:solidFill>
                </w14:textFill>
              </w:rPr>
              <w:t>8</w:t>
            </w:r>
            <w:r>
              <w:rPr>
                <w:color w:val="000000" w:themeColor="text1"/>
                <w:sz w:val="24"/>
                <w14:textFill>
                  <w14:solidFill>
                    <w14:schemeClr w14:val="tx1"/>
                  </w14:solidFill>
                </w14:textFill>
              </w:rPr>
              <w:t>年作为评价基准年，根据《</w:t>
            </w:r>
            <w:r>
              <w:rPr>
                <w:rFonts w:hint="default" w:ascii="Times New Roman" w:hAnsi="Times New Roman" w:cs="Times New Roman"/>
                <w:sz w:val="24"/>
              </w:rPr>
              <w:t>2018年常州市生态环境状况公报</w:t>
            </w:r>
            <w:r>
              <w:rPr>
                <w:rFonts w:hint="eastAsia"/>
                <w:sz w:val="24"/>
              </w:rPr>
              <w:t>》</w:t>
            </w:r>
            <w:r>
              <w:rPr>
                <w:color w:val="000000" w:themeColor="text1"/>
                <w:sz w:val="24"/>
                <w14:textFill>
                  <w14:solidFill>
                    <w14:schemeClr w14:val="tx1"/>
                  </w14:solidFill>
                </w14:textFill>
              </w:rPr>
              <w:t>，项目所在区域环境空气质量汇总见表3-1。</w:t>
            </w:r>
          </w:p>
          <w:p>
            <w:pPr>
              <w:pStyle w:val="6"/>
              <w:keepNext/>
              <w:spacing w:line="440" w:lineRule="exact"/>
              <w:jc w:val="center"/>
              <w:rPr>
                <w:rFonts w:ascii="Times New Roman" w:hAnsi="Times New Roman"/>
                <w:color w:val="000000" w:themeColor="text1"/>
                <w:sz w:val="24"/>
                <w:szCs w:val="24"/>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 xml:space="preserve">表3-1 环境空气质量汇总一览表  </w:t>
            </w:r>
          </w:p>
          <w:tbl>
            <w:tblPr>
              <w:tblStyle w:val="17"/>
              <w:tblW w:w="831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36"/>
              <w:gridCol w:w="3060"/>
              <w:gridCol w:w="1064"/>
              <w:gridCol w:w="1064"/>
              <w:gridCol w:w="1064"/>
              <w:gridCol w:w="112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6" w:type="dxa"/>
                  <w:tcBorders>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污染物</w:t>
                  </w:r>
                </w:p>
              </w:tc>
              <w:tc>
                <w:tcPr>
                  <w:tcW w:w="3060" w:type="dxa"/>
                  <w:tcBorders>
                    <w:top w:val="single" w:color="auto" w:sz="1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年平均指标</w:t>
                  </w:r>
                </w:p>
              </w:tc>
              <w:tc>
                <w:tcPr>
                  <w:tcW w:w="1064" w:type="dxa"/>
                  <w:tcBorders>
                    <w:top w:val="single" w:color="auto" w:sz="1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现状浓度</w:t>
                  </w:r>
                </w:p>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ug/m</w:t>
                  </w:r>
                  <w:r>
                    <w:rPr>
                      <w:b/>
                      <w:color w:val="000000" w:themeColor="text1"/>
                      <w:kern w:val="0"/>
                      <w:szCs w:val="21"/>
                      <w:vertAlign w:val="superscript"/>
                      <w14:textFill>
                        <w14:solidFill>
                          <w14:schemeClr w14:val="tx1"/>
                        </w14:solidFill>
                      </w14:textFill>
                    </w:rPr>
                    <w:t>3</w:t>
                  </w:r>
                </w:p>
              </w:tc>
              <w:tc>
                <w:tcPr>
                  <w:tcW w:w="1064" w:type="dxa"/>
                  <w:tcBorders>
                    <w:top w:val="single" w:color="auto" w:sz="1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标准限值</w:t>
                  </w:r>
                </w:p>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ug/m</w:t>
                  </w:r>
                  <w:r>
                    <w:rPr>
                      <w:b/>
                      <w:color w:val="000000" w:themeColor="text1"/>
                      <w:kern w:val="0"/>
                      <w:szCs w:val="21"/>
                      <w:vertAlign w:val="superscript"/>
                      <w14:textFill>
                        <w14:solidFill>
                          <w14:schemeClr w14:val="tx1"/>
                        </w14:solidFill>
                      </w14:textFill>
                    </w:rPr>
                    <w:t>3</w:t>
                  </w:r>
                </w:p>
              </w:tc>
              <w:tc>
                <w:tcPr>
                  <w:tcW w:w="1064" w:type="dxa"/>
                  <w:tcBorders>
                    <w:top w:val="single" w:color="auto" w:sz="1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占标率</w:t>
                  </w:r>
                </w:p>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w:t>
                  </w:r>
                </w:p>
              </w:tc>
              <w:tc>
                <w:tcPr>
                  <w:tcW w:w="1124" w:type="dxa"/>
                  <w:tcBorders>
                    <w:top w:val="single" w:color="auto" w:sz="12" w:space="0"/>
                    <w:left w:val="single" w:color="auto" w:sz="2" w:space="0"/>
                    <w:bottom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达标情况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6" w:type="dxa"/>
                  <w:tcBorders>
                    <w:top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PM</w:t>
                  </w:r>
                  <w:r>
                    <w:rPr>
                      <w:color w:val="000000" w:themeColor="text1"/>
                      <w:kern w:val="0"/>
                      <w:szCs w:val="21"/>
                      <w:vertAlign w:val="subscript"/>
                      <w14:textFill>
                        <w14:solidFill>
                          <w14:schemeClr w14:val="tx1"/>
                        </w14:solidFill>
                      </w14:textFill>
                    </w:rPr>
                    <w:t>2.5</w:t>
                  </w:r>
                </w:p>
              </w:tc>
              <w:tc>
                <w:tcPr>
                  <w:tcW w:w="3060"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年平均质量浓度</w:t>
                  </w:r>
                </w:p>
              </w:tc>
              <w:tc>
                <w:tcPr>
                  <w:tcW w:w="106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50</w:t>
                  </w:r>
                </w:p>
              </w:tc>
              <w:tc>
                <w:tcPr>
                  <w:tcW w:w="106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35</w:t>
                  </w:r>
                </w:p>
              </w:tc>
              <w:tc>
                <w:tcPr>
                  <w:tcW w:w="106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142.8</w:t>
                  </w:r>
                </w:p>
              </w:tc>
              <w:tc>
                <w:tcPr>
                  <w:tcW w:w="1124" w:type="dxa"/>
                  <w:tcBorders>
                    <w:top w:val="single" w:color="auto" w:sz="2" w:space="0"/>
                    <w:left w:val="single" w:color="auto" w:sz="2" w:space="0"/>
                    <w:bottom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不达标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6" w:type="dxa"/>
                  <w:tcBorders>
                    <w:top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PM</w:t>
                  </w:r>
                  <w:r>
                    <w:rPr>
                      <w:color w:val="000000" w:themeColor="text1"/>
                      <w:kern w:val="0"/>
                      <w:szCs w:val="21"/>
                      <w:vertAlign w:val="subscript"/>
                      <w14:textFill>
                        <w14:solidFill>
                          <w14:schemeClr w14:val="tx1"/>
                        </w14:solidFill>
                      </w14:textFill>
                    </w:rPr>
                    <w:t>10</w:t>
                  </w:r>
                </w:p>
              </w:tc>
              <w:tc>
                <w:tcPr>
                  <w:tcW w:w="3060"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年平均质量浓度</w:t>
                  </w:r>
                </w:p>
              </w:tc>
              <w:tc>
                <w:tcPr>
                  <w:tcW w:w="106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73</w:t>
                  </w:r>
                </w:p>
              </w:tc>
              <w:tc>
                <w:tcPr>
                  <w:tcW w:w="106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70</w:t>
                  </w:r>
                </w:p>
              </w:tc>
              <w:tc>
                <w:tcPr>
                  <w:tcW w:w="106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104.3</w:t>
                  </w:r>
                </w:p>
              </w:tc>
              <w:tc>
                <w:tcPr>
                  <w:tcW w:w="1124" w:type="dxa"/>
                  <w:tcBorders>
                    <w:top w:val="single" w:color="auto" w:sz="2" w:space="0"/>
                    <w:left w:val="single" w:color="auto" w:sz="2" w:space="0"/>
                    <w:bottom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不达标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6" w:type="dxa"/>
                  <w:tcBorders>
                    <w:top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SO</w:t>
                  </w:r>
                  <w:r>
                    <w:rPr>
                      <w:bCs/>
                      <w:color w:val="000000" w:themeColor="text1"/>
                      <w:kern w:val="0"/>
                      <w:szCs w:val="21"/>
                      <w:vertAlign w:val="subscript"/>
                      <w14:textFill>
                        <w14:solidFill>
                          <w14:schemeClr w14:val="tx1"/>
                        </w14:solidFill>
                      </w14:textFill>
                    </w:rPr>
                    <w:t>2</w:t>
                  </w:r>
                </w:p>
              </w:tc>
              <w:tc>
                <w:tcPr>
                  <w:tcW w:w="3060"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年平均质量浓度</w:t>
                  </w:r>
                </w:p>
              </w:tc>
              <w:tc>
                <w:tcPr>
                  <w:tcW w:w="106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r>
                    <w:rPr>
                      <w:rFonts w:hint="eastAsia"/>
                      <w:color w:val="000000" w:themeColor="text1"/>
                      <w:kern w:val="0"/>
                      <w:szCs w:val="21"/>
                      <w14:textFill>
                        <w14:solidFill>
                          <w14:schemeClr w14:val="tx1"/>
                        </w14:solidFill>
                      </w14:textFill>
                    </w:rPr>
                    <w:t>4</w:t>
                  </w:r>
                </w:p>
              </w:tc>
              <w:tc>
                <w:tcPr>
                  <w:tcW w:w="106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60</w:t>
                  </w:r>
                </w:p>
              </w:tc>
              <w:tc>
                <w:tcPr>
                  <w:tcW w:w="106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.3</w:t>
                  </w:r>
                </w:p>
              </w:tc>
              <w:tc>
                <w:tcPr>
                  <w:tcW w:w="1124" w:type="dxa"/>
                  <w:tcBorders>
                    <w:top w:val="single" w:color="auto" w:sz="2" w:space="0"/>
                    <w:left w:val="single" w:color="auto" w:sz="2" w:space="0"/>
                    <w:bottom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6" w:type="dxa"/>
                  <w:tcBorders>
                    <w:top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NO</w:t>
                  </w:r>
                  <w:r>
                    <w:rPr>
                      <w:bCs/>
                      <w:color w:val="000000" w:themeColor="text1"/>
                      <w:kern w:val="0"/>
                      <w:szCs w:val="21"/>
                      <w:vertAlign w:val="subscript"/>
                      <w14:textFill>
                        <w14:solidFill>
                          <w14:schemeClr w14:val="tx1"/>
                        </w14:solidFill>
                      </w14:textFill>
                    </w:rPr>
                    <w:t>2</w:t>
                  </w:r>
                </w:p>
              </w:tc>
              <w:tc>
                <w:tcPr>
                  <w:tcW w:w="3060"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年平均质量浓度</w:t>
                  </w:r>
                </w:p>
              </w:tc>
              <w:tc>
                <w:tcPr>
                  <w:tcW w:w="106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4</w:t>
                  </w:r>
                  <w:r>
                    <w:rPr>
                      <w:rFonts w:hint="eastAsia"/>
                      <w:color w:val="000000" w:themeColor="text1"/>
                      <w:kern w:val="0"/>
                      <w:szCs w:val="21"/>
                      <w14:textFill>
                        <w14:solidFill>
                          <w14:schemeClr w14:val="tx1"/>
                        </w14:solidFill>
                      </w14:textFill>
                    </w:rPr>
                    <w:t>4</w:t>
                  </w:r>
                </w:p>
              </w:tc>
              <w:tc>
                <w:tcPr>
                  <w:tcW w:w="106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40</w:t>
                  </w:r>
                </w:p>
              </w:tc>
              <w:tc>
                <w:tcPr>
                  <w:tcW w:w="106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110</w:t>
                  </w:r>
                </w:p>
              </w:tc>
              <w:tc>
                <w:tcPr>
                  <w:tcW w:w="1124" w:type="dxa"/>
                  <w:tcBorders>
                    <w:top w:val="single" w:color="auto" w:sz="2" w:space="0"/>
                    <w:left w:val="single" w:color="auto" w:sz="2" w:space="0"/>
                    <w:bottom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不达标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6" w:type="dxa"/>
                  <w:tcBorders>
                    <w:top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CO</w:t>
                  </w:r>
                </w:p>
              </w:tc>
              <w:tc>
                <w:tcPr>
                  <w:tcW w:w="3060"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24小时平均第95百分位数</w:t>
                  </w:r>
                </w:p>
              </w:tc>
              <w:tc>
                <w:tcPr>
                  <w:tcW w:w="106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r>
                    <w:rPr>
                      <w:rFonts w:hint="eastAsia"/>
                      <w:color w:val="000000" w:themeColor="text1"/>
                      <w:kern w:val="0"/>
                      <w:szCs w:val="21"/>
                      <w14:textFill>
                        <w14:solidFill>
                          <w14:schemeClr w14:val="tx1"/>
                        </w14:solidFill>
                      </w14:textFill>
                    </w:rPr>
                    <w:t>600</w:t>
                  </w:r>
                </w:p>
              </w:tc>
              <w:tc>
                <w:tcPr>
                  <w:tcW w:w="106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4000</w:t>
                  </w:r>
                </w:p>
              </w:tc>
              <w:tc>
                <w:tcPr>
                  <w:tcW w:w="1064" w:type="dxa"/>
                  <w:tcBorders>
                    <w:top w:val="single" w:color="auto" w:sz="2" w:space="0"/>
                    <w:left w:val="single" w:color="auto" w:sz="2" w:space="0"/>
                    <w:bottom w:val="single" w:color="auto" w:sz="2" w:space="0"/>
                    <w:right w:val="single" w:color="auto" w:sz="2" w:space="0"/>
                  </w:tcBorders>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w:t>
                  </w:r>
                </w:p>
              </w:tc>
              <w:tc>
                <w:tcPr>
                  <w:tcW w:w="1124" w:type="dxa"/>
                  <w:tcBorders>
                    <w:top w:val="single" w:color="auto" w:sz="2" w:space="0"/>
                    <w:left w:val="single" w:color="auto" w:sz="2" w:space="0"/>
                    <w:bottom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36" w:type="dxa"/>
                  <w:tcBorders>
                    <w:top w:val="single" w:color="auto" w:sz="2" w:space="0"/>
                    <w:bottom w:val="single" w:color="auto" w:sz="1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bCs/>
                      <w:color w:val="000000" w:themeColor="text1"/>
                      <w:kern w:val="0"/>
                      <w:szCs w:val="21"/>
                      <w14:textFill>
                        <w14:solidFill>
                          <w14:schemeClr w14:val="tx1"/>
                        </w14:solidFill>
                      </w14:textFill>
                    </w:rPr>
                    <w:t>O</w:t>
                  </w:r>
                  <w:r>
                    <w:rPr>
                      <w:bCs/>
                      <w:color w:val="000000" w:themeColor="text1"/>
                      <w:kern w:val="0"/>
                      <w:szCs w:val="21"/>
                      <w:vertAlign w:val="subscript"/>
                      <w14:textFill>
                        <w14:solidFill>
                          <w14:schemeClr w14:val="tx1"/>
                        </w14:solidFill>
                      </w14:textFill>
                    </w:rPr>
                    <w:t>3</w:t>
                  </w:r>
                </w:p>
              </w:tc>
              <w:tc>
                <w:tcPr>
                  <w:tcW w:w="3060" w:type="dxa"/>
                  <w:tcBorders>
                    <w:top w:val="single" w:color="auto" w:sz="2" w:space="0"/>
                    <w:left w:val="single" w:color="auto" w:sz="2" w:space="0"/>
                    <w:bottom w:val="single" w:color="auto" w:sz="1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日最大8小时滑动平均值的第90百分位数</w:t>
                  </w:r>
                </w:p>
              </w:tc>
              <w:tc>
                <w:tcPr>
                  <w:tcW w:w="1064" w:type="dxa"/>
                  <w:tcBorders>
                    <w:top w:val="single" w:color="auto" w:sz="2" w:space="0"/>
                    <w:left w:val="single" w:color="auto" w:sz="2" w:space="0"/>
                    <w:bottom w:val="single" w:color="auto" w:sz="1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r>
                    <w:rPr>
                      <w:rFonts w:hint="eastAsia"/>
                      <w:color w:val="000000" w:themeColor="text1"/>
                      <w:kern w:val="0"/>
                      <w:szCs w:val="21"/>
                      <w14:textFill>
                        <w14:solidFill>
                          <w14:schemeClr w14:val="tx1"/>
                        </w14:solidFill>
                      </w14:textFill>
                    </w:rPr>
                    <w:t>91</w:t>
                  </w:r>
                </w:p>
              </w:tc>
              <w:tc>
                <w:tcPr>
                  <w:tcW w:w="1064" w:type="dxa"/>
                  <w:tcBorders>
                    <w:top w:val="single" w:color="auto" w:sz="2" w:space="0"/>
                    <w:left w:val="single" w:color="auto" w:sz="2" w:space="0"/>
                    <w:bottom w:val="single" w:color="auto" w:sz="12" w:space="0"/>
                    <w:right w:val="single" w:color="auto" w:sz="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160</w:t>
                  </w:r>
                </w:p>
              </w:tc>
              <w:tc>
                <w:tcPr>
                  <w:tcW w:w="1064" w:type="dxa"/>
                  <w:tcBorders>
                    <w:top w:val="single" w:color="auto" w:sz="2" w:space="0"/>
                    <w:left w:val="single" w:color="auto" w:sz="2" w:space="0"/>
                    <w:bottom w:val="single" w:color="auto" w:sz="12" w:space="0"/>
                    <w:right w:val="single" w:color="auto" w:sz="2" w:space="0"/>
                  </w:tcBorders>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119.4</w:t>
                  </w:r>
                </w:p>
              </w:tc>
              <w:tc>
                <w:tcPr>
                  <w:tcW w:w="1124" w:type="dxa"/>
                  <w:tcBorders>
                    <w:top w:val="single" w:color="auto" w:sz="2" w:space="0"/>
                    <w:left w:val="single" w:color="auto" w:sz="2" w:space="0"/>
                    <w:bottom w:val="single" w:color="auto" w:sz="12" w:space="0"/>
                  </w:tcBorders>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不达标</w:t>
                  </w:r>
                </w:p>
              </w:tc>
            </w:tr>
          </w:tbl>
          <w:p>
            <w:pPr>
              <w:spacing w:line="360" w:lineRule="auto"/>
              <w:ind w:firstLine="480" w:firstLineChars="200"/>
              <w:jc w:val="left"/>
              <w:rPr>
                <w:color w:val="000000" w:themeColor="text1"/>
                <w:sz w:val="24"/>
                <w14:textFill>
                  <w14:solidFill>
                    <w14:schemeClr w14:val="tx1"/>
                  </w14:solidFill>
                </w14:textFill>
              </w:rPr>
            </w:pPr>
            <w:r>
              <w:rPr>
                <w:color w:val="000000" w:themeColor="text1"/>
                <w:sz w:val="24"/>
                <w14:textFill>
                  <w14:solidFill>
                    <w14:schemeClr w14:val="tx1"/>
                  </w14:solidFill>
                </w14:textFill>
              </w:rPr>
              <w:t>201</w:t>
            </w:r>
            <w:r>
              <w:rPr>
                <w:rFonts w:hint="eastAsia"/>
                <w:color w:val="000000" w:themeColor="text1"/>
                <w:sz w:val="24"/>
                <w14:textFill>
                  <w14:solidFill>
                    <w14:schemeClr w14:val="tx1"/>
                  </w14:solidFill>
                </w14:textFill>
              </w:rPr>
              <w:t>8</w:t>
            </w:r>
            <w:r>
              <w:rPr>
                <w:color w:val="000000" w:themeColor="text1"/>
                <w:sz w:val="24"/>
                <w14:textFill>
                  <w14:solidFill>
                    <w14:schemeClr w14:val="tx1"/>
                  </w14:solidFill>
                </w14:textFill>
              </w:rPr>
              <w:t>年常州市环境空气中二氧化硫年均值和一氧化碳24小时平均值均达到环境空气质量二级标准；二氧化氮、颗粒物、细颗粒物年均值</w:t>
            </w:r>
            <w:r>
              <w:rPr>
                <w:rFonts w:hint="eastAsia"/>
                <w:color w:val="000000" w:themeColor="text1"/>
                <w:sz w:val="24"/>
                <w14:textFill>
                  <w14:solidFill>
                    <w14:schemeClr w14:val="tx1"/>
                  </w14:solidFill>
                </w14:textFill>
              </w:rPr>
              <w:t>、臭氧日最大8小时滑动平均值的第90百分位数</w:t>
            </w:r>
            <w:r>
              <w:rPr>
                <w:color w:val="000000" w:themeColor="text1"/>
                <w:sz w:val="24"/>
                <w14:textFill>
                  <w14:solidFill>
                    <w14:schemeClr w14:val="tx1"/>
                  </w14:solidFill>
                </w14:textFill>
              </w:rPr>
              <w:t>超过环境空气质量二级标准，超标倍数分别为0.</w:t>
            </w:r>
            <w:r>
              <w:rPr>
                <w:rFonts w:hint="eastAsia"/>
                <w:color w:val="000000" w:themeColor="text1"/>
                <w:sz w:val="24"/>
                <w14:textFill>
                  <w14:solidFill>
                    <w14:schemeClr w14:val="tx1"/>
                  </w14:solidFill>
                </w14:textFill>
              </w:rPr>
              <w:t>1</w:t>
            </w:r>
            <w:r>
              <w:rPr>
                <w:color w:val="000000" w:themeColor="text1"/>
                <w:sz w:val="24"/>
                <w14:textFill>
                  <w14:solidFill>
                    <w14:schemeClr w14:val="tx1"/>
                  </w14:solidFill>
                </w14:textFill>
              </w:rPr>
              <w:t>倍、0.04倍、0.</w:t>
            </w:r>
            <w:r>
              <w:rPr>
                <w:rFonts w:hint="eastAsia"/>
                <w:color w:val="000000" w:themeColor="text1"/>
                <w:sz w:val="24"/>
                <w14:textFill>
                  <w14:solidFill>
                    <w14:schemeClr w14:val="tx1"/>
                  </w14:solidFill>
                </w14:textFill>
              </w:rPr>
              <w:t>43</w:t>
            </w:r>
            <w:r>
              <w:rPr>
                <w:color w:val="000000" w:themeColor="text1"/>
                <w:sz w:val="24"/>
                <w14:textFill>
                  <w14:solidFill>
                    <w14:schemeClr w14:val="tx1"/>
                  </w14:solidFill>
                </w14:textFill>
              </w:rPr>
              <w:t>倍、0.</w:t>
            </w:r>
            <w:r>
              <w:rPr>
                <w:rFonts w:hint="eastAsia"/>
                <w:color w:val="000000" w:themeColor="text1"/>
                <w:sz w:val="24"/>
                <w14:textFill>
                  <w14:solidFill>
                    <w14:schemeClr w14:val="tx1"/>
                  </w14:solidFill>
                </w14:textFill>
              </w:rPr>
              <w:t>19</w:t>
            </w:r>
            <w:r>
              <w:rPr>
                <w:color w:val="000000" w:themeColor="text1"/>
                <w:sz w:val="24"/>
                <w14:textFill>
                  <w14:solidFill>
                    <w14:schemeClr w14:val="tx1"/>
                  </w14:solidFill>
                </w14:textFill>
              </w:rPr>
              <w:t>倍。项目所在区二氧化氮、PM</w:t>
            </w:r>
            <w:r>
              <w:rPr>
                <w:color w:val="000000" w:themeColor="text1"/>
                <w:sz w:val="24"/>
                <w:vertAlign w:val="subscript"/>
                <w14:textFill>
                  <w14:solidFill>
                    <w14:schemeClr w14:val="tx1"/>
                  </w14:solidFill>
                </w14:textFill>
              </w:rPr>
              <w:t>10</w:t>
            </w:r>
            <w:r>
              <w:rPr>
                <w:color w:val="000000" w:themeColor="text1"/>
                <w:sz w:val="24"/>
                <w14:textFill>
                  <w14:solidFill>
                    <w14:schemeClr w14:val="tx1"/>
                  </w14:solidFill>
                </w14:textFill>
              </w:rPr>
              <w:t>、PM</w:t>
            </w:r>
            <w:r>
              <w:rPr>
                <w:color w:val="000000" w:themeColor="text1"/>
                <w:sz w:val="24"/>
                <w:vertAlign w:val="subscript"/>
                <w14:textFill>
                  <w14:solidFill>
                    <w14:schemeClr w14:val="tx1"/>
                  </w14:solidFill>
                </w14:textFill>
              </w:rPr>
              <w:t>2.5</w:t>
            </w:r>
            <w:r>
              <w:rPr>
                <w:color w:val="000000" w:themeColor="text1"/>
                <w:sz w:val="24"/>
                <w14:textFill>
                  <w14:solidFill>
                    <w14:schemeClr w14:val="tx1"/>
                  </w14:solidFill>
                </w14:textFill>
              </w:rPr>
              <w:t>、O</w:t>
            </w:r>
            <w:r>
              <w:rPr>
                <w:color w:val="000000" w:themeColor="text1"/>
                <w:sz w:val="24"/>
                <w:vertAlign w:val="subscript"/>
                <w14:textFill>
                  <w14:solidFill>
                    <w14:schemeClr w14:val="tx1"/>
                  </w14:solidFill>
                </w14:textFill>
              </w:rPr>
              <w:t>3</w:t>
            </w:r>
            <w:r>
              <w:rPr>
                <w:color w:val="000000" w:themeColor="text1"/>
                <w:sz w:val="24"/>
                <w14:textFill>
                  <w14:solidFill>
                    <w14:schemeClr w14:val="tx1"/>
                  </w14:solidFill>
                </w14:textFill>
              </w:rPr>
              <w:t>超标，因此判定为非达标区。</w:t>
            </w:r>
          </w:p>
          <w:p>
            <w:pPr>
              <w:spacing w:line="360" w:lineRule="auto"/>
              <w:ind w:firstLine="480" w:firstLineChars="200"/>
              <w:jc w:val="left"/>
              <w:rPr>
                <w:rFonts w:ascii="宋体" w:cs="宋体"/>
                <w:b/>
                <w:color w:val="000000" w:themeColor="text1"/>
                <w:kern w:val="0"/>
                <w:sz w:val="24"/>
                <w:szCs w:val="24"/>
                <w14:textFill>
                  <w14:solidFill>
                    <w14:schemeClr w14:val="tx1"/>
                  </w14:solidFill>
                </w14:textFill>
              </w:rPr>
            </w:pPr>
            <w:r>
              <w:rPr>
                <w:rFonts w:hint="eastAsia" w:ascii="宋体" w:cs="宋体"/>
                <w:b/>
                <w:color w:val="000000" w:themeColor="text1"/>
                <w:kern w:val="0"/>
                <w:sz w:val="24"/>
                <w:szCs w:val="24"/>
                <w14:textFill>
                  <w14:solidFill>
                    <w14:schemeClr w14:val="tx1"/>
                  </w14:solidFill>
                </w14:textFill>
              </w:rPr>
              <w:t>（2）其他污染物环境质量现状评价:</w:t>
            </w:r>
          </w:p>
          <w:p>
            <w:pPr>
              <w:spacing w:line="360" w:lineRule="auto"/>
              <w:ind w:firstLine="501" w:firstLineChars="209"/>
              <w:rPr>
                <w:sz w:val="24"/>
                <w:szCs w:val="24"/>
              </w:rPr>
            </w:pPr>
            <w:r>
              <w:rPr>
                <w:rFonts w:hint="eastAsia"/>
                <w:b w:val="0"/>
                <w:bCs w:val="0"/>
                <w:color w:val="auto"/>
                <w:sz w:val="24"/>
              </w:rPr>
              <w:t>项目特征污染因子非甲烷总烃引用</w:t>
            </w:r>
            <w:r>
              <w:rPr>
                <w:rFonts w:hint="eastAsia"/>
                <w:b w:val="0"/>
                <w:bCs w:val="0"/>
                <w:color w:val="auto"/>
                <w:sz w:val="24"/>
                <w:szCs w:val="24"/>
              </w:rPr>
              <w:t>《</w:t>
            </w:r>
            <w:r>
              <w:rPr>
                <w:rFonts w:hint="eastAsia"/>
                <w:b w:val="0"/>
                <w:bCs w:val="0"/>
                <w:color w:val="auto"/>
                <w:sz w:val="24"/>
              </w:rPr>
              <w:t>江苏五信新材料科技有限公司新建年产200吨防火材料生产线项目、新建2万平米防火板材、2万平米金属防火板生产线项目和新建年产300吨防火及保温材料生产线项目</w:t>
            </w:r>
            <w:r>
              <w:rPr>
                <w:sz w:val="24"/>
                <w:szCs w:val="24"/>
              </w:rPr>
              <w:t>环境</w:t>
            </w:r>
            <w:r>
              <w:rPr>
                <w:rFonts w:hint="eastAsia"/>
                <w:sz w:val="24"/>
                <w:szCs w:val="24"/>
              </w:rPr>
              <w:t>监测</w:t>
            </w:r>
            <w:r>
              <w:rPr>
                <w:sz w:val="24"/>
                <w:szCs w:val="24"/>
              </w:rPr>
              <w:t>报告</w:t>
            </w:r>
            <w:r>
              <w:rPr>
                <w:rFonts w:hint="eastAsia"/>
                <w:sz w:val="24"/>
                <w:szCs w:val="24"/>
              </w:rPr>
              <w:t>》中环境</w:t>
            </w:r>
            <w:r>
              <w:rPr>
                <w:sz w:val="24"/>
                <w:szCs w:val="24"/>
              </w:rPr>
              <w:t>空气</w:t>
            </w:r>
            <w:r>
              <w:rPr>
                <w:rFonts w:hint="eastAsia"/>
                <w:sz w:val="24"/>
                <w:szCs w:val="24"/>
                <w:lang w:eastAsia="zh-CN"/>
              </w:rPr>
              <w:t>“</w:t>
            </w:r>
            <w:r>
              <w:rPr>
                <w:rFonts w:hint="eastAsia"/>
                <w:sz w:val="24"/>
                <w:szCs w:val="24"/>
              </w:rPr>
              <w:t>G1江苏五信新材料科技有限公司项目所在地</w:t>
            </w:r>
            <w:r>
              <w:rPr>
                <w:rFonts w:hint="eastAsia"/>
                <w:sz w:val="24"/>
                <w:szCs w:val="24"/>
                <w:lang w:eastAsia="zh-CN"/>
              </w:rPr>
              <w:t>”</w:t>
            </w:r>
            <w:r>
              <w:rPr>
                <w:rFonts w:hint="eastAsia"/>
                <w:sz w:val="24"/>
                <w:szCs w:val="24"/>
              </w:rPr>
              <w:t>点位历史检测数据，报告编号为CQHH180576。检测时间为201</w:t>
            </w:r>
            <w:r>
              <w:rPr>
                <w:sz w:val="24"/>
                <w:szCs w:val="24"/>
              </w:rPr>
              <w:t>8</w:t>
            </w:r>
            <w:r>
              <w:rPr>
                <w:rFonts w:hint="eastAsia"/>
                <w:sz w:val="24"/>
                <w:szCs w:val="24"/>
              </w:rPr>
              <w:t>.5.14-201</w:t>
            </w:r>
            <w:r>
              <w:rPr>
                <w:sz w:val="24"/>
                <w:szCs w:val="24"/>
              </w:rPr>
              <w:t>8</w:t>
            </w:r>
            <w:r>
              <w:rPr>
                <w:rFonts w:hint="eastAsia"/>
                <w:sz w:val="24"/>
                <w:szCs w:val="24"/>
              </w:rPr>
              <w:t>.5.20。监测数据如下表3-1（检测报告见附件）。</w:t>
            </w:r>
          </w:p>
          <w:p>
            <w:pPr>
              <w:spacing w:line="360" w:lineRule="auto"/>
              <w:ind w:firstLine="501" w:firstLineChars="209"/>
              <w:rPr>
                <w:szCs w:val="21"/>
              </w:rPr>
            </w:pPr>
            <w:r>
              <w:rPr>
                <w:rFonts w:hint="eastAsia"/>
                <w:b/>
                <w:sz w:val="24"/>
                <w:szCs w:val="24"/>
              </w:rPr>
              <w:t>监测数据引用的有效性分析：</w:t>
            </w:r>
            <w:r>
              <w:rPr>
                <w:rFonts w:hint="eastAsia"/>
                <w:sz w:val="24"/>
                <w:szCs w:val="24"/>
              </w:rPr>
              <w:t>江苏五信新材料科技有限公司项目所在地位于本目东北侧210米（位于本项目大气评价范围之内），监测时间为201</w:t>
            </w:r>
            <w:r>
              <w:rPr>
                <w:sz w:val="24"/>
                <w:szCs w:val="24"/>
              </w:rPr>
              <w:t>8</w:t>
            </w:r>
            <w:r>
              <w:rPr>
                <w:rFonts w:hint="eastAsia"/>
                <w:sz w:val="24"/>
                <w:szCs w:val="24"/>
              </w:rPr>
              <w:t>年5月，在检测有效期内。本项目引用有效。</w:t>
            </w:r>
          </w:p>
          <w:p>
            <w:pPr>
              <w:pStyle w:val="6"/>
              <w:keepNext/>
              <w:jc w:val="center"/>
              <w:rPr>
                <w:rFonts w:ascii="Times New Roman" w:hAnsi="Times New Roman"/>
                <w:color w:val="auto"/>
                <w:sz w:val="24"/>
                <w:szCs w:val="24"/>
              </w:rPr>
            </w:pPr>
            <w:r>
              <w:rPr>
                <w:rFonts w:hint="eastAsia" w:ascii="Times New Roman" w:hAnsi="Times New Roman"/>
                <w:color w:val="auto"/>
                <w:sz w:val="24"/>
                <w:szCs w:val="24"/>
              </w:rPr>
              <w:t>表3-2 其他污染物补充监测点位基本信息</w:t>
            </w:r>
          </w:p>
          <w:tbl>
            <w:tblPr>
              <w:tblStyle w:val="17"/>
              <w:tblW w:w="830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051"/>
              <w:gridCol w:w="1023"/>
              <w:gridCol w:w="1023"/>
              <w:gridCol w:w="1156"/>
              <w:gridCol w:w="1974"/>
              <w:gridCol w:w="856"/>
              <w:gridCol w:w="121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51" w:type="dxa"/>
                  <w:vMerge w:val="restart"/>
                  <w:vAlign w:val="center"/>
                </w:tcPr>
                <w:p>
                  <w:pPr>
                    <w:jc w:val="center"/>
                    <w:rPr>
                      <w:b/>
                      <w:szCs w:val="21"/>
                    </w:rPr>
                  </w:pPr>
                  <w:r>
                    <w:rPr>
                      <w:rFonts w:hint="eastAsia"/>
                      <w:b/>
                      <w:szCs w:val="21"/>
                    </w:rPr>
                    <w:t>监测点名称</w:t>
                  </w:r>
                </w:p>
              </w:tc>
              <w:tc>
                <w:tcPr>
                  <w:tcW w:w="2046" w:type="dxa"/>
                  <w:gridSpan w:val="2"/>
                  <w:vAlign w:val="center"/>
                </w:tcPr>
                <w:p>
                  <w:pPr>
                    <w:jc w:val="center"/>
                    <w:rPr>
                      <w:b/>
                      <w:szCs w:val="21"/>
                    </w:rPr>
                  </w:pPr>
                  <w:r>
                    <w:rPr>
                      <w:rFonts w:hint="eastAsia"/>
                      <w:b/>
                      <w:szCs w:val="21"/>
                    </w:rPr>
                    <w:t>监测点坐标</w:t>
                  </w:r>
                </w:p>
              </w:tc>
              <w:tc>
                <w:tcPr>
                  <w:tcW w:w="1156" w:type="dxa"/>
                  <w:vMerge w:val="restart"/>
                  <w:vAlign w:val="center"/>
                </w:tcPr>
                <w:p>
                  <w:pPr>
                    <w:jc w:val="center"/>
                    <w:rPr>
                      <w:b/>
                      <w:szCs w:val="21"/>
                    </w:rPr>
                  </w:pPr>
                  <w:r>
                    <w:rPr>
                      <w:rFonts w:hint="eastAsia"/>
                      <w:b/>
                      <w:szCs w:val="21"/>
                    </w:rPr>
                    <w:t>监测因子</w:t>
                  </w:r>
                </w:p>
              </w:tc>
              <w:tc>
                <w:tcPr>
                  <w:tcW w:w="1974" w:type="dxa"/>
                  <w:vMerge w:val="restart"/>
                  <w:vAlign w:val="center"/>
                </w:tcPr>
                <w:p>
                  <w:pPr>
                    <w:jc w:val="center"/>
                    <w:rPr>
                      <w:b/>
                      <w:szCs w:val="21"/>
                    </w:rPr>
                  </w:pPr>
                  <w:r>
                    <w:rPr>
                      <w:rFonts w:hint="eastAsia"/>
                      <w:b/>
                      <w:szCs w:val="21"/>
                    </w:rPr>
                    <w:t>监测时段</w:t>
                  </w:r>
                </w:p>
              </w:tc>
              <w:tc>
                <w:tcPr>
                  <w:tcW w:w="856" w:type="dxa"/>
                  <w:vMerge w:val="restart"/>
                  <w:vAlign w:val="center"/>
                </w:tcPr>
                <w:p>
                  <w:pPr>
                    <w:jc w:val="center"/>
                    <w:rPr>
                      <w:b/>
                      <w:szCs w:val="21"/>
                    </w:rPr>
                  </w:pPr>
                  <w:r>
                    <w:rPr>
                      <w:rFonts w:hint="eastAsia"/>
                      <w:b/>
                      <w:szCs w:val="21"/>
                    </w:rPr>
                    <w:t>相对厂址方位</w:t>
                  </w:r>
                </w:p>
              </w:tc>
              <w:tc>
                <w:tcPr>
                  <w:tcW w:w="1219" w:type="dxa"/>
                  <w:vMerge w:val="restart"/>
                  <w:vAlign w:val="center"/>
                </w:tcPr>
                <w:p>
                  <w:pPr>
                    <w:jc w:val="center"/>
                    <w:rPr>
                      <w:b/>
                      <w:szCs w:val="21"/>
                    </w:rPr>
                  </w:pPr>
                  <w:r>
                    <w:rPr>
                      <w:rFonts w:hint="eastAsia"/>
                      <w:b/>
                      <w:szCs w:val="21"/>
                    </w:rPr>
                    <w:t>相对厂界距离（m）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1051" w:type="dxa"/>
                  <w:vMerge w:val="continue"/>
                  <w:vAlign w:val="center"/>
                </w:tcPr>
                <w:p>
                  <w:pPr>
                    <w:jc w:val="center"/>
                    <w:rPr>
                      <w:szCs w:val="21"/>
                    </w:rPr>
                  </w:pPr>
                </w:p>
              </w:tc>
              <w:tc>
                <w:tcPr>
                  <w:tcW w:w="1023" w:type="dxa"/>
                  <w:vAlign w:val="center"/>
                </w:tcPr>
                <w:p>
                  <w:pPr>
                    <w:spacing w:line="360" w:lineRule="auto"/>
                    <w:jc w:val="center"/>
                    <w:rPr>
                      <w:szCs w:val="21"/>
                    </w:rPr>
                  </w:pPr>
                  <w:r>
                    <w:rPr>
                      <w:rFonts w:hint="eastAsia"/>
                      <w:szCs w:val="21"/>
                    </w:rPr>
                    <w:t>X</w:t>
                  </w:r>
                </w:p>
              </w:tc>
              <w:tc>
                <w:tcPr>
                  <w:tcW w:w="1023" w:type="dxa"/>
                  <w:vAlign w:val="center"/>
                </w:tcPr>
                <w:p>
                  <w:pPr>
                    <w:spacing w:line="360" w:lineRule="auto"/>
                    <w:jc w:val="center"/>
                    <w:rPr>
                      <w:szCs w:val="21"/>
                    </w:rPr>
                  </w:pPr>
                  <w:r>
                    <w:rPr>
                      <w:rFonts w:hint="eastAsia"/>
                      <w:szCs w:val="21"/>
                    </w:rPr>
                    <w:t>Y</w:t>
                  </w:r>
                </w:p>
              </w:tc>
              <w:tc>
                <w:tcPr>
                  <w:tcW w:w="1156" w:type="dxa"/>
                  <w:vMerge w:val="continue"/>
                  <w:vAlign w:val="center"/>
                </w:tcPr>
                <w:p>
                  <w:pPr>
                    <w:jc w:val="center"/>
                    <w:rPr>
                      <w:szCs w:val="21"/>
                    </w:rPr>
                  </w:pPr>
                </w:p>
              </w:tc>
              <w:tc>
                <w:tcPr>
                  <w:tcW w:w="1974" w:type="dxa"/>
                  <w:vMerge w:val="continue"/>
                  <w:vAlign w:val="center"/>
                </w:tcPr>
                <w:p>
                  <w:pPr>
                    <w:jc w:val="center"/>
                    <w:rPr>
                      <w:szCs w:val="21"/>
                    </w:rPr>
                  </w:pPr>
                </w:p>
              </w:tc>
              <w:tc>
                <w:tcPr>
                  <w:tcW w:w="856" w:type="dxa"/>
                  <w:vMerge w:val="continue"/>
                  <w:vAlign w:val="center"/>
                </w:tcPr>
                <w:p>
                  <w:pPr>
                    <w:jc w:val="center"/>
                    <w:rPr>
                      <w:szCs w:val="21"/>
                    </w:rPr>
                  </w:pPr>
                </w:p>
              </w:tc>
              <w:tc>
                <w:tcPr>
                  <w:tcW w:w="1219" w:type="dxa"/>
                  <w:vMerge w:val="continue"/>
                  <w:vAlign w:val="center"/>
                </w:tcPr>
                <w:p>
                  <w:pPr>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51" w:type="dxa"/>
                  <w:vAlign w:val="center"/>
                </w:tcPr>
                <w:p>
                  <w:pPr>
                    <w:jc w:val="center"/>
                    <w:rPr>
                      <w:szCs w:val="21"/>
                    </w:rPr>
                  </w:pPr>
                  <w:r>
                    <w:rPr>
                      <w:rFonts w:hint="eastAsia"/>
                      <w:szCs w:val="21"/>
                    </w:rPr>
                    <w:t>G1</w:t>
                  </w:r>
                </w:p>
              </w:tc>
              <w:tc>
                <w:tcPr>
                  <w:tcW w:w="1023" w:type="dxa"/>
                  <w:vAlign w:val="center"/>
                </w:tcPr>
                <w:p>
                  <w:pPr>
                    <w:jc w:val="center"/>
                    <w:rPr>
                      <w:szCs w:val="21"/>
                    </w:rPr>
                  </w:pPr>
                  <w:r>
                    <w:rPr>
                      <w:rFonts w:hint="eastAsia"/>
                      <w:szCs w:val="21"/>
                    </w:rPr>
                    <w:t>31.7826</w:t>
                  </w:r>
                </w:p>
              </w:tc>
              <w:tc>
                <w:tcPr>
                  <w:tcW w:w="1023" w:type="dxa"/>
                  <w:vAlign w:val="center"/>
                </w:tcPr>
                <w:p>
                  <w:pPr>
                    <w:jc w:val="center"/>
                    <w:rPr>
                      <w:szCs w:val="21"/>
                    </w:rPr>
                  </w:pPr>
                  <w:r>
                    <w:rPr>
                      <w:rFonts w:hint="eastAsia"/>
                      <w:szCs w:val="21"/>
                    </w:rPr>
                    <w:t>119.4631</w:t>
                  </w:r>
                </w:p>
              </w:tc>
              <w:tc>
                <w:tcPr>
                  <w:tcW w:w="1156" w:type="dxa"/>
                  <w:vAlign w:val="center"/>
                </w:tcPr>
                <w:p>
                  <w:pPr>
                    <w:jc w:val="center"/>
                    <w:rPr>
                      <w:szCs w:val="21"/>
                    </w:rPr>
                  </w:pPr>
                  <w:r>
                    <w:rPr>
                      <w:rFonts w:hint="eastAsia"/>
                      <w:szCs w:val="21"/>
                    </w:rPr>
                    <w:t>非甲烷总烃</w:t>
                  </w:r>
                </w:p>
              </w:tc>
              <w:tc>
                <w:tcPr>
                  <w:tcW w:w="1974" w:type="dxa"/>
                  <w:vAlign w:val="center"/>
                </w:tcPr>
                <w:p>
                  <w:pPr>
                    <w:jc w:val="center"/>
                    <w:rPr>
                      <w:szCs w:val="21"/>
                    </w:rPr>
                  </w:pPr>
                  <w:r>
                    <w:rPr>
                      <w:rFonts w:hint="eastAsia"/>
                      <w:szCs w:val="21"/>
                    </w:rPr>
                    <w:t>2018.5.14-2018.5.20</w:t>
                  </w:r>
                </w:p>
              </w:tc>
              <w:tc>
                <w:tcPr>
                  <w:tcW w:w="856" w:type="dxa"/>
                  <w:vAlign w:val="center"/>
                </w:tcPr>
                <w:p>
                  <w:pPr>
                    <w:jc w:val="center"/>
                    <w:rPr>
                      <w:szCs w:val="21"/>
                    </w:rPr>
                  </w:pPr>
                  <w:r>
                    <w:rPr>
                      <w:rFonts w:hint="eastAsia"/>
                      <w:szCs w:val="21"/>
                    </w:rPr>
                    <w:t>SW</w:t>
                  </w:r>
                </w:p>
              </w:tc>
              <w:tc>
                <w:tcPr>
                  <w:tcW w:w="1219" w:type="dxa"/>
                  <w:vAlign w:val="center"/>
                </w:tcPr>
                <w:p>
                  <w:pPr>
                    <w:jc w:val="center"/>
                    <w:rPr>
                      <w:szCs w:val="21"/>
                    </w:rPr>
                  </w:pPr>
                  <w:r>
                    <w:rPr>
                      <w:rFonts w:hint="eastAsia"/>
                      <w:szCs w:val="21"/>
                    </w:rPr>
                    <w:t>500</w:t>
                  </w:r>
                </w:p>
              </w:tc>
            </w:tr>
          </w:tbl>
          <w:p>
            <w:pPr>
              <w:pStyle w:val="6"/>
              <w:keepNext/>
              <w:keepLines w:val="0"/>
              <w:pageBreakBefore w:val="0"/>
              <w:widowControl/>
              <w:kinsoku/>
              <w:wordWrap/>
              <w:overflowPunct/>
              <w:topLinePunct w:val="0"/>
              <w:autoSpaceDE/>
              <w:autoSpaceDN/>
              <w:bidi w:val="0"/>
              <w:adjustRightInd/>
              <w:snapToGrid/>
              <w:spacing w:before="157" w:beforeLines="50"/>
              <w:jc w:val="center"/>
              <w:textAlignment w:val="auto"/>
              <w:rPr>
                <w:rFonts w:ascii="Times New Roman" w:hAnsi="Times New Roman"/>
                <w:color w:val="auto"/>
                <w:sz w:val="24"/>
                <w:szCs w:val="24"/>
              </w:rPr>
            </w:pPr>
            <w:r>
              <w:rPr>
                <w:rFonts w:hint="eastAsia" w:ascii="Times New Roman" w:hAnsi="Times New Roman"/>
                <w:color w:val="auto"/>
                <w:sz w:val="24"/>
                <w:szCs w:val="24"/>
              </w:rPr>
              <w:t>表3-3 其他污染物环境质量现状（监测结果）表</w:t>
            </w:r>
          </w:p>
          <w:tbl>
            <w:tblPr>
              <w:tblStyle w:val="17"/>
              <w:tblW w:w="830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05"/>
              <w:gridCol w:w="899"/>
              <w:gridCol w:w="996"/>
              <w:gridCol w:w="871"/>
              <w:gridCol w:w="748"/>
              <w:gridCol w:w="801"/>
              <w:gridCol w:w="1136"/>
              <w:gridCol w:w="760"/>
              <w:gridCol w:w="637"/>
              <w:gridCol w:w="74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44" w:type="dxa"/>
                  <w:vMerge w:val="restart"/>
                  <w:vAlign w:val="center"/>
                </w:tcPr>
                <w:p>
                  <w:pPr>
                    <w:jc w:val="center"/>
                    <w:rPr>
                      <w:b/>
                      <w:szCs w:val="21"/>
                    </w:rPr>
                  </w:pPr>
                  <w:r>
                    <w:rPr>
                      <w:rFonts w:hint="eastAsia"/>
                      <w:b/>
                      <w:szCs w:val="21"/>
                    </w:rPr>
                    <w:t>监测点名称</w:t>
                  </w:r>
                </w:p>
              </w:tc>
              <w:tc>
                <w:tcPr>
                  <w:tcW w:w="1646" w:type="dxa"/>
                  <w:gridSpan w:val="2"/>
                  <w:vAlign w:val="center"/>
                </w:tcPr>
                <w:p>
                  <w:pPr>
                    <w:jc w:val="center"/>
                    <w:rPr>
                      <w:b/>
                      <w:szCs w:val="21"/>
                    </w:rPr>
                  </w:pPr>
                  <w:r>
                    <w:rPr>
                      <w:rFonts w:hint="eastAsia"/>
                      <w:b/>
                      <w:szCs w:val="21"/>
                    </w:rPr>
                    <w:t>监测点坐标</w:t>
                  </w:r>
                </w:p>
              </w:tc>
              <w:tc>
                <w:tcPr>
                  <w:tcW w:w="944" w:type="dxa"/>
                  <w:vMerge w:val="restart"/>
                  <w:vAlign w:val="center"/>
                </w:tcPr>
                <w:p>
                  <w:pPr>
                    <w:jc w:val="center"/>
                    <w:rPr>
                      <w:b/>
                      <w:szCs w:val="21"/>
                    </w:rPr>
                  </w:pPr>
                  <w:r>
                    <w:rPr>
                      <w:rFonts w:hint="eastAsia"/>
                      <w:b/>
                      <w:szCs w:val="21"/>
                    </w:rPr>
                    <w:t>污染物</w:t>
                  </w:r>
                </w:p>
              </w:tc>
              <w:tc>
                <w:tcPr>
                  <w:tcW w:w="801" w:type="dxa"/>
                  <w:vMerge w:val="restart"/>
                  <w:vAlign w:val="center"/>
                </w:tcPr>
                <w:p>
                  <w:pPr>
                    <w:jc w:val="center"/>
                    <w:rPr>
                      <w:b/>
                      <w:szCs w:val="21"/>
                    </w:rPr>
                  </w:pPr>
                  <w:r>
                    <w:rPr>
                      <w:rFonts w:hint="eastAsia"/>
                      <w:b/>
                      <w:szCs w:val="21"/>
                    </w:rPr>
                    <w:t>平均时间</w:t>
                  </w:r>
                </w:p>
              </w:tc>
              <w:tc>
                <w:tcPr>
                  <w:tcW w:w="801" w:type="dxa"/>
                  <w:vMerge w:val="restart"/>
                  <w:vAlign w:val="center"/>
                </w:tcPr>
                <w:p>
                  <w:pPr>
                    <w:jc w:val="center"/>
                    <w:rPr>
                      <w:b/>
                      <w:szCs w:val="21"/>
                    </w:rPr>
                  </w:pPr>
                  <w:r>
                    <w:rPr>
                      <w:rFonts w:hint="eastAsia"/>
                      <w:b/>
                      <w:szCs w:val="21"/>
                    </w:rPr>
                    <w:t>评价标准/ug/m</w:t>
                  </w:r>
                  <w:r>
                    <w:rPr>
                      <w:rFonts w:hint="eastAsia"/>
                      <w:b/>
                      <w:szCs w:val="21"/>
                      <w:vertAlign w:val="superscript"/>
                    </w:rPr>
                    <w:t>3</w:t>
                  </w:r>
                </w:p>
              </w:tc>
              <w:tc>
                <w:tcPr>
                  <w:tcW w:w="1148" w:type="dxa"/>
                  <w:vMerge w:val="restart"/>
                  <w:vAlign w:val="center"/>
                </w:tcPr>
                <w:p>
                  <w:pPr>
                    <w:jc w:val="center"/>
                    <w:rPr>
                      <w:b/>
                      <w:szCs w:val="21"/>
                    </w:rPr>
                  </w:pPr>
                  <w:r>
                    <w:rPr>
                      <w:rFonts w:hint="eastAsia"/>
                      <w:b/>
                      <w:szCs w:val="21"/>
                    </w:rPr>
                    <w:t>监测浓度范围/ ug/m</w:t>
                  </w:r>
                  <w:r>
                    <w:rPr>
                      <w:rFonts w:hint="eastAsia"/>
                      <w:b/>
                      <w:szCs w:val="21"/>
                      <w:vertAlign w:val="superscript"/>
                    </w:rPr>
                    <w:t>3</w:t>
                  </w:r>
                </w:p>
              </w:tc>
              <w:tc>
                <w:tcPr>
                  <w:tcW w:w="780" w:type="dxa"/>
                  <w:vMerge w:val="restart"/>
                  <w:vAlign w:val="center"/>
                </w:tcPr>
                <w:p>
                  <w:pPr>
                    <w:jc w:val="center"/>
                    <w:rPr>
                      <w:b/>
                      <w:szCs w:val="21"/>
                    </w:rPr>
                  </w:pPr>
                  <w:r>
                    <w:rPr>
                      <w:rFonts w:hint="eastAsia"/>
                      <w:b/>
                      <w:szCs w:val="21"/>
                    </w:rPr>
                    <w:t>最大浓度占标率%</w:t>
                  </w:r>
                </w:p>
              </w:tc>
              <w:tc>
                <w:tcPr>
                  <w:tcW w:w="636" w:type="dxa"/>
                  <w:vMerge w:val="restart"/>
                  <w:vAlign w:val="center"/>
                </w:tcPr>
                <w:p>
                  <w:pPr>
                    <w:jc w:val="center"/>
                    <w:rPr>
                      <w:b/>
                      <w:szCs w:val="21"/>
                    </w:rPr>
                  </w:pPr>
                  <w:r>
                    <w:rPr>
                      <w:rFonts w:hint="eastAsia"/>
                      <w:b/>
                      <w:szCs w:val="21"/>
                    </w:rPr>
                    <w:t>超标率%</w:t>
                  </w:r>
                </w:p>
              </w:tc>
              <w:tc>
                <w:tcPr>
                  <w:tcW w:w="802" w:type="dxa"/>
                  <w:vMerge w:val="restart"/>
                  <w:vAlign w:val="center"/>
                </w:tcPr>
                <w:p>
                  <w:pPr>
                    <w:jc w:val="center"/>
                    <w:rPr>
                      <w:b/>
                      <w:szCs w:val="21"/>
                    </w:rPr>
                  </w:pPr>
                  <w:r>
                    <w:rPr>
                      <w:rFonts w:hint="eastAsia"/>
                      <w:b/>
                      <w:szCs w:val="21"/>
                    </w:rPr>
                    <w:t>达标情况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744" w:type="dxa"/>
                  <w:vMerge w:val="continue"/>
                  <w:vAlign w:val="center"/>
                </w:tcPr>
                <w:p>
                  <w:pPr>
                    <w:jc w:val="center"/>
                    <w:rPr>
                      <w:szCs w:val="21"/>
                    </w:rPr>
                  </w:pPr>
                </w:p>
              </w:tc>
              <w:tc>
                <w:tcPr>
                  <w:tcW w:w="739" w:type="dxa"/>
                  <w:vAlign w:val="center"/>
                </w:tcPr>
                <w:p>
                  <w:pPr>
                    <w:spacing w:line="360" w:lineRule="auto"/>
                    <w:jc w:val="center"/>
                    <w:rPr>
                      <w:szCs w:val="21"/>
                    </w:rPr>
                  </w:pPr>
                  <w:r>
                    <w:rPr>
                      <w:rFonts w:hint="eastAsia"/>
                      <w:szCs w:val="21"/>
                    </w:rPr>
                    <w:t>X</w:t>
                  </w:r>
                </w:p>
              </w:tc>
              <w:tc>
                <w:tcPr>
                  <w:tcW w:w="907" w:type="dxa"/>
                  <w:vAlign w:val="center"/>
                </w:tcPr>
                <w:p>
                  <w:pPr>
                    <w:spacing w:line="360" w:lineRule="auto"/>
                    <w:jc w:val="center"/>
                    <w:rPr>
                      <w:szCs w:val="21"/>
                    </w:rPr>
                  </w:pPr>
                  <w:r>
                    <w:rPr>
                      <w:rFonts w:hint="eastAsia"/>
                      <w:szCs w:val="21"/>
                    </w:rPr>
                    <w:t>Y</w:t>
                  </w:r>
                </w:p>
              </w:tc>
              <w:tc>
                <w:tcPr>
                  <w:tcW w:w="944" w:type="dxa"/>
                  <w:vMerge w:val="continue"/>
                  <w:vAlign w:val="center"/>
                </w:tcPr>
                <w:p>
                  <w:pPr>
                    <w:jc w:val="center"/>
                    <w:rPr>
                      <w:szCs w:val="21"/>
                    </w:rPr>
                  </w:pPr>
                </w:p>
              </w:tc>
              <w:tc>
                <w:tcPr>
                  <w:tcW w:w="801" w:type="dxa"/>
                  <w:vMerge w:val="continue"/>
                  <w:vAlign w:val="center"/>
                </w:tcPr>
                <w:p>
                  <w:pPr>
                    <w:jc w:val="center"/>
                    <w:rPr>
                      <w:szCs w:val="21"/>
                    </w:rPr>
                  </w:pPr>
                </w:p>
              </w:tc>
              <w:tc>
                <w:tcPr>
                  <w:tcW w:w="801" w:type="dxa"/>
                  <w:vMerge w:val="continue"/>
                  <w:vAlign w:val="center"/>
                </w:tcPr>
                <w:p>
                  <w:pPr>
                    <w:jc w:val="center"/>
                    <w:rPr>
                      <w:szCs w:val="21"/>
                    </w:rPr>
                  </w:pPr>
                </w:p>
              </w:tc>
              <w:tc>
                <w:tcPr>
                  <w:tcW w:w="1148" w:type="dxa"/>
                  <w:vMerge w:val="continue"/>
                  <w:vAlign w:val="center"/>
                </w:tcPr>
                <w:p>
                  <w:pPr>
                    <w:jc w:val="center"/>
                    <w:rPr>
                      <w:szCs w:val="21"/>
                    </w:rPr>
                  </w:pPr>
                </w:p>
              </w:tc>
              <w:tc>
                <w:tcPr>
                  <w:tcW w:w="780" w:type="dxa"/>
                  <w:vMerge w:val="continue"/>
                  <w:vAlign w:val="center"/>
                </w:tcPr>
                <w:p>
                  <w:pPr>
                    <w:jc w:val="center"/>
                    <w:rPr>
                      <w:szCs w:val="21"/>
                    </w:rPr>
                  </w:pPr>
                </w:p>
              </w:tc>
              <w:tc>
                <w:tcPr>
                  <w:tcW w:w="636" w:type="dxa"/>
                  <w:vMerge w:val="continue"/>
                  <w:vAlign w:val="center"/>
                </w:tcPr>
                <w:p>
                  <w:pPr>
                    <w:jc w:val="center"/>
                    <w:rPr>
                      <w:szCs w:val="21"/>
                    </w:rPr>
                  </w:pPr>
                </w:p>
              </w:tc>
              <w:tc>
                <w:tcPr>
                  <w:tcW w:w="802" w:type="dxa"/>
                  <w:vMerge w:val="continue"/>
                  <w:vAlign w:val="center"/>
                </w:tcPr>
                <w:p>
                  <w:pPr>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744" w:type="dxa"/>
                  <w:vAlign w:val="center"/>
                </w:tcPr>
                <w:p>
                  <w:pPr>
                    <w:jc w:val="center"/>
                    <w:rPr>
                      <w:szCs w:val="21"/>
                    </w:rPr>
                  </w:pPr>
                  <w:r>
                    <w:rPr>
                      <w:rFonts w:hint="eastAsia"/>
                      <w:szCs w:val="21"/>
                    </w:rPr>
                    <w:t>G1</w:t>
                  </w:r>
                </w:p>
              </w:tc>
              <w:tc>
                <w:tcPr>
                  <w:tcW w:w="739" w:type="dxa"/>
                  <w:vAlign w:val="center"/>
                </w:tcPr>
                <w:p>
                  <w:pPr>
                    <w:jc w:val="center"/>
                    <w:rPr>
                      <w:szCs w:val="21"/>
                    </w:rPr>
                  </w:pPr>
                  <w:r>
                    <w:rPr>
                      <w:rFonts w:hint="eastAsia"/>
                      <w:szCs w:val="21"/>
                    </w:rPr>
                    <w:t>31.7826</w:t>
                  </w:r>
                </w:p>
              </w:tc>
              <w:tc>
                <w:tcPr>
                  <w:tcW w:w="907" w:type="dxa"/>
                  <w:vAlign w:val="center"/>
                </w:tcPr>
                <w:p>
                  <w:pPr>
                    <w:jc w:val="center"/>
                    <w:rPr>
                      <w:szCs w:val="21"/>
                    </w:rPr>
                  </w:pPr>
                  <w:r>
                    <w:rPr>
                      <w:rFonts w:hint="eastAsia"/>
                      <w:szCs w:val="21"/>
                    </w:rPr>
                    <w:t>119.4631</w:t>
                  </w:r>
                </w:p>
              </w:tc>
              <w:tc>
                <w:tcPr>
                  <w:tcW w:w="944" w:type="dxa"/>
                  <w:vAlign w:val="center"/>
                </w:tcPr>
                <w:p>
                  <w:pPr>
                    <w:jc w:val="center"/>
                    <w:rPr>
                      <w:szCs w:val="21"/>
                    </w:rPr>
                  </w:pPr>
                  <w:r>
                    <w:rPr>
                      <w:rFonts w:hint="eastAsia"/>
                      <w:spacing w:val="-16"/>
                      <w:szCs w:val="21"/>
                    </w:rPr>
                    <w:t>非甲烷总烃</w:t>
                  </w:r>
                </w:p>
              </w:tc>
              <w:tc>
                <w:tcPr>
                  <w:tcW w:w="801" w:type="dxa"/>
                  <w:vAlign w:val="center"/>
                </w:tcPr>
                <w:p>
                  <w:pPr>
                    <w:jc w:val="center"/>
                    <w:rPr>
                      <w:szCs w:val="21"/>
                    </w:rPr>
                  </w:pPr>
                  <w:r>
                    <w:rPr>
                      <w:rFonts w:hint="eastAsia"/>
                      <w:szCs w:val="21"/>
                    </w:rPr>
                    <w:t>1小时</w:t>
                  </w:r>
                </w:p>
              </w:tc>
              <w:tc>
                <w:tcPr>
                  <w:tcW w:w="801" w:type="dxa"/>
                  <w:vAlign w:val="center"/>
                </w:tcPr>
                <w:p>
                  <w:pPr>
                    <w:jc w:val="center"/>
                    <w:rPr>
                      <w:szCs w:val="21"/>
                    </w:rPr>
                  </w:pPr>
                  <w:r>
                    <w:rPr>
                      <w:rFonts w:hint="eastAsia"/>
                      <w:szCs w:val="21"/>
                    </w:rPr>
                    <w:t>2000</w:t>
                  </w:r>
                </w:p>
              </w:tc>
              <w:tc>
                <w:tcPr>
                  <w:tcW w:w="1148" w:type="dxa"/>
                  <w:vAlign w:val="center"/>
                </w:tcPr>
                <w:p>
                  <w:pPr>
                    <w:jc w:val="center"/>
                    <w:rPr>
                      <w:szCs w:val="21"/>
                    </w:rPr>
                  </w:pPr>
                  <w:r>
                    <w:rPr>
                      <w:rFonts w:hint="eastAsia"/>
                      <w:szCs w:val="21"/>
                    </w:rPr>
                    <w:t>430~1240</w:t>
                  </w:r>
                </w:p>
              </w:tc>
              <w:tc>
                <w:tcPr>
                  <w:tcW w:w="780" w:type="dxa"/>
                  <w:vAlign w:val="center"/>
                </w:tcPr>
                <w:p>
                  <w:pPr>
                    <w:jc w:val="center"/>
                    <w:rPr>
                      <w:szCs w:val="21"/>
                    </w:rPr>
                  </w:pPr>
                  <w:r>
                    <w:rPr>
                      <w:rFonts w:hint="eastAsia"/>
                      <w:szCs w:val="21"/>
                    </w:rPr>
                    <w:t>62</w:t>
                  </w:r>
                </w:p>
              </w:tc>
              <w:tc>
                <w:tcPr>
                  <w:tcW w:w="636" w:type="dxa"/>
                  <w:vAlign w:val="center"/>
                </w:tcPr>
                <w:p>
                  <w:pPr>
                    <w:jc w:val="center"/>
                    <w:rPr>
                      <w:szCs w:val="21"/>
                    </w:rPr>
                  </w:pPr>
                  <w:r>
                    <w:rPr>
                      <w:rFonts w:hint="eastAsia"/>
                      <w:szCs w:val="21"/>
                    </w:rPr>
                    <w:t>0</w:t>
                  </w:r>
                </w:p>
              </w:tc>
              <w:tc>
                <w:tcPr>
                  <w:tcW w:w="802" w:type="dxa"/>
                  <w:vAlign w:val="center"/>
                </w:tcPr>
                <w:p>
                  <w:pPr>
                    <w:jc w:val="center"/>
                    <w:rPr>
                      <w:szCs w:val="21"/>
                    </w:rPr>
                  </w:pPr>
                  <w:r>
                    <w:rPr>
                      <w:rFonts w:hint="eastAsia"/>
                      <w:szCs w:val="21"/>
                    </w:rPr>
                    <w:t>达标</w:t>
                  </w:r>
                </w:p>
              </w:tc>
            </w:tr>
          </w:tbl>
          <w:p>
            <w:pPr>
              <w:spacing w:line="360" w:lineRule="auto"/>
              <w:ind w:firstLine="470" w:firstLineChars="196"/>
              <w:rPr>
                <w:sz w:val="24"/>
              </w:rPr>
            </w:pPr>
            <w:r>
              <w:rPr>
                <w:sz w:val="24"/>
              </w:rPr>
              <w:t>由上表可知：评价区域内</w:t>
            </w:r>
            <w:r>
              <w:rPr>
                <w:rFonts w:hint="eastAsia"/>
                <w:sz w:val="24"/>
              </w:rPr>
              <w:t>非甲烷总烃满足《大气污染物综合排放标准详解》中的数值。</w:t>
            </w:r>
          </w:p>
          <w:p>
            <w:pPr>
              <w:spacing w:line="360" w:lineRule="auto"/>
              <w:ind w:firstLine="480" w:firstLineChars="200"/>
              <w:jc w:val="left"/>
              <w:rPr>
                <w:rFonts w:hint="default" w:ascii="Times New Roman" w:hAnsi="Times New Roman" w:cs="Times New Roman"/>
                <w:b/>
                <w:color w:val="000000" w:themeColor="text1"/>
                <w:sz w:val="24"/>
                <w:szCs w:val="24"/>
                <w14:textFill>
                  <w14:solidFill>
                    <w14:schemeClr w14:val="tx1"/>
                  </w14:solidFill>
                </w14:textFill>
              </w:rPr>
            </w:pPr>
            <w:r>
              <w:rPr>
                <w:rFonts w:hint="default" w:ascii="Times New Roman" w:hAnsi="Times New Roman" w:cs="Times New Roman"/>
                <w:b/>
                <w:color w:val="000000" w:themeColor="text1"/>
                <w:kern w:val="0"/>
                <w:sz w:val="24"/>
                <w:szCs w:val="24"/>
                <w14:textFill>
                  <w14:solidFill>
                    <w14:schemeClr w14:val="tx1"/>
                  </w14:solidFill>
                </w14:textFill>
              </w:rPr>
              <w:t>（3）区域削减:</w:t>
            </w:r>
          </w:p>
          <w:p>
            <w:pPr>
              <w:spacing w:line="360" w:lineRule="auto"/>
              <w:ind w:firstLine="480" w:firstLineChars="200"/>
              <w:textAlignment w:val="baseline"/>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根据《常州市环境环境质量报告书（2018 年）》，打好污染防治攻坚战，全面完成省下达的环境质量目标：</w:t>
            </w:r>
          </w:p>
          <w:p>
            <w:pPr>
              <w:spacing w:line="360" w:lineRule="auto"/>
              <w:ind w:firstLine="480" w:firstLineChars="200"/>
              <w:textAlignment w:val="baseline"/>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坚决打赢蓝天保卫战。以压降PM</w:t>
            </w:r>
            <w:r>
              <w:rPr>
                <w:rFonts w:hint="default" w:ascii="Times New Roman" w:hAnsi="Times New Roman" w:cs="Times New Roman"/>
                <w:color w:val="auto"/>
                <w:sz w:val="24"/>
                <w:szCs w:val="24"/>
                <w:vertAlign w:val="subscript"/>
              </w:rPr>
              <w:t>2.</w:t>
            </w:r>
            <w:r>
              <w:rPr>
                <w:rFonts w:hint="default" w:ascii="Times New Roman" w:hAnsi="Times New Roman" w:cs="Times New Roman"/>
                <w:color w:val="auto"/>
                <w:sz w:val="24"/>
                <w:szCs w:val="24"/>
                <w:vertAlign w:val="subscript"/>
                <w:lang w:val="en-US" w:eastAsia="zh-CN"/>
              </w:rPr>
              <w:t>5</w:t>
            </w:r>
            <w:r>
              <w:rPr>
                <w:rFonts w:hint="default" w:ascii="Times New Roman" w:hAnsi="Times New Roman" w:cs="Times New Roman"/>
                <w:color w:val="auto"/>
                <w:sz w:val="24"/>
                <w:szCs w:val="24"/>
              </w:rPr>
              <w:t>浓度、增加优良天数为主要目标，强化综合治理，进一步改善大气环境质量。打好柴油货车污染治理攻坚战，确保柴油货车主要污染物排放总量明显下降。深度治理工业大气污染，推进非电行业氮氧化物深度减排和超低排放改造，鼓励燃气机组实施深度脱氮。严格管控各类扬尘，加强道路扬尘综合整治，加强各类建设工地、堆场扬尘控制。加强重点VOCs行业治理，制定出台全市VOCs 名录和重点监管企业名录。推进秸秆机械化还田，切实加强秸秆禁烧管控。控制农业源氨排放，减少化肥使用量。加强重污染天气防范应对，完善重污染天气应急预案，加强环境空气质量预测预报能力建设，细化限产限排等应急管控清单。</w:t>
            </w:r>
          </w:p>
          <w:p>
            <w:pPr>
              <w:spacing w:line="360" w:lineRule="auto"/>
              <w:ind w:firstLine="480" w:firstLineChars="200"/>
              <w:textAlignment w:val="baseline"/>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《常州市2018年大气污染防治攻坚行动方案》</w:t>
            </w:r>
          </w:p>
          <w:p>
            <w:pPr>
              <w:spacing w:line="360" w:lineRule="auto"/>
              <w:ind w:firstLine="480" w:firstLineChars="200"/>
              <w:textAlignment w:val="baseline"/>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根据中共常州市委、常州市人民政府印发的《常州市2018年大气污染防治攻坚行动方案》的通知（常发[2018]16号），常州市各有关部门分别开展以下行动：</w:t>
            </w:r>
          </w:p>
          <w:p>
            <w:pPr>
              <w:spacing w:line="360" w:lineRule="auto"/>
              <w:ind w:firstLine="480" w:firstLineChars="200"/>
              <w:textAlignment w:val="baseline"/>
              <w:rPr>
                <w:rFonts w:hint="default" w:ascii="Times New Roman" w:hAnsi="Times New Roman" w:cs="Times New Roman"/>
                <w:color w:val="auto"/>
                <w:sz w:val="24"/>
                <w:szCs w:val="24"/>
              </w:rPr>
            </w:pPr>
            <w:r>
              <w:rPr>
                <w:rFonts w:hint="default" w:ascii="Times New Roman" w:hAnsi="Times New Roman" w:cs="Times New Roman"/>
                <w:color w:val="auto"/>
                <w:sz w:val="24"/>
                <w:szCs w:val="24"/>
              </w:rPr>
              <w:t>（1）降低燃煤消耗量</w:t>
            </w:r>
          </w:p>
          <w:p>
            <w:pPr>
              <w:spacing w:line="360" w:lineRule="auto"/>
              <w:ind w:firstLine="480" w:firstLineChars="200"/>
              <w:textAlignment w:val="baseline"/>
              <w:rPr>
                <w:rFonts w:hint="default" w:ascii="Times New Roman" w:hAnsi="Times New Roman" w:cs="Times New Roman"/>
                <w:color w:val="auto"/>
                <w:sz w:val="24"/>
                <w:szCs w:val="24"/>
              </w:rPr>
            </w:pPr>
            <w:r>
              <w:rPr>
                <w:rFonts w:hint="default" w:ascii="Times New Roman" w:hAnsi="Times New Roman" w:cs="Times New Roman"/>
                <w:color w:val="auto"/>
                <w:sz w:val="24"/>
                <w:szCs w:val="24"/>
              </w:rPr>
              <w:t>狠抓燃煤污染控制。6月30日前完成细化年度煤炭消费总量削减方案，将减煤任务落实到具体项目、分解到具体月份，并认真组织实施，确保超额完成省政府下达的年度煤炭消费总量削减任务。加快推进东部燃机热电联产项目申报和东部片区供热管网建设，通过热网互联互通和清洁能源替代供热，加快推进东部片区燃煤热电整合关停，逐步减少热电企业燃煤锅炉使用。9 月底前停用常州江成投资发展有限公司的燃煤锅炉，年内完成中天钢铁高炉煤气发电三期项目建设，并停用中天钢铁2#燃煤机组；对全市燃煤电厂实施分类限产，已达超低排放的电厂在1-5 月平均产量的基础上限产20%，已达特别排放限值但未超低排放的电厂在1-5月平均产量的基础上限产50%。9月底前全面完成全市燃煤锅炉分类整治任务，其中35 蒸吨/小时及以下燃煤锅炉全部完成清洁能源替代或拆除；65 蒸吨/小时及以上燃煤锅炉全部完成超低排放改造。未完成整治之前，燃煤锅炉应限产50%以上。逾期不完成的，坚决依法实施停产整治。6月底前完成燃煤窑炉的专项排查工作，9 月底前全面完成燃煤窑炉的清洁能源替代。逾期未完成的，坚决实施停产整治。组织专门力量，加大散煤整治力度，确保禁燃区内禁止销售、使用散煤。严格煤质管理，督促各用煤单位使用优质煤，煤炭硫分须低于0.7%。</w:t>
            </w:r>
          </w:p>
          <w:p>
            <w:pPr>
              <w:spacing w:line="360" w:lineRule="auto"/>
              <w:ind w:firstLine="480" w:firstLineChars="200"/>
              <w:textAlignment w:val="baseline"/>
              <w:rPr>
                <w:rFonts w:hint="default" w:ascii="Times New Roman" w:hAnsi="Times New Roman" w:cs="Times New Roman"/>
                <w:color w:val="auto"/>
                <w:sz w:val="24"/>
                <w:szCs w:val="24"/>
              </w:rPr>
            </w:pPr>
            <w:r>
              <w:rPr>
                <w:rFonts w:hint="default" w:ascii="Times New Roman" w:hAnsi="Times New Roman" w:cs="Times New Roman"/>
                <w:color w:val="auto"/>
                <w:sz w:val="24"/>
                <w:szCs w:val="24"/>
              </w:rPr>
              <w:t>（2）加大工业企业污染综合治理力度</w:t>
            </w:r>
          </w:p>
          <w:p>
            <w:pPr>
              <w:spacing w:line="360" w:lineRule="auto"/>
              <w:ind w:firstLine="480" w:firstLineChars="200"/>
              <w:textAlignment w:val="baseline"/>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①采取强制减排施。对照年内二氧化硫、氮氧化物、一次PM2.5 和挥发性有机物减排比例分别不低于51%、45%、49%和30%的目标，结合省大气办《关于印发江苏省改善空气环境质量强制污染减排方案的通知》（苏大气办〔2018〕6号）和《市大气办关于公布2018 年度重点管控工业企业名单的通知》（常大气办〔2018〕2号）要求，进一步细化限产、停产企业名单，从7 月起继续实施大气强化管控，对列入名单的污染物排放量大的企业，限产比例不低于50%，省大气办要求的停产整治企业必须严格落实到位。同时根据空气质量改善情况，进一步调整限产比例、停产整治企业名单。对钢铁、水泥、铸造等重点大气污染物排放企业实施错峰生产，错峰生产方案另行制定。限停产企业名单由市经信局牵头，会同各辖市区，环保部门适时调整，报市大气办公布。</w:t>
            </w:r>
          </w:p>
          <w:p>
            <w:pPr>
              <w:spacing w:line="360" w:lineRule="auto"/>
              <w:ind w:firstLine="480" w:firstLineChars="200"/>
              <w:textAlignment w:val="baseline"/>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②加强工业烟气污染治理。提升钢铁、水泥、铸造等重点行业大气污染治理水平，10 月底前，钢铁烧结机、水泥熟料生产企业30%的生产线实施脱硫脱硝整治，确保烟气颗粒物、二氧化硫、氮氧化物排放浓度分别低于10、35、100毫克/立方米。在完成治理任务指前，钢铁、水泥企业在1—5 月平均产量的基础上限产50%；对逾期不完成治理任务的企业，坚决依法予以停产整治。6 月底前完成全市钢压延加工等生产企业煤气发生炉拆除，试试煤改电或天然气等清洁能源改造。</w:t>
            </w:r>
          </w:p>
          <w:p>
            <w:pPr>
              <w:spacing w:line="360" w:lineRule="auto"/>
              <w:ind w:firstLine="480" w:firstLineChars="200"/>
              <w:textAlignment w:val="baseline"/>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对列入今年大气污染治理重点项目的其它企业，9 月底未完成整治任务的，坚决依法予以停产整治。</w:t>
            </w:r>
          </w:p>
          <w:p>
            <w:pPr>
              <w:spacing w:line="360" w:lineRule="auto"/>
              <w:ind w:firstLine="480" w:firstLineChars="200"/>
              <w:textAlignment w:val="baseline"/>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③实施颗粒物无组织排放深度整治。按照省大气办《关于组织实施〈江苏省颗料物无组织排放深度整治方案〉的函》的要求，对火电、水泥、砖瓦、燃煤锅炉企业、铸造、矿山开采等行业开展颗料物无组织排放深度整治，在保证安全生产和工程质量的前提下，除堆场封闭、物料输送等工程量大的项目应在12 月底前完成，其他整治工作必须在9 月底前完成。钢铁行业颗粒物无组织排放深度整治按《关于加快治理钢铁冶炼企业无组织排放大气污染的通知》（苏环办〔2017〕209号）的要求，必须在6月底前完成。</w:t>
            </w:r>
          </w:p>
          <w:p>
            <w:pPr>
              <w:spacing w:line="360" w:lineRule="auto"/>
              <w:ind w:firstLine="480" w:firstLineChars="200"/>
              <w:textAlignment w:val="baseline"/>
              <w:rPr>
                <w:rFonts w:hint="default" w:ascii="Times New Roman" w:hAnsi="Times New Roman" w:cs="Times New Roman"/>
                <w:color w:val="auto"/>
                <w:sz w:val="24"/>
                <w:szCs w:val="24"/>
              </w:rPr>
            </w:pPr>
            <w:r>
              <w:rPr>
                <w:rFonts w:hint="default" w:ascii="Times New Roman" w:hAnsi="Times New Roman" w:cs="Times New Roman"/>
                <w:color w:val="auto"/>
                <w:sz w:val="24"/>
                <w:szCs w:val="24"/>
              </w:rPr>
              <w:t>（3）提高城市管理水平</w:t>
            </w:r>
          </w:p>
          <w:p>
            <w:pPr>
              <w:spacing w:line="360" w:lineRule="auto"/>
              <w:ind w:firstLine="480" w:firstLineChars="200"/>
              <w:textAlignment w:val="baseline"/>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①加大扬尘污染控制力度。推进建设工地扬尘污染防治，6 月底前出台常州市建设工地扬尘污染管控管理办法，提高建设工地扬尘管理水平。建设工地围挡、施工道路硬化、规模以上建设工地车辆冲洗率及渣土密闭化运输率达100%，规模以上工地设置喷淋、雾炮等晒水抑尘设施。全面推行</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rPr>
              <w:t>绿色施工</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rPr>
              <w:t>，提高装配式建筑在新建筑中的比例。非作业部位裸土和易起尘散装物料堆场全部遮盖。强化物料堆场扬尘整治。提升工业企业、预拌混凝土、预拌砂浆物料堆场扬尘整治水平，实现密闭作业、密闭储存、密闭运输。加强各类工地和堆场巡查，督促加大洒水降尘频次，保持道路整洁、湿润，裸土和散装物料全部采取覆盖措施。</w:t>
            </w:r>
          </w:p>
          <w:p>
            <w:pPr>
              <w:spacing w:line="360" w:lineRule="auto"/>
              <w:ind w:firstLine="480" w:firstLineChars="200"/>
              <w:textAlignment w:val="baseline"/>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加强港口码头及交通工程场地监管，严格落实扬尘管控措施，加大查处力度。散货码头装卸作业必须采取抑尘措施，堆场建设抑尘设施或封闭储存，运输采取密闭或覆盖措施。对全市预拌混凝土、预拌砂浆、工地、堆场等必须落实各项扬尘治理要求，对达不到扬尘治理要求的，由相关主管部门责令停工整治。</w:t>
            </w:r>
          </w:p>
          <w:p>
            <w:pPr>
              <w:spacing w:line="360" w:lineRule="auto"/>
              <w:ind w:firstLine="480" w:firstLineChars="200"/>
              <w:textAlignment w:val="baseline"/>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②加大道路保洁频次。强化道路冲洗保洁，根据空气质量管控等级，及时调整增加冲洗洒水频次。全面实施机械化标准化作业，提高道路机械化清扫率，城市主次干道机械化清扫率达到100%。</w:t>
            </w:r>
          </w:p>
          <w:p>
            <w:pPr>
              <w:spacing w:line="360" w:lineRule="auto"/>
              <w:ind w:firstLine="480" w:firstLineChars="200"/>
              <w:textAlignment w:val="baseline"/>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③严格控制面源污染。强化辖市、区政府秸秆禁烧主体责任，加强秸秆综合利用，积极拓展秸秆综合利用渠道，确保全年实现</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rPr>
              <w:t>零火点</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rPr>
              <w:t>，加强秸秆禁烧巡查，对发现火点的镇、街道予以通报。禁止露天焚烧垃圾，落实属地主体责任，进一步加大执法处罚力度。</w:t>
            </w:r>
          </w:p>
          <w:p>
            <w:pPr>
              <w:spacing w:line="360" w:lineRule="auto"/>
              <w:ind w:firstLine="480" w:firstLineChars="200"/>
              <w:textAlignment w:val="baseline"/>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加强餐饮油烟污染治理，强化执法检查，继续实施餐饮油烟长效管理，9月底前完成重点治理单位治理工作。禁止露天烧烤，餐饮经营单位安装油烟净化在线监控设施和电力监控设施，并与环保部门联网。对未配套安装并正常使用油烟收集处理装置的餐饮企业，坚决停业治理。</w:t>
            </w:r>
          </w:p>
          <w:p>
            <w:pPr>
              <w:spacing w:line="360" w:lineRule="auto"/>
              <w:ind w:firstLine="480" w:firstLineChars="200"/>
              <w:textAlignment w:val="baseline"/>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加强烟花爆竹禁限放管理。禁止重点管控区内燃放烟花爆竹，7 月底前对2012 年发布的《常州市人民政府关于加强市区烟花爆竹燃放管理的通告》进行修订，扩大禁放区域，实施全年禁放。</w:t>
            </w:r>
          </w:p>
          <w:p>
            <w:pPr>
              <w:spacing w:line="360" w:lineRule="auto"/>
              <w:ind w:firstLine="480" w:firstLineChars="200"/>
              <w:textAlignment w:val="baseline"/>
              <w:rPr>
                <w:rFonts w:hint="default" w:ascii="Times New Roman" w:hAnsi="Times New Roman" w:cs="Times New Roman"/>
                <w:color w:val="auto"/>
                <w:sz w:val="24"/>
                <w:szCs w:val="24"/>
              </w:rPr>
            </w:pPr>
            <w:r>
              <w:rPr>
                <w:rFonts w:hint="default" w:ascii="Times New Roman" w:hAnsi="Times New Roman" w:cs="Times New Roman"/>
                <w:color w:val="auto"/>
                <w:sz w:val="24"/>
                <w:szCs w:val="24"/>
              </w:rPr>
              <w:t>（4）加强移动源污染防治</w:t>
            </w:r>
          </w:p>
          <w:p>
            <w:pPr>
              <w:spacing w:line="360" w:lineRule="auto"/>
              <w:ind w:firstLine="480" w:firstLineChars="200"/>
              <w:textAlignment w:val="baseline"/>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①加大机动车路检力度。强化随机抽查，将大中型货运车辆尾气超标、散装物料未密闭、车用油品不合格及物料洒漏等违法违章行为作为重要查处内容。每月要在不少于12 个非定点卡口开展一次随机抽查，每次抽查不少于15 辆车。对钢铁、电力、水泥、工地和大型货物集散地等运输量大的进出厂（场）大中型运输车辆进行检查，每月检查不少于5 个厂（场），严查尾气超标、超限超载、车身车轮带泥、抛洒滴漏、覆盖不严等行为。</w:t>
            </w:r>
          </w:p>
          <w:p>
            <w:pPr>
              <w:spacing w:line="360" w:lineRule="auto"/>
              <w:ind w:firstLine="480" w:firstLineChars="200"/>
              <w:textAlignment w:val="baseline"/>
              <w:rPr>
                <w:color w:val="000000" w:themeColor="text1"/>
                <w:sz w:val="24"/>
                <w14:textFill>
                  <w14:solidFill>
                    <w14:schemeClr w14:val="tx1"/>
                  </w14:solidFill>
                </w14:textFill>
              </w:rPr>
            </w:pPr>
            <w:r>
              <w:rPr>
                <w:rFonts w:hint="default" w:ascii="Times New Roman" w:hAnsi="Times New Roman" w:cs="Times New Roman"/>
                <w:color w:val="auto"/>
                <w:sz w:val="24"/>
                <w:szCs w:val="24"/>
              </w:rPr>
              <w:t>②加快老旧车辆淘汰报废。严格执行国家、省有关规定，对达到报废标准的汽车实施强制报废，7 月底前出台老旧汽车淘汰补贴政策，适当调高淘汰报废补贴标准，鼓励车主淘汰报废，加快2008 年1 月1 日前登记注册的汽车淘汰报废。推广新能源汽车，规划布局和建设标准化充换电站等公共设施。</w:t>
            </w:r>
          </w:p>
          <w:p>
            <w:pPr>
              <w:spacing w:line="360" w:lineRule="auto"/>
              <w:ind w:firstLine="480" w:firstLineChars="200"/>
              <w:textAlignment w:val="baseline"/>
              <w:rPr>
                <w:b/>
                <w:color w:val="000000" w:themeColor="text1"/>
                <w:kern w:val="28"/>
                <w:sz w:val="24"/>
                <w14:textFill>
                  <w14:solidFill>
                    <w14:schemeClr w14:val="tx1"/>
                  </w14:solidFill>
                </w14:textFill>
              </w:rPr>
            </w:pPr>
            <w:r>
              <w:rPr>
                <w:b/>
                <w:color w:val="000000" w:themeColor="text1"/>
                <w:kern w:val="28"/>
                <w:sz w:val="24"/>
                <w14:textFill>
                  <w14:solidFill>
                    <w14:schemeClr w14:val="tx1"/>
                  </w14:solidFill>
                </w14:textFill>
              </w:rPr>
              <w:t>2、地表水环境质量现状</w:t>
            </w:r>
          </w:p>
          <w:p>
            <w:pPr>
              <w:spacing w:line="360" w:lineRule="auto"/>
              <w:ind w:firstLine="480"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根据《常州市2018年环境质量公报》，常州市</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14:textFill>
                  <w14:solidFill>
                    <w14:schemeClr w14:val="tx1"/>
                  </w14:solidFill>
                </w14:textFill>
              </w:rPr>
              <w:t>十三五</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14:textFill>
                  <w14:solidFill>
                    <w14:schemeClr w14:val="tx1"/>
                  </w14:solidFill>
                </w14:textFill>
              </w:rPr>
              <w:t>期间共设置8个</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14:textFill>
                  <w14:solidFill>
                    <w14:schemeClr w14:val="tx1"/>
                  </w14:solidFill>
                </w14:textFill>
              </w:rPr>
              <w:t>水十条</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14:textFill>
                  <w14:solidFill>
                    <w14:schemeClr w14:val="tx1"/>
                  </w14:solidFill>
                </w14:textFill>
              </w:rPr>
              <w:t>国考断面，25个</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14:textFill>
                  <w14:solidFill>
                    <w14:schemeClr w14:val="tx1"/>
                  </w14:solidFill>
                </w14:textFill>
              </w:rPr>
              <w:t>水十条</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14:textFill>
                  <w14:solidFill>
                    <w14:schemeClr w14:val="tx1"/>
                  </w14:solidFill>
                </w14:textFill>
              </w:rPr>
              <w:t>省考断面。2018年，常州市33个</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14:textFill>
                  <w14:solidFill>
                    <w14:schemeClr w14:val="tx1"/>
                  </w14:solidFill>
                </w14:textFill>
              </w:rPr>
              <w:t>水十条</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14:textFill>
                  <w14:solidFill>
                    <w14:schemeClr w14:val="tx1"/>
                  </w14:solidFill>
                </w14:textFill>
              </w:rPr>
              <w:t>断面中有29个断面水质达标，总体达标率为87.9%。33个断面中，III类及以上水质断面20个，占比60.6%；IV类水质断面12个，占比36.4%；V类水质断面1个，占比3.0%；无劣V类水质断面。主要湖库中，滆湖和长荡湖均处于中度富营养化状态，富营养化级别与2017年相同。天目湖（沙河水库）和大溪水库均处于中营养状态，营养状态指数与上年相比均略有降低。</w:t>
            </w:r>
          </w:p>
          <w:p>
            <w:pPr>
              <w:spacing w:line="360" w:lineRule="auto"/>
              <w:ind w:firstLine="480" w:firstLineChars="200"/>
              <w:rPr>
                <w:sz w:val="24"/>
                <w:szCs w:val="24"/>
              </w:rPr>
            </w:pPr>
            <w:r>
              <w:rPr>
                <w:rFonts w:hint="eastAsia"/>
                <w:sz w:val="24"/>
                <w:szCs w:val="24"/>
              </w:rPr>
              <w:t>本项目纳污河流为通济河，通济河地表水环境质量现状引用《江苏天翼输送机械有限公司环境影响报告表及大气专项环境质量现状检测报告》中</w:t>
            </w:r>
            <w:r>
              <w:rPr>
                <w:sz w:val="24"/>
                <w:szCs w:val="24"/>
              </w:rPr>
              <w:t>地表水</w:t>
            </w:r>
            <w:r>
              <w:rPr>
                <w:rFonts w:hint="eastAsia"/>
                <w:sz w:val="24"/>
                <w:szCs w:val="24"/>
              </w:rPr>
              <w:t>W</w:t>
            </w:r>
            <w:r>
              <w:rPr>
                <w:rFonts w:hint="eastAsia"/>
                <w:sz w:val="24"/>
                <w:szCs w:val="24"/>
                <w:vertAlign w:val="subscript"/>
              </w:rPr>
              <w:t>1</w:t>
            </w:r>
            <w:r>
              <w:rPr>
                <w:rFonts w:hint="eastAsia"/>
                <w:sz w:val="24"/>
                <w:szCs w:val="24"/>
              </w:rPr>
              <w:t>、W</w:t>
            </w:r>
            <w:r>
              <w:rPr>
                <w:rFonts w:hint="eastAsia"/>
                <w:sz w:val="24"/>
                <w:szCs w:val="24"/>
                <w:vertAlign w:val="subscript"/>
              </w:rPr>
              <w:t>2</w:t>
            </w:r>
            <w:r>
              <w:rPr>
                <w:rFonts w:hint="eastAsia"/>
                <w:sz w:val="24"/>
                <w:szCs w:val="24"/>
              </w:rPr>
              <w:t>点位</w:t>
            </w:r>
            <w:r>
              <w:rPr>
                <w:sz w:val="24"/>
                <w:szCs w:val="24"/>
              </w:rPr>
              <w:t>历史</w:t>
            </w:r>
            <w:r>
              <w:rPr>
                <w:rFonts w:hint="eastAsia"/>
                <w:sz w:val="24"/>
                <w:szCs w:val="24"/>
              </w:rPr>
              <w:t>检测</w:t>
            </w:r>
            <w:r>
              <w:rPr>
                <w:sz w:val="24"/>
                <w:szCs w:val="24"/>
              </w:rPr>
              <w:t>数据</w:t>
            </w:r>
            <w:r>
              <w:rPr>
                <w:rFonts w:hint="eastAsia"/>
                <w:sz w:val="24"/>
                <w:szCs w:val="24"/>
              </w:rPr>
              <w:t>，在通济河金坛区直溪鑫鑫污水处理厂排污口上游500米处下游1500米处总氮、动植物油、五日生化需氧量、高锰酸盐指数、粪大肠菌群、阴离子表面活性剂和镍的历史数据。检测时间为201</w:t>
            </w:r>
            <w:r>
              <w:rPr>
                <w:sz w:val="24"/>
                <w:szCs w:val="24"/>
              </w:rPr>
              <w:t>8</w:t>
            </w:r>
            <w:r>
              <w:rPr>
                <w:rFonts w:hint="eastAsia"/>
                <w:sz w:val="24"/>
                <w:szCs w:val="24"/>
              </w:rPr>
              <w:t>年8月15日~17日，检测报告编号</w:t>
            </w:r>
            <w:r>
              <w:rPr>
                <w:rFonts w:hint="eastAsia"/>
                <w:sz w:val="24"/>
                <w:szCs w:val="24"/>
                <w:lang w:eastAsia="zh-CN"/>
              </w:rPr>
              <w:t>“</w:t>
            </w:r>
            <w:r>
              <w:rPr>
                <w:rFonts w:hint="eastAsia"/>
                <w:sz w:val="24"/>
                <w:szCs w:val="24"/>
              </w:rPr>
              <w:t>C</w:t>
            </w:r>
            <w:r>
              <w:rPr>
                <w:sz w:val="24"/>
                <w:szCs w:val="24"/>
              </w:rPr>
              <w:t>QHH18</w:t>
            </w:r>
            <w:r>
              <w:rPr>
                <w:rFonts w:hint="eastAsia"/>
                <w:sz w:val="24"/>
                <w:szCs w:val="24"/>
              </w:rPr>
              <w:t>1052</w:t>
            </w:r>
            <w:r>
              <w:rPr>
                <w:rFonts w:hint="eastAsia"/>
                <w:sz w:val="24"/>
                <w:szCs w:val="24"/>
                <w:lang w:eastAsia="zh-CN"/>
              </w:rPr>
              <w:t>”</w:t>
            </w:r>
            <w:r>
              <w:rPr>
                <w:rFonts w:hint="eastAsia"/>
                <w:sz w:val="24"/>
                <w:szCs w:val="24"/>
              </w:rPr>
              <w:t>。</w:t>
            </w:r>
          </w:p>
          <w:p>
            <w:pPr>
              <w:spacing w:line="360" w:lineRule="auto"/>
              <w:ind w:firstLine="480" w:firstLineChars="200"/>
              <w:rPr>
                <w:bCs/>
                <w:kern w:val="0"/>
                <w:sz w:val="24"/>
              </w:rPr>
            </w:pPr>
            <w:r>
              <w:rPr>
                <w:rFonts w:hint="eastAsia"/>
                <w:sz w:val="24"/>
                <w:szCs w:val="24"/>
              </w:rPr>
              <w:t>监测数据详见表3-4</w:t>
            </w:r>
            <w:r>
              <w:rPr>
                <w:kern w:val="0"/>
                <w:sz w:val="24"/>
              </w:rPr>
              <w:t>（</w:t>
            </w:r>
            <w:r>
              <w:rPr>
                <w:rFonts w:hint="eastAsia"/>
                <w:kern w:val="0"/>
                <w:sz w:val="24"/>
              </w:rPr>
              <w:t>监测报告</w:t>
            </w:r>
            <w:r>
              <w:rPr>
                <w:kern w:val="0"/>
                <w:sz w:val="24"/>
              </w:rPr>
              <w:t>见附件）</w:t>
            </w:r>
            <w:r>
              <w:rPr>
                <w:bCs/>
                <w:kern w:val="0"/>
                <w:sz w:val="24"/>
              </w:rPr>
              <w:t>。</w:t>
            </w:r>
          </w:p>
          <w:p>
            <w:pPr>
              <w:jc w:val="center"/>
              <w:rPr>
                <w:b/>
                <w:kern w:val="0"/>
                <w:sz w:val="30"/>
                <w:szCs w:val="30"/>
              </w:rPr>
            </w:pPr>
            <w:r>
              <w:rPr>
                <w:b/>
                <w:bCs/>
                <w:kern w:val="0"/>
                <w:sz w:val="24"/>
                <w:szCs w:val="24"/>
              </w:rPr>
              <w:t>表</w:t>
            </w:r>
            <w:r>
              <w:rPr>
                <w:rFonts w:hint="eastAsia"/>
                <w:b/>
                <w:bCs/>
                <w:kern w:val="0"/>
                <w:sz w:val="24"/>
                <w:szCs w:val="24"/>
              </w:rPr>
              <w:t xml:space="preserve">3-4 </w:t>
            </w:r>
            <w:r>
              <w:rPr>
                <w:b/>
                <w:kern w:val="0"/>
                <w:sz w:val="24"/>
                <w:szCs w:val="24"/>
              </w:rPr>
              <w:t>水质监测</w:t>
            </w:r>
            <w:r>
              <w:rPr>
                <w:b/>
                <w:bCs/>
                <w:kern w:val="0"/>
                <w:sz w:val="24"/>
                <w:szCs w:val="24"/>
              </w:rPr>
              <w:t>结果  单位：</w:t>
            </w:r>
            <w:r>
              <w:rPr>
                <w:b/>
                <w:kern w:val="0"/>
                <w:sz w:val="24"/>
                <w:szCs w:val="24"/>
              </w:rPr>
              <w:t>mg/L</w:t>
            </w:r>
            <w:r>
              <w:rPr>
                <w:rFonts w:hint="eastAsia"/>
                <w:b/>
                <w:kern w:val="0"/>
                <w:sz w:val="24"/>
                <w:szCs w:val="24"/>
              </w:rPr>
              <w:t>，pH无量纲</w:t>
            </w:r>
          </w:p>
          <w:tbl>
            <w:tblPr>
              <w:tblStyle w:val="17"/>
              <w:tblW w:w="4998" w:type="pct"/>
              <w:jc w:val="center"/>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autofit"/>
              <w:tblCellMar>
                <w:top w:w="0" w:type="dxa"/>
                <w:left w:w="0" w:type="dxa"/>
                <w:bottom w:w="0" w:type="dxa"/>
                <w:right w:w="0" w:type="dxa"/>
              </w:tblCellMar>
            </w:tblPr>
            <w:tblGrid>
              <w:gridCol w:w="667"/>
              <w:gridCol w:w="954"/>
              <w:gridCol w:w="954"/>
              <w:gridCol w:w="954"/>
              <w:gridCol w:w="954"/>
              <w:gridCol w:w="954"/>
              <w:gridCol w:w="954"/>
              <w:gridCol w:w="954"/>
              <w:gridCol w:w="964"/>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cantSplit/>
                <w:trHeight w:val="340" w:hRule="atLeast"/>
                <w:jc w:val="center"/>
              </w:trPr>
              <w:tc>
                <w:tcPr>
                  <w:tcW w:w="401" w:type="pct"/>
                  <w:vMerge w:val="restar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b/>
                      <w:kern w:val="0"/>
                      <w:szCs w:val="21"/>
                    </w:rPr>
                  </w:pPr>
                  <w:r>
                    <w:rPr>
                      <w:b/>
                      <w:kern w:val="0"/>
                      <w:szCs w:val="21"/>
                    </w:rPr>
                    <w:t>采样地点</w:t>
                  </w:r>
                </w:p>
              </w:tc>
              <w:tc>
                <w:tcPr>
                  <w:tcW w:w="574" w:type="pct"/>
                  <w:vMerge w:val="restar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b/>
                      <w:kern w:val="0"/>
                      <w:szCs w:val="21"/>
                    </w:rPr>
                  </w:pPr>
                  <w:r>
                    <w:rPr>
                      <w:rFonts w:hint="eastAsia"/>
                      <w:b/>
                      <w:kern w:val="0"/>
                      <w:szCs w:val="21"/>
                    </w:rPr>
                    <w:t>检测项目</w:t>
                  </w:r>
                </w:p>
              </w:tc>
              <w:tc>
                <w:tcPr>
                  <w:tcW w:w="4024" w:type="pct"/>
                  <w:gridSpan w:val="7"/>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b/>
                      <w:kern w:val="0"/>
                      <w:szCs w:val="21"/>
                    </w:rPr>
                  </w:pPr>
                  <w:r>
                    <w:rPr>
                      <w:rFonts w:hint="eastAsia"/>
                      <w:b/>
                      <w:kern w:val="0"/>
                      <w:szCs w:val="21"/>
                    </w:rPr>
                    <w:t>检测</w:t>
                  </w:r>
                  <w:r>
                    <w:rPr>
                      <w:b/>
                      <w:kern w:val="0"/>
                      <w:szCs w:val="21"/>
                    </w:rPr>
                    <w:t>结果</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cantSplit/>
                <w:trHeight w:val="340" w:hRule="atLeast"/>
                <w:jc w:val="center"/>
              </w:trPr>
              <w:tc>
                <w:tcPr>
                  <w:tcW w:w="401" w:type="pct"/>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szCs w:val="21"/>
                    </w:rPr>
                  </w:pPr>
                </w:p>
              </w:tc>
              <w:tc>
                <w:tcPr>
                  <w:tcW w:w="574" w:type="pct"/>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szCs w:val="21"/>
                    </w:rPr>
                  </w:pPr>
                </w:p>
              </w:tc>
              <w:tc>
                <w:tcPr>
                  <w:tcW w:w="1148" w:type="pct"/>
                  <w:gridSpan w:val="2"/>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b/>
                      <w:kern w:val="0"/>
                      <w:szCs w:val="21"/>
                    </w:rPr>
                  </w:pPr>
                  <w:r>
                    <w:rPr>
                      <w:rFonts w:hint="eastAsia"/>
                      <w:b/>
                      <w:kern w:val="0"/>
                      <w:szCs w:val="21"/>
                    </w:rPr>
                    <w:t>2018年8月15日</w:t>
                  </w:r>
                </w:p>
              </w:tc>
              <w:tc>
                <w:tcPr>
                  <w:tcW w:w="1148" w:type="pct"/>
                  <w:gridSpan w:val="2"/>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b/>
                      <w:kern w:val="0"/>
                      <w:szCs w:val="21"/>
                    </w:rPr>
                  </w:pPr>
                  <w:r>
                    <w:rPr>
                      <w:rFonts w:hint="eastAsia"/>
                      <w:b/>
                      <w:kern w:val="0"/>
                      <w:szCs w:val="21"/>
                    </w:rPr>
                    <w:t>2018年08月16日</w:t>
                  </w:r>
                </w:p>
              </w:tc>
              <w:tc>
                <w:tcPr>
                  <w:tcW w:w="1148" w:type="pct"/>
                  <w:gridSpan w:val="2"/>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b/>
                      <w:kern w:val="0"/>
                      <w:szCs w:val="21"/>
                    </w:rPr>
                  </w:pPr>
                  <w:r>
                    <w:rPr>
                      <w:rFonts w:hint="eastAsia"/>
                      <w:b/>
                      <w:kern w:val="0"/>
                      <w:szCs w:val="21"/>
                    </w:rPr>
                    <w:t>2018年08月17日</w:t>
                  </w:r>
                </w:p>
              </w:tc>
              <w:tc>
                <w:tcPr>
                  <w:tcW w:w="580" w:type="pct"/>
                  <w:vMerge w:val="restar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b/>
                      <w:kern w:val="0"/>
                      <w:szCs w:val="21"/>
                    </w:rPr>
                  </w:pPr>
                  <w:r>
                    <w:rPr>
                      <w:rFonts w:hint="eastAsia"/>
                      <w:b/>
                      <w:kern w:val="0"/>
                      <w:szCs w:val="21"/>
                    </w:rPr>
                    <w:t>Ⅳ类标准</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cantSplit/>
                <w:trHeight w:val="340" w:hRule="atLeast"/>
                <w:jc w:val="center"/>
              </w:trPr>
              <w:tc>
                <w:tcPr>
                  <w:tcW w:w="401" w:type="pct"/>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szCs w:val="21"/>
                    </w:rPr>
                  </w:pPr>
                </w:p>
              </w:tc>
              <w:tc>
                <w:tcPr>
                  <w:tcW w:w="574" w:type="pct"/>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szCs w:val="21"/>
                    </w:rPr>
                  </w:pP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b/>
                      <w:kern w:val="0"/>
                      <w:szCs w:val="21"/>
                    </w:rPr>
                  </w:pPr>
                  <w:r>
                    <w:rPr>
                      <w:rFonts w:hint="eastAsia"/>
                      <w:b/>
                      <w:kern w:val="0"/>
                      <w:szCs w:val="21"/>
                    </w:rPr>
                    <w:t>上午</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b/>
                      <w:kern w:val="0"/>
                      <w:szCs w:val="21"/>
                    </w:rPr>
                  </w:pPr>
                  <w:r>
                    <w:rPr>
                      <w:rFonts w:hint="eastAsia"/>
                      <w:b/>
                      <w:kern w:val="0"/>
                      <w:szCs w:val="21"/>
                    </w:rPr>
                    <w:t>下午</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b/>
                      <w:kern w:val="0"/>
                      <w:szCs w:val="21"/>
                    </w:rPr>
                  </w:pPr>
                  <w:r>
                    <w:rPr>
                      <w:rFonts w:hint="eastAsia"/>
                      <w:b/>
                      <w:kern w:val="0"/>
                      <w:szCs w:val="21"/>
                    </w:rPr>
                    <w:t>上午</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b/>
                      <w:kern w:val="0"/>
                      <w:szCs w:val="21"/>
                    </w:rPr>
                  </w:pPr>
                  <w:r>
                    <w:rPr>
                      <w:rFonts w:hint="eastAsia"/>
                      <w:b/>
                      <w:kern w:val="0"/>
                      <w:szCs w:val="21"/>
                    </w:rPr>
                    <w:t>下午</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b/>
                      <w:kern w:val="0"/>
                      <w:szCs w:val="21"/>
                    </w:rPr>
                  </w:pPr>
                  <w:r>
                    <w:rPr>
                      <w:rFonts w:hint="eastAsia"/>
                      <w:b/>
                      <w:kern w:val="0"/>
                      <w:szCs w:val="21"/>
                    </w:rPr>
                    <w:t>上午</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b/>
                      <w:kern w:val="0"/>
                      <w:szCs w:val="21"/>
                    </w:rPr>
                  </w:pPr>
                  <w:r>
                    <w:rPr>
                      <w:rFonts w:hint="eastAsia"/>
                      <w:b/>
                      <w:kern w:val="0"/>
                      <w:szCs w:val="21"/>
                    </w:rPr>
                    <w:t>下午</w:t>
                  </w:r>
                </w:p>
              </w:tc>
              <w:tc>
                <w:tcPr>
                  <w:tcW w:w="580" w:type="pct"/>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b/>
                      <w:kern w:val="0"/>
                      <w:szCs w:val="21"/>
                    </w:rPr>
                  </w:pP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cantSplit/>
                <w:trHeight w:val="340" w:hRule="atLeast"/>
                <w:jc w:val="center"/>
              </w:trPr>
              <w:tc>
                <w:tcPr>
                  <w:tcW w:w="401" w:type="pct"/>
                  <w:vMerge w:val="restar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kern w:val="0"/>
                      <w:szCs w:val="21"/>
                    </w:rPr>
                    <w:t>W</w:t>
                  </w:r>
                  <w:r>
                    <w:rPr>
                      <w:kern w:val="0"/>
                      <w:szCs w:val="21"/>
                      <w:vertAlign w:val="subscript"/>
                    </w:rPr>
                    <w:t>1</w:t>
                  </w:r>
                  <w:r>
                    <w:rPr>
                      <w:rFonts w:hint="eastAsia"/>
                      <w:kern w:val="0"/>
                      <w:szCs w:val="21"/>
                    </w:rPr>
                    <w:t>金坛区直溪鑫鑫污水处理厂上游500m</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样品状态</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淡绿无嗅</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淡绿无嗅</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淡绿无嗅</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淡绿无嗅</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淡绿无嗅</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淡绿无嗅</w:t>
                  </w:r>
                </w:p>
              </w:tc>
              <w:tc>
                <w:tcPr>
                  <w:tcW w:w="580"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cantSplit/>
                <w:trHeight w:val="340" w:hRule="atLeast"/>
                <w:jc w:val="center"/>
              </w:trPr>
              <w:tc>
                <w:tcPr>
                  <w:tcW w:w="401" w:type="pct"/>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pH值</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8.02</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7.96</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8.02</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8.02</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8.03</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8.02</w:t>
                  </w:r>
                </w:p>
              </w:tc>
              <w:tc>
                <w:tcPr>
                  <w:tcW w:w="580"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6-9</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cantSplit/>
                <w:trHeight w:val="340" w:hRule="atLeast"/>
                <w:jc w:val="center"/>
              </w:trPr>
              <w:tc>
                <w:tcPr>
                  <w:tcW w:w="401" w:type="pct"/>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szCs w:val="21"/>
                    </w:rPr>
                  </w:pP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szCs w:val="21"/>
                    </w:rPr>
                  </w:pPr>
                  <w:r>
                    <w:rPr>
                      <w:rFonts w:hint="eastAsia"/>
                      <w:szCs w:val="21"/>
                    </w:rPr>
                    <w:t>化学需氧量</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26</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25</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27</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26</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26</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25</w:t>
                  </w:r>
                </w:p>
              </w:tc>
              <w:tc>
                <w:tcPr>
                  <w:tcW w:w="580"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kern w:val="0"/>
                      <w:szCs w:val="21"/>
                    </w:rPr>
                    <w:t>≤30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cantSplit/>
                <w:trHeight w:val="340" w:hRule="atLeast"/>
                <w:jc w:val="center"/>
              </w:trPr>
              <w:tc>
                <w:tcPr>
                  <w:tcW w:w="401" w:type="pct"/>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szCs w:val="21"/>
                    </w:rPr>
                  </w:pP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悬浮物</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27</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26</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28</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27</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25</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24</w:t>
                  </w:r>
                </w:p>
              </w:tc>
              <w:tc>
                <w:tcPr>
                  <w:tcW w:w="580"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color w:val="000000" w:themeColor="text1"/>
                      <w:szCs w:val="21"/>
                      <w14:textFill>
                        <w14:solidFill>
                          <w14:schemeClr w14:val="tx1"/>
                        </w14:solidFill>
                      </w14:textFill>
                    </w:rPr>
                    <w:t>≤60</w:t>
                  </w:r>
                  <w:r>
                    <w:rPr>
                      <w:rFonts w:hint="eastAsia"/>
                      <w:color w:val="000000" w:themeColor="text1"/>
                      <w:szCs w:val="21"/>
                      <w14:textFill>
                        <w14:solidFill>
                          <w14:schemeClr w14:val="tx1"/>
                        </w14:solidFill>
                      </w14:textFill>
                    </w:rPr>
                    <w:t>（参考）</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cantSplit/>
                <w:trHeight w:val="340" w:hRule="atLeast"/>
                <w:jc w:val="center"/>
              </w:trPr>
              <w:tc>
                <w:tcPr>
                  <w:tcW w:w="401" w:type="pct"/>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szCs w:val="21"/>
                    </w:rPr>
                  </w:pPr>
                  <w:r>
                    <w:rPr>
                      <w:rFonts w:hint="eastAsia"/>
                      <w:szCs w:val="21"/>
                    </w:rPr>
                    <w:t>5.37</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szCs w:val="21"/>
                    </w:rPr>
                  </w:pPr>
                  <w:r>
                    <w:rPr>
                      <w:rFonts w:hint="eastAsia"/>
                      <w:szCs w:val="21"/>
                    </w:rPr>
                    <w:t>氨氮</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1.22</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1.20</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1.21</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1.26</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1.23</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1.27</w:t>
                  </w:r>
                </w:p>
              </w:tc>
              <w:tc>
                <w:tcPr>
                  <w:tcW w:w="580"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bCs/>
                      <w:kern w:val="0"/>
                      <w:szCs w:val="21"/>
                    </w:rPr>
                    <w:t>≤1.5</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cantSplit/>
                <w:trHeight w:val="340" w:hRule="atLeast"/>
                <w:jc w:val="center"/>
              </w:trPr>
              <w:tc>
                <w:tcPr>
                  <w:tcW w:w="401" w:type="pct"/>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szCs w:val="21"/>
                    </w:rPr>
                  </w:pP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总磷</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0.211</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0.201</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0.204</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0.202</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0.209</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0.206</w:t>
                  </w:r>
                </w:p>
              </w:tc>
              <w:tc>
                <w:tcPr>
                  <w:tcW w:w="580"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bCs/>
                      <w:kern w:val="0"/>
                      <w:szCs w:val="21"/>
                    </w:rPr>
                    <w:t>≤</w:t>
                  </w:r>
                  <w:r>
                    <w:rPr>
                      <w:rFonts w:hint="eastAsia"/>
                      <w:bCs/>
                      <w:kern w:val="0"/>
                      <w:szCs w:val="21"/>
                    </w:rPr>
                    <w:t>0.3</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cantSplit/>
                <w:trHeight w:val="340" w:hRule="atLeast"/>
                <w:jc w:val="center"/>
              </w:trPr>
              <w:tc>
                <w:tcPr>
                  <w:tcW w:w="401" w:type="pct"/>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szCs w:val="21"/>
                    </w:rPr>
                  </w:pP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szCs w:val="21"/>
                    </w:rPr>
                  </w:pPr>
                  <w:r>
                    <w:rPr>
                      <w:rFonts w:hint="eastAsia"/>
                      <w:kern w:val="0"/>
                      <w:szCs w:val="21"/>
                    </w:rPr>
                    <w:t>石油类</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0.22</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0.23</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0.13</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0.16</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0.17</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0.19</w:t>
                  </w:r>
                </w:p>
              </w:tc>
              <w:tc>
                <w:tcPr>
                  <w:tcW w:w="580"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kern w:val="0"/>
                      <w:szCs w:val="21"/>
                    </w:rPr>
                    <w:t>≤0.5</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cantSplit/>
                <w:trHeight w:val="340" w:hRule="atLeast"/>
                <w:jc w:val="center"/>
              </w:trPr>
              <w:tc>
                <w:tcPr>
                  <w:tcW w:w="401" w:type="pct"/>
                  <w:vMerge w:val="restar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szCs w:val="21"/>
                    </w:rPr>
                  </w:pPr>
                  <w:r>
                    <w:rPr>
                      <w:kern w:val="0"/>
                      <w:szCs w:val="21"/>
                    </w:rPr>
                    <w:t>W</w:t>
                  </w:r>
                  <w:r>
                    <w:rPr>
                      <w:rFonts w:hint="eastAsia"/>
                      <w:kern w:val="0"/>
                      <w:szCs w:val="21"/>
                      <w:vertAlign w:val="subscript"/>
                    </w:rPr>
                    <w:t>2</w:t>
                  </w:r>
                  <w:r>
                    <w:rPr>
                      <w:rFonts w:hint="eastAsia"/>
                      <w:kern w:val="0"/>
                      <w:szCs w:val="21"/>
                    </w:rPr>
                    <w:t>金坛区直溪鑫鑫污水处理厂下游1500m</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样品状态</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淡绿无嗅</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淡绿无嗅</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淡绿无嗅</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淡绿无嗅</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淡绿无嗅</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淡绿无嗅</w:t>
                  </w:r>
                </w:p>
              </w:tc>
              <w:tc>
                <w:tcPr>
                  <w:tcW w:w="580"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cantSplit/>
                <w:trHeight w:val="340" w:hRule="atLeast"/>
                <w:jc w:val="center"/>
              </w:trPr>
              <w:tc>
                <w:tcPr>
                  <w:tcW w:w="401" w:type="pct"/>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szCs w:val="21"/>
                    </w:rPr>
                  </w:pP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szCs w:val="21"/>
                    </w:rPr>
                  </w:pPr>
                  <w:r>
                    <w:rPr>
                      <w:rFonts w:hint="eastAsia"/>
                      <w:kern w:val="0"/>
                      <w:szCs w:val="21"/>
                    </w:rPr>
                    <w:t>pH值</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8.01</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7.96</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7.99</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8.00</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8.05</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7.99</w:t>
                  </w:r>
                </w:p>
              </w:tc>
              <w:tc>
                <w:tcPr>
                  <w:tcW w:w="580"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6-9</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cantSplit/>
                <w:trHeight w:val="340" w:hRule="atLeast"/>
                <w:jc w:val="center"/>
              </w:trPr>
              <w:tc>
                <w:tcPr>
                  <w:tcW w:w="401" w:type="pct"/>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szCs w:val="21"/>
                    </w:rPr>
                  </w:pP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szCs w:val="21"/>
                    </w:rPr>
                  </w:pPr>
                  <w:r>
                    <w:rPr>
                      <w:rFonts w:hint="eastAsia"/>
                      <w:szCs w:val="21"/>
                    </w:rPr>
                    <w:t>化学需氧量</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25</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25</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28</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26</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25</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25</w:t>
                  </w:r>
                </w:p>
              </w:tc>
              <w:tc>
                <w:tcPr>
                  <w:tcW w:w="580"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kern w:val="0"/>
                      <w:szCs w:val="21"/>
                    </w:rPr>
                    <w:t>≤30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cantSplit/>
                <w:trHeight w:val="340" w:hRule="atLeast"/>
                <w:jc w:val="center"/>
              </w:trPr>
              <w:tc>
                <w:tcPr>
                  <w:tcW w:w="401" w:type="pct"/>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szCs w:val="21"/>
                    </w:rPr>
                  </w:pP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szCs w:val="21"/>
                    </w:rPr>
                  </w:pPr>
                  <w:r>
                    <w:rPr>
                      <w:rFonts w:hint="eastAsia"/>
                      <w:kern w:val="0"/>
                      <w:szCs w:val="21"/>
                    </w:rPr>
                    <w:t>悬浮物</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24</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24</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22</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23</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22</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25</w:t>
                  </w:r>
                </w:p>
              </w:tc>
              <w:tc>
                <w:tcPr>
                  <w:tcW w:w="580"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color w:val="000000" w:themeColor="text1"/>
                      <w:szCs w:val="21"/>
                      <w14:textFill>
                        <w14:solidFill>
                          <w14:schemeClr w14:val="tx1"/>
                        </w14:solidFill>
                      </w14:textFill>
                    </w:rPr>
                    <w:t>≤60</w:t>
                  </w:r>
                  <w:r>
                    <w:rPr>
                      <w:rFonts w:hint="eastAsia"/>
                      <w:color w:val="000000" w:themeColor="text1"/>
                      <w:szCs w:val="21"/>
                      <w14:textFill>
                        <w14:solidFill>
                          <w14:schemeClr w14:val="tx1"/>
                        </w14:solidFill>
                      </w14:textFill>
                    </w:rPr>
                    <w:t>（参考）</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cantSplit/>
                <w:trHeight w:val="340" w:hRule="atLeast"/>
                <w:jc w:val="center"/>
              </w:trPr>
              <w:tc>
                <w:tcPr>
                  <w:tcW w:w="401" w:type="pct"/>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szCs w:val="21"/>
                    </w:rPr>
                  </w:pP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szCs w:val="21"/>
                    </w:rPr>
                  </w:pPr>
                  <w:r>
                    <w:rPr>
                      <w:rFonts w:hint="eastAsia"/>
                      <w:szCs w:val="21"/>
                    </w:rPr>
                    <w:t>氨氮</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1.36</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1.38</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1.34</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1.40</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1.33</w:t>
                  </w:r>
                </w:p>
              </w:tc>
              <w:tc>
                <w:tcPr>
                  <w:tcW w:w="574"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rFonts w:hint="eastAsia"/>
                      <w:kern w:val="0"/>
                      <w:szCs w:val="21"/>
                    </w:rPr>
                    <w:t>1.35</w:t>
                  </w:r>
                </w:p>
              </w:tc>
              <w:tc>
                <w:tcPr>
                  <w:tcW w:w="580" w:type="pc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right="0"/>
                    <w:jc w:val="center"/>
                    <w:textAlignment w:val="auto"/>
                    <w:rPr>
                      <w:kern w:val="0"/>
                      <w:szCs w:val="21"/>
                    </w:rPr>
                  </w:pPr>
                  <w:r>
                    <w:rPr>
                      <w:bCs/>
                      <w:kern w:val="0"/>
                      <w:szCs w:val="21"/>
                    </w:rPr>
                    <w:t>≤1.5</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cantSplit/>
                <w:trHeight w:val="340" w:hRule="atLeast"/>
                <w:jc w:val="center"/>
              </w:trPr>
              <w:tc>
                <w:tcPr>
                  <w:tcW w:w="401" w:type="pct"/>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szCs w:val="21"/>
                    </w:rPr>
                  </w:pP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szCs w:val="21"/>
                    </w:rPr>
                  </w:pPr>
                  <w:r>
                    <w:rPr>
                      <w:rFonts w:hint="eastAsia"/>
                      <w:kern w:val="0"/>
                      <w:szCs w:val="21"/>
                    </w:rPr>
                    <w:t>总磷</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0.204</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0.205</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0.231</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0.227</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0.243</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0.229</w:t>
                  </w:r>
                </w:p>
              </w:tc>
              <w:tc>
                <w:tcPr>
                  <w:tcW w:w="580"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bCs/>
                      <w:kern w:val="0"/>
                      <w:szCs w:val="21"/>
                    </w:rPr>
                    <w:t>≤</w:t>
                  </w:r>
                  <w:r>
                    <w:rPr>
                      <w:rFonts w:hint="eastAsia"/>
                      <w:bCs/>
                      <w:kern w:val="0"/>
                      <w:szCs w:val="21"/>
                    </w:rPr>
                    <w:t>0.3</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0" w:type="dxa"/>
                  <w:bottom w:w="0" w:type="dxa"/>
                  <w:right w:w="0" w:type="dxa"/>
                </w:tblCellMar>
              </w:tblPrEx>
              <w:trPr>
                <w:cantSplit/>
                <w:trHeight w:val="340" w:hRule="atLeast"/>
                <w:jc w:val="center"/>
              </w:trPr>
              <w:tc>
                <w:tcPr>
                  <w:tcW w:w="401" w:type="pct"/>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szCs w:val="21"/>
                    </w:rPr>
                  </w:pP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szCs w:val="21"/>
                    </w:rPr>
                  </w:pPr>
                  <w:r>
                    <w:rPr>
                      <w:rFonts w:hint="eastAsia"/>
                      <w:kern w:val="0"/>
                      <w:szCs w:val="21"/>
                    </w:rPr>
                    <w:t>石油类</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0.05</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0.05</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0.04</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0.05</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0.05</w:t>
                  </w:r>
                </w:p>
              </w:tc>
              <w:tc>
                <w:tcPr>
                  <w:tcW w:w="574"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rFonts w:hint="eastAsia"/>
                      <w:kern w:val="0"/>
                      <w:szCs w:val="21"/>
                    </w:rPr>
                    <w:t>0.05</w:t>
                  </w:r>
                </w:p>
              </w:tc>
              <w:tc>
                <w:tcPr>
                  <w:tcW w:w="580" w:type="pct"/>
                  <w:vAlign w:val="center"/>
                </w:tcPr>
                <w:p>
                  <w:pPr>
                    <w:keepNext w:val="0"/>
                    <w:keepLines w:val="0"/>
                    <w:pageBreakBefore w:val="0"/>
                    <w:widowControl w:val="0"/>
                    <w:kinsoku/>
                    <w:wordWrap/>
                    <w:overflowPunct/>
                    <w:topLinePunct w:val="0"/>
                    <w:autoSpaceDE/>
                    <w:autoSpaceDN/>
                    <w:bidi w:val="0"/>
                    <w:spacing w:before="63" w:beforeLines="20" w:after="63" w:afterLines="20"/>
                    <w:ind w:right="0"/>
                    <w:jc w:val="center"/>
                    <w:textAlignment w:val="auto"/>
                    <w:rPr>
                      <w:kern w:val="0"/>
                      <w:szCs w:val="21"/>
                    </w:rPr>
                  </w:pPr>
                  <w:r>
                    <w:rPr>
                      <w:kern w:val="0"/>
                      <w:szCs w:val="21"/>
                    </w:rPr>
                    <w:t>≤0.5</w:t>
                  </w:r>
                </w:p>
              </w:tc>
            </w:tr>
          </w:tbl>
          <w:p>
            <w:pPr>
              <w:spacing w:line="360" w:lineRule="auto"/>
              <w:ind w:firstLine="480" w:firstLineChars="200"/>
              <w:textAlignment w:val="baseline"/>
              <w:rPr>
                <w:b/>
                <w:kern w:val="28"/>
                <w:sz w:val="24"/>
              </w:rPr>
            </w:pPr>
            <w:r>
              <w:rPr>
                <w:bCs/>
                <w:kern w:val="0"/>
                <w:sz w:val="24"/>
              </w:rPr>
              <w:t>监测数据表明，</w:t>
            </w:r>
            <w:r>
              <w:rPr>
                <w:rFonts w:hint="eastAsia"/>
                <w:bCs/>
                <w:kern w:val="0"/>
                <w:sz w:val="24"/>
              </w:rPr>
              <w:t>通济河</w:t>
            </w:r>
            <w:r>
              <w:rPr>
                <w:bCs/>
                <w:kern w:val="0"/>
                <w:sz w:val="24"/>
              </w:rPr>
              <w:t>现状监测因子均能满足《地表水环境质量标准》（GB3838-2002）中</w:t>
            </w:r>
            <w:r>
              <w:rPr>
                <w:rFonts w:hint="eastAsia" w:ascii="宋体" w:hAnsi="宋体" w:cs="宋体"/>
                <w:bCs/>
                <w:kern w:val="0"/>
                <w:sz w:val="24"/>
              </w:rPr>
              <w:t>Ⅳ</w:t>
            </w:r>
            <w:r>
              <w:rPr>
                <w:bCs/>
                <w:kern w:val="0"/>
                <w:sz w:val="24"/>
              </w:rPr>
              <w:t>类标准。因此，项目地表水评价范围水环境水质良好，达Ⅳ类功能区要求。</w:t>
            </w:r>
          </w:p>
          <w:p>
            <w:pPr>
              <w:spacing w:line="360" w:lineRule="auto"/>
              <w:ind w:firstLine="480" w:firstLineChars="200"/>
              <w:textAlignment w:val="baseline"/>
              <w:rPr>
                <w:b/>
                <w:kern w:val="28"/>
                <w:sz w:val="24"/>
              </w:rPr>
            </w:pPr>
            <w:r>
              <w:rPr>
                <w:b/>
                <w:kern w:val="28"/>
                <w:sz w:val="24"/>
              </w:rPr>
              <w:t>3、噪声环境质量现状</w:t>
            </w:r>
          </w:p>
          <w:p>
            <w:pPr>
              <w:spacing w:line="360" w:lineRule="auto"/>
              <w:ind w:firstLine="501" w:firstLineChars="209"/>
              <w:rPr>
                <w:color w:val="auto"/>
                <w:sz w:val="24"/>
                <w:szCs w:val="24"/>
              </w:rPr>
            </w:pPr>
            <w:r>
              <w:rPr>
                <w:color w:val="auto"/>
                <w:sz w:val="24"/>
                <w:szCs w:val="24"/>
              </w:rPr>
              <w:t>本项目委托青山绿水（江苏）检验检测有限公司对项目厂界四周声环境质量现状进行检测，检测编号为：</w:t>
            </w:r>
            <w:r>
              <w:rPr>
                <w:rFonts w:hint="eastAsia"/>
                <w:color w:val="auto"/>
                <w:sz w:val="24"/>
                <w:szCs w:val="24"/>
                <w:lang w:eastAsia="zh-CN"/>
              </w:rPr>
              <w:t>“</w:t>
            </w:r>
            <w:r>
              <w:rPr>
                <w:color w:val="auto"/>
                <w:sz w:val="24"/>
                <w:szCs w:val="24"/>
              </w:rPr>
              <w:t>CQHH</w:t>
            </w:r>
            <w:r>
              <w:rPr>
                <w:rFonts w:hint="eastAsia"/>
                <w:color w:val="auto"/>
                <w:sz w:val="24"/>
                <w:szCs w:val="24"/>
              </w:rPr>
              <w:t>200</w:t>
            </w:r>
            <w:r>
              <w:rPr>
                <w:rFonts w:hint="eastAsia"/>
                <w:color w:val="auto"/>
                <w:sz w:val="24"/>
                <w:szCs w:val="24"/>
                <w:lang w:val="en-US" w:eastAsia="zh-CN"/>
              </w:rPr>
              <w:t>383</w:t>
            </w:r>
            <w:r>
              <w:rPr>
                <w:rFonts w:hint="eastAsia"/>
                <w:color w:val="auto"/>
                <w:sz w:val="24"/>
                <w:szCs w:val="24"/>
                <w:lang w:eastAsia="zh-CN"/>
              </w:rPr>
              <w:t>”</w:t>
            </w:r>
            <w:r>
              <w:rPr>
                <w:color w:val="auto"/>
                <w:sz w:val="24"/>
                <w:szCs w:val="24"/>
              </w:rPr>
              <w:t>监测时间为20</w:t>
            </w:r>
            <w:r>
              <w:rPr>
                <w:rFonts w:hint="eastAsia"/>
                <w:color w:val="auto"/>
                <w:sz w:val="24"/>
                <w:szCs w:val="24"/>
                <w:lang w:val="en-US" w:eastAsia="zh-CN"/>
              </w:rPr>
              <w:t>20</w:t>
            </w:r>
            <w:r>
              <w:rPr>
                <w:color w:val="auto"/>
                <w:sz w:val="24"/>
                <w:szCs w:val="24"/>
              </w:rPr>
              <w:t>年</w:t>
            </w:r>
            <w:r>
              <w:rPr>
                <w:rFonts w:hint="eastAsia"/>
                <w:color w:val="auto"/>
                <w:sz w:val="24"/>
                <w:szCs w:val="24"/>
                <w:lang w:val="en-US" w:eastAsia="zh-CN"/>
              </w:rPr>
              <w:t>4</w:t>
            </w:r>
            <w:r>
              <w:rPr>
                <w:color w:val="auto"/>
                <w:sz w:val="24"/>
                <w:szCs w:val="24"/>
              </w:rPr>
              <w:t>月</w:t>
            </w:r>
            <w:r>
              <w:rPr>
                <w:rFonts w:hint="eastAsia"/>
                <w:color w:val="auto"/>
                <w:sz w:val="24"/>
                <w:szCs w:val="24"/>
              </w:rPr>
              <w:t>2</w:t>
            </w:r>
            <w:r>
              <w:rPr>
                <w:rFonts w:hint="eastAsia"/>
                <w:color w:val="auto"/>
                <w:sz w:val="24"/>
                <w:szCs w:val="24"/>
                <w:lang w:val="en-US" w:eastAsia="zh-CN"/>
              </w:rPr>
              <w:t>9</w:t>
            </w:r>
            <w:r>
              <w:rPr>
                <w:color w:val="auto"/>
                <w:sz w:val="24"/>
                <w:szCs w:val="24"/>
              </w:rPr>
              <w:t>日</w:t>
            </w:r>
            <w:r>
              <w:rPr>
                <w:rFonts w:hint="eastAsia"/>
                <w:color w:val="auto"/>
                <w:sz w:val="24"/>
                <w:szCs w:val="24"/>
              </w:rPr>
              <w:t>--</w:t>
            </w:r>
            <w:r>
              <w:rPr>
                <w:rFonts w:hint="eastAsia"/>
                <w:color w:val="auto"/>
                <w:sz w:val="24"/>
                <w:szCs w:val="24"/>
                <w:lang w:val="en-US" w:eastAsia="zh-CN"/>
              </w:rPr>
              <w:t>30</w:t>
            </w:r>
            <w:r>
              <w:rPr>
                <w:color w:val="auto"/>
                <w:sz w:val="24"/>
                <w:szCs w:val="24"/>
              </w:rPr>
              <w:t>日。监测数据如下表3-</w:t>
            </w:r>
            <w:r>
              <w:rPr>
                <w:rFonts w:hint="eastAsia"/>
                <w:color w:val="auto"/>
                <w:sz w:val="24"/>
                <w:szCs w:val="24"/>
              </w:rPr>
              <w:t>5</w:t>
            </w:r>
            <w:r>
              <w:rPr>
                <w:color w:val="auto"/>
                <w:sz w:val="24"/>
                <w:szCs w:val="24"/>
              </w:rPr>
              <w:t>（检测报告见附件）。</w:t>
            </w:r>
          </w:p>
          <w:p>
            <w:pPr>
              <w:ind w:firstLine="501" w:firstLineChars="209"/>
              <w:jc w:val="center"/>
              <w:rPr>
                <w:color w:val="auto"/>
                <w:sz w:val="24"/>
                <w:szCs w:val="24"/>
              </w:rPr>
            </w:pPr>
            <w:r>
              <w:rPr>
                <w:rFonts w:hint="eastAsia"/>
                <w:b/>
                <w:color w:val="auto"/>
                <w:sz w:val="24"/>
                <w:szCs w:val="24"/>
              </w:rPr>
              <w:t>表3-5  噪声</w:t>
            </w:r>
            <w:r>
              <w:rPr>
                <w:b/>
                <w:color w:val="auto"/>
                <w:sz w:val="24"/>
                <w:szCs w:val="24"/>
              </w:rPr>
              <w:t>现状监测结果</w:t>
            </w:r>
            <w:r>
              <w:rPr>
                <w:rFonts w:hint="eastAsia"/>
                <w:b/>
                <w:color w:val="auto"/>
                <w:sz w:val="24"/>
                <w:szCs w:val="24"/>
              </w:rPr>
              <w:t xml:space="preserve">  单位：dB（A）</w:t>
            </w:r>
          </w:p>
          <w:tbl>
            <w:tblPr>
              <w:tblStyle w:val="17"/>
              <w:tblW w:w="831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11"/>
              <w:gridCol w:w="1920"/>
              <w:gridCol w:w="1530"/>
              <w:gridCol w:w="1785"/>
              <w:gridCol w:w="166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11" w:type="dxa"/>
                  <w:vMerge w:val="restart"/>
                  <w:vAlign w:val="center"/>
                </w:tcPr>
                <w:p>
                  <w:pPr>
                    <w:keepNext w:val="0"/>
                    <w:keepLines w:val="0"/>
                    <w:pageBreakBefore w:val="0"/>
                    <w:widowControl w:val="0"/>
                    <w:kinsoku/>
                    <w:wordWrap/>
                    <w:overflowPunct/>
                    <w:topLinePunct w:val="0"/>
                    <w:autoSpaceDE/>
                    <w:autoSpaceDN/>
                    <w:bidi w:val="0"/>
                    <w:spacing w:before="63" w:beforeLines="20" w:after="63" w:afterLines="20" w:line="240" w:lineRule="auto"/>
                    <w:jc w:val="center"/>
                    <w:textAlignment w:val="auto"/>
                    <w:rPr>
                      <w:b/>
                      <w:color w:val="auto"/>
                      <w:szCs w:val="21"/>
                    </w:rPr>
                  </w:pPr>
                  <w:r>
                    <w:rPr>
                      <w:b/>
                      <w:color w:val="auto"/>
                      <w:szCs w:val="21"/>
                    </w:rPr>
                    <w:t>监测点位</w:t>
                  </w:r>
                </w:p>
              </w:tc>
              <w:tc>
                <w:tcPr>
                  <w:tcW w:w="6901" w:type="dxa"/>
                  <w:gridSpan w:val="4"/>
                  <w:vAlign w:val="center"/>
                </w:tcPr>
                <w:p>
                  <w:pPr>
                    <w:keepNext w:val="0"/>
                    <w:keepLines w:val="0"/>
                    <w:pageBreakBefore w:val="0"/>
                    <w:widowControl w:val="0"/>
                    <w:kinsoku/>
                    <w:wordWrap/>
                    <w:overflowPunct/>
                    <w:topLinePunct w:val="0"/>
                    <w:autoSpaceDE/>
                    <w:autoSpaceDN/>
                    <w:bidi w:val="0"/>
                    <w:spacing w:before="63" w:beforeLines="20" w:after="63" w:afterLines="20" w:line="240" w:lineRule="auto"/>
                    <w:jc w:val="center"/>
                    <w:textAlignment w:val="auto"/>
                    <w:rPr>
                      <w:b/>
                      <w:color w:val="auto"/>
                      <w:szCs w:val="21"/>
                    </w:rPr>
                  </w:pPr>
                  <w:r>
                    <w:rPr>
                      <w:rFonts w:hint="eastAsia"/>
                      <w:b/>
                      <w:color w:val="auto"/>
                      <w:szCs w:val="21"/>
                    </w:rPr>
                    <w:t>检测结果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11"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line="240" w:lineRule="auto"/>
                    <w:jc w:val="center"/>
                    <w:textAlignment w:val="auto"/>
                    <w:rPr>
                      <w:b/>
                      <w:color w:val="auto"/>
                      <w:szCs w:val="21"/>
                    </w:rPr>
                  </w:pPr>
                </w:p>
              </w:tc>
              <w:tc>
                <w:tcPr>
                  <w:tcW w:w="3450" w:type="dxa"/>
                  <w:gridSpan w:val="2"/>
                  <w:vAlign w:val="center"/>
                </w:tcPr>
                <w:p>
                  <w:pPr>
                    <w:keepNext w:val="0"/>
                    <w:keepLines w:val="0"/>
                    <w:pageBreakBefore w:val="0"/>
                    <w:widowControl w:val="0"/>
                    <w:kinsoku/>
                    <w:wordWrap/>
                    <w:overflowPunct/>
                    <w:topLinePunct w:val="0"/>
                    <w:autoSpaceDE/>
                    <w:autoSpaceDN/>
                    <w:bidi w:val="0"/>
                    <w:spacing w:before="63" w:beforeLines="20" w:after="63" w:afterLines="20" w:line="240" w:lineRule="auto"/>
                    <w:textAlignment w:val="auto"/>
                    <w:rPr>
                      <w:b/>
                      <w:bCs/>
                      <w:color w:val="auto"/>
                      <w:szCs w:val="21"/>
                    </w:rPr>
                  </w:pPr>
                  <w:r>
                    <w:rPr>
                      <w:rFonts w:hint="eastAsia"/>
                      <w:b/>
                      <w:bCs/>
                      <w:color w:val="auto"/>
                      <w:szCs w:val="21"/>
                    </w:rPr>
                    <w:t>检测日期：2020年2月24日</w:t>
                  </w:r>
                </w:p>
              </w:tc>
              <w:tc>
                <w:tcPr>
                  <w:tcW w:w="3451" w:type="dxa"/>
                  <w:gridSpan w:val="2"/>
                  <w:vAlign w:val="center"/>
                </w:tcPr>
                <w:p>
                  <w:pPr>
                    <w:keepNext w:val="0"/>
                    <w:keepLines w:val="0"/>
                    <w:pageBreakBefore w:val="0"/>
                    <w:widowControl w:val="0"/>
                    <w:kinsoku/>
                    <w:wordWrap/>
                    <w:overflowPunct/>
                    <w:topLinePunct w:val="0"/>
                    <w:autoSpaceDE/>
                    <w:autoSpaceDN/>
                    <w:bidi w:val="0"/>
                    <w:spacing w:before="63" w:beforeLines="20" w:after="63" w:afterLines="20" w:line="240" w:lineRule="auto"/>
                    <w:jc w:val="center"/>
                    <w:textAlignment w:val="auto"/>
                    <w:rPr>
                      <w:b/>
                      <w:bCs/>
                      <w:color w:val="auto"/>
                      <w:szCs w:val="21"/>
                    </w:rPr>
                  </w:pPr>
                  <w:r>
                    <w:rPr>
                      <w:rFonts w:hint="eastAsia"/>
                      <w:b/>
                      <w:bCs/>
                      <w:color w:val="auto"/>
                      <w:szCs w:val="21"/>
                    </w:rPr>
                    <w:t>检测日期：2020年2月25日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11"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line="240" w:lineRule="auto"/>
                    <w:jc w:val="center"/>
                    <w:textAlignment w:val="auto"/>
                    <w:rPr>
                      <w:b/>
                      <w:color w:val="auto"/>
                      <w:szCs w:val="21"/>
                    </w:rPr>
                  </w:pPr>
                </w:p>
              </w:tc>
              <w:tc>
                <w:tcPr>
                  <w:tcW w:w="1920" w:type="dxa"/>
                  <w:vAlign w:val="center"/>
                </w:tcPr>
                <w:p>
                  <w:pPr>
                    <w:keepNext w:val="0"/>
                    <w:keepLines w:val="0"/>
                    <w:pageBreakBefore w:val="0"/>
                    <w:widowControl w:val="0"/>
                    <w:kinsoku/>
                    <w:wordWrap/>
                    <w:overflowPunct/>
                    <w:topLinePunct w:val="0"/>
                    <w:autoSpaceDE/>
                    <w:autoSpaceDN/>
                    <w:bidi w:val="0"/>
                    <w:spacing w:before="63" w:beforeLines="20" w:after="63" w:afterLines="20" w:line="240" w:lineRule="auto"/>
                    <w:jc w:val="center"/>
                    <w:textAlignment w:val="auto"/>
                    <w:rPr>
                      <w:b/>
                      <w:bCs/>
                      <w:color w:val="auto"/>
                      <w:szCs w:val="21"/>
                    </w:rPr>
                  </w:pPr>
                  <w:r>
                    <w:rPr>
                      <w:rFonts w:hint="eastAsia"/>
                      <w:b/>
                      <w:bCs/>
                      <w:color w:val="auto"/>
                      <w:szCs w:val="21"/>
                    </w:rPr>
                    <w:t>昼间</w:t>
                  </w:r>
                </w:p>
              </w:tc>
              <w:tc>
                <w:tcPr>
                  <w:tcW w:w="1530" w:type="dxa"/>
                  <w:vAlign w:val="center"/>
                </w:tcPr>
                <w:p>
                  <w:pPr>
                    <w:keepNext w:val="0"/>
                    <w:keepLines w:val="0"/>
                    <w:pageBreakBefore w:val="0"/>
                    <w:widowControl w:val="0"/>
                    <w:kinsoku/>
                    <w:wordWrap/>
                    <w:overflowPunct/>
                    <w:topLinePunct w:val="0"/>
                    <w:autoSpaceDE/>
                    <w:autoSpaceDN/>
                    <w:bidi w:val="0"/>
                    <w:spacing w:before="63" w:beforeLines="20" w:after="63" w:afterLines="20" w:line="240" w:lineRule="auto"/>
                    <w:jc w:val="center"/>
                    <w:textAlignment w:val="auto"/>
                    <w:rPr>
                      <w:b/>
                      <w:bCs/>
                      <w:color w:val="auto"/>
                      <w:szCs w:val="21"/>
                    </w:rPr>
                  </w:pPr>
                  <w:r>
                    <w:rPr>
                      <w:rFonts w:hint="eastAsia"/>
                      <w:b/>
                      <w:bCs/>
                      <w:color w:val="auto"/>
                      <w:szCs w:val="21"/>
                    </w:rPr>
                    <w:t>夜间</w:t>
                  </w:r>
                </w:p>
              </w:tc>
              <w:tc>
                <w:tcPr>
                  <w:tcW w:w="1785" w:type="dxa"/>
                  <w:vAlign w:val="center"/>
                </w:tcPr>
                <w:p>
                  <w:pPr>
                    <w:keepNext w:val="0"/>
                    <w:keepLines w:val="0"/>
                    <w:pageBreakBefore w:val="0"/>
                    <w:widowControl w:val="0"/>
                    <w:kinsoku/>
                    <w:wordWrap/>
                    <w:overflowPunct/>
                    <w:topLinePunct w:val="0"/>
                    <w:autoSpaceDE/>
                    <w:autoSpaceDN/>
                    <w:bidi w:val="0"/>
                    <w:spacing w:before="63" w:beforeLines="20" w:after="63" w:afterLines="20" w:line="240" w:lineRule="auto"/>
                    <w:jc w:val="center"/>
                    <w:textAlignment w:val="auto"/>
                    <w:rPr>
                      <w:b/>
                      <w:bCs/>
                      <w:color w:val="auto"/>
                      <w:szCs w:val="21"/>
                    </w:rPr>
                  </w:pPr>
                  <w:r>
                    <w:rPr>
                      <w:rFonts w:hint="eastAsia"/>
                      <w:b/>
                      <w:bCs/>
                      <w:color w:val="auto"/>
                      <w:szCs w:val="21"/>
                    </w:rPr>
                    <w:t>昼间</w:t>
                  </w:r>
                </w:p>
              </w:tc>
              <w:tc>
                <w:tcPr>
                  <w:tcW w:w="1666" w:type="dxa"/>
                  <w:vAlign w:val="center"/>
                </w:tcPr>
                <w:p>
                  <w:pPr>
                    <w:keepNext w:val="0"/>
                    <w:keepLines w:val="0"/>
                    <w:pageBreakBefore w:val="0"/>
                    <w:widowControl w:val="0"/>
                    <w:kinsoku/>
                    <w:wordWrap/>
                    <w:overflowPunct/>
                    <w:topLinePunct w:val="0"/>
                    <w:autoSpaceDE/>
                    <w:autoSpaceDN/>
                    <w:bidi w:val="0"/>
                    <w:spacing w:before="63" w:beforeLines="20" w:after="63" w:afterLines="20" w:line="240" w:lineRule="auto"/>
                    <w:jc w:val="center"/>
                    <w:textAlignment w:val="auto"/>
                    <w:rPr>
                      <w:b/>
                      <w:bCs/>
                      <w:color w:val="auto"/>
                      <w:szCs w:val="21"/>
                    </w:rPr>
                  </w:pPr>
                  <w:r>
                    <w:rPr>
                      <w:rFonts w:hint="eastAsia"/>
                      <w:b/>
                      <w:bCs/>
                      <w:color w:val="auto"/>
                      <w:szCs w:val="21"/>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1411" w:type="dxa"/>
                  <w:vAlign w:val="center"/>
                </w:tcPr>
                <w:p>
                  <w:pPr>
                    <w:keepNext w:val="0"/>
                    <w:keepLines w:val="0"/>
                    <w:pageBreakBefore w:val="0"/>
                    <w:widowControl w:val="0"/>
                    <w:kinsoku/>
                    <w:wordWrap/>
                    <w:overflowPunct/>
                    <w:topLinePunct w:val="0"/>
                    <w:autoSpaceDE/>
                    <w:autoSpaceDN/>
                    <w:bidi w:val="0"/>
                    <w:spacing w:before="63" w:beforeLines="20" w:after="63" w:afterLines="20" w:line="240" w:lineRule="auto"/>
                    <w:jc w:val="center"/>
                    <w:textAlignment w:val="auto"/>
                    <w:rPr>
                      <w:color w:val="auto"/>
                      <w:szCs w:val="21"/>
                    </w:rPr>
                  </w:pPr>
                  <w:r>
                    <w:rPr>
                      <w:color w:val="auto"/>
                      <w:szCs w:val="21"/>
                    </w:rPr>
                    <w:t>N1</w:t>
                  </w:r>
                  <w:r>
                    <w:rPr>
                      <w:rFonts w:hint="eastAsia"/>
                      <w:color w:val="auto"/>
                      <w:szCs w:val="21"/>
                    </w:rPr>
                    <w:t>（东厂界）</w:t>
                  </w:r>
                </w:p>
              </w:tc>
              <w:tc>
                <w:tcPr>
                  <w:tcW w:w="1920"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240" w:lineRule="auto"/>
                    <w:jc w:val="center"/>
                    <w:textAlignment w:val="auto"/>
                    <w:rPr>
                      <w:rFonts w:hint="default" w:eastAsia="宋体"/>
                      <w:color w:val="auto"/>
                      <w:szCs w:val="21"/>
                      <w:lang w:val="en-US" w:eastAsia="zh-CN"/>
                    </w:rPr>
                  </w:pPr>
                  <w:r>
                    <w:rPr>
                      <w:rFonts w:hint="eastAsia"/>
                      <w:color w:val="auto"/>
                      <w:szCs w:val="21"/>
                      <w:lang w:val="en-US" w:eastAsia="zh-CN"/>
                    </w:rPr>
                    <w:t>53.6</w:t>
                  </w:r>
                </w:p>
              </w:tc>
              <w:tc>
                <w:tcPr>
                  <w:tcW w:w="1530"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240" w:lineRule="auto"/>
                    <w:jc w:val="center"/>
                    <w:textAlignment w:val="auto"/>
                    <w:rPr>
                      <w:rFonts w:hint="default" w:eastAsia="宋体"/>
                      <w:color w:val="auto"/>
                      <w:szCs w:val="21"/>
                      <w:lang w:val="en-US" w:eastAsia="zh-CN"/>
                    </w:rPr>
                  </w:pPr>
                  <w:r>
                    <w:rPr>
                      <w:rFonts w:hint="eastAsia"/>
                      <w:color w:val="auto"/>
                      <w:szCs w:val="21"/>
                    </w:rPr>
                    <w:t>4</w:t>
                  </w:r>
                  <w:r>
                    <w:rPr>
                      <w:rFonts w:hint="eastAsia"/>
                      <w:color w:val="auto"/>
                      <w:szCs w:val="21"/>
                      <w:lang w:val="en-US" w:eastAsia="zh-CN"/>
                    </w:rPr>
                    <w:t>3.9</w:t>
                  </w:r>
                </w:p>
              </w:tc>
              <w:tc>
                <w:tcPr>
                  <w:tcW w:w="1785" w:type="dxa"/>
                  <w:vAlign w:val="center"/>
                </w:tcPr>
                <w:p>
                  <w:pPr>
                    <w:keepNext w:val="0"/>
                    <w:keepLines w:val="0"/>
                    <w:pageBreakBefore w:val="0"/>
                    <w:widowControl w:val="0"/>
                    <w:kinsoku/>
                    <w:wordWrap/>
                    <w:overflowPunct/>
                    <w:topLinePunct w:val="0"/>
                    <w:autoSpaceDE/>
                    <w:autoSpaceDN/>
                    <w:bidi w:val="0"/>
                    <w:spacing w:before="63" w:beforeLines="20" w:after="63" w:afterLines="20" w:line="240" w:lineRule="auto"/>
                    <w:jc w:val="center"/>
                    <w:textAlignment w:val="auto"/>
                    <w:rPr>
                      <w:rFonts w:hint="default" w:eastAsia="宋体"/>
                      <w:color w:val="auto"/>
                      <w:szCs w:val="21"/>
                      <w:lang w:val="en-US" w:eastAsia="zh-CN"/>
                    </w:rPr>
                  </w:pPr>
                  <w:r>
                    <w:rPr>
                      <w:rFonts w:hint="eastAsia"/>
                      <w:color w:val="auto"/>
                      <w:szCs w:val="21"/>
                    </w:rPr>
                    <w:t>5</w:t>
                  </w:r>
                  <w:r>
                    <w:rPr>
                      <w:rFonts w:hint="eastAsia"/>
                      <w:color w:val="auto"/>
                      <w:szCs w:val="21"/>
                      <w:lang w:val="en-US" w:eastAsia="zh-CN"/>
                    </w:rPr>
                    <w:t>3.7</w:t>
                  </w:r>
                </w:p>
              </w:tc>
              <w:tc>
                <w:tcPr>
                  <w:tcW w:w="1666" w:type="dxa"/>
                  <w:vAlign w:val="center"/>
                </w:tcPr>
                <w:p>
                  <w:pPr>
                    <w:keepNext w:val="0"/>
                    <w:keepLines w:val="0"/>
                    <w:pageBreakBefore w:val="0"/>
                    <w:widowControl w:val="0"/>
                    <w:kinsoku/>
                    <w:wordWrap/>
                    <w:overflowPunct/>
                    <w:topLinePunct w:val="0"/>
                    <w:autoSpaceDE/>
                    <w:autoSpaceDN/>
                    <w:bidi w:val="0"/>
                    <w:spacing w:before="63" w:beforeLines="20" w:after="63" w:afterLines="20" w:line="240" w:lineRule="auto"/>
                    <w:jc w:val="center"/>
                    <w:textAlignment w:val="auto"/>
                    <w:rPr>
                      <w:rFonts w:hint="default" w:eastAsia="宋体"/>
                      <w:color w:val="auto"/>
                      <w:szCs w:val="21"/>
                      <w:lang w:val="en-US" w:eastAsia="zh-CN"/>
                    </w:rPr>
                  </w:pPr>
                  <w:r>
                    <w:rPr>
                      <w:rFonts w:hint="eastAsia"/>
                      <w:color w:val="auto"/>
                      <w:szCs w:val="21"/>
                      <w:lang w:val="en-US" w:eastAsia="zh-CN"/>
                    </w:rPr>
                    <w:t>43.3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11" w:type="dxa"/>
                  <w:vAlign w:val="center"/>
                </w:tcPr>
                <w:p>
                  <w:pPr>
                    <w:keepNext w:val="0"/>
                    <w:keepLines w:val="0"/>
                    <w:pageBreakBefore w:val="0"/>
                    <w:widowControl w:val="0"/>
                    <w:kinsoku/>
                    <w:wordWrap/>
                    <w:overflowPunct/>
                    <w:topLinePunct w:val="0"/>
                    <w:autoSpaceDE/>
                    <w:autoSpaceDN/>
                    <w:bidi w:val="0"/>
                    <w:spacing w:before="63" w:beforeLines="20" w:after="63" w:afterLines="20" w:line="240" w:lineRule="auto"/>
                    <w:jc w:val="center"/>
                    <w:textAlignment w:val="auto"/>
                    <w:rPr>
                      <w:color w:val="auto"/>
                      <w:szCs w:val="21"/>
                    </w:rPr>
                  </w:pPr>
                  <w:r>
                    <w:rPr>
                      <w:rFonts w:hint="eastAsia"/>
                      <w:color w:val="auto"/>
                      <w:szCs w:val="21"/>
                    </w:rPr>
                    <w:t>N</w:t>
                  </w:r>
                  <w:r>
                    <w:rPr>
                      <w:color w:val="auto"/>
                      <w:szCs w:val="21"/>
                    </w:rPr>
                    <w:t>2</w:t>
                  </w:r>
                  <w:r>
                    <w:rPr>
                      <w:rFonts w:hint="eastAsia"/>
                      <w:color w:val="auto"/>
                      <w:szCs w:val="21"/>
                    </w:rPr>
                    <w:t>（南厂界）</w:t>
                  </w:r>
                </w:p>
              </w:tc>
              <w:tc>
                <w:tcPr>
                  <w:tcW w:w="1920"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240" w:lineRule="auto"/>
                    <w:jc w:val="center"/>
                    <w:textAlignment w:val="auto"/>
                    <w:rPr>
                      <w:rFonts w:hint="default" w:eastAsia="宋体"/>
                      <w:color w:val="auto"/>
                      <w:szCs w:val="21"/>
                      <w:lang w:val="en-US" w:eastAsia="zh-CN"/>
                    </w:rPr>
                  </w:pPr>
                  <w:r>
                    <w:rPr>
                      <w:rFonts w:hint="eastAsia"/>
                      <w:color w:val="auto"/>
                      <w:szCs w:val="21"/>
                      <w:lang w:val="en-US" w:eastAsia="zh-CN"/>
                    </w:rPr>
                    <w:t>51.9</w:t>
                  </w:r>
                </w:p>
              </w:tc>
              <w:tc>
                <w:tcPr>
                  <w:tcW w:w="1530"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240" w:lineRule="auto"/>
                    <w:jc w:val="center"/>
                    <w:textAlignment w:val="auto"/>
                    <w:rPr>
                      <w:rFonts w:hint="default" w:eastAsia="宋体"/>
                      <w:color w:val="auto"/>
                      <w:szCs w:val="21"/>
                      <w:lang w:val="en-US" w:eastAsia="zh-CN"/>
                    </w:rPr>
                  </w:pPr>
                  <w:r>
                    <w:rPr>
                      <w:rFonts w:hint="eastAsia"/>
                      <w:color w:val="auto"/>
                      <w:szCs w:val="21"/>
                    </w:rPr>
                    <w:t>4</w:t>
                  </w:r>
                  <w:r>
                    <w:rPr>
                      <w:rFonts w:hint="eastAsia"/>
                      <w:color w:val="auto"/>
                      <w:szCs w:val="21"/>
                      <w:lang w:val="en-US" w:eastAsia="zh-CN"/>
                    </w:rPr>
                    <w:t>3.2</w:t>
                  </w:r>
                </w:p>
              </w:tc>
              <w:tc>
                <w:tcPr>
                  <w:tcW w:w="1785" w:type="dxa"/>
                  <w:vAlign w:val="center"/>
                </w:tcPr>
                <w:p>
                  <w:pPr>
                    <w:keepNext w:val="0"/>
                    <w:keepLines w:val="0"/>
                    <w:pageBreakBefore w:val="0"/>
                    <w:widowControl w:val="0"/>
                    <w:kinsoku/>
                    <w:wordWrap/>
                    <w:overflowPunct/>
                    <w:topLinePunct w:val="0"/>
                    <w:autoSpaceDE/>
                    <w:autoSpaceDN/>
                    <w:bidi w:val="0"/>
                    <w:spacing w:before="63" w:beforeLines="20" w:after="63" w:afterLines="20" w:line="240" w:lineRule="auto"/>
                    <w:jc w:val="center"/>
                    <w:textAlignment w:val="auto"/>
                    <w:rPr>
                      <w:rFonts w:hint="default" w:eastAsia="宋体"/>
                      <w:color w:val="auto"/>
                      <w:szCs w:val="21"/>
                      <w:lang w:val="en-US" w:eastAsia="zh-CN"/>
                    </w:rPr>
                  </w:pPr>
                  <w:r>
                    <w:rPr>
                      <w:rFonts w:hint="eastAsia"/>
                      <w:color w:val="auto"/>
                      <w:szCs w:val="21"/>
                      <w:lang w:val="en-US" w:eastAsia="zh-CN"/>
                    </w:rPr>
                    <w:t>54.2</w:t>
                  </w:r>
                </w:p>
              </w:tc>
              <w:tc>
                <w:tcPr>
                  <w:tcW w:w="1666" w:type="dxa"/>
                  <w:vAlign w:val="center"/>
                </w:tcPr>
                <w:p>
                  <w:pPr>
                    <w:keepNext w:val="0"/>
                    <w:keepLines w:val="0"/>
                    <w:pageBreakBefore w:val="0"/>
                    <w:widowControl w:val="0"/>
                    <w:kinsoku/>
                    <w:wordWrap/>
                    <w:overflowPunct/>
                    <w:topLinePunct w:val="0"/>
                    <w:autoSpaceDE/>
                    <w:autoSpaceDN/>
                    <w:bidi w:val="0"/>
                    <w:spacing w:before="63" w:beforeLines="20" w:after="63" w:afterLines="20" w:line="240" w:lineRule="auto"/>
                    <w:jc w:val="center"/>
                    <w:textAlignment w:val="auto"/>
                    <w:rPr>
                      <w:rFonts w:hint="default" w:eastAsia="宋体"/>
                      <w:color w:val="auto"/>
                      <w:szCs w:val="21"/>
                      <w:lang w:val="en-US" w:eastAsia="zh-CN"/>
                    </w:rPr>
                  </w:pPr>
                  <w:r>
                    <w:rPr>
                      <w:rFonts w:hint="eastAsia"/>
                      <w:color w:val="auto"/>
                      <w:szCs w:val="21"/>
                    </w:rPr>
                    <w:t>4</w:t>
                  </w:r>
                  <w:r>
                    <w:rPr>
                      <w:rFonts w:hint="eastAsia"/>
                      <w:color w:val="auto"/>
                      <w:szCs w:val="21"/>
                      <w:lang w:val="en-US" w:eastAsia="zh-CN"/>
                    </w:rPr>
                    <w:t>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411" w:type="dxa"/>
                  <w:vAlign w:val="center"/>
                </w:tcPr>
                <w:p>
                  <w:pPr>
                    <w:keepNext w:val="0"/>
                    <w:keepLines w:val="0"/>
                    <w:pageBreakBefore w:val="0"/>
                    <w:widowControl w:val="0"/>
                    <w:kinsoku/>
                    <w:wordWrap/>
                    <w:overflowPunct/>
                    <w:topLinePunct w:val="0"/>
                    <w:autoSpaceDE/>
                    <w:autoSpaceDN/>
                    <w:bidi w:val="0"/>
                    <w:spacing w:before="63" w:beforeLines="20" w:after="63" w:afterLines="20" w:line="240" w:lineRule="auto"/>
                    <w:jc w:val="center"/>
                    <w:textAlignment w:val="auto"/>
                    <w:rPr>
                      <w:color w:val="auto"/>
                      <w:szCs w:val="21"/>
                    </w:rPr>
                  </w:pPr>
                  <w:r>
                    <w:rPr>
                      <w:color w:val="auto"/>
                      <w:szCs w:val="21"/>
                    </w:rPr>
                    <w:t>N3</w:t>
                  </w:r>
                  <w:r>
                    <w:rPr>
                      <w:rFonts w:hint="eastAsia"/>
                      <w:color w:val="auto"/>
                      <w:szCs w:val="21"/>
                    </w:rPr>
                    <w:t>（西厂界）</w:t>
                  </w:r>
                </w:p>
              </w:tc>
              <w:tc>
                <w:tcPr>
                  <w:tcW w:w="1920"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240" w:lineRule="auto"/>
                    <w:jc w:val="center"/>
                    <w:textAlignment w:val="auto"/>
                    <w:rPr>
                      <w:rFonts w:hint="default" w:eastAsia="宋体"/>
                      <w:color w:val="auto"/>
                      <w:szCs w:val="21"/>
                      <w:lang w:val="en-US" w:eastAsia="zh-CN"/>
                    </w:rPr>
                  </w:pPr>
                  <w:r>
                    <w:rPr>
                      <w:rFonts w:hint="eastAsia"/>
                      <w:color w:val="auto"/>
                      <w:szCs w:val="21"/>
                      <w:lang w:val="en-US" w:eastAsia="zh-CN"/>
                    </w:rPr>
                    <w:t>54.0</w:t>
                  </w:r>
                </w:p>
              </w:tc>
              <w:tc>
                <w:tcPr>
                  <w:tcW w:w="1530"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240" w:lineRule="auto"/>
                    <w:jc w:val="center"/>
                    <w:textAlignment w:val="auto"/>
                    <w:rPr>
                      <w:rFonts w:hint="default" w:eastAsia="宋体"/>
                      <w:color w:val="auto"/>
                      <w:szCs w:val="21"/>
                      <w:lang w:val="en-US" w:eastAsia="zh-CN"/>
                    </w:rPr>
                  </w:pPr>
                  <w:r>
                    <w:rPr>
                      <w:rFonts w:hint="eastAsia"/>
                      <w:color w:val="auto"/>
                      <w:szCs w:val="21"/>
                      <w:lang w:val="en-US" w:eastAsia="zh-CN"/>
                    </w:rPr>
                    <w:t>4</w:t>
                  </w:r>
                  <w:r>
                    <w:rPr>
                      <w:rFonts w:hint="eastAsia"/>
                      <w:color w:val="auto"/>
                      <w:szCs w:val="21"/>
                      <w:lang w:eastAsia="zh-CN"/>
                    </w:rPr>
                    <w:t>2</w:t>
                  </w:r>
                  <w:r>
                    <w:rPr>
                      <w:rFonts w:hint="eastAsia"/>
                      <w:color w:val="auto"/>
                      <w:szCs w:val="21"/>
                      <w:lang w:val="en-US" w:eastAsia="zh-CN"/>
                    </w:rPr>
                    <w:t>.8</w:t>
                  </w:r>
                </w:p>
              </w:tc>
              <w:tc>
                <w:tcPr>
                  <w:tcW w:w="1785" w:type="dxa"/>
                  <w:vAlign w:val="center"/>
                </w:tcPr>
                <w:p>
                  <w:pPr>
                    <w:keepNext w:val="0"/>
                    <w:keepLines w:val="0"/>
                    <w:pageBreakBefore w:val="0"/>
                    <w:widowControl w:val="0"/>
                    <w:kinsoku/>
                    <w:wordWrap/>
                    <w:overflowPunct/>
                    <w:topLinePunct w:val="0"/>
                    <w:autoSpaceDE/>
                    <w:autoSpaceDN/>
                    <w:bidi w:val="0"/>
                    <w:spacing w:before="63" w:beforeLines="20" w:after="63" w:afterLines="20" w:line="240" w:lineRule="auto"/>
                    <w:jc w:val="center"/>
                    <w:textAlignment w:val="auto"/>
                    <w:rPr>
                      <w:rFonts w:hint="default" w:eastAsia="宋体"/>
                      <w:color w:val="auto"/>
                      <w:szCs w:val="21"/>
                      <w:lang w:val="en-US" w:eastAsia="zh-CN"/>
                    </w:rPr>
                  </w:pPr>
                  <w:r>
                    <w:rPr>
                      <w:rFonts w:hint="eastAsia"/>
                      <w:color w:val="auto"/>
                      <w:szCs w:val="21"/>
                    </w:rPr>
                    <w:t>5</w:t>
                  </w:r>
                  <w:r>
                    <w:rPr>
                      <w:rFonts w:hint="eastAsia"/>
                      <w:color w:val="auto"/>
                      <w:szCs w:val="21"/>
                      <w:lang w:val="en-US" w:eastAsia="zh-CN"/>
                    </w:rPr>
                    <w:t>3.5</w:t>
                  </w:r>
                </w:p>
              </w:tc>
              <w:tc>
                <w:tcPr>
                  <w:tcW w:w="1666" w:type="dxa"/>
                  <w:vAlign w:val="center"/>
                </w:tcPr>
                <w:p>
                  <w:pPr>
                    <w:keepNext w:val="0"/>
                    <w:keepLines w:val="0"/>
                    <w:pageBreakBefore w:val="0"/>
                    <w:widowControl w:val="0"/>
                    <w:kinsoku/>
                    <w:wordWrap/>
                    <w:overflowPunct/>
                    <w:topLinePunct w:val="0"/>
                    <w:autoSpaceDE/>
                    <w:autoSpaceDN/>
                    <w:bidi w:val="0"/>
                    <w:spacing w:before="63" w:beforeLines="20" w:after="63" w:afterLines="20" w:line="240" w:lineRule="auto"/>
                    <w:jc w:val="center"/>
                    <w:textAlignment w:val="auto"/>
                    <w:rPr>
                      <w:rFonts w:hint="default" w:eastAsia="宋体"/>
                      <w:color w:val="auto"/>
                      <w:szCs w:val="21"/>
                      <w:lang w:val="en-US" w:eastAsia="zh-CN"/>
                    </w:rPr>
                  </w:pPr>
                  <w:r>
                    <w:rPr>
                      <w:rFonts w:hint="eastAsia"/>
                      <w:color w:val="auto"/>
                      <w:szCs w:val="21"/>
                    </w:rPr>
                    <w:t>4</w:t>
                  </w:r>
                  <w:r>
                    <w:rPr>
                      <w:rFonts w:hint="eastAsia"/>
                      <w:color w:val="auto"/>
                      <w:szCs w:val="21"/>
                      <w:lang w:val="en-US" w:eastAsia="zh-CN"/>
                    </w:rPr>
                    <w:t>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1411" w:type="dxa"/>
                  <w:vAlign w:val="center"/>
                </w:tcPr>
                <w:p>
                  <w:pPr>
                    <w:keepNext w:val="0"/>
                    <w:keepLines w:val="0"/>
                    <w:pageBreakBefore w:val="0"/>
                    <w:widowControl w:val="0"/>
                    <w:kinsoku/>
                    <w:wordWrap/>
                    <w:overflowPunct/>
                    <w:topLinePunct w:val="0"/>
                    <w:autoSpaceDE/>
                    <w:autoSpaceDN/>
                    <w:bidi w:val="0"/>
                    <w:spacing w:before="63" w:beforeLines="20" w:after="63" w:afterLines="20" w:line="240" w:lineRule="auto"/>
                    <w:jc w:val="center"/>
                    <w:textAlignment w:val="auto"/>
                    <w:rPr>
                      <w:color w:val="auto"/>
                      <w:szCs w:val="21"/>
                    </w:rPr>
                  </w:pPr>
                  <w:r>
                    <w:rPr>
                      <w:color w:val="auto"/>
                      <w:szCs w:val="21"/>
                    </w:rPr>
                    <w:t>N4</w:t>
                  </w:r>
                  <w:r>
                    <w:rPr>
                      <w:rFonts w:hint="eastAsia"/>
                      <w:color w:val="auto"/>
                      <w:szCs w:val="21"/>
                    </w:rPr>
                    <w:t>（北厂界）</w:t>
                  </w:r>
                </w:p>
              </w:tc>
              <w:tc>
                <w:tcPr>
                  <w:tcW w:w="1920"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240" w:lineRule="auto"/>
                    <w:jc w:val="center"/>
                    <w:textAlignment w:val="auto"/>
                    <w:rPr>
                      <w:rFonts w:hint="default" w:eastAsia="宋体"/>
                      <w:color w:val="auto"/>
                      <w:szCs w:val="21"/>
                      <w:lang w:val="en-US" w:eastAsia="zh-CN"/>
                    </w:rPr>
                  </w:pPr>
                  <w:r>
                    <w:rPr>
                      <w:rFonts w:hint="eastAsia"/>
                      <w:color w:val="auto"/>
                      <w:szCs w:val="21"/>
                      <w:lang w:val="en-US" w:eastAsia="zh-CN"/>
                    </w:rPr>
                    <w:t>53.8</w:t>
                  </w:r>
                </w:p>
              </w:tc>
              <w:tc>
                <w:tcPr>
                  <w:tcW w:w="1530"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240" w:lineRule="auto"/>
                    <w:jc w:val="center"/>
                    <w:textAlignment w:val="auto"/>
                    <w:rPr>
                      <w:rFonts w:hint="default" w:eastAsia="宋体"/>
                      <w:color w:val="auto"/>
                      <w:szCs w:val="21"/>
                      <w:lang w:val="en-US" w:eastAsia="zh-CN"/>
                    </w:rPr>
                  </w:pPr>
                  <w:r>
                    <w:rPr>
                      <w:rFonts w:hint="default"/>
                      <w:color w:val="auto"/>
                      <w:szCs w:val="21"/>
                      <w:lang w:val="en-US"/>
                    </w:rPr>
                    <w:t>4</w:t>
                  </w:r>
                  <w:r>
                    <w:rPr>
                      <w:rFonts w:hint="eastAsia"/>
                      <w:color w:val="auto"/>
                      <w:szCs w:val="21"/>
                      <w:lang w:val="en-US" w:eastAsia="zh-CN"/>
                    </w:rPr>
                    <w:t>3.3</w:t>
                  </w:r>
                </w:p>
              </w:tc>
              <w:tc>
                <w:tcPr>
                  <w:tcW w:w="1785" w:type="dxa"/>
                  <w:vAlign w:val="center"/>
                </w:tcPr>
                <w:p>
                  <w:pPr>
                    <w:keepNext w:val="0"/>
                    <w:keepLines w:val="0"/>
                    <w:pageBreakBefore w:val="0"/>
                    <w:widowControl w:val="0"/>
                    <w:kinsoku/>
                    <w:wordWrap/>
                    <w:overflowPunct/>
                    <w:topLinePunct w:val="0"/>
                    <w:autoSpaceDE/>
                    <w:autoSpaceDN/>
                    <w:bidi w:val="0"/>
                    <w:spacing w:before="63" w:beforeLines="20" w:after="63" w:afterLines="20" w:line="240" w:lineRule="auto"/>
                    <w:jc w:val="center"/>
                    <w:textAlignment w:val="auto"/>
                    <w:rPr>
                      <w:rFonts w:hint="default" w:eastAsia="宋体"/>
                      <w:color w:val="auto"/>
                      <w:szCs w:val="21"/>
                      <w:lang w:val="en-US" w:eastAsia="zh-CN"/>
                    </w:rPr>
                  </w:pPr>
                  <w:r>
                    <w:rPr>
                      <w:rFonts w:hint="eastAsia"/>
                      <w:color w:val="auto"/>
                      <w:szCs w:val="21"/>
                    </w:rPr>
                    <w:t>5</w:t>
                  </w:r>
                  <w:r>
                    <w:rPr>
                      <w:rFonts w:hint="eastAsia"/>
                      <w:color w:val="auto"/>
                      <w:szCs w:val="21"/>
                      <w:lang w:val="en-US" w:eastAsia="zh-CN"/>
                    </w:rPr>
                    <w:t>3.9</w:t>
                  </w:r>
                </w:p>
              </w:tc>
              <w:tc>
                <w:tcPr>
                  <w:tcW w:w="1666" w:type="dxa"/>
                  <w:vAlign w:val="center"/>
                </w:tcPr>
                <w:p>
                  <w:pPr>
                    <w:keepNext w:val="0"/>
                    <w:keepLines w:val="0"/>
                    <w:pageBreakBefore w:val="0"/>
                    <w:widowControl w:val="0"/>
                    <w:kinsoku/>
                    <w:wordWrap/>
                    <w:overflowPunct/>
                    <w:topLinePunct w:val="0"/>
                    <w:autoSpaceDE/>
                    <w:autoSpaceDN/>
                    <w:bidi w:val="0"/>
                    <w:spacing w:before="63" w:beforeLines="20" w:after="63" w:afterLines="20" w:line="240" w:lineRule="auto"/>
                    <w:jc w:val="center"/>
                    <w:textAlignment w:val="auto"/>
                    <w:rPr>
                      <w:rFonts w:hint="default" w:eastAsia="宋体"/>
                      <w:color w:val="auto"/>
                      <w:szCs w:val="21"/>
                      <w:lang w:val="en-US" w:eastAsia="zh-CN"/>
                    </w:rPr>
                  </w:pPr>
                  <w:r>
                    <w:rPr>
                      <w:rFonts w:hint="eastAsia"/>
                      <w:color w:val="auto"/>
                      <w:szCs w:val="21"/>
                    </w:rPr>
                    <w:t>4</w:t>
                  </w:r>
                  <w:r>
                    <w:rPr>
                      <w:rFonts w:hint="eastAsia"/>
                      <w:color w:val="auto"/>
                      <w:szCs w:val="21"/>
                      <w:lang w:val="en-US" w:eastAsia="zh-CN"/>
                    </w:rPr>
                    <w:t>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12" w:type="dxa"/>
                  <w:gridSpan w:val="5"/>
                  <w:vAlign w:val="center"/>
                </w:tcPr>
                <w:p>
                  <w:pPr>
                    <w:keepNext w:val="0"/>
                    <w:keepLines w:val="0"/>
                    <w:pageBreakBefore w:val="0"/>
                    <w:widowControl w:val="0"/>
                    <w:kinsoku/>
                    <w:wordWrap/>
                    <w:overflowPunct/>
                    <w:topLinePunct w:val="0"/>
                    <w:autoSpaceDE/>
                    <w:autoSpaceDN/>
                    <w:bidi w:val="0"/>
                    <w:spacing w:before="63" w:beforeLines="20" w:after="63" w:afterLines="20" w:line="240" w:lineRule="auto"/>
                    <w:jc w:val="center"/>
                    <w:textAlignment w:val="auto"/>
                    <w:rPr>
                      <w:color w:val="auto"/>
                      <w:szCs w:val="21"/>
                    </w:rPr>
                  </w:pPr>
                  <w:r>
                    <w:rPr>
                      <w:rFonts w:hint="eastAsia"/>
                      <w:color w:val="auto"/>
                      <w:szCs w:val="21"/>
                    </w:rPr>
                    <w:t>检测期间：天气均为晴，风速2.2~2.6m/s</w:t>
                  </w:r>
                </w:p>
              </w:tc>
            </w:tr>
          </w:tbl>
          <w:p>
            <w:pPr>
              <w:spacing w:line="360" w:lineRule="auto"/>
              <w:ind w:firstLine="501" w:firstLineChars="209"/>
              <w:rPr>
                <w:color w:val="000000" w:themeColor="text1"/>
                <w:kern w:val="0"/>
                <w:sz w:val="24"/>
                <w14:textFill>
                  <w14:solidFill>
                    <w14:schemeClr w14:val="tx1"/>
                  </w14:solidFill>
                </w14:textFill>
              </w:rPr>
            </w:pPr>
            <w:r>
              <w:rPr>
                <w:color w:val="auto"/>
                <w:sz w:val="24"/>
                <w:szCs w:val="24"/>
              </w:rPr>
              <w:t>项目</w:t>
            </w:r>
            <w:r>
              <w:rPr>
                <w:rFonts w:hint="eastAsia"/>
                <w:color w:val="auto"/>
                <w:sz w:val="24"/>
                <w:szCs w:val="24"/>
              </w:rPr>
              <w:t>厂界声环境达到</w:t>
            </w:r>
            <w:r>
              <w:rPr>
                <w:color w:val="auto"/>
                <w:sz w:val="24"/>
                <w:szCs w:val="24"/>
              </w:rPr>
              <w:t>《声环境质量标准》（GB3096-2008）中的</w:t>
            </w:r>
            <w:r>
              <w:rPr>
                <w:rFonts w:hint="eastAsia"/>
                <w:color w:val="auto"/>
                <w:sz w:val="24"/>
                <w:szCs w:val="24"/>
              </w:rPr>
              <w:t>3</w:t>
            </w:r>
            <w:r>
              <w:rPr>
                <w:color w:val="auto"/>
                <w:sz w:val="24"/>
                <w:szCs w:val="24"/>
              </w:rPr>
              <w:t>类</w:t>
            </w:r>
            <w:r>
              <w:rPr>
                <w:rFonts w:hint="eastAsia"/>
                <w:color w:val="auto"/>
                <w:sz w:val="24"/>
                <w:szCs w:val="24"/>
                <w:lang w:eastAsia="zh-CN"/>
              </w:rPr>
              <w:t>限值</w:t>
            </w:r>
            <w:r>
              <w:rPr>
                <w:color w:val="auto"/>
                <w:sz w:val="24"/>
                <w:szCs w:val="24"/>
              </w:rPr>
              <w:t>，</w:t>
            </w:r>
            <w:r>
              <w:rPr>
                <w:color w:val="auto"/>
                <w:kern w:val="0"/>
                <w:sz w:val="24"/>
                <w:szCs w:val="24"/>
              </w:rPr>
              <w:t>即：昼间≤6</w:t>
            </w:r>
            <w:r>
              <w:rPr>
                <w:rFonts w:hint="eastAsia"/>
                <w:color w:val="auto"/>
                <w:kern w:val="0"/>
                <w:sz w:val="24"/>
                <w:szCs w:val="24"/>
              </w:rPr>
              <w:t>5</w:t>
            </w:r>
            <w:r>
              <w:rPr>
                <w:color w:val="auto"/>
                <w:kern w:val="0"/>
                <w:sz w:val="24"/>
                <w:szCs w:val="24"/>
              </w:rPr>
              <w:t>dB</w:t>
            </w:r>
            <w:r>
              <w:rPr>
                <w:rFonts w:hint="eastAsia"/>
                <w:color w:val="auto"/>
                <w:kern w:val="0"/>
                <w:sz w:val="24"/>
                <w:szCs w:val="24"/>
              </w:rPr>
              <w:t>（</w:t>
            </w:r>
            <w:r>
              <w:rPr>
                <w:color w:val="auto"/>
                <w:kern w:val="0"/>
                <w:sz w:val="24"/>
                <w:szCs w:val="24"/>
              </w:rPr>
              <w:t>A</w:t>
            </w:r>
            <w:r>
              <w:rPr>
                <w:rFonts w:hint="eastAsia"/>
                <w:color w:val="auto"/>
                <w:kern w:val="0"/>
                <w:sz w:val="24"/>
                <w:szCs w:val="24"/>
              </w:rPr>
              <w:t>）</w:t>
            </w:r>
            <w:r>
              <w:rPr>
                <w:color w:val="auto"/>
                <w:kern w:val="0"/>
                <w:sz w:val="24"/>
                <w:szCs w:val="24"/>
              </w:rPr>
              <w:t>、夜间≤</w:t>
            </w:r>
            <w:r>
              <w:rPr>
                <w:rFonts w:hint="eastAsia"/>
                <w:color w:val="auto"/>
                <w:kern w:val="0"/>
                <w:sz w:val="24"/>
                <w:szCs w:val="24"/>
              </w:rPr>
              <w:t>55</w:t>
            </w:r>
            <w:r>
              <w:rPr>
                <w:color w:val="auto"/>
                <w:kern w:val="0"/>
                <w:sz w:val="24"/>
                <w:szCs w:val="24"/>
              </w:rPr>
              <w:t>dB</w:t>
            </w:r>
            <w:r>
              <w:rPr>
                <w:rFonts w:hint="eastAsia"/>
                <w:color w:val="auto"/>
                <w:kern w:val="0"/>
                <w:sz w:val="24"/>
                <w:szCs w:val="24"/>
              </w:rPr>
              <w:t>（</w:t>
            </w:r>
            <w:r>
              <w:rPr>
                <w:color w:val="auto"/>
                <w:kern w:val="0"/>
                <w:sz w:val="24"/>
                <w:szCs w:val="24"/>
              </w:rPr>
              <w:t>A</w:t>
            </w:r>
            <w:r>
              <w:rPr>
                <w:rFonts w:hint="eastAsia"/>
                <w:color w:val="auto"/>
                <w:kern w:val="0"/>
                <w:sz w:val="24"/>
                <w:szCs w:val="24"/>
              </w:rPr>
              <w:t>）。</w:t>
            </w:r>
            <w:r>
              <w:rPr>
                <w:rFonts w:hint="eastAsia"/>
                <w:color w:val="FF0000"/>
                <w:kern w:val="0"/>
                <w:sz w:val="24"/>
                <w:szCs w:val="24"/>
              </w:rPr>
              <w:t xml:space="preserve">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332" w:hRule="atLeast"/>
          <w:jc w:val="center"/>
        </w:trPr>
        <w:tc>
          <w:tcPr>
            <w:tcW w:w="8528" w:type="dxa"/>
          </w:tcPr>
          <w:p>
            <w:pPr>
              <w:adjustRightInd w:val="0"/>
              <w:snapToGrid w:val="0"/>
              <w:spacing w:before="156" w:beforeLines="50" w:line="360" w:lineRule="auto"/>
              <w:rPr>
                <w:b/>
                <w:color w:val="000000" w:themeColor="text1"/>
                <w:sz w:val="24"/>
                <w:szCs w:val="24"/>
                <w14:textFill>
                  <w14:solidFill>
                    <w14:schemeClr w14:val="tx1"/>
                  </w14:solidFill>
                </w14:textFill>
              </w:rPr>
            </w:pPr>
            <w:r>
              <w:rPr>
                <w:b/>
                <w:bCs/>
                <w:color w:val="000000" w:themeColor="text1"/>
                <w:sz w:val="24"/>
                <w:szCs w:val="24"/>
                <w14:textFill>
                  <w14:solidFill>
                    <w14:schemeClr w14:val="tx1"/>
                  </w14:solidFill>
                </w14:textFill>
              </w:rPr>
              <w:t>主要环境保护目标</w:t>
            </w:r>
            <w:r>
              <w:rPr>
                <w:rFonts w:hint="eastAsia"/>
                <w:b/>
                <w:bCs/>
                <w:color w:val="000000" w:themeColor="text1"/>
                <w:sz w:val="24"/>
                <w:szCs w:val="24"/>
                <w14:textFill>
                  <w14:solidFill>
                    <w14:schemeClr w14:val="tx1"/>
                  </w14:solidFill>
                </w14:textFill>
              </w:rPr>
              <w:t>（</w:t>
            </w:r>
            <w:r>
              <w:rPr>
                <w:b/>
                <w:bCs/>
                <w:color w:val="000000" w:themeColor="text1"/>
                <w:sz w:val="24"/>
                <w:szCs w:val="24"/>
                <w14:textFill>
                  <w14:solidFill>
                    <w14:schemeClr w14:val="tx1"/>
                  </w14:solidFill>
                </w14:textFill>
              </w:rPr>
              <w:t>列出名单及保护级别</w:t>
            </w:r>
            <w:r>
              <w:rPr>
                <w:rFonts w:hint="eastAsia"/>
                <w:b/>
                <w:bCs/>
                <w:color w:val="000000" w:themeColor="text1"/>
                <w:sz w:val="24"/>
                <w:szCs w:val="24"/>
                <w14:textFill>
                  <w14:solidFill>
                    <w14:schemeClr w14:val="tx1"/>
                  </w14:solidFill>
                </w14:textFill>
              </w:rPr>
              <w:t>）</w:t>
            </w:r>
            <w:r>
              <w:rPr>
                <w:b/>
                <w:color w:val="000000" w:themeColor="text1"/>
                <w:sz w:val="24"/>
                <w:szCs w:val="24"/>
                <w14:textFill>
                  <w14:solidFill>
                    <w14:schemeClr w14:val="tx1"/>
                  </w14:solidFill>
                </w14:textFill>
              </w:rPr>
              <w:t>：</w:t>
            </w:r>
          </w:p>
          <w:p>
            <w:pPr>
              <w:adjustRightInd w:val="0"/>
              <w:snapToGrid w:val="0"/>
              <w:spacing w:line="360" w:lineRule="auto"/>
              <w:ind w:firstLine="472" w:firstLineChars="200"/>
              <w:textAlignment w:val="baseline"/>
              <w:rPr>
                <w:spacing w:val="-2"/>
                <w:kern w:val="28"/>
                <w:sz w:val="24"/>
                <w:szCs w:val="24"/>
              </w:rPr>
            </w:pPr>
            <w:r>
              <w:rPr>
                <w:color w:val="000000" w:themeColor="text1"/>
                <w:spacing w:val="-2"/>
                <w:kern w:val="28"/>
                <w:sz w:val="24"/>
                <w:szCs w:val="24"/>
                <w14:textFill>
                  <w14:solidFill>
                    <w14:schemeClr w14:val="tx1"/>
                  </w14:solidFill>
                </w14:textFill>
              </w:rPr>
              <w:t>根据对建设项目周边环境现状的踏勘</w:t>
            </w:r>
            <w:r>
              <w:rPr>
                <w:rFonts w:hint="eastAsia"/>
                <w:color w:val="000000" w:themeColor="text1"/>
                <w:spacing w:val="-2"/>
                <w:kern w:val="28"/>
                <w:sz w:val="24"/>
                <w:szCs w:val="24"/>
                <w14:textFill>
                  <w14:solidFill>
                    <w14:schemeClr w14:val="tx1"/>
                  </w14:solidFill>
                </w14:textFill>
              </w:rPr>
              <w:t>与调查</w:t>
            </w:r>
            <w:r>
              <w:rPr>
                <w:color w:val="000000" w:themeColor="text1"/>
                <w:spacing w:val="-2"/>
                <w:kern w:val="28"/>
                <w:sz w:val="24"/>
                <w:szCs w:val="24"/>
                <w14:textFill>
                  <w14:solidFill>
                    <w14:schemeClr w14:val="tx1"/>
                  </w14:solidFill>
                </w14:textFill>
              </w:rPr>
              <w:t>，建设项目附近无文物保护</w:t>
            </w:r>
            <w:r>
              <w:rPr>
                <w:rFonts w:hint="eastAsia"/>
                <w:color w:val="000000" w:themeColor="text1"/>
                <w:spacing w:val="-2"/>
                <w:kern w:val="28"/>
                <w:sz w:val="24"/>
                <w:szCs w:val="24"/>
                <w14:textFill>
                  <w14:solidFill>
                    <w14:schemeClr w14:val="tx1"/>
                  </w14:solidFill>
                </w14:textFill>
              </w:rPr>
              <w:t>区</w:t>
            </w:r>
            <w:r>
              <w:rPr>
                <w:color w:val="000000" w:themeColor="text1"/>
                <w:spacing w:val="-2"/>
                <w:kern w:val="28"/>
                <w:sz w:val="24"/>
                <w:szCs w:val="24"/>
                <w14:textFill>
                  <w14:solidFill>
                    <w14:schemeClr w14:val="tx1"/>
                  </w14:solidFill>
                </w14:textFill>
              </w:rPr>
              <w:t>、风景名胜区、饮用水</w:t>
            </w:r>
            <w:r>
              <w:rPr>
                <w:spacing w:val="-2"/>
                <w:kern w:val="28"/>
                <w:sz w:val="24"/>
                <w:szCs w:val="24"/>
              </w:rPr>
              <w:t>源地等敏感环境保护目标。</w:t>
            </w:r>
            <w:r>
              <w:rPr>
                <w:rFonts w:hint="eastAsia"/>
                <w:spacing w:val="-2"/>
                <w:kern w:val="28"/>
                <w:sz w:val="24"/>
                <w:szCs w:val="24"/>
              </w:rPr>
              <w:t>详见</w:t>
            </w:r>
            <w:r>
              <w:rPr>
                <w:spacing w:val="-2"/>
                <w:kern w:val="28"/>
                <w:sz w:val="24"/>
                <w:szCs w:val="24"/>
              </w:rPr>
              <w:t>下</w:t>
            </w:r>
            <w:r>
              <w:rPr>
                <w:rFonts w:hint="eastAsia"/>
                <w:spacing w:val="-2"/>
                <w:kern w:val="28"/>
                <w:sz w:val="24"/>
                <w:szCs w:val="24"/>
              </w:rPr>
              <w:t>表所示。</w:t>
            </w:r>
          </w:p>
          <w:p>
            <w:pPr>
              <w:pStyle w:val="6"/>
              <w:keepNext/>
              <w:jc w:val="center"/>
              <w:rPr>
                <w:rFonts w:ascii="Times New Roman" w:hAnsi="Times New Roman"/>
                <w:color w:val="auto"/>
                <w:sz w:val="24"/>
                <w:szCs w:val="24"/>
              </w:rPr>
            </w:pPr>
            <w:r>
              <w:rPr>
                <w:rFonts w:ascii="Times New Roman" w:hAnsi="Times New Roman"/>
                <w:color w:val="auto"/>
                <w:sz w:val="24"/>
                <w:szCs w:val="24"/>
              </w:rPr>
              <w:t>表</w:t>
            </w:r>
            <w:r>
              <w:rPr>
                <w:rFonts w:hint="eastAsia" w:ascii="Times New Roman" w:hAnsi="Times New Roman"/>
                <w:color w:val="auto"/>
                <w:sz w:val="24"/>
                <w:szCs w:val="24"/>
              </w:rPr>
              <w:t>3-6</w:t>
            </w:r>
            <w:r>
              <w:rPr>
                <w:rFonts w:ascii="Times New Roman" w:hAnsi="Times New Roman"/>
                <w:color w:val="auto"/>
                <w:sz w:val="24"/>
                <w:szCs w:val="24"/>
              </w:rPr>
              <w:t xml:space="preserve">  环境</w:t>
            </w:r>
            <w:r>
              <w:rPr>
                <w:rFonts w:hint="eastAsia" w:ascii="Times New Roman" w:hAnsi="Times New Roman"/>
                <w:color w:val="auto"/>
                <w:sz w:val="24"/>
                <w:szCs w:val="24"/>
              </w:rPr>
              <w:t>空气</w:t>
            </w:r>
            <w:r>
              <w:rPr>
                <w:rFonts w:ascii="Times New Roman" w:hAnsi="Times New Roman"/>
                <w:color w:val="auto"/>
                <w:sz w:val="24"/>
                <w:szCs w:val="24"/>
              </w:rPr>
              <w:t>保护目标一览表</w:t>
            </w:r>
          </w:p>
          <w:tbl>
            <w:tblPr>
              <w:tblStyle w:val="17"/>
              <w:tblW w:w="8312" w:type="dxa"/>
              <w:jc w:val="center"/>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autofit"/>
              <w:tblCellMar>
                <w:top w:w="0" w:type="dxa"/>
                <w:left w:w="108" w:type="dxa"/>
                <w:bottom w:w="0" w:type="dxa"/>
                <w:right w:w="108" w:type="dxa"/>
              </w:tblCellMar>
            </w:tblPr>
            <w:tblGrid>
              <w:gridCol w:w="883"/>
              <w:gridCol w:w="1044"/>
              <w:gridCol w:w="1089"/>
              <w:gridCol w:w="1044"/>
              <w:gridCol w:w="1044"/>
              <w:gridCol w:w="1044"/>
              <w:gridCol w:w="1082"/>
              <w:gridCol w:w="1082"/>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883" w:type="dxa"/>
                  <w:vMerge w:val="restart"/>
                  <w:vAlign w:val="center"/>
                </w:tcPr>
                <w:p>
                  <w:pPr>
                    <w:jc w:val="center"/>
                    <w:rPr>
                      <w:b/>
                      <w:szCs w:val="21"/>
                    </w:rPr>
                  </w:pPr>
                  <w:r>
                    <w:rPr>
                      <w:rFonts w:hint="eastAsia"/>
                      <w:b/>
                      <w:szCs w:val="21"/>
                    </w:rPr>
                    <w:t>名称</w:t>
                  </w:r>
                </w:p>
              </w:tc>
              <w:tc>
                <w:tcPr>
                  <w:tcW w:w="2133" w:type="dxa"/>
                  <w:gridSpan w:val="2"/>
                  <w:vAlign w:val="center"/>
                </w:tcPr>
                <w:p>
                  <w:pPr>
                    <w:jc w:val="center"/>
                    <w:rPr>
                      <w:b/>
                      <w:szCs w:val="21"/>
                    </w:rPr>
                  </w:pPr>
                  <w:r>
                    <w:rPr>
                      <w:rFonts w:hint="eastAsia"/>
                      <w:b/>
                      <w:szCs w:val="21"/>
                    </w:rPr>
                    <w:t>坐标</w:t>
                  </w:r>
                </w:p>
              </w:tc>
              <w:tc>
                <w:tcPr>
                  <w:tcW w:w="1044" w:type="dxa"/>
                  <w:vMerge w:val="restart"/>
                  <w:vAlign w:val="center"/>
                </w:tcPr>
                <w:p>
                  <w:pPr>
                    <w:jc w:val="center"/>
                    <w:rPr>
                      <w:b/>
                      <w:szCs w:val="21"/>
                    </w:rPr>
                  </w:pPr>
                  <w:r>
                    <w:rPr>
                      <w:rFonts w:hint="eastAsia"/>
                      <w:b/>
                      <w:szCs w:val="21"/>
                    </w:rPr>
                    <w:t>保护</w:t>
                  </w:r>
                  <w:r>
                    <w:rPr>
                      <w:b/>
                      <w:szCs w:val="21"/>
                    </w:rPr>
                    <w:t>对象</w:t>
                  </w:r>
                </w:p>
              </w:tc>
              <w:tc>
                <w:tcPr>
                  <w:tcW w:w="1044" w:type="dxa"/>
                  <w:vMerge w:val="restart"/>
                  <w:vAlign w:val="center"/>
                </w:tcPr>
                <w:p>
                  <w:pPr>
                    <w:jc w:val="center"/>
                    <w:rPr>
                      <w:b/>
                      <w:szCs w:val="21"/>
                    </w:rPr>
                  </w:pPr>
                  <w:r>
                    <w:rPr>
                      <w:rFonts w:hint="eastAsia"/>
                      <w:b/>
                      <w:szCs w:val="21"/>
                    </w:rPr>
                    <w:t>保护</w:t>
                  </w:r>
                </w:p>
                <w:p>
                  <w:pPr>
                    <w:jc w:val="center"/>
                    <w:rPr>
                      <w:b/>
                      <w:szCs w:val="21"/>
                    </w:rPr>
                  </w:pPr>
                  <w:r>
                    <w:rPr>
                      <w:rFonts w:hint="eastAsia"/>
                      <w:b/>
                      <w:szCs w:val="21"/>
                    </w:rPr>
                    <w:t>内容（人）</w:t>
                  </w:r>
                </w:p>
              </w:tc>
              <w:tc>
                <w:tcPr>
                  <w:tcW w:w="1044" w:type="dxa"/>
                  <w:vMerge w:val="restart"/>
                  <w:vAlign w:val="center"/>
                </w:tcPr>
                <w:p>
                  <w:pPr>
                    <w:jc w:val="center"/>
                    <w:rPr>
                      <w:b/>
                      <w:szCs w:val="21"/>
                    </w:rPr>
                  </w:pPr>
                  <w:r>
                    <w:rPr>
                      <w:rFonts w:hint="eastAsia"/>
                      <w:b/>
                      <w:szCs w:val="21"/>
                    </w:rPr>
                    <w:t>环境功能区</w:t>
                  </w:r>
                </w:p>
              </w:tc>
              <w:tc>
                <w:tcPr>
                  <w:tcW w:w="1082" w:type="dxa"/>
                  <w:vMerge w:val="restart"/>
                  <w:vAlign w:val="center"/>
                </w:tcPr>
                <w:p>
                  <w:pPr>
                    <w:jc w:val="center"/>
                    <w:rPr>
                      <w:b/>
                      <w:szCs w:val="21"/>
                    </w:rPr>
                  </w:pPr>
                  <w:r>
                    <w:rPr>
                      <w:rFonts w:hint="eastAsia"/>
                      <w:b/>
                      <w:szCs w:val="21"/>
                    </w:rPr>
                    <w:t>相对厂址方位</w:t>
                  </w:r>
                </w:p>
              </w:tc>
              <w:tc>
                <w:tcPr>
                  <w:tcW w:w="1082" w:type="dxa"/>
                  <w:vMerge w:val="restart"/>
                  <w:vAlign w:val="center"/>
                </w:tcPr>
                <w:p>
                  <w:pPr>
                    <w:jc w:val="center"/>
                    <w:rPr>
                      <w:b/>
                      <w:szCs w:val="21"/>
                    </w:rPr>
                  </w:pPr>
                  <w:r>
                    <w:rPr>
                      <w:rFonts w:hint="eastAsia"/>
                      <w:b/>
                      <w:szCs w:val="21"/>
                    </w:rPr>
                    <w:t>相对距离/m</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883" w:type="dxa"/>
                  <w:vMerge w:val="continue"/>
                  <w:vAlign w:val="center"/>
                </w:tcPr>
                <w:p>
                  <w:pPr>
                    <w:rPr>
                      <w:szCs w:val="21"/>
                    </w:rPr>
                  </w:pPr>
                </w:p>
              </w:tc>
              <w:tc>
                <w:tcPr>
                  <w:tcW w:w="1044" w:type="dxa"/>
                  <w:vAlign w:val="center"/>
                </w:tcPr>
                <w:p>
                  <w:pPr>
                    <w:jc w:val="center"/>
                    <w:rPr>
                      <w:szCs w:val="21"/>
                    </w:rPr>
                  </w:pPr>
                  <w:r>
                    <w:rPr>
                      <w:rFonts w:hint="eastAsia"/>
                      <w:szCs w:val="21"/>
                    </w:rPr>
                    <w:t>X</w:t>
                  </w:r>
                </w:p>
              </w:tc>
              <w:tc>
                <w:tcPr>
                  <w:tcW w:w="1089" w:type="dxa"/>
                  <w:vAlign w:val="center"/>
                </w:tcPr>
                <w:p>
                  <w:pPr>
                    <w:jc w:val="center"/>
                    <w:rPr>
                      <w:szCs w:val="21"/>
                    </w:rPr>
                  </w:pPr>
                  <w:r>
                    <w:rPr>
                      <w:rFonts w:hint="eastAsia"/>
                      <w:szCs w:val="21"/>
                    </w:rPr>
                    <w:t>Y</w:t>
                  </w:r>
                </w:p>
              </w:tc>
              <w:tc>
                <w:tcPr>
                  <w:tcW w:w="1044" w:type="dxa"/>
                  <w:vMerge w:val="continue"/>
                  <w:vAlign w:val="center"/>
                </w:tcPr>
                <w:p>
                  <w:pPr>
                    <w:rPr>
                      <w:szCs w:val="21"/>
                    </w:rPr>
                  </w:pPr>
                </w:p>
              </w:tc>
              <w:tc>
                <w:tcPr>
                  <w:tcW w:w="1044" w:type="dxa"/>
                  <w:vMerge w:val="continue"/>
                  <w:vAlign w:val="center"/>
                </w:tcPr>
                <w:p>
                  <w:pPr>
                    <w:rPr>
                      <w:szCs w:val="21"/>
                    </w:rPr>
                  </w:pPr>
                </w:p>
              </w:tc>
              <w:tc>
                <w:tcPr>
                  <w:tcW w:w="1044" w:type="dxa"/>
                  <w:vMerge w:val="continue"/>
                  <w:vAlign w:val="center"/>
                </w:tcPr>
                <w:p>
                  <w:pPr>
                    <w:rPr>
                      <w:szCs w:val="21"/>
                    </w:rPr>
                  </w:pPr>
                </w:p>
              </w:tc>
              <w:tc>
                <w:tcPr>
                  <w:tcW w:w="1082" w:type="dxa"/>
                  <w:vMerge w:val="continue"/>
                  <w:vAlign w:val="center"/>
                </w:tcPr>
                <w:p>
                  <w:pPr>
                    <w:rPr>
                      <w:szCs w:val="21"/>
                    </w:rPr>
                  </w:pPr>
                </w:p>
              </w:tc>
              <w:tc>
                <w:tcPr>
                  <w:tcW w:w="1082" w:type="dxa"/>
                  <w:vMerge w:val="continue"/>
                  <w:vAlign w:val="center"/>
                </w:tcPr>
                <w:p>
                  <w:pPr>
                    <w:rPr>
                      <w:szCs w:val="21"/>
                    </w:rPr>
                  </w:pP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735" w:hRule="atLeast"/>
                <w:jc w:val="center"/>
              </w:trPr>
              <w:tc>
                <w:tcPr>
                  <w:tcW w:w="883" w:type="dxa"/>
                  <w:vAlign w:val="center"/>
                </w:tcPr>
                <w:p>
                  <w:pPr>
                    <w:jc w:val="center"/>
                    <w:rPr>
                      <w:szCs w:val="21"/>
                    </w:rPr>
                  </w:pPr>
                  <w:r>
                    <w:rPr>
                      <w:rFonts w:hint="eastAsia"/>
                      <w:szCs w:val="21"/>
                    </w:rPr>
                    <w:t>水北村</w:t>
                  </w:r>
                </w:p>
              </w:tc>
              <w:tc>
                <w:tcPr>
                  <w:tcW w:w="1044" w:type="dxa"/>
                  <w:vAlign w:val="center"/>
                </w:tcPr>
                <w:p>
                  <w:pPr>
                    <w:jc w:val="center"/>
                    <w:rPr>
                      <w:szCs w:val="21"/>
                    </w:rPr>
                  </w:pPr>
                  <w:r>
                    <w:rPr>
                      <w:rFonts w:hint="eastAsia"/>
                      <w:szCs w:val="21"/>
                    </w:rPr>
                    <w:t>31.7920</w:t>
                  </w:r>
                </w:p>
              </w:tc>
              <w:tc>
                <w:tcPr>
                  <w:tcW w:w="1089" w:type="dxa"/>
                  <w:vAlign w:val="center"/>
                </w:tcPr>
                <w:p>
                  <w:pPr>
                    <w:jc w:val="center"/>
                    <w:rPr>
                      <w:szCs w:val="21"/>
                    </w:rPr>
                  </w:pPr>
                  <w:r>
                    <w:rPr>
                      <w:rFonts w:hint="eastAsia"/>
                      <w:szCs w:val="21"/>
                    </w:rPr>
                    <w:t>119.4583</w:t>
                  </w:r>
                </w:p>
              </w:tc>
              <w:tc>
                <w:tcPr>
                  <w:tcW w:w="1044" w:type="dxa"/>
                  <w:vAlign w:val="center"/>
                </w:tcPr>
                <w:p>
                  <w:pPr>
                    <w:jc w:val="center"/>
                    <w:rPr>
                      <w:szCs w:val="21"/>
                    </w:rPr>
                  </w:pPr>
                  <w:r>
                    <w:rPr>
                      <w:rFonts w:hint="eastAsia"/>
                      <w:szCs w:val="21"/>
                    </w:rPr>
                    <w:t>居民区</w:t>
                  </w:r>
                </w:p>
              </w:tc>
              <w:tc>
                <w:tcPr>
                  <w:tcW w:w="1044" w:type="dxa"/>
                  <w:vAlign w:val="center"/>
                </w:tcPr>
                <w:p>
                  <w:pPr>
                    <w:jc w:val="center"/>
                    <w:rPr>
                      <w:szCs w:val="21"/>
                    </w:rPr>
                  </w:pPr>
                  <w:r>
                    <w:rPr>
                      <w:rFonts w:hint="eastAsia"/>
                      <w:szCs w:val="21"/>
                    </w:rPr>
                    <w:t>1200</w:t>
                  </w:r>
                </w:p>
              </w:tc>
              <w:tc>
                <w:tcPr>
                  <w:tcW w:w="1044" w:type="dxa"/>
                  <w:vAlign w:val="center"/>
                </w:tcPr>
                <w:p>
                  <w:pPr>
                    <w:jc w:val="center"/>
                    <w:rPr>
                      <w:szCs w:val="21"/>
                    </w:rPr>
                  </w:pPr>
                  <w:r>
                    <w:rPr>
                      <w:rFonts w:hint="eastAsia"/>
                      <w:szCs w:val="21"/>
                    </w:rPr>
                    <w:t>二类区</w:t>
                  </w:r>
                </w:p>
              </w:tc>
              <w:tc>
                <w:tcPr>
                  <w:tcW w:w="1082" w:type="dxa"/>
                  <w:vAlign w:val="center"/>
                </w:tcPr>
                <w:p>
                  <w:pPr>
                    <w:jc w:val="center"/>
                    <w:rPr>
                      <w:szCs w:val="21"/>
                    </w:rPr>
                  </w:pPr>
                  <w:r>
                    <w:rPr>
                      <w:rFonts w:hint="eastAsia"/>
                      <w:szCs w:val="21"/>
                    </w:rPr>
                    <w:t>N</w:t>
                  </w:r>
                </w:p>
              </w:tc>
              <w:tc>
                <w:tcPr>
                  <w:tcW w:w="1082" w:type="dxa"/>
                  <w:vAlign w:val="center"/>
                </w:tcPr>
                <w:p>
                  <w:pPr>
                    <w:jc w:val="center"/>
                    <w:rPr>
                      <w:rFonts w:hint="default" w:eastAsia="宋体"/>
                      <w:szCs w:val="21"/>
                      <w:lang w:val="en-US" w:eastAsia="zh-CN"/>
                    </w:rPr>
                  </w:pPr>
                  <w:r>
                    <w:rPr>
                      <w:rFonts w:hint="eastAsia"/>
                      <w:szCs w:val="21"/>
                    </w:rPr>
                    <w:t>1</w:t>
                  </w:r>
                  <w:r>
                    <w:rPr>
                      <w:rFonts w:hint="eastAsia"/>
                      <w:szCs w:val="21"/>
                      <w:lang w:val="en-US" w:eastAsia="zh-CN"/>
                    </w:rPr>
                    <w:t>180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735" w:hRule="atLeast"/>
                <w:jc w:val="center"/>
              </w:trPr>
              <w:tc>
                <w:tcPr>
                  <w:tcW w:w="883" w:type="dxa"/>
                  <w:vAlign w:val="center"/>
                </w:tcPr>
                <w:p>
                  <w:pPr>
                    <w:jc w:val="center"/>
                    <w:rPr>
                      <w:szCs w:val="21"/>
                    </w:rPr>
                  </w:pPr>
                  <w:r>
                    <w:rPr>
                      <w:rFonts w:hint="eastAsia"/>
                      <w:szCs w:val="21"/>
                    </w:rPr>
                    <w:t>张地墩</w:t>
                  </w:r>
                </w:p>
              </w:tc>
              <w:tc>
                <w:tcPr>
                  <w:tcW w:w="1044" w:type="dxa"/>
                  <w:vAlign w:val="center"/>
                </w:tcPr>
                <w:p>
                  <w:pPr>
                    <w:jc w:val="center"/>
                    <w:rPr>
                      <w:szCs w:val="21"/>
                    </w:rPr>
                  </w:pPr>
                  <w:r>
                    <w:rPr>
                      <w:rFonts w:hint="eastAsia"/>
                      <w:szCs w:val="21"/>
                    </w:rPr>
                    <w:t>31.7953</w:t>
                  </w:r>
                </w:p>
              </w:tc>
              <w:tc>
                <w:tcPr>
                  <w:tcW w:w="1089" w:type="dxa"/>
                  <w:vAlign w:val="center"/>
                </w:tcPr>
                <w:p>
                  <w:pPr>
                    <w:jc w:val="center"/>
                    <w:rPr>
                      <w:szCs w:val="21"/>
                    </w:rPr>
                  </w:pPr>
                  <w:r>
                    <w:rPr>
                      <w:rFonts w:hint="eastAsia"/>
                      <w:szCs w:val="21"/>
                    </w:rPr>
                    <w:t>119.4703</w:t>
                  </w:r>
                </w:p>
              </w:tc>
              <w:tc>
                <w:tcPr>
                  <w:tcW w:w="1044" w:type="dxa"/>
                  <w:vAlign w:val="center"/>
                </w:tcPr>
                <w:p>
                  <w:pPr>
                    <w:jc w:val="center"/>
                    <w:rPr>
                      <w:szCs w:val="21"/>
                    </w:rPr>
                  </w:pPr>
                  <w:r>
                    <w:rPr>
                      <w:rFonts w:hint="eastAsia"/>
                      <w:szCs w:val="21"/>
                    </w:rPr>
                    <w:t>居民区</w:t>
                  </w:r>
                </w:p>
              </w:tc>
              <w:tc>
                <w:tcPr>
                  <w:tcW w:w="1044" w:type="dxa"/>
                  <w:vAlign w:val="center"/>
                </w:tcPr>
                <w:p>
                  <w:pPr>
                    <w:jc w:val="center"/>
                    <w:rPr>
                      <w:szCs w:val="21"/>
                    </w:rPr>
                  </w:pPr>
                  <w:r>
                    <w:rPr>
                      <w:rFonts w:hint="eastAsia"/>
                      <w:szCs w:val="21"/>
                    </w:rPr>
                    <w:t>900</w:t>
                  </w:r>
                </w:p>
              </w:tc>
              <w:tc>
                <w:tcPr>
                  <w:tcW w:w="1044" w:type="dxa"/>
                  <w:vAlign w:val="center"/>
                </w:tcPr>
                <w:p>
                  <w:pPr>
                    <w:jc w:val="center"/>
                    <w:rPr>
                      <w:szCs w:val="21"/>
                    </w:rPr>
                  </w:pPr>
                  <w:r>
                    <w:rPr>
                      <w:rFonts w:hint="eastAsia"/>
                      <w:szCs w:val="21"/>
                    </w:rPr>
                    <w:t>二类区</w:t>
                  </w:r>
                </w:p>
              </w:tc>
              <w:tc>
                <w:tcPr>
                  <w:tcW w:w="1082" w:type="dxa"/>
                  <w:vAlign w:val="center"/>
                </w:tcPr>
                <w:p>
                  <w:pPr>
                    <w:jc w:val="center"/>
                    <w:rPr>
                      <w:szCs w:val="21"/>
                    </w:rPr>
                  </w:pPr>
                  <w:r>
                    <w:rPr>
                      <w:rFonts w:hint="eastAsia"/>
                      <w:szCs w:val="21"/>
                    </w:rPr>
                    <w:t>NE</w:t>
                  </w:r>
                </w:p>
              </w:tc>
              <w:tc>
                <w:tcPr>
                  <w:tcW w:w="1082" w:type="dxa"/>
                  <w:vAlign w:val="center"/>
                </w:tcPr>
                <w:p>
                  <w:pPr>
                    <w:jc w:val="center"/>
                    <w:rPr>
                      <w:rFonts w:hint="default" w:eastAsia="宋体"/>
                      <w:szCs w:val="21"/>
                      <w:lang w:val="en-US" w:eastAsia="zh-CN"/>
                    </w:rPr>
                  </w:pPr>
                  <w:r>
                    <w:rPr>
                      <w:rFonts w:hint="eastAsia"/>
                      <w:szCs w:val="21"/>
                    </w:rPr>
                    <w:t>18</w:t>
                  </w:r>
                  <w:r>
                    <w:rPr>
                      <w:rFonts w:hint="eastAsia"/>
                      <w:szCs w:val="21"/>
                      <w:lang w:val="en-US" w:eastAsia="zh-CN"/>
                    </w:rPr>
                    <w:t>40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735" w:hRule="atLeast"/>
                <w:jc w:val="center"/>
              </w:trPr>
              <w:tc>
                <w:tcPr>
                  <w:tcW w:w="883" w:type="dxa"/>
                  <w:vAlign w:val="center"/>
                </w:tcPr>
                <w:p>
                  <w:pPr>
                    <w:jc w:val="center"/>
                    <w:rPr>
                      <w:szCs w:val="21"/>
                    </w:rPr>
                  </w:pPr>
                  <w:r>
                    <w:rPr>
                      <w:rFonts w:hint="eastAsia"/>
                      <w:szCs w:val="21"/>
                    </w:rPr>
                    <w:t>鹤科村</w:t>
                  </w:r>
                </w:p>
              </w:tc>
              <w:tc>
                <w:tcPr>
                  <w:tcW w:w="1044" w:type="dxa"/>
                  <w:vAlign w:val="center"/>
                </w:tcPr>
                <w:p>
                  <w:pPr>
                    <w:jc w:val="center"/>
                    <w:rPr>
                      <w:szCs w:val="21"/>
                    </w:rPr>
                  </w:pPr>
                  <w:r>
                    <w:rPr>
                      <w:rFonts w:hint="eastAsia"/>
                      <w:szCs w:val="21"/>
                    </w:rPr>
                    <w:t>31.7921</w:t>
                  </w:r>
                </w:p>
              </w:tc>
              <w:tc>
                <w:tcPr>
                  <w:tcW w:w="1089" w:type="dxa"/>
                  <w:vAlign w:val="center"/>
                </w:tcPr>
                <w:p>
                  <w:pPr>
                    <w:jc w:val="center"/>
                    <w:rPr>
                      <w:szCs w:val="21"/>
                    </w:rPr>
                  </w:pPr>
                  <w:r>
                    <w:rPr>
                      <w:rFonts w:hint="eastAsia"/>
                      <w:szCs w:val="21"/>
                    </w:rPr>
                    <w:t>119.4789</w:t>
                  </w:r>
                </w:p>
              </w:tc>
              <w:tc>
                <w:tcPr>
                  <w:tcW w:w="1044" w:type="dxa"/>
                  <w:vAlign w:val="center"/>
                </w:tcPr>
                <w:p>
                  <w:pPr>
                    <w:jc w:val="center"/>
                    <w:rPr>
                      <w:szCs w:val="21"/>
                    </w:rPr>
                  </w:pPr>
                  <w:r>
                    <w:rPr>
                      <w:rFonts w:hint="eastAsia"/>
                      <w:szCs w:val="21"/>
                    </w:rPr>
                    <w:t>居民区</w:t>
                  </w:r>
                </w:p>
              </w:tc>
              <w:tc>
                <w:tcPr>
                  <w:tcW w:w="1044" w:type="dxa"/>
                  <w:vAlign w:val="center"/>
                </w:tcPr>
                <w:p>
                  <w:pPr>
                    <w:jc w:val="center"/>
                    <w:rPr>
                      <w:szCs w:val="21"/>
                    </w:rPr>
                  </w:pPr>
                  <w:r>
                    <w:rPr>
                      <w:rFonts w:hint="eastAsia"/>
                      <w:szCs w:val="21"/>
                    </w:rPr>
                    <w:t>1500</w:t>
                  </w:r>
                </w:p>
              </w:tc>
              <w:tc>
                <w:tcPr>
                  <w:tcW w:w="1044" w:type="dxa"/>
                  <w:vAlign w:val="center"/>
                </w:tcPr>
                <w:p>
                  <w:pPr>
                    <w:jc w:val="center"/>
                    <w:rPr>
                      <w:szCs w:val="21"/>
                    </w:rPr>
                  </w:pPr>
                  <w:r>
                    <w:rPr>
                      <w:rFonts w:hint="eastAsia"/>
                      <w:szCs w:val="21"/>
                    </w:rPr>
                    <w:t>二类区</w:t>
                  </w:r>
                </w:p>
              </w:tc>
              <w:tc>
                <w:tcPr>
                  <w:tcW w:w="1082" w:type="dxa"/>
                  <w:vAlign w:val="center"/>
                </w:tcPr>
                <w:p>
                  <w:pPr>
                    <w:jc w:val="center"/>
                    <w:rPr>
                      <w:szCs w:val="21"/>
                    </w:rPr>
                  </w:pPr>
                  <w:r>
                    <w:rPr>
                      <w:rFonts w:hint="eastAsia"/>
                      <w:szCs w:val="21"/>
                    </w:rPr>
                    <w:t>NE</w:t>
                  </w:r>
                </w:p>
              </w:tc>
              <w:tc>
                <w:tcPr>
                  <w:tcW w:w="1082" w:type="dxa"/>
                  <w:vAlign w:val="center"/>
                </w:tcPr>
                <w:p>
                  <w:pPr>
                    <w:jc w:val="center"/>
                    <w:rPr>
                      <w:rFonts w:hint="default" w:eastAsia="宋体"/>
                      <w:szCs w:val="21"/>
                      <w:lang w:val="en-US" w:eastAsia="zh-CN"/>
                    </w:rPr>
                  </w:pPr>
                  <w:r>
                    <w:rPr>
                      <w:rFonts w:hint="eastAsia"/>
                      <w:szCs w:val="21"/>
                    </w:rPr>
                    <w:t>2</w:t>
                  </w:r>
                  <w:r>
                    <w:rPr>
                      <w:rFonts w:hint="eastAsia"/>
                      <w:szCs w:val="21"/>
                      <w:lang w:val="en-US" w:eastAsia="zh-CN"/>
                    </w:rPr>
                    <w:t>080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735" w:hRule="atLeast"/>
                <w:jc w:val="center"/>
              </w:trPr>
              <w:tc>
                <w:tcPr>
                  <w:tcW w:w="883" w:type="dxa"/>
                  <w:vAlign w:val="center"/>
                </w:tcPr>
                <w:p>
                  <w:pPr>
                    <w:jc w:val="center"/>
                    <w:rPr>
                      <w:szCs w:val="21"/>
                    </w:rPr>
                  </w:pPr>
                  <w:r>
                    <w:rPr>
                      <w:rFonts w:hint="eastAsia"/>
                      <w:szCs w:val="21"/>
                    </w:rPr>
                    <w:t>坞家村</w:t>
                  </w:r>
                </w:p>
              </w:tc>
              <w:tc>
                <w:tcPr>
                  <w:tcW w:w="1044" w:type="dxa"/>
                  <w:vAlign w:val="center"/>
                </w:tcPr>
                <w:p>
                  <w:pPr>
                    <w:jc w:val="center"/>
                    <w:rPr>
                      <w:szCs w:val="21"/>
                    </w:rPr>
                  </w:pPr>
                  <w:r>
                    <w:rPr>
                      <w:rFonts w:hint="eastAsia"/>
                      <w:szCs w:val="21"/>
                    </w:rPr>
                    <w:t>31.7837</w:t>
                  </w:r>
                </w:p>
              </w:tc>
              <w:tc>
                <w:tcPr>
                  <w:tcW w:w="1089" w:type="dxa"/>
                  <w:vAlign w:val="center"/>
                </w:tcPr>
                <w:p>
                  <w:pPr>
                    <w:jc w:val="center"/>
                    <w:rPr>
                      <w:szCs w:val="21"/>
                    </w:rPr>
                  </w:pPr>
                  <w:r>
                    <w:rPr>
                      <w:rFonts w:hint="eastAsia"/>
                      <w:szCs w:val="21"/>
                    </w:rPr>
                    <w:t>119.4824</w:t>
                  </w:r>
                </w:p>
              </w:tc>
              <w:tc>
                <w:tcPr>
                  <w:tcW w:w="1044" w:type="dxa"/>
                  <w:vAlign w:val="center"/>
                </w:tcPr>
                <w:p>
                  <w:pPr>
                    <w:jc w:val="center"/>
                    <w:rPr>
                      <w:szCs w:val="21"/>
                    </w:rPr>
                  </w:pPr>
                  <w:r>
                    <w:rPr>
                      <w:rFonts w:hint="eastAsia"/>
                      <w:szCs w:val="21"/>
                    </w:rPr>
                    <w:t>居民区</w:t>
                  </w:r>
                </w:p>
              </w:tc>
              <w:tc>
                <w:tcPr>
                  <w:tcW w:w="1044" w:type="dxa"/>
                  <w:vAlign w:val="center"/>
                </w:tcPr>
                <w:p>
                  <w:pPr>
                    <w:jc w:val="center"/>
                    <w:rPr>
                      <w:szCs w:val="21"/>
                    </w:rPr>
                  </w:pPr>
                  <w:r>
                    <w:rPr>
                      <w:rFonts w:hint="eastAsia"/>
                      <w:szCs w:val="21"/>
                    </w:rPr>
                    <w:t>800</w:t>
                  </w:r>
                </w:p>
              </w:tc>
              <w:tc>
                <w:tcPr>
                  <w:tcW w:w="1044" w:type="dxa"/>
                  <w:vAlign w:val="center"/>
                </w:tcPr>
                <w:p>
                  <w:pPr>
                    <w:jc w:val="center"/>
                    <w:rPr>
                      <w:szCs w:val="21"/>
                    </w:rPr>
                  </w:pPr>
                  <w:r>
                    <w:rPr>
                      <w:rFonts w:hint="eastAsia"/>
                      <w:szCs w:val="21"/>
                    </w:rPr>
                    <w:t>二类区</w:t>
                  </w:r>
                </w:p>
              </w:tc>
              <w:tc>
                <w:tcPr>
                  <w:tcW w:w="1082" w:type="dxa"/>
                  <w:vAlign w:val="center"/>
                </w:tcPr>
                <w:p>
                  <w:pPr>
                    <w:jc w:val="center"/>
                    <w:rPr>
                      <w:szCs w:val="21"/>
                    </w:rPr>
                  </w:pPr>
                  <w:r>
                    <w:rPr>
                      <w:rFonts w:hint="eastAsia"/>
                      <w:szCs w:val="21"/>
                    </w:rPr>
                    <w:t>E</w:t>
                  </w:r>
                </w:p>
              </w:tc>
              <w:tc>
                <w:tcPr>
                  <w:tcW w:w="1082" w:type="dxa"/>
                  <w:vAlign w:val="center"/>
                </w:tcPr>
                <w:p>
                  <w:pPr>
                    <w:jc w:val="center"/>
                    <w:rPr>
                      <w:rFonts w:hint="default" w:eastAsia="宋体"/>
                      <w:szCs w:val="21"/>
                      <w:lang w:val="en-US" w:eastAsia="zh-CN"/>
                    </w:rPr>
                  </w:pPr>
                  <w:r>
                    <w:rPr>
                      <w:rFonts w:hint="eastAsia"/>
                      <w:szCs w:val="21"/>
                      <w:lang w:val="en-US" w:eastAsia="zh-CN"/>
                    </w:rPr>
                    <w:t>2030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735" w:hRule="atLeast"/>
                <w:jc w:val="center"/>
              </w:trPr>
              <w:tc>
                <w:tcPr>
                  <w:tcW w:w="883" w:type="dxa"/>
                  <w:vAlign w:val="center"/>
                </w:tcPr>
                <w:p>
                  <w:pPr>
                    <w:jc w:val="center"/>
                    <w:rPr>
                      <w:szCs w:val="21"/>
                    </w:rPr>
                  </w:pPr>
                  <w:r>
                    <w:rPr>
                      <w:rFonts w:hint="eastAsia"/>
                      <w:szCs w:val="21"/>
                    </w:rPr>
                    <w:t>玉门</w:t>
                  </w:r>
                </w:p>
              </w:tc>
              <w:tc>
                <w:tcPr>
                  <w:tcW w:w="1044" w:type="dxa"/>
                  <w:vAlign w:val="center"/>
                </w:tcPr>
                <w:p>
                  <w:pPr>
                    <w:jc w:val="center"/>
                    <w:rPr>
                      <w:szCs w:val="21"/>
                    </w:rPr>
                  </w:pPr>
                  <w:r>
                    <w:rPr>
                      <w:rFonts w:hint="eastAsia"/>
                      <w:szCs w:val="21"/>
                    </w:rPr>
                    <w:t>31.7786</w:t>
                  </w:r>
                </w:p>
              </w:tc>
              <w:tc>
                <w:tcPr>
                  <w:tcW w:w="1089" w:type="dxa"/>
                  <w:vAlign w:val="center"/>
                </w:tcPr>
                <w:p>
                  <w:pPr>
                    <w:jc w:val="center"/>
                    <w:rPr>
                      <w:szCs w:val="21"/>
                    </w:rPr>
                  </w:pPr>
                  <w:r>
                    <w:rPr>
                      <w:rFonts w:hint="eastAsia"/>
                      <w:szCs w:val="21"/>
                    </w:rPr>
                    <w:t>119.4488</w:t>
                  </w:r>
                </w:p>
              </w:tc>
              <w:tc>
                <w:tcPr>
                  <w:tcW w:w="1044" w:type="dxa"/>
                  <w:vAlign w:val="center"/>
                </w:tcPr>
                <w:p>
                  <w:pPr>
                    <w:jc w:val="center"/>
                    <w:rPr>
                      <w:szCs w:val="21"/>
                    </w:rPr>
                  </w:pPr>
                  <w:r>
                    <w:rPr>
                      <w:rFonts w:hint="eastAsia"/>
                      <w:szCs w:val="21"/>
                    </w:rPr>
                    <w:t>居民区</w:t>
                  </w:r>
                </w:p>
              </w:tc>
              <w:tc>
                <w:tcPr>
                  <w:tcW w:w="1044" w:type="dxa"/>
                  <w:vAlign w:val="center"/>
                </w:tcPr>
                <w:p>
                  <w:pPr>
                    <w:jc w:val="center"/>
                    <w:rPr>
                      <w:szCs w:val="21"/>
                    </w:rPr>
                  </w:pPr>
                  <w:r>
                    <w:rPr>
                      <w:rFonts w:hint="eastAsia"/>
                      <w:szCs w:val="21"/>
                    </w:rPr>
                    <w:t>500</w:t>
                  </w:r>
                </w:p>
              </w:tc>
              <w:tc>
                <w:tcPr>
                  <w:tcW w:w="1044" w:type="dxa"/>
                  <w:vAlign w:val="center"/>
                </w:tcPr>
                <w:p>
                  <w:pPr>
                    <w:jc w:val="center"/>
                    <w:rPr>
                      <w:szCs w:val="21"/>
                    </w:rPr>
                  </w:pPr>
                  <w:r>
                    <w:rPr>
                      <w:rFonts w:hint="eastAsia"/>
                      <w:szCs w:val="21"/>
                    </w:rPr>
                    <w:t>二类区</w:t>
                  </w:r>
                </w:p>
              </w:tc>
              <w:tc>
                <w:tcPr>
                  <w:tcW w:w="1082" w:type="dxa"/>
                  <w:vAlign w:val="center"/>
                </w:tcPr>
                <w:p>
                  <w:pPr>
                    <w:jc w:val="center"/>
                    <w:rPr>
                      <w:szCs w:val="21"/>
                    </w:rPr>
                  </w:pPr>
                  <w:r>
                    <w:rPr>
                      <w:rFonts w:hint="eastAsia"/>
                      <w:szCs w:val="21"/>
                    </w:rPr>
                    <w:t>SW</w:t>
                  </w:r>
                </w:p>
              </w:tc>
              <w:tc>
                <w:tcPr>
                  <w:tcW w:w="1082" w:type="dxa"/>
                  <w:vAlign w:val="center"/>
                </w:tcPr>
                <w:p>
                  <w:pPr>
                    <w:jc w:val="center"/>
                    <w:rPr>
                      <w:rFonts w:hint="default" w:eastAsia="宋体"/>
                      <w:szCs w:val="21"/>
                      <w:lang w:val="en-US" w:eastAsia="zh-CN"/>
                    </w:rPr>
                  </w:pPr>
                  <w:r>
                    <w:rPr>
                      <w:rFonts w:hint="eastAsia"/>
                      <w:szCs w:val="21"/>
                      <w:lang w:val="en-US" w:eastAsia="zh-CN"/>
                    </w:rPr>
                    <w:t>490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735" w:hRule="atLeast"/>
                <w:jc w:val="center"/>
              </w:trPr>
              <w:tc>
                <w:tcPr>
                  <w:tcW w:w="883" w:type="dxa"/>
                  <w:vAlign w:val="center"/>
                </w:tcPr>
                <w:p>
                  <w:pPr>
                    <w:jc w:val="center"/>
                    <w:rPr>
                      <w:szCs w:val="21"/>
                    </w:rPr>
                  </w:pPr>
                  <w:r>
                    <w:rPr>
                      <w:rFonts w:hint="eastAsia"/>
                      <w:szCs w:val="21"/>
                    </w:rPr>
                    <w:t>滩田村</w:t>
                  </w:r>
                </w:p>
              </w:tc>
              <w:tc>
                <w:tcPr>
                  <w:tcW w:w="1044" w:type="dxa"/>
                  <w:vAlign w:val="center"/>
                </w:tcPr>
                <w:p>
                  <w:pPr>
                    <w:jc w:val="center"/>
                    <w:rPr>
                      <w:szCs w:val="21"/>
                    </w:rPr>
                  </w:pPr>
                  <w:r>
                    <w:rPr>
                      <w:rFonts w:hint="eastAsia"/>
                      <w:szCs w:val="21"/>
                    </w:rPr>
                    <w:t>31.7812</w:t>
                  </w:r>
                </w:p>
              </w:tc>
              <w:tc>
                <w:tcPr>
                  <w:tcW w:w="1089" w:type="dxa"/>
                  <w:vAlign w:val="center"/>
                </w:tcPr>
                <w:p>
                  <w:pPr>
                    <w:jc w:val="center"/>
                    <w:rPr>
                      <w:szCs w:val="21"/>
                    </w:rPr>
                  </w:pPr>
                  <w:r>
                    <w:rPr>
                      <w:rFonts w:hint="eastAsia"/>
                      <w:szCs w:val="21"/>
                    </w:rPr>
                    <w:t>119.4479</w:t>
                  </w:r>
                </w:p>
              </w:tc>
              <w:tc>
                <w:tcPr>
                  <w:tcW w:w="1044" w:type="dxa"/>
                  <w:vAlign w:val="center"/>
                </w:tcPr>
                <w:p>
                  <w:pPr>
                    <w:jc w:val="center"/>
                    <w:rPr>
                      <w:szCs w:val="21"/>
                    </w:rPr>
                  </w:pPr>
                  <w:r>
                    <w:rPr>
                      <w:rFonts w:hint="eastAsia"/>
                      <w:szCs w:val="21"/>
                    </w:rPr>
                    <w:t>居民区</w:t>
                  </w:r>
                </w:p>
              </w:tc>
              <w:tc>
                <w:tcPr>
                  <w:tcW w:w="1044" w:type="dxa"/>
                  <w:vAlign w:val="center"/>
                </w:tcPr>
                <w:p>
                  <w:pPr>
                    <w:jc w:val="center"/>
                    <w:rPr>
                      <w:szCs w:val="21"/>
                    </w:rPr>
                  </w:pPr>
                  <w:r>
                    <w:rPr>
                      <w:rFonts w:hint="eastAsia"/>
                      <w:szCs w:val="21"/>
                    </w:rPr>
                    <w:t>800</w:t>
                  </w:r>
                </w:p>
              </w:tc>
              <w:tc>
                <w:tcPr>
                  <w:tcW w:w="1044" w:type="dxa"/>
                  <w:vAlign w:val="center"/>
                </w:tcPr>
                <w:p>
                  <w:pPr>
                    <w:jc w:val="center"/>
                    <w:rPr>
                      <w:szCs w:val="21"/>
                    </w:rPr>
                  </w:pPr>
                  <w:r>
                    <w:rPr>
                      <w:rFonts w:hint="eastAsia"/>
                      <w:szCs w:val="21"/>
                    </w:rPr>
                    <w:t>二类区</w:t>
                  </w:r>
                </w:p>
              </w:tc>
              <w:tc>
                <w:tcPr>
                  <w:tcW w:w="1082" w:type="dxa"/>
                  <w:vAlign w:val="center"/>
                </w:tcPr>
                <w:p>
                  <w:pPr>
                    <w:jc w:val="center"/>
                    <w:rPr>
                      <w:szCs w:val="21"/>
                    </w:rPr>
                  </w:pPr>
                  <w:r>
                    <w:rPr>
                      <w:rFonts w:hint="eastAsia"/>
                      <w:szCs w:val="21"/>
                    </w:rPr>
                    <w:t>W</w:t>
                  </w:r>
                </w:p>
              </w:tc>
              <w:tc>
                <w:tcPr>
                  <w:tcW w:w="1082" w:type="dxa"/>
                  <w:vAlign w:val="center"/>
                </w:tcPr>
                <w:p>
                  <w:pPr>
                    <w:jc w:val="center"/>
                    <w:rPr>
                      <w:rFonts w:hint="default" w:eastAsia="宋体"/>
                      <w:szCs w:val="21"/>
                      <w:lang w:val="en-US" w:eastAsia="zh-CN"/>
                    </w:rPr>
                  </w:pPr>
                  <w:r>
                    <w:rPr>
                      <w:rFonts w:hint="eastAsia"/>
                      <w:szCs w:val="21"/>
                    </w:rPr>
                    <w:t>1</w:t>
                  </w:r>
                  <w:r>
                    <w:rPr>
                      <w:rFonts w:hint="eastAsia"/>
                      <w:szCs w:val="21"/>
                      <w:lang w:val="en-US" w:eastAsia="zh-CN"/>
                    </w:rPr>
                    <w:t>120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735" w:hRule="atLeast"/>
                <w:jc w:val="center"/>
              </w:trPr>
              <w:tc>
                <w:tcPr>
                  <w:tcW w:w="883" w:type="dxa"/>
                  <w:vAlign w:val="center"/>
                </w:tcPr>
                <w:p>
                  <w:pPr>
                    <w:jc w:val="center"/>
                    <w:rPr>
                      <w:szCs w:val="21"/>
                    </w:rPr>
                  </w:pPr>
                  <w:r>
                    <w:rPr>
                      <w:rFonts w:hint="eastAsia"/>
                      <w:szCs w:val="21"/>
                    </w:rPr>
                    <w:t>湖西村</w:t>
                  </w:r>
                </w:p>
              </w:tc>
              <w:tc>
                <w:tcPr>
                  <w:tcW w:w="1044" w:type="dxa"/>
                  <w:vAlign w:val="center"/>
                </w:tcPr>
                <w:p>
                  <w:pPr>
                    <w:jc w:val="center"/>
                    <w:rPr>
                      <w:szCs w:val="21"/>
                    </w:rPr>
                  </w:pPr>
                  <w:r>
                    <w:rPr>
                      <w:rFonts w:hint="eastAsia"/>
                      <w:szCs w:val="21"/>
                    </w:rPr>
                    <w:t>31.7858</w:t>
                  </w:r>
                </w:p>
              </w:tc>
              <w:tc>
                <w:tcPr>
                  <w:tcW w:w="1089" w:type="dxa"/>
                  <w:vAlign w:val="center"/>
                </w:tcPr>
                <w:p>
                  <w:pPr>
                    <w:jc w:val="center"/>
                    <w:rPr>
                      <w:szCs w:val="21"/>
                    </w:rPr>
                  </w:pPr>
                  <w:r>
                    <w:rPr>
                      <w:rFonts w:hint="eastAsia"/>
                      <w:szCs w:val="21"/>
                    </w:rPr>
                    <w:t>119.4441</w:t>
                  </w:r>
                </w:p>
              </w:tc>
              <w:tc>
                <w:tcPr>
                  <w:tcW w:w="1044" w:type="dxa"/>
                  <w:vAlign w:val="center"/>
                </w:tcPr>
                <w:p>
                  <w:pPr>
                    <w:jc w:val="center"/>
                    <w:rPr>
                      <w:szCs w:val="21"/>
                    </w:rPr>
                  </w:pPr>
                  <w:r>
                    <w:rPr>
                      <w:rFonts w:hint="eastAsia"/>
                      <w:szCs w:val="21"/>
                    </w:rPr>
                    <w:t>居民区</w:t>
                  </w:r>
                </w:p>
              </w:tc>
              <w:tc>
                <w:tcPr>
                  <w:tcW w:w="1044" w:type="dxa"/>
                  <w:vAlign w:val="center"/>
                </w:tcPr>
                <w:p>
                  <w:pPr>
                    <w:jc w:val="center"/>
                    <w:rPr>
                      <w:szCs w:val="21"/>
                    </w:rPr>
                  </w:pPr>
                  <w:r>
                    <w:rPr>
                      <w:rFonts w:hint="eastAsia"/>
                      <w:szCs w:val="21"/>
                    </w:rPr>
                    <w:t>1000</w:t>
                  </w:r>
                </w:p>
              </w:tc>
              <w:tc>
                <w:tcPr>
                  <w:tcW w:w="1044" w:type="dxa"/>
                  <w:vAlign w:val="center"/>
                </w:tcPr>
                <w:p>
                  <w:pPr>
                    <w:jc w:val="center"/>
                    <w:rPr>
                      <w:szCs w:val="21"/>
                    </w:rPr>
                  </w:pPr>
                  <w:r>
                    <w:rPr>
                      <w:rFonts w:hint="eastAsia"/>
                      <w:szCs w:val="21"/>
                    </w:rPr>
                    <w:t>二类区</w:t>
                  </w:r>
                </w:p>
              </w:tc>
              <w:tc>
                <w:tcPr>
                  <w:tcW w:w="1082" w:type="dxa"/>
                  <w:vAlign w:val="center"/>
                </w:tcPr>
                <w:p>
                  <w:pPr>
                    <w:jc w:val="center"/>
                    <w:rPr>
                      <w:szCs w:val="21"/>
                    </w:rPr>
                  </w:pPr>
                  <w:r>
                    <w:rPr>
                      <w:rFonts w:hint="eastAsia"/>
                      <w:szCs w:val="21"/>
                    </w:rPr>
                    <w:t>NW</w:t>
                  </w:r>
                </w:p>
              </w:tc>
              <w:tc>
                <w:tcPr>
                  <w:tcW w:w="1082" w:type="dxa"/>
                  <w:vAlign w:val="center"/>
                </w:tcPr>
                <w:p>
                  <w:pPr>
                    <w:jc w:val="center"/>
                    <w:rPr>
                      <w:rFonts w:hint="default" w:eastAsia="宋体"/>
                      <w:szCs w:val="21"/>
                      <w:lang w:val="en-US" w:eastAsia="zh-CN"/>
                    </w:rPr>
                  </w:pPr>
                  <w:r>
                    <w:rPr>
                      <w:rFonts w:hint="eastAsia"/>
                      <w:szCs w:val="21"/>
                    </w:rPr>
                    <w:t>15</w:t>
                  </w:r>
                  <w:r>
                    <w:rPr>
                      <w:rFonts w:hint="eastAsia"/>
                      <w:szCs w:val="21"/>
                      <w:lang w:val="en-US" w:eastAsia="zh-CN"/>
                    </w:rPr>
                    <w:t>60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735" w:hRule="atLeast"/>
                <w:jc w:val="center"/>
              </w:trPr>
              <w:tc>
                <w:tcPr>
                  <w:tcW w:w="883" w:type="dxa"/>
                  <w:vAlign w:val="center"/>
                </w:tcPr>
                <w:p>
                  <w:pPr>
                    <w:jc w:val="center"/>
                    <w:rPr>
                      <w:szCs w:val="21"/>
                    </w:rPr>
                  </w:pPr>
                  <w:r>
                    <w:rPr>
                      <w:rFonts w:hint="eastAsia"/>
                      <w:szCs w:val="21"/>
                    </w:rPr>
                    <w:t>李家村</w:t>
                  </w:r>
                </w:p>
              </w:tc>
              <w:tc>
                <w:tcPr>
                  <w:tcW w:w="1044" w:type="dxa"/>
                  <w:vAlign w:val="center"/>
                </w:tcPr>
                <w:p>
                  <w:pPr>
                    <w:jc w:val="center"/>
                    <w:rPr>
                      <w:szCs w:val="21"/>
                    </w:rPr>
                  </w:pPr>
                  <w:r>
                    <w:rPr>
                      <w:rFonts w:hint="eastAsia"/>
                      <w:szCs w:val="21"/>
                    </w:rPr>
                    <w:t>31.7949</w:t>
                  </w:r>
                </w:p>
              </w:tc>
              <w:tc>
                <w:tcPr>
                  <w:tcW w:w="1089" w:type="dxa"/>
                  <w:vAlign w:val="center"/>
                </w:tcPr>
                <w:p>
                  <w:pPr>
                    <w:jc w:val="center"/>
                    <w:rPr>
                      <w:szCs w:val="21"/>
                    </w:rPr>
                  </w:pPr>
                  <w:r>
                    <w:rPr>
                      <w:rFonts w:hint="eastAsia"/>
                      <w:szCs w:val="21"/>
                    </w:rPr>
                    <w:t>119.4319</w:t>
                  </w:r>
                </w:p>
              </w:tc>
              <w:tc>
                <w:tcPr>
                  <w:tcW w:w="1044" w:type="dxa"/>
                  <w:vAlign w:val="center"/>
                </w:tcPr>
                <w:p>
                  <w:pPr>
                    <w:jc w:val="center"/>
                    <w:rPr>
                      <w:szCs w:val="21"/>
                    </w:rPr>
                  </w:pPr>
                  <w:r>
                    <w:rPr>
                      <w:rFonts w:hint="eastAsia"/>
                      <w:szCs w:val="21"/>
                    </w:rPr>
                    <w:t>居民区</w:t>
                  </w:r>
                </w:p>
              </w:tc>
              <w:tc>
                <w:tcPr>
                  <w:tcW w:w="1044" w:type="dxa"/>
                  <w:vAlign w:val="center"/>
                </w:tcPr>
                <w:p>
                  <w:pPr>
                    <w:jc w:val="center"/>
                    <w:rPr>
                      <w:szCs w:val="21"/>
                    </w:rPr>
                  </w:pPr>
                  <w:r>
                    <w:rPr>
                      <w:rFonts w:hint="eastAsia"/>
                      <w:szCs w:val="21"/>
                    </w:rPr>
                    <w:t>1000</w:t>
                  </w:r>
                </w:p>
              </w:tc>
              <w:tc>
                <w:tcPr>
                  <w:tcW w:w="1044" w:type="dxa"/>
                  <w:vAlign w:val="center"/>
                </w:tcPr>
                <w:p>
                  <w:pPr>
                    <w:jc w:val="center"/>
                    <w:rPr>
                      <w:szCs w:val="21"/>
                    </w:rPr>
                  </w:pPr>
                  <w:r>
                    <w:rPr>
                      <w:rFonts w:hint="eastAsia"/>
                      <w:szCs w:val="21"/>
                    </w:rPr>
                    <w:t>二类区</w:t>
                  </w:r>
                </w:p>
              </w:tc>
              <w:tc>
                <w:tcPr>
                  <w:tcW w:w="1082" w:type="dxa"/>
                  <w:vAlign w:val="center"/>
                </w:tcPr>
                <w:p>
                  <w:pPr>
                    <w:jc w:val="center"/>
                    <w:rPr>
                      <w:szCs w:val="21"/>
                    </w:rPr>
                  </w:pPr>
                  <w:r>
                    <w:rPr>
                      <w:rFonts w:hint="eastAsia"/>
                      <w:szCs w:val="21"/>
                    </w:rPr>
                    <w:t>NW</w:t>
                  </w:r>
                </w:p>
              </w:tc>
              <w:tc>
                <w:tcPr>
                  <w:tcW w:w="1082" w:type="dxa"/>
                  <w:vAlign w:val="center"/>
                </w:tcPr>
                <w:p>
                  <w:pPr>
                    <w:jc w:val="center"/>
                    <w:rPr>
                      <w:szCs w:val="21"/>
                    </w:rPr>
                  </w:pPr>
                  <w:r>
                    <w:rPr>
                      <w:rFonts w:hint="eastAsia"/>
                      <w:szCs w:val="21"/>
                    </w:rPr>
                    <w:t>17</w:t>
                  </w:r>
                  <w:r>
                    <w:rPr>
                      <w:rFonts w:hint="eastAsia"/>
                      <w:szCs w:val="21"/>
                      <w:lang w:val="en-US" w:eastAsia="zh-CN"/>
                    </w:rPr>
                    <w:t>5</w:t>
                  </w:r>
                  <w:r>
                    <w:rPr>
                      <w:rFonts w:hint="eastAsia"/>
                      <w:szCs w:val="21"/>
                    </w:rPr>
                    <w:t>0</w:t>
                  </w:r>
                </w:p>
              </w:tc>
            </w:tr>
          </w:tbl>
          <w:p>
            <w:pPr>
              <w:pStyle w:val="6"/>
              <w:keepNext/>
              <w:keepLines w:val="0"/>
              <w:pageBreakBefore w:val="0"/>
              <w:widowControl/>
              <w:kinsoku/>
              <w:wordWrap/>
              <w:overflowPunct/>
              <w:topLinePunct w:val="0"/>
              <w:autoSpaceDE/>
              <w:autoSpaceDN/>
              <w:bidi w:val="0"/>
              <w:adjustRightInd/>
              <w:snapToGrid/>
              <w:spacing w:before="157" w:beforeLines="50"/>
              <w:jc w:val="center"/>
              <w:textAlignment w:val="auto"/>
              <w:rPr>
                <w:rFonts w:ascii="Times New Roman" w:hAnsi="Times New Roman"/>
                <w:color w:val="000000" w:themeColor="text1"/>
                <w:sz w:val="21"/>
                <w:szCs w:val="21"/>
                <w14:textFill>
                  <w14:solidFill>
                    <w14:schemeClr w14:val="tx1"/>
                  </w14:solidFill>
                </w14:textFill>
              </w:rPr>
            </w:pPr>
            <w:r>
              <w:rPr>
                <w:rFonts w:ascii="Times New Roman" w:hAnsi="Times New Roman"/>
                <w:color w:val="000000" w:themeColor="text1"/>
                <w:sz w:val="24"/>
                <w:szCs w:val="24"/>
                <w14:textFill>
                  <w14:solidFill>
                    <w14:schemeClr w14:val="tx1"/>
                  </w14:solidFill>
                </w14:textFill>
              </w:rPr>
              <w:t>表</w:t>
            </w:r>
            <w:r>
              <w:rPr>
                <w:rFonts w:hint="eastAsia" w:ascii="Times New Roman" w:hAnsi="Times New Roman"/>
                <w:color w:val="000000" w:themeColor="text1"/>
                <w:sz w:val="24"/>
                <w:szCs w:val="24"/>
                <w14:textFill>
                  <w14:solidFill>
                    <w14:schemeClr w14:val="tx1"/>
                  </w14:solidFill>
                </w14:textFill>
              </w:rPr>
              <w:t>3-7</w:t>
            </w:r>
            <w:r>
              <w:rPr>
                <w:rFonts w:ascii="Times New Roman" w:hAnsi="Times New Roman"/>
                <w:color w:val="000000" w:themeColor="text1"/>
                <w:sz w:val="24"/>
                <w:szCs w:val="24"/>
                <w14:textFill>
                  <w14:solidFill>
                    <w14:schemeClr w14:val="tx1"/>
                  </w14:solidFill>
                </w14:textFill>
              </w:rPr>
              <w:t xml:space="preserve">  </w:t>
            </w:r>
            <w:r>
              <w:rPr>
                <w:rFonts w:hint="eastAsia" w:ascii="Times New Roman" w:hAnsi="Times New Roman"/>
                <w:color w:val="000000" w:themeColor="text1"/>
                <w:sz w:val="24"/>
                <w:szCs w:val="24"/>
                <w14:textFill>
                  <w14:solidFill>
                    <w14:schemeClr w14:val="tx1"/>
                  </w14:solidFill>
                </w14:textFill>
              </w:rPr>
              <w:t>其他环境要素保护目标一览表</w:t>
            </w:r>
          </w:p>
          <w:tbl>
            <w:tblPr>
              <w:tblStyle w:val="17"/>
              <w:tblW w:w="831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15"/>
              <w:gridCol w:w="1599"/>
              <w:gridCol w:w="869"/>
              <w:gridCol w:w="953"/>
              <w:gridCol w:w="1179"/>
              <w:gridCol w:w="25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4" w:hRule="atLeast"/>
                <w:jc w:val="center"/>
              </w:trPr>
              <w:tc>
                <w:tcPr>
                  <w:tcW w:w="1115"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环境要素</w:t>
                  </w:r>
                </w:p>
              </w:tc>
              <w:tc>
                <w:tcPr>
                  <w:tcW w:w="1599"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环境保护对象</w:t>
                  </w:r>
                </w:p>
              </w:tc>
              <w:tc>
                <w:tcPr>
                  <w:tcW w:w="869"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方位</w:t>
                  </w:r>
                </w:p>
              </w:tc>
              <w:tc>
                <w:tcPr>
                  <w:tcW w:w="953"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距离</w:t>
                  </w:r>
                  <w:r>
                    <w:rPr>
                      <w:rFonts w:hint="eastAsia"/>
                      <w:b/>
                      <w:color w:val="000000" w:themeColor="text1"/>
                      <w:szCs w:val="21"/>
                      <w14:textFill>
                        <w14:solidFill>
                          <w14:schemeClr w14:val="tx1"/>
                        </w14:solidFill>
                      </w14:textFill>
                    </w:rPr>
                    <w:t>m</w:t>
                  </w:r>
                </w:p>
              </w:tc>
              <w:tc>
                <w:tcPr>
                  <w:tcW w:w="1179"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规模</w:t>
                  </w:r>
                  <w:r>
                    <w:rPr>
                      <w:rFonts w:hint="eastAsia"/>
                      <w:b/>
                      <w:color w:val="000000" w:themeColor="text1"/>
                      <w:szCs w:val="21"/>
                      <w14:textFill>
                        <w14:solidFill>
                          <w14:schemeClr w14:val="tx1"/>
                        </w14:solidFill>
                      </w14:textFill>
                    </w:rPr>
                    <w:t>（人）</w:t>
                  </w:r>
                </w:p>
              </w:tc>
              <w:tc>
                <w:tcPr>
                  <w:tcW w:w="2597"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环境功能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1115"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地表水</w:t>
                  </w:r>
                </w:p>
                <w:p>
                  <w:pPr>
                    <w:keepNext w:val="0"/>
                    <w:keepLines w:val="0"/>
                    <w:pageBreakBefore w:val="0"/>
                    <w:widowControl w:val="0"/>
                    <w:kinsoku/>
                    <w:wordWrap/>
                    <w:overflowPunct/>
                    <w:topLinePunct w:val="0"/>
                    <w:autoSpaceDE/>
                    <w:autoSpaceDN/>
                    <w:bidi w:val="0"/>
                    <w:spacing w:before="63" w:beforeLines="20" w:after="63" w:afterLines="2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环境</w:t>
                  </w:r>
                </w:p>
              </w:tc>
              <w:tc>
                <w:tcPr>
                  <w:tcW w:w="1599"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通济河</w:t>
                  </w:r>
                </w:p>
              </w:tc>
              <w:tc>
                <w:tcPr>
                  <w:tcW w:w="869"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bCs/>
                      <w:color w:val="000000" w:themeColor="text1"/>
                      <w:szCs w:val="21"/>
                      <w14:textFill>
                        <w14:solidFill>
                          <w14:schemeClr w14:val="tx1"/>
                        </w14:solidFill>
                      </w14:textFill>
                    </w:rPr>
                  </w:pPr>
                  <w:r>
                    <w:rPr>
                      <w:rFonts w:hint="eastAsia"/>
                      <w:bCs/>
                      <w:szCs w:val="21"/>
                    </w:rPr>
                    <w:t>NE</w:t>
                  </w:r>
                </w:p>
              </w:tc>
              <w:tc>
                <w:tcPr>
                  <w:tcW w:w="953"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bCs/>
                      <w:color w:val="000000" w:themeColor="text1"/>
                      <w:szCs w:val="21"/>
                      <w14:textFill>
                        <w14:solidFill>
                          <w14:schemeClr w14:val="tx1"/>
                        </w14:solidFill>
                      </w14:textFill>
                    </w:rPr>
                  </w:pPr>
                  <w:r>
                    <w:rPr>
                      <w:rFonts w:hint="eastAsia"/>
                      <w:bCs/>
                      <w:color w:val="000000" w:themeColor="text1"/>
                      <w:szCs w:val="21"/>
                      <w14:textFill>
                        <w14:solidFill>
                          <w14:schemeClr w14:val="tx1"/>
                        </w14:solidFill>
                      </w14:textFill>
                    </w:rPr>
                    <w:t>2000</w:t>
                  </w:r>
                </w:p>
              </w:tc>
              <w:tc>
                <w:tcPr>
                  <w:tcW w:w="1179"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小型</w:t>
                  </w:r>
                </w:p>
              </w:tc>
              <w:tc>
                <w:tcPr>
                  <w:tcW w:w="2597"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《地表水环境质量标准》（GB3838-2002）中Ⅳ类</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1115"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声环境</w:t>
                  </w:r>
                </w:p>
              </w:tc>
              <w:tc>
                <w:tcPr>
                  <w:tcW w:w="4600" w:type="dxa"/>
                  <w:gridSpan w:val="4"/>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14:textFill>
                        <w14:solidFill>
                          <w14:schemeClr w14:val="tx1"/>
                        </w14:solidFill>
                      </w14:textFill>
                    </w:rPr>
                    <w:t>厂</w:t>
                  </w:r>
                  <w:r>
                    <w:rPr>
                      <w:rFonts w:hint="eastAsia"/>
                      <w:color w:val="000000" w:themeColor="text1"/>
                      <w:szCs w:val="21"/>
                      <w:lang w:eastAsia="zh-CN"/>
                      <w14:textFill>
                        <w14:solidFill>
                          <w14:schemeClr w14:val="tx1"/>
                        </w14:solidFill>
                      </w14:textFill>
                    </w:rPr>
                    <w:t>区</w:t>
                  </w:r>
                  <w:r>
                    <w:rPr>
                      <w:rFonts w:hint="eastAsia"/>
                      <w:color w:val="000000" w:themeColor="text1"/>
                      <w:szCs w:val="21"/>
                      <w:lang w:val="en-US" w:eastAsia="zh-CN"/>
                      <w14:textFill>
                        <w14:solidFill>
                          <w14:schemeClr w14:val="tx1"/>
                        </w14:solidFill>
                      </w14:textFill>
                    </w:rPr>
                    <w:t>200m范围内</w:t>
                  </w:r>
                </w:p>
              </w:tc>
              <w:tc>
                <w:tcPr>
                  <w:tcW w:w="2597"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《声</w:t>
                  </w:r>
                  <w:r>
                    <w:rPr>
                      <w:rFonts w:hint="eastAsia"/>
                      <w:color w:val="000000" w:themeColor="text1"/>
                      <w:szCs w:val="21"/>
                      <w14:textFill>
                        <w14:solidFill>
                          <w14:schemeClr w14:val="tx1"/>
                        </w14:solidFill>
                      </w14:textFill>
                    </w:rPr>
                    <w:t>环境</w:t>
                  </w:r>
                  <w:r>
                    <w:rPr>
                      <w:color w:val="000000" w:themeColor="text1"/>
                      <w:szCs w:val="21"/>
                      <w14:textFill>
                        <w14:solidFill>
                          <w14:schemeClr w14:val="tx1"/>
                        </w14:solidFill>
                      </w14:textFill>
                    </w:rPr>
                    <w:t>质量标准》（GB3096-2008）中</w:t>
                  </w: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类区</w:t>
                  </w:r>
                </w:p>
              </w:tc>
            </w:tr>
          </w:tbl>
          <w:p>
            <w:pPr>
              <w:snapToGrid w:val="0"/>
              <w:rPr>
                <w:b/>
                <w:color w:val="000000" w:themeColor="text1"/>
                <w:sz w:val="10"/>
                <w14:textFill>
                  <w14:solidFill>
                    <w14:schemeClr w14:val="tx1"/>
                  </w14:solidFill>
                </w14:textFill>
              </w:rPr>
            </w:pPr>
          </w:p>
          <w:p>
            <w:pPr>
              <w:snapToGrid w:val="0"/>
              <w:rPr>
                <w:b/>
                <w:color w:val="000000" w:themeColor="text1"/>
                <w:sz w:val="10"/>
                <w14:textFill>
                  <w14:solidFill>
                    <w14:schemeClr w14:val="tx1"/>
                  </w14:solidFill>
                </w14:textFill>
              </w:rPr>
            </w:pPr>
          </w:p>
        </w:tc>
      </w:tr>
    </w:tbl>
    <w:p>
      <w:pPr>
        <w:pStyle w:val="23"/>
        <w:rPr>
          <w:rFonts w:ascii="Times New Roman"/>
          <w:color w:val="000000" w:themeColor="text1"/>
          <w14:textFill>
            <w14:solidFill>
              <w14:schemeClr w14:val="tx1"/>
            </w14:solidFill>
          </w14:textFill>
        </w:rPr>
        <w:sectPr>
          <w:footerReference r:id="rId9" w:type="first"/>
          <w:pgSz w:w="11906" w:h="16838"/>
          <w:pgMar w:top="1440" w:right="1797" w:bottom="1440" w:left="1797" w:header="851" w:footer="992" w:gutter="0"/>
          <w:pgBorders>
            <w:top w:val="none" w:sz="0" w:space="0"/>
            <w:left w:val="none" w:sz="0" w:space="0"/>
            <w:bottom w:val="none" w:sz="0" w:space="0"/>
            <w:right w:val="none" w:sz="0" w:space="0"/>
          </w:pgBorders>
          <w:cols w:space="720" w:num="1"/>
          <w:docGrid w:type="linesAndChars" w:linePitch="312" w:charSpace="0"/>
        </w:sectPr>
      </w:pPr>
    </w:p>
    <w:p>
      <w:pPr>
        <w:pStyle w:val="23"/>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评价适用标准</w:t>
      </w:r>
    </w:p>
    <w:tbl>
      <w:tblPr>
        <w:tblStyle w:val="17"/>
        <w:tblW w:w="852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97"/>
        <w:gridCol w:w="803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230" w:hRule="atLeast"/>
          <w:jc w:val="center"/>
        </w:trPr>
        <w:tc>
          <w:tcPr>
            <w:tcW w:w="497" w:type="dxa"/>
            <w:vAlign w:val="center"/>
          </w:tcPr>
          <w:p>
            <w:pPr>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环</w:t>
            </w:r>
          </w:p>
          <w:p>
            <w:pPr>
              <w:snapToGrid w:val="0"/>
              <w:jc w:val="center"/>
              <w:rPr>
                <w:color w:val="000000" w:themeColor="text1"/>
                <w:sz w:val="24"/>
                <w14:textFill>
                  <w14:solidFill>
                    <w14:schemeClr w14:val="tx1"/>
                  </w14:solidFill>
                </w14:textFill>
              </w:rPr>
            </w:pPr>
          </w:p>
          <w:p>
            <w:pPr>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境</w:t>
            </w:r>
          </w:p>
          <w:p>
            <w:pPr>
              <w:snapToGrid w:val="0"/>
              <w:jc w:val="center"/>
              <w:rPr>
                <w:color w:val="000000" w:themeColor="text1"/>
                <w:sz w:val="24"/>
                <w14:textFill>
                  <w14:solidFill>
                    <w14:schemeClr w14:val="tx1"/>
                  </w14:solidFill>
                </w14:textFill>
              </w:rPr>
            </w:pPr>
          </w:p>
          <w:p>
            <w:pPr>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质</w:t>
            </w:r>
          </w:p>
          <w:p>
            <w:pPr>
              <w:snapToGrid w:val="0"/>
              <w:jc w:val="center"/>
              <w:rPr>
                <w:color w:val="000000" w:themeColor="text1"/>
                <w:sz w:val="24"/>
                <w14:textFill>
                  <w14:solidFill>
                    <w14:schemeClr w14:val="tx1"/>
                  </w14:solidFill>
                </w14:textFill>
              </w:rPr>
            </w:pPr>
          </w:p>
          <w:p>
            <w:pPr>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量</w:t>
            </w:r>
          </w:p>
          <w:p>
            <w:pPr>
              <w:snapToGrid w:val="0"/>
              <w:jc w:val="center"/>
              <w:rPr>
                <w:color w:val="000000" w:themeColor="text1"/>
                <w:sz w:val="24"/>
                <w14:textFill>
                  <w14:solidFill>
                    <w14:schemeClr w14:val="tx1"/>
                  </w14:solidFill>
                </w14:textFill>
              </w:rPr>
            </w:pPr>
          </w:p>
          <w:p>
            <w:pPr>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标</w:t>
            </w:r>
          </w:p>
          <w:p>
            <w:pPr>
              <w:snapToGrid w:val="0"/>
              <w:jc w:val="center"/>
              <w:rPr>
                <w:color w:val="000000" w:themeColor="text1"/>
                <w:sz w:val="24"/>
                <w14:textFill>
                  <w14:solidFill>
                    <w14:schemeClr w14:val="tx1"/>
                  </w14:solidFill>
                </w14:textFill>
              </w:rPr>
            </w:pPr>
          </w:p>
          <w:p>
            <w:pPr>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准</w:t>
            </w:r>
          </w:p>
        </w:tc>
        <w:tc>
          <w:tcPr>
            <w:tcW w:w="8031" w:type="dxa"/>
            <w:vAlign w:val="center"/>
          </w:tcPr>
          <w:p>
            <w:pPr>
              <w:spacing w:line="360" w:lineRule="auto"/>
              <w:ind w:firstLine="480" w:firstLineChars="200"/>
              <w:textAlignment w:val="baseline"/>
              <w:rPr>
                <w:b/>
                <w:color w:val="000000" w:themeColor="text1"/>
                <w:kern w:val="28"/>
                <w:sz w:val="24"/>
                <w:szCs w:val="24"/>
                <w14:textFill>
                  <w14:solidFill>
                    <w14:schemeClr w14:val="tx1"/>
                  </w14:solidFill>
                </w14:textFill>
              </w:rPr>
            </w:pPr>
            <w:r>
              <w:rPr>
                <w:b/>
                <w:color w:val="000000" w:themeColor="text1"/>
                <w:kern w:val="28"/>
                <w:sz w:val="24"/>
                <w:szCs w:val="24"/>
                <w14:textFill>
                  <w14:solidFill>
                    <w14:schemeClr w14:val="tx1"/>
                  </w14:solidFill>
                </w14:textFill>
              </w:rPr>
              <w:t>1、</w:t>
            </w:r>
            <w:r>
              <w:rPr>
                <w:rFonts w:hint="eastAsia"/>
                <w:b/>
                <w:color w:val="000000" w:themeColor="text1"/>
                <w:kern w:val="28"/>
                <w:sz w:val="24"/>
                <w:szCs w:val="24"/>
                <w14:textFill>
                  <w14:solidFill>
                    <w14:schemeClr w14:val="tx1"/>
                  </w14:solidFill>
                </w14:textFill>
              </w:rPr>
              <w:t>环境空气</w:t>
            </w:r>
          </w:p>
          <w:p>
            <w:pPr>
              <w:spacing w:line="360" w:lineRule="auto"/>
              <w:ind w:firstLine="480" w:firstLineChars="200"/>
              <w:textAlignment w:val="baseline"/>
              <w:rPr>
                <w:color w:val="000000" w:themeColor="text1"/>
                <w:spacing w:val="-2"/>
                <w:kern w:val="28"/>
                <w:sz w:val="24"/>
                <w:szCs w:val="24"/>
                <w14:textFill>
                  <w14:solidFill>
                    <w14:schemeClr w14:val="tx1"/>
                  </w14:solidFill>
                </w14:textFill>
              </w:rPr>
            </w:pPr>
            <w:r>
              <w:rPr>
                <w:color w:val="000000" w:themeColor="text1"/>
                <w:sz w:val="24"/>
                <w:szCs w:val="24"/>
                <w14:textFill>
                  <w14:solidFill>
                    <w14:schemeClr w14:val="tx1"/>
                  </w14:solidFill>
                </w14:textFill>
              </w:rPr>
              <w:t>SO</w:t>
            </w:r>
            <w:r>
              <w:rPr>
                <w:color w:val="000000" w:themeColor="text1"/>
                <w:sz w:val="24"/>
                <w:szCs w:val="24"/>
                <w:vertAlign w:val="subscript"/>
                <w14:textFill>
                  <w14:solidFill>
                    <w14:schemeClr w14:val="tx1"/>
                  </w14:solidFill>
                </w14:textFill>
              </w:rPr>
              <w:t>2</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NO</w:t>
            </w:r>
            <w:r>
              <w:rPr>
                <w:color w:val="000000" w:themeColor="text1"/>
                <w:sz w:val="24"/>
                <w:szCs w:val="24"/>
                <w:vertAlign w:val="subscript"/>
                <w14:textFill>
                  <w14:solidFill>
                    <w14:schemeClr w14:val="tx1"/>
                  </w14:solidFill>
                </w14:textFill>
              </w:rPr>
              <w:t>2</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CO</w:t>
            </w:r>
            <w:r>
              <w:rPr>
                <w:rFonts w:hint="eastAsia"/>
                <w:color w:val="000000" w:themeColor="text1"/>
                <w:sz w:val="24"/>
                <w:szCs w:val="24"/>
                <w14:textFill>
                  <w14:solidFill>
                    <w14:schemeClr w14:val="tx1"/>
                  </w14:solidFill>
                </w14:textFill>
              </w:rPr>
              <w:t>、O</w:t>
            </w:r>
            <w:r>
              <w:rPr>
                <w:rFonts w:hint="eastAsia"/>
                <w:color w:val="000000" w:themeColor="text1"/>
                <w:sz w:val="24"/>
                <w:szCs w:val="24"/>
                <w:vertAlign w:val="subscript"/>
                <w14:textFill>
                  <w14:solidFill>
                    <w14:schemeClr w14:val="tx1"/>
                  </w14:solidFill>
                </w14:textFill>
              </w:rPr>
              <w:t>3</w:t>
            </w:r>
            <w:r>
              <w:rPr>
                <w:rFonts w:hint="eastAsia"/>
                <w:color w:val="000000" w:themeColor="text1"/>
                <w:sz w:val="24"/>
                <w:szCs w:val="24"/>
                <w14:textFill>
                  <w14:solidFill>
                    <w14:schemeClr w14:val="tx1"/>
                  </w14:solidFill>
                </w14:textFill>
              </w:rPr>
              <w:t>、PM</w:t>
            </w:r>
            <w:r>
              <w:rPr>
                <w:color w:val="000000" w:themeColor="text1"/>
                <w:sz w:val="24"/>
                <w:szCs w:val="24"/>
                <w:vertAlign w:val="subscript"/>
                <w14:textFill>
                  <w14:solidFill>
                    <w14:schemeClr w14:val="tx1"/>
                  </w14:solidFill>
                </w14:textFill>
              </w:rPr>
              <w:t>2.5</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PM</w:t>
            </w:r>
            <w:r>
              <w:rPr>
                <w:color w:val="000000" w:themeColor="text1"/>
                <w:sz w:val="24"/>
                <w:szCs w:val="24"/>
                <w:vertAlign w:val="subscript"/>
                <w14:textFill>
                  <w14:solidFill>
                    <w14:schemeClr w14:val="tx1"/>
                  </w14:solidFill>
                </w14:textFill>
              </w:rPr>
              <w:t>10</w:t>
            </w:r>
            <w:r>
              <w:rPr>
                <w:rFonts w:hint="eastAsia"/>
                <w:color w:val="000000" w:themeColor="text1"/>
                <w:sz w:val="24"/>
                <w14:textFill>
                  <w14:solidFill>
                    <w14:schemeClr w14:val="tx1"/>
                  </w14:solidFill>
                </w14:textFill>
              </w:rPr>
              <w:t>大气环境质量</w:t>
            </w:r>
            <w:r>
              <w:rPr>
                <w:color w:val="000000" w:themeColor="text1"/>
                <w:sz w:val="24"/>
                <w:szCs w:val="24"/>
                <w14:textFill>
                  <w14:solidFill>
                    <w14:schemeClr w14:val="tx1"/>
                  </w14:solidFill>
                </w14:textFill>
              </w:rPr>
              <w:t>执行《环境空气质量标准》（GB3095-</w:t>
            </w:r>
            <w:r>
              <w:rPr>
                <w:rFonts w:hint="eastAsia"/>
                <w:color w:val="000000" w:themeColor="text1"/>
                <w:sz w:val="24"/>
                <w:szCs w:val="24"/>
                <w14:textFill>
                  <w14:solidFill>
                    <w14:schemeClr w14:val="tx1"/>
                  </w14:solidFill>
                </w14:textFill>
              </w:rPr>
              <w:t>2012</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修改单</w:t>
            </w:r>
            <w:r>
              <w:rPr>
                <w:color w:val="000000" w:themeColor="text1"/>
                <w:sz w:val="24"/>
                <w:szCs w:val="24"/>
                <w14:textFill>
                  <w14:solidFill>
                    <w14:schemeClr w14:val="tx1"/>
                  </w14:solidFill>
                </w14:textFill>
              </w:rPr>
              <w:t>中的二级标准</w:t>
            </w:r>
            <w:r>
              <w:rPr>
                <w:rFonts w:hint="eastAsia"/>
                <w:color w:val="000000" w:themeColor="text1"/>
                <w:sz w:val="24"/>
                <w:szCs w:val="24"/>
                <w14:textFill>
                  <w14:solidFill>
                    <w14:schemeClr w14:val="tx1"/>
                  </w14:solidFill>
                </w14:textFill>
              </w:rPr>
              <w:t>，</w:t>
            </w:r>
            <w:r>
              <w:rPr>
                <w:rFonts w:hint="eastAsia"/>
                <w:color w:val="000000" w:themeColor="text1"/>
                <w:sz w:val="24"/>
                <w:szCs w:val="24"/>
                <w:lang w:eastAsia="zh-CN"/>
                <w14:textFill>
                  <w14:solidFill>
                    <w14:schemeClr w14:val="tx1"/>
                  </w14:solidFill>
                </w14:textFill>
              </w:rPr>
              <w:t>非甲烷总烃</w:t>
            </w:r>
            <w:r>
              <w:rPr>
                <w:rFonts w:hint="eastAsia"/>
                <w:color w:val="000000" w:themeColor="text1"/>
                <w:sz w:val="24"/>
                <w:szCs w:val="24"/>
                <w:lang w:val="zh-CN"/>
                <w14:textFill>
                  <w14:solidFill>
                    <w14:schemeClr w14:val="tx1"/>
                  </w14:solidFill>
                </w14:textFill>
              </w:rPr>
              <w:t>参照</w:t>
            </w:r>
            <w:r>
              <w:rPr>
                <w:color w:val="auto"/>
                <w:sz w:val="24"/>
                <w:szCs w:val="24"/>
                <w:lang w:val="zh-CN"/>
              </w:rPr>
              <w:t>《大气污染物综合排放标准》（GBT16297-1996）详解</w:t>
            </w:r>
            <w:r>
              <w:rPr>
                <w:rFonts w:hint="eastAsia"/>
                <w:color w:val="auto"/>
                <w:sz w:val="24"/>
                <w:szCs w:val="24"/>
                <w:lang w:val="zh-CN"/>
              </w:rPr>
              <w:t>中数值</w:t>
            </w:r>
            <w:r>
              <w:rPr>
                <w:rFonts w:hint="eastAsia"/>
                <w:color w:val="000000" w:themeColor="text1"/>
                <w:sz w:val="24"/>
                <w:szCs w:val="24"/>
                <w14:textFill>
                  <w14:solidFill>
                    <w14:schemeClr w14:val="tx1"/>
                  </w14:solidFill>
                </w14:textFill>
              </w:rPr>
              <w:t>，详见下表。</w:t>
            </w:r>
          </w:p>
          <w:p>
            <w:pPr>
              <w:jc w:val="center"/>
              <w:rPr>
                <w:rFonts w:ascii="宋体"/>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表</w:t>
            </w:r>
            <w:r>
              <w:rPr>
                <w:rFonts w:hint="eastAsia"/>
                <w:b/>
                <w:color w:val="000000" w:themeColor="text1"/>
                <w:sz w:val="24"/>
                <w:szCs w:val="24"/>
                <w14:textFill>
                  <w14:solidFill>
                    <w14:schemeClr w14:val="tx1"/>
                  </w14:solidFill>
                </w14:textFill>
              </w:rPr>
              <w:t>4-1 环境空气质量标准</w:t>
            </w:r>
          </w:p>
          <w:tbl>
            <w:tblPr>
              <w:tblStyle w:val="17"/>
              <w:tblW w:w="7815"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921"/>
              <w:gridCol w:w="1983"/>
              <w:gridCol w:w="1135"/>
              <w:gridCol w:w="1164"/>
              <w:gridCol w:w="261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478" w:hRule="atLeast"/>
                <w:jc w:val="center"/>
              </w:trPr>
              <w:tc>
                <w:tcPr>
                  <w:tcW w:w="921" w:type="dxa"/>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污染物名称</w:t>
                  </w:r>
                </w:p>
              </w:tc>
              <w:tc>
                <w:tcPr>
                  <w:tcW w:w="1983" w:type="dxa"/>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取值时间</w:t>
                  </w:r>
                </w:p>
              </w:tc>
              <w:tc>
                <w:tcPr>
                  <w:tcW w:w="1135" w:type="dxa"/>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标准浓度限值</w:t>
                  </w:r>
                </w:p>
              </w:tc>
              <w:tc>
                <w:tcPr>
                  <w:tcW w:w="1164" w:type="dxa"/>
                  <w:vAlign w:val="center"/>
                </w:tcPr>
                <w:p>
                  <w:pPr>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单位</w:t>
                  </w:r>
                </w:p>
              </w:tc>
              <w:tc>
                <w:tcPr>
                  <w:tcW w:w="2612" w:type="dxa"/>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标准</w:t>
                  </w:r>
                  <w:r>
                    <w:rPr>
                      <w:rFonts w:hint="eastAsia"/>
                      <w:b/>
                      <w:color w:val="000000" w:themeColor="text1"/>
                      <w:szCs w:val="21"/>
                      <w14:textFill>
                        <w14:solidFill>
                          <w14:schemeClr w14:val="tx1"/>
                        </w14:solidFill>
                      </w14:textFill>
                    </w:rPr>
                    <w:t>来由</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7" w:hRule="atLeast"/>
                <w:jc w:val="center"/>
              </w:trPr>
              <w:tc>
                <w:tcPr>
                  <w:tcW w:w="921" w:type="dxa"/>
                  <w:vMerge w:val="restar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SO</w:t>
                  </w:r>
                  <w:r>
                    <w:rPr>
                      <w:color w:val="000000" w:themeColor="text1"/>
                      <w:szCs w:val="21"/>
                      <w:vertAlign w:val="subscript"/>
                      <w14:textFill>
                        <w14:solidFill>
                          <w14:schemeClr w14:val="tx1"/>
                        </w14:solidFill>
                      </w14:textFill>
                    </w:rPr>
                    <w:t>2</w:t>
                  </w:r>
                </w:p>
              </w:tc>
              <w:tc>
                <w:tcPr>
                  <w:tcW w:w="1983"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年平均</w:t>
                  </w:r>
                </w:p>
              </w:tc>
              <w:tc>
                <w:tcPr>
                  <w:tcW w:w="1135"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60</w:t>
                  </w:r>
                </w:p>
              </w:tc>
              <w:tc>
                <w:tcPr>
                  <w:tcW w:w="1164" w:type="dxa"/>
                  <w:vMerge w:val="restar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μg</w:t>
                  </w:r>
                  <w:r>
                    <w:rPr>
                      <w:rFonts w:hint="eastAsia"/>
                      <w:color w:val="000000" w:themeColor="text1"/>
                      <w:szCs w:val="21"/>
                      <w14:textFill>
                        <w14:solidFill>
                          <w14:schemeClr w14:val="tx1"/>
                        </w14:solidFill>
                      </w14:textFill>
                    </w:rPr>
                    <w:t>/m</w:t>
                  </w:r>
                  <w:r>
                    <w:rPr>
                      <w:rFonts w:hint="eastAsia"/>
                      <w:color w:val="000000" w:themeColor="text1"/>
                      <w:szCs w:val="21"/>
                      <w:vertAlign w:val="superscript"/>
                      <w14:textFill>
                        <w14:solidFill>
                          <w14:schemeClr w14:val="tx1"/>
                        </w14:solidFill>
                      </w14:textFill>
                    </w:rPr>
                    <w:t>3</w:t>
                  </w:r>
                </w:p>
              </w:tc>
              <w:tc>
                <w:tcPr>
                  <w:tcW w:w="2612" w:type="dxa"/>
                  <w:vMerge w:val="restar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《环境空气质量标准》（GB3095-2012）</w:t>
                  </w:r>
                  <w:r>
                    <w:rPr>
                      <w:rFonts w:hint="eastAsia"/>
                      <w:color w:val="000000" w:themeColor="text1"/>
                      <w:szCs w:val="21"/>
                      <w14:textFill>
                        <w14:solidFill>
                          <w14:schemeClr w14:val="tx1"/>
                        </w14:solidFill>
                      </w14:textFill>
                    </w:rPr>
                    <w:t>修改单</w:t>
                  </w:r>
                  <w:r>
                    <w:rPr>
                      <w:color w:val="000000" w:themeColor="text1"/>
                      <w14:textFill>
                        <w14:solidFill>
                          <w14:schemeClr w14:val="tx1"/>
                        </w14:solidFill>
                      </w14:textFill>
                    </w:rPr>
                    <w:t>二级标准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7" w:hRule="atLeast"/>
                <w:jc w:val="center"/>
              </w:trPr>
              <w:tc>
                <w:tcPr>
                  <w:tcW w:w="921" w:type="dxa"/>
                  <w:vMerge w:val="continue"/>
                  <w:vAlign w:val="center"/>
                </w:tcPr>
                <w:p>
                  <w:pPr>
                    <w:rPr>
                      <w:color w:val="000000" w:themeColor="text1"/>
                      <w14:textFill>
                        <w14:solidFill>
                          <w14:schemeClr w14:val="tx1"/>
                        </w14:solidFill>
                      </w14:textFill>
                    </w:rPr>
                  </w:pPr>
                </w:p>
              </w:tc>
              <w:tc>
                <w:tcPr>
                  <w:tcW w:w="1983"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24小时平均</w:t>
                  </w:r>
                </w:p>
              </w:tc>
              <w:tc>
                <w:tcPr>
                  <w:tcW w:w="1135"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150</w:t>
                  </w:r>
                </w:p>
              </w:tc>
              <w:tc>
                <w:tcPr>
                  <w:tcW w:w="1164" w:type="dxa"/>
                  <w:vMerge w:val="continue"/>
                  <w:vAlign w:val="center"/>
                </w:tcPr>
                <w:p>
                  <w:pPr>
                    <w:rPr>
                      <w:color w:val="000000" w:themeColor="text1"/>
                      <w14:textFill>
                        <w14:solidFill>
                          <w14:schemeClr w14:val="tx1"/>
                        </w14:solidFill>
                      </w14:textFill>
                    </w:rPr>
                  </w:pPr>
                </w:p>
              </w:tc>
              <w:tc>
                <w:tcPr>
                  <w:tcW w:w="2612" w:type="dxa"/>
                  <w:vMerge w:val="continue"/>
                  <w:vAlign w:val="center"/>
                </w:tcPr>
                <w:p>
                  <w:pP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7" w:hRule="atLeast"/>
                <w:jc w:val="center"/>
              </w:trPr>
              <w:tc>
                <w:tcPr>
                  <w:tcW w:w="921" w:type="dxa"/>
                  <w:vMerge w:val="continue"/>
                  <w:vAlign w:val="center"/>
                </w:tcPr>
                <w:p>
                  <w:pPr>
                    <w:rPr>
                      <w:color w:val="000000" w:themeColor="text1"/>
                      <w14:textFill>
                        <w14:solidFill>
                          <w14:schemeClr w14:val="tx1"/>
                        </w14:solidFill>
                      </w14:textFill>
                    </w:rPr>
                  </w:pPr>
                </w:p>
              </w:tc>
              <w:tc>
                <w:tcPr>
                  <w:tcW w:w="1983"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1小时平均</w:t>
                  </w:r>
                </w:p>
              </w:tc>
              <w:tc>
                <w:tcPr>
                  <w:tcW w:w="1135"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500</w:t>
                  </w:r>
                </w:p>
              </w:tc>
              <w:tc>
                <w:tcPr>
                  <w:tcW w:w="1164" w:type="dxa"/>
                  <w:vMerge w:val="continue"/>
                  <w:vAlign w:val="center"/>
                </w:tcPr>
                <w:p>
                  <w:pPr>
                    <w:rPr>
                      <w:color w:val="000000" w:themeColor="text1"/>
                      <w14:textFill>
                        <w14:solidFill>
                          <w14:schemeClr w14:val="tx1"/>
                        </w14:solidFill>
                      </w14:textFill>
                    </w:rPr>
                  </w:pPr>
                </w:p>
              </w:tc>
              <w:tc>
                <w:tcPr>
                  <w:tcW w:w="2612" w:type="dxa"/>
                  <w:vMerge w:val="continue"/>
                  <w:vAlign w:val="center"/>
                </w:tcPr>
                <w:p>
                  <w:pP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7" w:hRule="atLeast"/>
                <w:jc w:val="center"/>
              </w:trPr>
              <w:tc>
                <w:tcPr>
                  <w:tcW w:w="921" w:type="dxa"/>
                  <w:vMerge w:val="restar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NO</w:t>
                  </w:r>
                  <w:r>
                    <w:rPr>
                      <w:color w:val="000000" w:themeColor="text1"/>
                      <w:szCs w:val="21"/>
                      <w:vertAlign w:val="subscript"/>
                      <w14:textFill>
                        <w14:solidFill>
                          <w14:schemeClr w14:val="tx1"/>
                        </w14:solidFill>
                      </w14:textFill>
                    </w:rPr>
                    <w:t>2</w:t>
                  </w:r>
                </w:p>
              </w:tc>
              <w:tc>
                <w:tcPr>
                  <w:tcW w:w="1983"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年平均</w:t>
                  </w:r>
                </w:p>
              </w:tc>
              <w:tc>
                <w:tcPr>
                  <w:tcW w:w="1135"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40</w:t>
                  </w:r>
                </w:p>
              </w:tc>
              <w:tc>
                <w:tcPr>
                  <w:tcW w:w="1164" w:type="dxa"/>
                  <w:vMerge w:val="continue"/>
                  <w:vAlign w:val="center"/>
                </w:tcPr>
                <w:p>
                  <w:pPr>
                    <w:rPr>
                      <w:color w:val="000000" w:themeColor="text1"/>
                      <w14:textFill>
                        <w14:solidFill>
                          <w14:schemeClr w14:val="tx1"/>
                        </w14:solidFill>
                      </w14:textFill>
                    </w:rPr>
                  </w:pPr>
                </w:p>
              </w:tc>
              <w:tc>
                <w:tcPr>
                  <w:tcW w:w="2612" w:type="dxa"/>
                  <w:vMerge w:val="continue"/>
                  <w:vAlign w:val="center"/>
                </w:tcPr>
                <w:p>
                  <w:pP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7" w:hRule="atLeast"/>
                <w:jc w:val="center"/>
              </w:trPr>
              <w:tc>
                <w:tcPr>
                  <w:tcW w:w="921" w:type="dxa"/>
                  <w:vMerge w:val="continue"/>
                  <w:vAlign w:val="center"/>
                </w:tcPr>
                <w:p>
                  <w:pPr>
                    <w:rPr>
                      <w:color w:val="000000" w:themeColor="text1"/>
                      <w14:textFill>
                        <w14:solidFill>
                          <w14:schemeClr w14:val="tx1"/>
                        </w14:solidFill>
                      </w14:textFill>
                    </w:rPr>
                  </w:pPr>
                </w:p>
              </w:tc>
              <w:tc>
                <w:tcPr>
                  <w:tcW w:w="1983"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24小时平均</w:t>
                  </w:r>
                </w:p>
              </w:tc>
              <w:tc>
                <w:tcPr>
                  <w:tcW w:w="1135"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80</w:t>
                  </w:r>
                </w:p>
              </w:tc>
              <w:tc>
                <w:tcPr>
                  <w:tcW w:w="1164" w:type="dxa"/>
                  <w:vMerge w:val="continue"/>
                  <w:vAlign w:val="center"/>
                </w:tcPr>
                <w:p>
                  <w:pPr>
                    <w:rPr>
                      <w:color w:val="000000" w:themeColor="text1"/>
                      <w14:textFill>
                        <w14:solidFill>
                          <w14:schemeClr w14:val="tx1"/>
                        </w14:solidFill>
                      </w14:textFill>
                    </w:rPr>
                  </w:pPr>
                </w:p>
              </w:tc>
              <w:tc>
                <w:tcPr>
                  <w:tcW w:w="2612" w:type="dxa"/>
                  <w:vMerge w:val="continue"/>
                  <w:vAlign w:val="center"/>
                </w:tcPr>
                <w:p>
                  <w:pP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7" w:hRule="atLeast"/>
                <w:jc w:val="center"/>
              </w:trPr>
              <w:tc>
                <w:tcPr>
                  <w:tcW w:w="921" w:type="dxa"/>
                  <w:vMerge w:val="continue"/>
                  <w:vAlign w:val="center"/>
                </w:tcPr>
                <w:p>
                  <w:pPr>
                    <w:rPr>
                      <w:color w:val="000000" w:themeColor="text1"/>
                      <w14:textFill>
                        <w14:solidFill>
                          <w14:schemeClr w14:val="tx1"/>
                        </w14:solidFill>
                      </w14:textFill>
                    </w:rPr>
                  </w:pPr>
                </w:p>
              </w:tc>
              <w:tc>
                <w:tcPr>
                  <w:tcW w:w="1983"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1小时平均</w:t>
                  </w:r>
                </w:p>
              </w:tc>
              <w:tc>
                <w:tcPr>
                  <w:tcW w:w="1135"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200</w:t>
                  </w:r>
                </w:p>
              </w:tc>
              <w:tc>
                <w:tcPr>
                  <w:tcW w:w="1164" w:type="dxa"/>
                  <w:vMerge w:val="continue"/>
                  <w:vAlign w:val="center"/>
                </w:tcPr>
                <w:p>
                  <w:pPr>
                    <w:rPr>
                      <w:color w:val="000000" w:themeColor="text1"/>
                      <w14:textFill>
                        <w14:solidFill>
                          <w14:schemeClr w14:val="tx1"/>
                        </w14:solidFill>
                      </w14:textFill>
                    </w:rPr>
                  </w:pPr>
                </w:p>
              </w:tc>
              <w:tc>
                <w:tcPr>
                  <w:tcW w:w="2612" w:type="dxa"/>
                  <w:vMerge w:val="continue"/>
                  <w:vAlign w:val="center"/>
                </w:tcPr>
                <w:p>
                  <w:pP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7" w:hRule="atLeast"/>
                <w:jc w:val="center"/>
              </w:trPr>
              <w:tc>
                <w:tcPr>
                  <w:tcW w:w="921" w:type="dxa"/>
                  <w:vMerge w:val="restar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w:t>
                  </w:r>
                </w:p>
              </w:tc>
              <w:tc>
                <w:tcPr>
                  <w:tcW w:w="1983"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24小时平均</w:t>
                  </w:r>
                </w:p>
              </w:tc>
              <w:tc>
                <w:tcPr>
                  <w:tcW w:w="1135"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w:t>
                  </w:r>
                </w:p>
              </w:tc>
              <w:tc>
                <w:tcPr>
                  <w:tcW w:w="1164" w:type="dxa"/>
                  <w:vMerge w:val="restar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m</w:t>
                  </w:r>
                  <w:r>
                    <w:rPr>
                      <w:rFonts w:hint="eastAsia"/>
                      <w:color w:val="000000" w:themeColor="text1"/>
                      <w:szCs w:val="21"/>
                      <w14:textFill>
                        <w14:solidFill>
                          <w14:schemeClr w14:val="tx1"/>
                        </w14:solidFill>
                      </w14:textFill>
                    </w:rPr>
                    <w:t>g/m</w:t>
                  </w:r>
                  <w:r>
                    <w:rPr>
                      <w:rFonts w:hint="eastAsia"/>
                      <w:color w:val="000000" w:themeColor="text1"/>
                      <w:szCs w:val="21"/>
                      <w:vertAlign w:val="superscript"/>
                      <w14:textFill>
                        <w14:solidFill>
                          <w14:schemeClr w14:val="tx1"/>
                        </w14:solidFill>
                      </w14:textFill>
                    </w:rPr>
                    <w:t>3</w:t>
                  </w:r>
                </w:p>
              </w:tc>
              <w:tc>
                <w:tcPr>
                  <w:tcW w:w="2612" w:type="dxa"/>
                  <w:vMerge w:val="continue"/>
                  <w:vAlign w:val="center"/>
                </w:tcPr>
                <w:p>
                  <w:pP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7" w:hRule="atLeast"/>
                <w:jc w:val="center"/>
              </w:trPr>
              <w:tc>
                <w:tcPr>
                  <w:tcW w:w="921" w:type="dxa"/>
                  <w:vMerge w:val="continue"/>
                  <w:vAlign w:val="center"/>
                </w:tcPr>
                <w:p>
                  <w:pPr>
                    <w:rPr>
                      <w:color w:val="000000" w:themeColor="text1"/>
                      <w14:textFill>
                        <w14:solidFill>
                          <w14:schemeClr w14:val="tx1"/>
                        </w14:solidFill>
                      </w14:textFill>
                    </w:rPr>
                  </w:pPr>
                </w:p>
              </w:tc>
              <w:tc>
                <w:tcPr>
                  <w:tcW w:w="1983"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1小时平均</w:t>
                  </w:r>
                </w:p>
              </w:tc>
              <w:tc>
                <w:tcPr>
                  <w:tcW w:w="1135"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w:t>
                  </w:r>
                </w:p>
              </w:tc>
              <w:tc>
                <w:tcPr>
                  <w:tcW w:w="1164" w:type="dxa"/>
                  <w:vMerge w:val="continue"/>
                  <w:vAlign w:val="center"/>
                </w:tcPr>
                <w:p>
                  <w:pPr>
                    <w:rPr>
                      <w:color w:val="000000" w:themeColor="text1"/>
                      <w14:textFill>
                        <w14:solidFill>
                          <w14:schemeClr w14:val="tx1"/>
                        </w14:solidFill>
                      </w14:textFill>
                    </w:rPr>
                  </w:pPr>
                </w:p>
              </w:tc>
              <w:tc>
                <w:tcPr>
                  <w:tcW w:w="2612" w:type="dxa"/>
                  <w:vMerge w:val="continue"/>
                  <w:vAlign w:val="center"/>
                </w:tcPr>
                <w:p>
                  <w:pP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7" w:hRule="atLeast"/>
                <w:jc w:val="center"/>
              </w:trPr>
              <w:tc>
                <w:tcPr>
                  <w:tcW w:w="921" w:type="dxa"/>
                  <w:vMerge w:val="restart"/>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O</w:t>
                  </w:r>
                  <w:r>
                    <w:rPr>
                      <w:rFonts w:hint="eastAsia"/>
                      <w:color w:val="000000" w:themeColor="text1"/>
                      <w:szCs w:val="21"/>
                      <w:vertAlign w:val="subscript"/>
                      <w14:textFill>
                        <w14:solidFill>
                          <w14:schemeClr w14:val="tx1"/>
                        </w14:solidFill>
                      </w14:textFill>
                    </w:rPr>
                    <w:t>3</w:t>
                  </w:r>
                </w:p>
              </w:tc>
              <w:tc>
                <w:tcPr>
                  <w:tcW w:w="1983"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日</w:t>
                  </w:r>
                  <w:r>
                    <w:rPr>
                      <w:color w:val="000000" w:themeColor="text1"/>
                      <w:szCs w:val="21"/>
                      <w14:textFill>
                        <w14:solidFill>
                          <w14:schemeClr w14:val="tx1"/>
                        </w14:solidFill>
                      </w14:textFill>
                    </w:rPr>
                    <w:t>最大</w:t>
                  </w:r>
                  <w:r>
                    <w:rPr>
                      <w:rFonts w:hint="eastAsia"/>
                      <w:color w:val="000000" w:themeColor="text1"/>
                      <w:szCs w:val="21"/>
                      <w14:textFill>
                        <w14:solidFill>
                          <w14:schemeClr w14:val="tx1"/>
                        </w14:solidFill>
                      </w14:textFill>
                    </w:rPr>
                    <w:t>8小时</w:t>
                  </w:r>
                  <w:r>
                    <w:rPr>
                      <w:color w:val="000000" w:themeColor="text1"/>
                      <w:szCs w:val="21"/>
                      <w14:textFill>
                        <w14:solidFill>
                          <w14:schemeClr w14:val="tx1"/>
                        </w14:solidFill>
                      </w14:textFill>
                    </w:rPr>
                    <w:t>平均</w:t>
                  </w:r>
                </w:p>
              </w:tc>
              <w:tc>
                <w:tcPr>
                  <w:tcW w:w="1135"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160</w:t>
                  </w:r>
                </w:p>
              </w:tc>
              <w:tc>
                <w:tcPr>
                  <w:tcW w:w="1164" w:type="dxa"/>
                  <w:vMerge w:val="restar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μg</w:t>
                  </w:r>
                  <w:r>
                    <w:rPr>
                      <w:rFonts w:hint="eastAsia"/>
                      <w:color w:val="000000" w:themeColor="text1"/>
                      <w:szCs w:val="21"/>
                      <w14:textFill>
                        <w14:solidFill>
                          <w14:schemeClr w14:val="tx1"/>
                        </w14:solidFill>
                      </w14:textFill>
                    </w:rPr>
                    <w:t>/m</w:t>
                  </w:r>
                  <w:r>
                    <w:rPr>
                      <w:rFonts w:hint="eastAsia"/>
                      <w:color w:val="000000" w:themeColor="text1"/>
                      <w:szCs w:val="21"/>
                      <w:vertAlign w:val="superscript"/>
                      <w14:textFill>
                        <w14:solidFill>
                          <w14:schemeClr w14:val="tx1"/>
                        </w14:solidFill>
                      </w14:textFill>
                    </w:rPr>
                    <w:t>3</w:t>
                  </w:r>
                </w:p>
              </w:tc>
              <w:tc>
                <w:tcPr>
                  <w:tcW w:w="2612" w:type="dxa"/>
                  <w:vMerge w:val="continue"/>
                  <w:vAlign w:val="center"/>
                </w:tcPr>
                <w:p>
                  <w:pP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7" w:hRule="atLeast"/>
                <w:jc w:val="center"/>
              </w:trPr>
              <w:tc>
                <w:tcPr>
                  <w:tcW w:w="921" w:type="dxa"/>
                  <w:vMerge w:val="continue"/>
                  <w:vAlign w:val="center"/>
                </w:tcPr>
                <w:p>
                  <w:pPr>
                    <w:rPr>
                      <w:color w:val="000000" w:themeColor="text1"/>
                      <w14:textFill>
                        <w14:solidFill>
                          <w14:schemeClr w14:val="tx1"/>
                        </w14:solidFill>
                      </w14:textFill>
                    </w:rPr>
                  </w:pPr>
                </w:p>
              </w:tc>
              <w:tc>
                <w:tcPr>
                  <w:tcW w:w="1983" w:type="dxa"/>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1小时平均</w:t>
                  </w:r>
                </w:p>
              </w:tc>
              <w:tc>
                <w:tcPr>
                  <w:tcW w:w="1135"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200</w:t>
                  </w:r>
                </w:p>
              </w:tc>
              <w:tc>
                <w:tcPr>
                  <w:tcW w:w="1164" w:type="dxa"/>
                  <w:vMerge w:val="continue"/>
                  <w:vAlign w:val="center"/>
                </w:tcPr>
                <w:p>
                  <w:pPr>
                    <w:rPr>
                      <w:color w:val="000000" w:themeColor="text1"/>
                      <w14:textFill>
                        <w14:solidFill>
                          <w14:schemeClr w14:val="tx1"/>
                        </w14:solidFill>
                      </w14:textFill>
                    </w:rPr>
                  </w:pPr>
                </w:p>
              </w:tc>
              <w:tc>
                <w:tcPr>
                  <w:tcW w:w="2612" w:type="dxa"/>
                  <w:vMerge w:val="continue"/>
                  <w:vAlign w:val="center"/>
                </w:tcPr>
                <w:p>
                  <w:pP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7" w:hRule="atLeast"/>
                <w:jc w:val="center"/>
              </w:trPr>
              <w:tc>
                <w:tcPr>
                  <w:tcW w:w="921" w:type="dxa"/>
                  <w:vMerge w:val="restart"/>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PM</w:t>
                  </w:r>
                  <w:r>
                    <w:rPr>
                      <w:rFonts w:hint="eastAsia"/>
                      <w:color w:val="000000" w:themeColor="text1"/>
                      <w:szCs w:val="21"/>
                      <w:vertAlign w:val="subscript"/>
                      <w14:textFill>
                        <w14:solidFill>
                          <w14:schemeClr w14:val="tx1"/>
                        </w14:solidFill>
                      </w14:textFill>
                    </w:rPr>
                    <w:t>10</w:t>
                  </w:r>
                </w:p>
              </w:tc>
              <w:tc>
                <w:tcPr>
                  <w:tcW w:w="1983"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年</w:t>
                  </w:r>
                  <w:r>
                    <w:rPr>
                      <w:color w:val="000000" w:themeColor="text1"/>
                      <w:szCs w:val="21"/>
                      <w14:textFill>
                        <w14:solidFill>
                          <w14:schemeClr w14:val="tx1"/>
                        </w14:solidFill>
                      </w14:textFill>
                    </w:rPr>
                    <w:t>平均</w:t>
                  </w:r>
                </w:p>
              </w:tc>
              <w:tc>
                <w:tcPr>
                  <w:tcW w:w="1135"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70</w:t>
                  </w:r>
                </w:p>
              </w:tc>
              <w:tc>
                <w:tcPr>
                  <w:tcW w:w="1164" w:type="dxa"/>
                  <w:vMerge w:val="continue"/>
                  <w:vAlign w:val="center"/>
                </w:tcPr>
                <w:p>
                  <w:pPr>
                    <w:rPr>
                      <w:color w:val="000000" w:themeColor="text1"/>
                      <w14:textFill>
                        <w14:solidFill>
                          <w14:schemeClr w14:val="tx1"/>
                        </w14:solidFill>
                      </w14:textFill>
                    </w:rPr>
                  </w:pPr>
                </w:p>
              </w:tc>
              <w:tc>
                <w:tcPr>
                  <w:tcW w:w="2612" w:type="dxa"/>
                  <w:vMerge w:val="continue"/>
                  <w:vAlign w:val="center"/>
                </w:tcPr>
                <w:p>
                  <w:pP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7" w:hRule="atLeast"/>
                <w:jc w:val="center"/>
              </w:trPr>
              <w:tc>
                <w:tcPr>
                  <w:tcW w:w="921" w:type="dxa"/>
                  <w:vMerge w:val="continue"/>
                  <w:vAlign w:val="center"/>
                </w:tcPr>
                <w:p>
                  <w:pPr>
                    <w:rPr>
                      <w:color w:val="000000" w:themeColor="text1"/>
                      <w14:textFill>
                        <w14:solidFill>
                          <w14:schemeClr w14:val="tx1"/>
                        </w14:solidFill>
                      </w14:textFill>
                    </w:rPr>
                  </w:pPr>
                </w:p>
              </w:tc>
              <w:tc>
                <w:tcPr>
                  <w:tcW w:w="1983"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24小时</w:t>
                  </w:r>
                  <w:r>
                    <w:rPr>
                      <w:color w:val="000000" w:themeColor="text1"/>
                      <w:szCs w:val="21"/>
                      <w14:textFill>
                        <w14:solidFill>
                          <w14:schemeClr w14:val="tx1"/>
                        </w14:solidFill>
                      </w14:textFill>
                    </w:rPr>
                    <w:t>平均</w:t>
                  </w:r>
                </w:p>
              </w:tc>
              <w:tc>
                <w:tcPr>
                  <w:tcW w:w="1135"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150</w:t>
                  </w:r>
                </w:p>
              </w:tc>
              <w:tc>
                <w:tcPr>
                  <w:tcW w:w="1164" w:type="dxa"/>
                  <w:vMerge w:val="continue"/>
                  <w:vAlign w:val="center"/>
                </w:tcPr>
                <w:p>
                  <w:pPr>
                    <w:rPr>
                      <w:color w:val="000000" w:themeColor="text1"/>
                      <w14:textFill>
                        <w14:solidFill>
                          <w14:schemeClr w14:val="tx1"/>
                        </w14:solidFill>
                      </w14:textFill>
                    </w:rPr>
                  </w:pPr>
                </w:p>
              </w:tc>
              <w:tc>
                <w:tcPr>
                  <w:tcW w:w="2612" w:type="dxa"/>
                  <w:vMerge w:val="continue"/>
                  <w:vAlign w:val="center"/>
                </w:tcPr>
                <w:p>
                  <w:pP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7" w:hRule="atLeast"/>
                <w:jc w:val="center"/>
              </w:trPr>
              <w:tc>
                <w:tcPr>
                  <w:tcW w:w="921" w:type="dxa"/>
                  <w:vMerge w:val="restart"/>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PM</w:t>
                  </w:r>
                  <w:r>
                    <w:rPr>
                      <w:color w:val="000000" w:themeColor="text1"/>
                      <w:szCs w:val="21"/>
                      <w:vertAlign w:val="subscript"/>
                      <w14:textFill>
                        <w14:solidFill>
                          <w14:schemeClr w14:val="tx1"/>
                        </w14:solidFill>
                      </w14:textFill>
                    </w:rPr>
                    <w:t>2.5</w:t>
                  </w:r>
                </w:p>
              </w:tc>
              <w:tc>
                <w:tcPr>
                  <w:tcW w:w="1983"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年</w:t>
                  </w:r>
                  <w:r>
                    <w:rPr>
                      <w:color w:val="000000" w:themeColor="text1"/>
                      <w:szCs w:val="21"/>
                      <w14:textFill>
                        <w14:solidFill>
                          <w14:schemeClr w14:val="tx1"/>
                        </w14:solidFill>
                      </w14:textFill>
                    </w:rPr>
                    <w:t>平均</w:t>
                  </w:r>
                </w:p>
              </w:tc>
              <w:tc>
                <w:tcPr>
                  <w:tcW w:w="1135"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35</w:t>
                  </w:r>
                </w:p>
              </w:tc>
              <w:tc>
                <w:tcPr>
                  <w:tcW w:w="1164" w:type="dxa"/>
                  <w:vMerge w:val="continue"/>
                  <w:vAlign w:val="center"/>
                </w:tcPr>
                <w:p>
                  <w:pPr>
                    <w:rPr>
                      <w:color w:val="000000" w:themeColor="text1"/>
                      <w14:textFill>
                        <w14:solidFill>
                          <w14:schemeClr w14:val="tx1"/>
                        </w14:solidFill>
                      </w14:textFill>
                    </w:rPr>
                  </w:pPr>
                </w:p>
              </w:tc>
              <w:tc>
                <w:tcPr>
                  <w:tcW w:w="2612" w:type="dxa"/>
                  <w:vMerge w:val="continue"/>
                  <w:vAlign w:val="center"/>
                </w:tcPr>
                <w:p>
                  <w:pP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7" w:hRule="atLeast"/>
                <w:jc w:val="center"/>
              </w:trPr>
              <w:tc>
                <w:tcPr>
                  <w:tcW w:w="921" w:type="dxa"/>
                  <w:vMerge w:val="continue"/>
                  <w:vAlign w:val="center"/>
                </w:tcPr>
                <w:p>
                  <w:pPr>
                    <w:rPr>
                      <w:color w:val="000000" w:themeColor="text1"/>
                      <w14:textFill>
                        <w14:solidFill>
                          <w14:schemeClr w14:val="tx1"/>
                        </w14:solidFill>
                      </w14:textFill>
                    </w:rPr>
                  </w:pPr>
                </w:p>
              </w:tc>
              <w:tc>
                <w:tcPr>
                  <w:tcW w:w="1983"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24小时</w:t>
                  </w:r>
                  <w:r>
                    <w:rPr>
                      <w:color w:val="000000" w:themeColor="text1"/>
                      <w:szCs w:val="21"/>
                      <w14:textFill>
                        <w14:solidFill>
                          <w14:schemeClr w14:val="tx1"/>
                        </w14:solidFill>
                      </w14:textFill>
                    </w:rPr>
                    <w:t>平均</w:t>
                  </w:r>
                </w:p>
              </w:tc>
              <w:tc>
                <w:tcPr>
                  <w:tcW w:w="1135"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75</w:t>
                  </w:r>
                </w:p>
              </w:tc>
              <w:tc>
                <w:tcPr>
                  <w:tcW w:w="1164" w:type="dxa"/>
                  <w:vMerge w:val="continue"/>
                  <w:vAlign w:val="center"/>
                </w:tcPr>
                <w:p>
                  <w:pPr>
                    <w:rPr>
                      <w:color w:val="000000" w:themeColor="text1"/>
                      <w14:textFill>
                        <w14:solidFill>
                          <w14:schemeClr w14:val="tx1"/>
                        </w14:solidFill>
                      </w14:textFill>
                    </w:rPr>
                  </w:pPr>
                </w:p>
              </w:tc>
              <w:tc>
                <w:tcPr>
                  <w:tcW w:w="2612" w:type="dxa"/>
                  <w:vMerge w:val="continue"/>
                  <w:vAlign w:val="center"/>
                </w:tcPr>
                <w:p>
                  <w:pP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37" w:hRule="atLeast"/>
                <w:jc w:val="center"/>
              </w:trPr>
              <w:tc>
                <w:tcPr>
                  <w:tcW w:w="921" w:type="dxa"/>
                  <w:vAlign w:val="center"/>
                </w:tcPr>
                <w:p>
                  <w:pPr>
                    <w:spacing w:line="320" w:lineRule="exact"/>
                    <w:jc w:val="center"/>
                  </w:pPr>
                  <w:r>
                    <w:rPr>
                      <w:color w:val="auto"/>
                      <w:szCs w:val="21"/>
                    </w:rPr>
                    <w:t>非甲烷总烃</w:t>
                  </w:r>
                </w:p>
              </w:tc>
              <w:tc>
                <w:tcPr>
                  <w:tcW w:w="1983" w:type="dxa"/>
                  <w:vAlign w:val="center"/>
                </w:tcPr>
                <w:p>
                  <w:pPr>
                    <w:spacing w:line="320" w:lineRule="exact"/>
                    <w:jc w:val="center"/>
                    <w:rPr>
                      <w:color w:val="000000" w:themeColor="text1"/>
                      <w:szCs w:val="21"/>
                      <w14:textFill>
                        <w14:solidFill>
                          <w14:schemeClr w14:val="tx1"/>
                        </w14:solidFill>
                      </w14:textFill>
                    </w:rPr>
                  </w:pPr>
                  <w:r>
                    <w:rPr>
                      <w:color w:val="auto"/>
                      <w:szCs w:val="21"/>
                    </w:rPr>
                    <w:t>一次</w:t>
                  </w:r>
                </w:p>
              </w:tc>
              <w:tc>
                <w:tcPr>
                  <w:tcW w:w="1135" w:type="dxa"/>
                  <w:vAlign w:val="center"/>
                </w:tcPr>
                <w:p>
                  <w:pPr>
                    <w:spacing w:line="320" w:lineRule="exact"/>
                    <w:jc w:val="center"/>
                    <w:rPr>
                      <w:color w:val="000000" w:themeColor="text1"/>
                      <w:szCs w:val="21"/>
                      <w14:textFill>
                        <w14:solidFill>
                          <w14:schemeClr w14:val="tx1"/>
                        </w14:solidFill>
                      </w14:textFill>
                    </w:rPr>
                  </w:pPr>
                  <w:r>
                    <w:rPr>
                      <w:color w:val="auto"/>
                      <w:szCs w:val="21"/>
                    </w:rPr>
                    <w:t>2.0</w:t>
                  </w:r>
                </w:p>
              </w:tc>
              <w:tc>
                <w:tcPr>
                  <w:tcW w:w="1164" w:type="dxa"/>
                  <w:vAlign w:val="center"/>
                </w:tcPr>
                <w:p>
                  <w:pPr>
                    <w:spacing w:line="320" w:lineRule="exact"/>
                    <w:jc w:val="center"/>
                    <w:rPr>
                      <w:color w:val="000000" w:themeColor="text1"/>
                      <w:szCs w:val="21"/>
                      <w14:textFill>
                        <w14:solidFill>
                          <w14:schemeClr w14:val="tx1"/>
                        </w14:solidFill>
                      </w14:textFill>
                    </w:rPr>
                  </w:pPr>
                  <w:r>
                    <w:rPr>
                      <w:color w:val="auto"/>
                      <w:szCs w:val="21"/>
                    </w:rPr>
                    <w:t>mg/m</w:t>
                  </w:r>
                  <w:r>
                    <w:rPr>
                      <w:color w:val="auto"/>
                      <w:szCs w:val="21"/>
                      <w:vertAlign w:val="superscript"/>
                    </w:rPr>
                    <w:t>3</w:t>
                  </w:r>
                </w:p>
              </w:tc>
              <w:tc>
                <w:tcPr>
                  <w:tcW w:w="2612" w:type="dxa"/>
                  <w:vAlign w:val="center"/>
                </w:tcPr>
                <w:p>
                  <w:pPr>
                    <w:spacing w:line="320" w:lineRule="exact"/>
                    <w:jc w:val="center"/>
                    <w:rPr>
                      <w:color w:val="000000" w:themeColor="text1"/>
                      <w:szCs w:val="21"/>
                      <w14:textFill>
                        <w14:solidFill>
                          <w14:schemeClr w14:val="tx1"/>
                        </w14:solidFill>
                      </w14:textFill>
                    </w:rPr>
                  </w:pPr>
                  <w:r>
                    <w:rPr>
                      <w:color w:val="auto"/>
                      <w:szCs w:val="21"/>
                      <w:lang w:val="zh-CN"/>
                    </w:rPr>
                    <w:t>《大气污染物综合排放标准》（GBT16297-1996）详解</w:t>
                  </w:r>
                </w:p>
              </w:tc>
            </w:tr>
          </w:tbl>
          <w:p>
            <w:pPr>
              <w:spacing w:line="360" w:lineRule="auto"/>
              <w:ind w:firstLine="470" w:firstLineChars="196"/>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2、地表水</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项目</w:t>
            </w:r>
            <w:r>
              <w:rPr>
                <w:color w:val="000000" w:themeColor="text1"/>
                <w:sz w:val="24"/>
                <w14:textFill>
                  <w14:solidFill>
                    <w14:schemeClr w14:val="tx1"/>
                  </w14:solidFill>
                </w14:textFill>
              </w:rPr>
              <w:t>纳污河流</w:t>
            </w:r>
            <w:r>
              <w:rPr>
                <w:rFonts w:hint="eastAsia"/>
                <w:color w:val="000000" w:themeColor="text1"/>
                <w:sz w:val="24"/>
                <w14:textFill>
                  <w14:solidFill>
                    <w14:schemeClr w14:val="tx1"/>
                  </w14:solidFill>
                </w14:textFill>
              </w:rPr>
              <w:t>通济河地表</w:t>
            </w:r>
            <w:r>
              <w:rPr>
                <w:color w:val="000000" w:themeColor="text1"/>
                <w:sz w:val="24"/>
                <w14:textFill>
                  <w14:solidFill>
                    <w14:schemeClr w14:val="tx1"/>
                  </w14:solidFill>
                </w14:textFill>
              </w:rPr>
              <w:t>水</w:t>
            </w:r>
            <w:r>
              <w:rPr>
                <w:rFonts w:hint="eastAsia"/>
                <w:color w:val="000000" w:themeColor="text1"/>
                <w:sz w:val="24"/>
                <w14:textFill>
                  <w14:solidFill>
                    <w14:schemeClr w14:val="tx1"/>
                  </w14:solidFill>
                </w14:textFill>
              </w:rPr>
              <w:t>环境质量</w:t>
            </w:r>
            <w:r>
              <w:rPr>
                <w:color w:val="000000" w:themeColor="text1"/>
                <w:sz w:val="24"/>
                <w14:textFill>
                  <w14:solidFill>
                    <w14:schemeClr w14:val="tx1"/>
                  </w14:solidFill>
                </w14:textFill>
              </w:rPr>
              <w:t>执行《地表水环境质量标准》（GB3838-2002）</w:t>
            </w:r>
            <w:r>
              <w:rPr>
                <w:rFonts w:hint="eastAsia" w:cs="宋体"/>
                <w:color w:val="000000" w:themeColor="text1"/>
                <w:sz w:val="24"/>
                <w:szCs w:val="24"/>
                <w14:textFill>
                  <w14:solidFill>
                    <w14:schemeClr w14:val="tx1"/>
                  </w14:solidFill>
                </w14:textFill>
              </w:rPr>
              <w:t>Ⅳ</w:t>
            </w:r>
            <w:r>
              <w:rPr>
                <w:color w:val="000000" w:themeColor="text1"/>
                <w:sz w:val="24"/>
                <w14:textFill>
                  <w14:solidFill>
                    <w14:schemeClr w14:val="tx1"/>
                  </w14:solidFill>
                </w14:textFill>
              </w:rPr>
              <w:t>类标准，其中SS参照《地表水资源质量标准》（SL63-94）中四级标准，标准值见</w:t>
            </w:r>
            <w:r>
              <w:rPr>
                <w:rFonts w:hint="eastAsia"/>
                <w:color w:val="000000" w:themeColor="text1"/>
                <w:sz w:val="24"/>
                <w14:textFill>
                  <w14:solidFill>
                    <w14:schemeClr w14:val="tx1"/>
                  </w14:solidFill>
                </w14:textFill>
              </w:rPr>
              <w:t>4-2</w:t>
            </w:r>
            <w:r>
              <w:rPr>
                <w:color w:val="000000" w:themeColor="text1"/>
                <w:sz w:val="24"/>
                <w14:textFill>
                  <w14:solidFill>
                    <w14:schemeClr w14:val="tx1"/>
                  </w14:solidFill>
                </w14:textFill>
              </w:rPr>
              <w:t>。</w:t>
            </w:r>
          </w:p>
          <w:p>
            <w:pPr>
              <w:jc w:val="center"/>
              <w:rPr>
                <w:b/>
                <w:color w:val="000000" w:themeColor="text1"/>
                <w:sz w:val="24"/>
                <w:szCs w:val="24"/>
                <w14:textFill>
                  <w14:solidFill>
                    <w14:schemeClr w14:val="tx1"/>
                  </w14:solidFill>
                </w14:textFill>
              </w:rPr>
            </w:pPr>
            <w:bookmarkStart w:id="2" w:name="_Ref357595863"/>
            <w:r>
              <w:rPr>
                <w:rFonts w:hint="eastAsia"/>
                <w:b/>
                <w:color w:val="000000" w:themeColor="text1"/>
                <w:sz w:val="24"/>
                <w:szCs w:val="24"/>
                <w14:textFill>
                  <w14:solidFill>
                    <w14:schemeClr w14:val="tx1"/>
                  </w14:solidFill>
                </w14:textFill>
              </w:rPr>
              <w:t>表</w:t>
            </w:r>
            <w:bookmarkEnd w:id="2"/>
            <w:r>
              <w:rPr>
                <w:rFonts w:hint="eastAsia"/>
                <w:b/>
                <w:color w:val="000000" w:themeColor="text1"/>
                <w:sz w:val="24"/>
                <w:szCs w:val="24"/>
                <w14:textFill>
                  <w14:solidFill>
                    <w14:schemeClr w14:val="tx1"/>
                  </w14:solidFill>
                </w14:textFill>
              </w:rPr>
              <w:t xml:space="preserve">4-2  </w:t>
            </w:r>
            <w:r>
              <w:rPr>
                <w:b/>
                <w:color w:val="000000" w:themeColor="text1"/>
                <w:sz w:val="24"/>
                <w:szCs w:val="24"/>
                <w14:textFill>
                  <w14:solidFill>
                    <w14:schemeClr w14:val="tx1"/>
                  </w14:solidFill>
                </w14:textFill>
              </w:rPr>
              <w:t>地表水环境质量标准</w:t>
            </w:r>
          </w:p>
          <w:tbl>
            <w:tblPr>
              <w:tblStyle w:val="17"/>
              <w:tblW w:w="7815"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123"/>
              <w:gridCol w:w="1691"/>
              <w:gridCol w:w="1958"/>
              <w:gridCol w:w="304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123" w:type="dxa"/>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序号</w:t>
                  </w:r>
                </w:p>
              </w:tc>
              <w:tc>
                <w:tcPr>
                  <w:tcW w:w="1691" w:type="dxa"/>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项  目</w:t>
                  </w:r>
                </w:p>
              </w:tc>
              <w:tc>
                <w:tcPr>
                  <w:tcW w:w="1958" w:type="dxa"/>
                  <w:vAlign w:val="center"/>
                </w:tcPr>
                <w:p>
                  <w:pPr>
                    <w:adjustRightInd w:val="0"/>
                    <w:snapToGrid w:val="0"/>
                    <w:jc w:val="center"/>
                    <w:rPr>
                      <w:b/>
                      <w:color w:val="000000" w:themeColor="text1"/>
                      <w:szCs w:val="21"/>
                      <w14:textFill>
                        <w14:solidFill>
                          <w14:schemeClr w14:val="tx1"/>
                        </w14:solidFill>
                      </w14:textFill>
                    </w:rPr>
                  </w:pPr>
                  <w:r>
                    <w:rPr>
                      <w:rFonts w:hint="eastAsia" w:cs="宋体"/>
                      <w:b/>
                      <w:color w:val="000000" w:themeColor="text1"/>
                      <w:szCs w:val="21"/>
                      <w14:textFill>
                        <w14:solidFill>
                          <w14:schemeClr w14:val="tx1"/>
                        </w14:solidFill>
                      </w14:textFill>
                    </w:rPr>
                    <w:t>Ⅳ</w:t>
                  </w:r>
                  <w:r>
                    <w:rPr>
                      <w:b/>
                      <w:color w:val="000000" w:themeColor="text1"/>
                      <w:szCs w:val="21"/>
                      <w14:textFill>
                        <w14:solidFill>
                          <w14:schemeClr w14:val="tx1"/>
                        </w14:solidFill>
                      </w14:textFill>
                    </w:rPr>
                    <w:t>类（mg/L）</w:t>
                  </w:r>
                </w:p>
              </w:tc>
              <w:tc>
                <w:tcPr>
                  <w:tcW w:w="3043" w:type="dxa"/>
                  <w:vAlign w:val="center"/>
                </w:tcPr>
                <w:p>
                  <w:pPr>
                    <w:adjustRightInd w:val="0"/>
                    <w:snapToGrid w:val="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标准来源</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123"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w:t>
                  </w:r>
                </w:p>
              </w:tc>
              <w:tc>
                <w:tcPr>
                  <w:tcW w:w="1691"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 xml:space="preserve">pH值 </w:t>
                  </w:r>
                </w:p>
              </w:tc>
              <w:tc>
                <w:tcPr>
                  <w:tcW w:w="1958"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6～9（无量纲）</w:t>
                  </w:r>
                </w:p>
              </w:tc>
              <w:tc>
                <w:tcPr>
                  <w:tcW w:w="3043" w:type="dxa"/>
                  <w:vMerge w:val="restart"/>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《地表水环境质量标准》（GB3838–2002）</w:t>
                  </w:r>
                  <w:r>
                    <w:rPr>
                      <w:rFonts w:hint="eastAsia" w:cs="宋体"/>
                      <w:color w:val="000000" w:themeColor="text1"/>
                      <w:szCs w:val="21"/>
                      <w14:textFill>
                        <w14:solidFill>
                          <w14:schemeClr w14:val="tx1"/>
                        </w14:solidFill>
                      </w14:textFill>
                    </w:rPr>
                    <w:t>Ⅳ</w:t>
                  </w:r>
                  <w:r>
                    <w:rPr>
                      <w:color w:val="000000" w:themeColor="text1"/>
                      <w:szCs w:val="21"/>
                      <w14:textFill>
                        <w14:solidFill>
                          <w14:schemeClr w14:val="tx1"/>
                        </w14:solidFill>
                      </w14:textFill>
                    </w:rPr>
                    <w:t>类</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1123"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2</w:t>
                  </w:r>
                </w:p>
              </w:tc>
              <w:tc>
                <w:tcPr>
                  <w:tcW w:w="1691"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COD</w:t>
                  </w:r>
                </w:p>
              </w:tc>
              <w:tc>
                <w:tcPr>
                  <w:tcW w:w="1958"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≤30</w:t>
                  </w:r>
                </w:p>
              </w:tc>
              <w:tc>
                <w:tcPr>
                  <w:tcW w:w="3043" w:type="dxa"/>
                  <w:vMerge w:val="continue"/>
                  <w:vAlign w:val="center"/>
                </w:tcPr>
                <w:p>
                  <w:pP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123"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3</w:t>
                  </w:r>
                </w:p>
              </w:tc>
              <w:tc>
                <w:tcPr>
                  <w:tcW w:w="1691"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BOD</w:t>
                  </w:r>
                  <w:r>
                    <w:rPr>
                      <w:color w:val="000000" w:themeColor="text1"/>
                      <w:szCs w:val="21"/>
                      <w:vertAlign w:val="subscript"/>
                      <w14:textFill>
                        <w14:solidFill>
                          <w14:schemeClr w14:val="tx1"/>
                        </w14:solidFill>
                      </w14:textFill>
                    </w:rPr>
                    <w:t>5</w:t>
                  </w:r>
                </w:p>
              </w:tc>
              <w:tc>
                <w:tcPr>
                  <w:tcW w:w="1958"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w:t>
                  </w:r>
                </w:p>
              </w:tc>
              <w:tc>
                <w:tcPr>
                  <w:tcW w:w="3043" w:type="dxa"/>
                  <w:vMerge w:val="continue"/>
                  <w:vAlign w:val="center"/>
                </w:tcPr>
                <w:p>
                  <w:pP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123"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4</w:t>
                  </w:r>
                </w:p>
              </w:tc>
              <w:tc>
                <w:tcPr>
                  <w:tcW w:w="1691"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NH</w:t>
                  </w:r>
                  <w:r>
                    <w:rPr>
                      <w:color w:val="000000" w:themeColor="text1"/>
                      <w:szCs w:val="21"/>
                      <w:vertAlign w:val="subscript"/>
                      <w14:textFill>
                        <w14:solidFill>
                          <w14:schemeClr w14:val="tx1"/>
                        </w14:solidFill>
                      </w14:textFill>
                    </w:rPr>
                    <w:t>3</w:t>
                  </w:r>
                  <w:r>
                    <w:rPr>
                      <w:color w:val="000000" w:themeColor="text1"/>
                      <w:szCs w:val="21"/>
                      <w14:textFill>
                        <w14:solidFill>
                          <w14:schemeClr w14:val="tx1"/>
                        </w14:solidFill>
                      </w14:textFill>
                    </w:rPr>
                    <w:t>-N</w:t>
                  </w:r>
                </w:p>
              </w:tc>
              <w:tc>
                <w:tcPr>
                  <w:tcW w:w="1958"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≤1.5</w:t>
                  </w:r>
                </w:p>
              </w:tc>
              <w:tc>
                <w:tcPr>
                  <w:tcW w:w="3043" w:type="dxa"/>
                  <w:vMerge w:val="continue"/>
                  <w:vAlign w:val="center"/>
                </w:tcPr>
                <w:p>
                  <w:pP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123"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w:t>
                  </w:r>
                </w:p>
              </w:tc>
              <w:tc>
                <w:tcPr>
                  <w:tcW w:w="1691"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TP</w:t>
                  </w:r>
                </w:p>
              </w:tc>
              <w:tc>
                <w:tcPr>
                  <w:tcW w:w="1958"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r>
                    <w:rPr>
                      <w:rFonts w:hint="eastAsia"/>
                      <w:color w:val="000000" w:themeColor="text1"/>
                      <w:szCs w:val="21"/>
                      <w14:textFill>
                        <w14:solidFill>
                          <w14:schemeClr w14:val="tx1"/>
                        </w14:solidFill>
                      </w14:textFill>
                    </w:rPr>
                    <w:t>3</w:t>
                  </w:r>
                </w:p>
              </w:tc>
              <w:tc>
                <w:tcPr>
                  <w:tcW w:w="3043" w:type="dxa"/>
                  <w:vMerge w:val="continue"/>
                  <w:vAlign w:val="center"/>
                </w:tcPr>
                <w:p>
                  <w:pP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123"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w:t>
                  </w:r>
                </w:p>
              </w:tc>
              <w:tc>
                <w:tcPr>
                  <w:tcW w:w="1691"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TN</w:t>
                  </w:r>
                </w:p>
              </w:tc>
              <w:tc>
                <w:tcPr>
                  <w:tcW w:w="1958"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1.5</w:t>
                  </w:r>
                </w:p>
              </w:tc>
              <w:tc>
                <w:tcPr>
                  <w:tcW w:w="3043" w:type="dxa"/>
                  <w:vMerge w:val="continue"/>
                  <w:vAlign w:val="center"/>
                </w:tcPr>
                <w:p>
                  <w:pP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123"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7</w:t>
                  </w:r>
                </w:p>
              </w:tc>
              <w:tc>
                <w:tcPr>
                  <w:tcW w:w="1691"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石油类</w:t>
                  </w:r>
                </w:p>
              </w:tc>
              <w:tc>
                <w:tcPr>
                  <w:tcW w:w="1958"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r>
                    <w:rPr>
                      <w:rFonts w:hint="eastAsia"/>
                      <w:color w:val="000000" w:themeColor="text1"/>
                      <w:szCs w:val="21"/>
                      <w14:textFill>
                        <w14:solidFill>
                          <w14:schemeClr w14:val="tx1"/>
                        </w14:solidFill>
                      </w14:textFill>
                    </w:rPr>
                    <w:t>5</w:t>
                  </w:r>
                </w:p>
              </w:tc>
              <w:tc>
                <w:tcPr>
                  <w:tcW w:w="3043" w:type="dxa"/>
                  <w:vMerge w:val="continue"/>
                  <w:vAlign w:val="center"/>
                </w:tcPr>
                <w:p>
                  <w:pPr>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30" w:hRule="atLeast"/>
                <w:jc w:val="center"/>
              </w:trPr>
              <w:tc>
                <w:tcPr>
                  <w:tcW w:w="1123" w:type="dxa"/>
                  <w:vAlign w:val="center"/>
                </w:tcPr>
                <w:p>
                  <w:pPr>
                    <w:adjustRightInd w:val="0"/>
                    <w:snapToGrid w:val="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8</w:t>
                  </w:r>
                </w:p>
              </w:tc>
              <w:tc>
                <w:tcPr>
                  <w:tcW w:w="1691"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SS</w:t>
                  </w:r>
                </w:p>
              </w:tc>
              <w:tc>
                <w:tcPr>
                  <w:tcW w:w="1958"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≤60</w:t>
                  </w:r>
                </w:p>
              </w:tc>
              <w:tc>
                <w:tcPr>
                  <w:tcW w:w="3043" w:type="dxa"/>
                  <w:vAlign w:val="center"/>
                </w:tcPr>
                <w:p>
                  <w:pPr>
                    <w:adjustRightInd w:val="0"/>
                    <w:snapToGrid w:val="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参考水利部《地表水资源质量标准》（SL63-94）四级</w:t>
                  </w:r>
                </w:p>
              </w:tc>
            </w:tr>
          </w:tbl>
          <w:p>
            <w:pPr>
              <w:spacing w:line="440" w:lineRule="exact"/>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 xml:space="preserve">     </w:t>
            </w:r>
            <w:r>
              <w:rPr>
                <w:b/>
                <w:color w:val="000000" w:themeColor="text1"/>
                <w:sz w:val="24"/>
                <w:szCs w:val="24"/>
                <w14:textFill>
                  <w14:solidFill>
                    <w14:schemeClr w14:val="tx1"/>
                  </w14:solidFill>
                </w14:textFill>
              </w:rPr>
              <w:t>3、声环境</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项目</w:t>
            </w:r>
            <w:r>
              <w:rPr>
                <w:rFonts w:hint="eastAsia"/>
                <w:color w:val="000000" w:themeColor="text1"/>
                <w:sz w:val="24"/>
                <w14:textFill>
                  <w14:solidFill>
                    <w14:schemeClr w14:val="tx1"/>
                  </w14:solidFill>
                </w14:textFill>
              </w:rPr>
              <w:t>厂界声</w:t>
            </w:r>
            <w:r>
              <w:rPr>
                <w:color w:val="000000" w:themeColor="text1"/>
                <w:sz w:val="24"/>
                <w14:textFill>
                  <w14:solidFill>
                    <w14:schemeClr w14:val="tx1"/>
                  </w14:solidFill>
                </w14:textFill>
              </w:rPr>
              <w:t>环境执行《声环境质量标准》（GB3096-2008）中的</w:t>
            </w:r>
            <w:r>
              <w:rPr>
                <w:rFonts w:hint="eastAsia"/>
                <w:color w:val="000000" w:themeColor="text1"/>
                <w:sz w:val="24"/>
                <w14:textFill>
                  <w14:solidFill>
                    <w14:schemeClr w14:val="tx1"/>
                  </w14:solidFill>
                </w14:textFill>
              </w:rPr>
              <w:t>3类区</w:t>
            </w:r>
            <w:r>
              <w:rPr>
                <w:rFonts w:hint="eastAsia"/>
                <w:color w:val="000000" w:themeColor="text1"/>
                <w:sz w:val="24"/>
                <w:lang w:eastAsia="zh-CN"/>
                <w14:textFill>
                  <w14:solidFill>
                    <w14:schemeClr w14:val="tx1"/>
                  </w14:solidFill>
                </w14:textFill>
              </w:rPr>
              <w:t>限值</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具体标准值见表</w:t>
            </w:r>
            <w:r>
              <w:rPr>
                <w:rFonts w:hint="eastAsia"/>
                <w:color w:val="000000" w:themeColor="text1"/>
                <w:sz w:val="24"/>
                <w14:textFill>
                  <w14:solidFill>
                    <w14:schemeClr w14:val="tx1"/>
                  </w14:solidFill>
                </w14:textFill>
              </w:rPr>
              <w:t>4-3</w:t>
            </w:r>
            <w:r>
              <w:rPr>
                <w:color w:val="000000" w:themeColor="text1"/>
                <w:sz w:val="24"/>
                <w14:textFill>
                  <w14:solidFill>
                    <w14:schemeClr w14:val="tx1"/>
                  </w14:solidFill>
                </w14:textFill>
              </w:rPr>
              <w:t>。</w:t>
            </w:r>
          </w:p>
          <w:p>
            <w:pPr>
              <w:jc w:val="center"/>
              <w:rPr>
                <w:b/>
                <w:color w:val="000000" w:themeColor="text1"/>
                <w:sz w:val="24"/>
                <w:szCs w:val="24"/>
                <w14:textFill>
                  <w14:solidFill>
                    <w14:schemeClr w14:val="tx1"/>
                  </w14:solidFill>
                </w14:textFill>
              </w:rPr>
            </w:pPr>
            <w:r>
              <w:rPr>
                <w:color w:val="000000" w:themeColor="text1"/>
                <w:szCs w:val="21"/>
                <w14:textFill>
                  <w14:solidFill>
                    <w14:schemeClr w14:val="tx1"/>
                  </w14:solidFill>
                </w14:textFill>
              </w:rPr>
              <w:t xml:space="preserve">   </w:t>
            </w:r>
            <w:r>
              <w:rPr>
                <w:b/>
                <w:color w:val="000000" w:themeColor="text1"/>
                <w:kern w:val="144"/>
                <w:sz w:val="24"/>
                <w:szCs w:val="24"/>
                <w14:textFill>
                  <w14:solidFill>
                    <w14:schemeClr w14:val="tx1"/>
                  </w14:solidFill>
                </w14:textFill>
              </w:rPr>
              <w:t xml:space="preserve"> 表</w:t>
            </w:r>
            <w:r>
              <w:rPr>
                <w:rFonts w:hint="eastAsia"/>
                <w:b/>
                <w:color w:val="000000" w:themeColor="text1"/>
                <w:kern w:val="144"/>
                <w:sz w:val="24"/>
                <w:szCs w:val="24"/>
                <w14:textFill>
                  <w14:solidFill>
                    <w14:schemeClr w14:val="tx1"/>
                  </w14:solidFill>
                </w14:textFill>
              </w:rPr>
              <w:t>4-3</w:t>
            </w:r>
            <w:r>
              <w:rPr>
                <w:b/>
                <w:color w:val="000000" w:themeColor="text1"/>
                <w:kern w:val="144"/>
                <w:sz w:val="24"/>
                <w:szCs w:val="24"/>
                <w14:textFill>
                  <w14:solidFill>
                    <w14:schemeClr w14:val="tx1"/>
                  </w14:solidFill>
                </w14:textFill>
              </w:rPr>
              <w:t xml:space="preserve">  声环境质量标准</w:t>
            </w:r>
            <w:r>
              <w:rPr>
                <w:b/>
                <w:color w:val="000000" w:themeColor="text1"/>
                <w:sz w:val="24"/>
                <w:szCs w:val="24"/>
                <w14:textFill>
                  <w14:solidFill>
                    <w14:schemeClr w14:val="tx1"/>
                  </w14:solidFill>
                </w14:textFill>
              </w:rPr>
              <w:t xml:space="preserve">         单位：dB</w:t>
            </w:r>
            <w:r>
              <w:rPr>
                <w:rFonts w:hint="eastAsia"/>
                <w:b/>
                <w:color w:val="000000" w:themeColor="text1"/>
                <w:sz w:val="24"/>
                <w:szCs w:val="24"/>
                <w14:textFill>
                  <w14:solidFill>
                    <w14:schemeClr w14:val="tx1"/>
                  </w14:solidFill>
                </w14:textFill>
              </w:rPr>
              <w:t>（</w:t>
            </w:r>
            <w:r>
              <w:rPr>
                <w:b/>
                <w:color w:val="000000" w:themeColor="text1"/>
                <w:sz w:val="24"/>
                <w:szCs w:val="24"/>
                <w14:textFill>
                  <w14:solidFill>
                    <w14:schemeClr w14:val="tx1"/>
                  </w14:solidFill>
                </w14:textFill>
              </w:rPr>
              <w:t>A</w:t>
            </w:r>
            <w:r>
              <w:rPr>
                <w:rFonts w:hint="eastAsia"/>
                <w:b/>
                <w:color w:val="000000" w:themeColor="text1"/>
                <w:sz w:val="24"/>
                <w:szCs w:val="24"/>
                <w14:textFill>
                  <w14:solidFill>
                    <w14:schemeClr w14:val="tx1"/>
                  </w14:solidFill>
                </w14:textFill>
              </w:rPr>
              <w:t>）</w:t>
            </w:r>
          </w:p>
          <w:tbl>
            <w:tblPr>
              <w:tblStyle w:val="17"/>
              <w:tblW w:w="7815"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538"/>
              <w:gridCol w:w="1336"/>
              <w:gridCol w:w="1449"/>
              <w:gridCol w:w="3492"/>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04" w:hRule="atLeast"/>
                <w:jc w:val="center"/>
              </w:trPr>
              <w:tc>
                <w:tcPr>
                  <w:tcW w:w="153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评价标准</w:t>
                  </w:r>
                </w:p>
              </w:tc>
              <w:tc>
                <w:tcPr>
                  <w:tcW w:w="13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昼间</w:t>
                  </w:r>
                </w:p>
              </w:tc>
              <w:tc>
                <w:tcPr>
                  <w:tcW w:w="144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夜间</w:t>
                  </w:r>
                </w:p>
              </w:tc>
              <w:tc>
                <w:tcPr>
                  <w:tcW w:w="349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标</w:t>
                  </w:r>
                  <w:r>
                    <w:rPr>
                      <w:rFonts w:hint="eastAsia"/>
                      <w:b/>
                      <w:color w:val="000000" w:themeColor="text1"/>
                      <w:szCs w:val="21"/>
                      <w14:textFill>
                        <w14:solidFill>
                          <w14:schemeClr w14:val="tx1"/>
                        </w14:solidFill>
                      </w14:textFill>
                    </w:rPr>
                    <w:t>准</w:t>
                  </w:r>
                  <w:r>
                    <w:rPr>
                      <w:b/>
                      <w:color w:val="000000" w:themeColor="text1"/>
                      <w:szCs w:val="21"/>
                      <w14:textFill>
                        <w14:solidFill>
                          <w14:schemeClr w14:val="tx1"/>
                        </w14:solidFill>
                      </w14:textFill>
                    </w:rPr>
                    <w:t>来源</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404" w:hRule="atLeast"/>
                <w:jc w:val="center"/>
              </w:trPr>
              <w:tc>
                <w:tcPr>
                  <w:tcW w:w="1538"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eastAsia" w:eastAsia="宋体"/>
                      <w:color w:val="000000" w:themeColor="text1"/>
                      <w:szCs w:val="21"/>
                      <w:lang w:eastAsia="zh-CN"/>
                      <w14:textFill>
                        <w14:solidFill>
                          <w14:schemeClr w14:val="tx1"/>
                        </w14:solidFill>
                      </w14:textFill>
                    </w:rPr>
                  </w:pP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类</w:t>
                  </w:r>
                  <w:r>
                    <w:rPr>
                      <w:rFonts w:hint="eastAsia"/>
                      <w:color w:val="000000" w:themeColor="text1"/>
                      <w:szCs w:val="21"/>
                      <w:lang w:eastAsia="zh-CN"/>
                      <w14:textFill>
                        <w14:solidFill>
                          <w14:schemeClr w14:val="tx1"/>
                        </w14:solidFill>
                      </w14:textFill>
                    </w:rPr>
                    <w:t>限值</w:t>
                  </w:r>
                </w:p>
              </w:tc>
              <w:tc>
                <w:tcPr>
                  <w:tcW w:w="1336"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65</w:t>
                  </w:r>
                </w:p>
              </w:tc>
              <w:tc>
                <w:tcPr>
                  <w:tcW w:w="1449"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55</w:t>
                  </w:r>
                </w:p>
              </w:tc>
              <w:tc>
                <w:tcPr>
                  <w:tcW w:w="3492"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《声环境质量</w:t>
                  </w:r>
                  <w:r>
                    <w:rPr>
                      <w:rFonts w:hint="eastAsia"/>
                      <w:color w:val="000000" w:themeColor="text1"/>
                      <w:szCs w:val="21"/>
                      <w14:textFill>
                        <w14:solidFill>
                          <w14:schemeClr w14:val="tx1"/>
                        </w14:solidFill>
                      </w14:textFill>
                    </w:rPr>
                    <w:t>标准</w:t>
                  </w:r>
                  <w:r>
                    <w:rPr>
                      <w:color w:val="000000" w:themeColor="text1"/>
                      <w:szCs w:val="21"/>
                      <w14:textFill>
                        <w14:solidFill>
                          <w14:schemeClr w14:val="tx1"/>
                        </w14:solidFill>
                      </w14:textFill>
                    </w:rPr>
                    <w:t>》（GB3096-2008）</w:t>
                  </w:r>
                </w:p>
              </w:tc>
            </w:tr>
          </w:tbl>
          <w:p>
            <w:pPr>
              <w:snapToGrid w:val="0"/>
              <w:rPr>
                <w:color w:val="000000" w:themeColor="text1"/>
                <w:sz w:val="24"/>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194" w:hRule="atLeast"/>
          <w:jc w:val="center"/>
        </w:trPr>
        <w:tc>
          <w:tcPr>
            <w:tcW w:w="497" w:type="dxa"/>
            <w:vAlign w:val="center"/>
          </w:tcPr>
          <w:p>
            <w:pPr>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污</w:t>
            </w:r>
          </w:p>
          <w:p>
            <w:pPr>
              <w:snapToGrid w:val="0"/>
              <w:jc w:val="center"/>
              <w:rPr>
                <w:color w:val="000000" w:themeColor="text1"/>
                <w:sz w:val="24"/>
                <w14:textFill>
                  <w14:solidFill>
                    <w14:schemeClr w14:val="tx1"/>
                  </w14:solidFill>
                </w14:textFill>
              </w:rPr>
            </w:pPr>
          </w:p>
          <w:p>
            <w:pPr>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染</w:t>
            </w:r>
          </w:p>
          <w:p>
            <w:pPr>
              <w:snapToGrid w:val="0"/>
              <w:jc w:val="center"/>
              <w:rPr>
                <w:color w:val="000000" w:themeColor="text1"/>
                <w:sz w:val="24"/>
                <w14:textFill>
                  <w14:solidFill>
                    <w14:schemeClr w14:val="tx1"/>
                  </w14:solidFill>
                </w14:textFill>
              </w:rPr>
            </w:pPr>
          </w:p>
          <w:p>
            <w:pPr>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物</w:t>
            </w:r>
          </w:p>
          <w:p>
            <w:pPr>
              <w:snapToGrid w:val="0"/>
              <w:jc w:val="center"/>
              <w:rPr>
                <w:color w:val="000000" w:themeColor="text1"/>
                <w:sz w:val="24"/>
                <w14:textFill>
                  <w14:solidFill>
                    <w14:schemeClr w14:val="tx1"/>
                  </w14:solidFill>
                </w14:textFill>
              </w:rPr>
            </w:pPr>
          </w:p>
          <w:p>
            <w:pPr>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排</w:t>
            </w:r>
          </w:p>
          <w:p>
            <w:pPr>
              <w:snapToGrid w:val="0"/>
              <w:jc w:val="center"/>
              <w:rPr>
                <w:color w:val="000000" w:themeColor="text1"/>
                <w:sz w:val="24"/>
                <w14:textFill>
                  <w14:solidFill>
                    <w14:schemeClr w14:val="tx1"/>
                  </w14:solidFill>
                </w14:textFill>
              </w:rPr>
            </w:pPr>
          </w:p>
          <w:p>
            <w:pPr>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放</w:t>
            </w:r>
          </w:p>
          <w:p>
            <w:pPr>
              <w:snapToGrid w:val="0"/>
              <w:jc w:val="center"/>
              <w:rPr>
                <w:color w:val="000000" w:themeColor="text1"/>
                <w:sz w:val="24"/>
                <w14:textFill>
                  <w14:solidFill>
                    <w14:schemeClr w14:val="tx1"/>
                  </w14:solidFill>
                </w14:textFill>
              </w:rPr>
            </w:pPr>
          </w:p>
          <w:p>
            <w:pPr>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标</w:t>
            </w:r>
          </w:p>
          <w:p>
            <w:pPr>
              <w:snapToGrid w:val="0"/>
              <w:jc w:val="center"/>
              <w:rPr>
                <w:color w:val="000000" w:themeColor="text1"/>
                <w:sz w:val="24"/>
                <w14:textFill>
                  <w14:solidFill>
                    <w14:schemeClr w14:val="tx1"/>
                  </w14:solidFill>
                </w14:textFill>
              </w:rPr>
            </w:pPr>
          </w:p>
          <w:p>
            <w:pPr>
              <w:snapToGrid w:val="0"/>
              <w:jc w:val="center"/>
              <w:rPr>
                <w:color w:val="000000" w:themeColor="text1"/>
                <w:sz w:val="24"/>
                <w14:textFill>
                  <w14:solidFill>
                    <w14:schemeClr w14:val="tx1"/>
                  </w14:solidFill>
                </w14:textFill>
              </w:rPr>
            </w:pPr>
            <w:r>
              <w:rPr>
                <w:color w:val="000000" w:themeColor="text1"/>
                <w:sz w:val="24"/>
                <w14:textFill>
                  <w14:solidFill>
                    <w14:schemeClr w14:val="tx1"/>
                  </w14:solidFill>
                </w14:textFill>
              </w:rPr>
              <w:t>准</w:t>
            </w:r>
          </w:p>
        </w:tc>
        <w:tc>
          <w:tcPr>
            <w:tcW w:w="8031" w:type="dxa"/>
            <w:vAlign w:val="center"/>
          </w:tcPr>
          <w:p>
            <w:pPr>
              <w:spacing w:line="360" w:lineRule="auto"/>
              <w:ind w:firstLine="480" w:firstLineChars="200"/>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1、废气排放标准</w:t>
            </w:r>
          </w:p>
          <w:p>
            <w:pPr>
              <w:spacing w:line="360" w:lineRule="auto"/>
              <w:ind w:firstLine="480" w:firstLineChars="200"/>
              <w:rPr>
                <w:color w:val="000000" w:themeColor="text1"/>
                <w:sz w:val="24"/>
                <w:szCs w:val="24"/>
                <w14:textFill>
                  <w14:solidFill>
                    <w14:schemeClr w14:val="tx1"/>
                  </w14:solidFill>
                </w14:textFill>
              </w:rPr>
            </w:pPr>
            <w:r>
              <w:rPr>
                <w:rFonts w:hint="eastAsia"/>
                <w:color w:val="000000" w:themeColor="text1"/>
                <w:sz w:val="24"/>
                <w14:textFill>
                  <w14:solidFill>
                    <w14:schemeClr w14:val="tx1"/>
                  </w14:solidFill>
                </w14:textFill>
              </w:rPr>
              <w:t>本项目</w:t>
            </w:r>
            <w:r>
              <w:rPr>
                <w:rFonts w:hint="eastAsia"/>
                <w:color w:val="000000" w:themeColor="text1"/>
                <w:sz w:val="24"/>
                <w:lang w:eastAsia="zh-CN"/>
                <w14:textFill>
                  <w14:solidFill>
                    <w14:schemeClr w14:val="tx1"/>
                  </w14:solidFill>
                </w14:textFill>
              </w:rPr>
              <w:t>非甲烷总烃</w:t>
            </w:r>
            <w:r>
              <w:rPr>
                <w:rFonts w:hint="eastAsia"/>
                <w:color w:val="000000" w:themeColor="text1"/>
                <w:sz w:val="24"/>
                <w14:textFill>
                  <w14:solidFill>
                    <w14:schemeClr w14:val="tx1"/>
                  </w14:solidFill>
                </w14:textFill>
              </w:rPr>
              <w:t>排放执行《合成树脂工业污染物排放标准》（GB31572-2015）表5及表9标准；</w:t>
            </w:r>
            <w:r>
              <w:rPr>
                <w:rFonts w:hint="eastAsia"/>
                <w:color w:val="000000" w:themeColor="text1"/>
                <w:sz w:val="24"/>
                <w:lang w:eastAsia="zh-CN"/>
                <w14:textFill>
                  <w14:solidFill>
                    <w14:schemeClr w14:val="tx1"/>
                  </w14:solidFill>
                </w14:textFill>
              </w:rPr>
              <w:t>颗粒物无组织</w:t>
            </w:r>
            <w:r>
              <w:rPr>
                <w:rFonts w:hint="eastAsia"/>
                <w:color w:val="000000" w:themeColor="text1"/>
                <w:sz w:val="24"/>
                <w14:textFill>
                  <w14:solidFill>
                    <w14:schemeClr w14:val="tx1"/>
                  </w14:solidFill>
                </w14:textFill>
              </w:rPr>
              <w:t>排放执行《合成树脂工业污染物排放标准》（GB31572-2015）表9标准</w:t>
            </w:r>
            <w:r>
              <w:rPr>
                <w:rFonts w:hint="eastAsia"/>
                <w:color w:val="000000" w:themeColor="text1"/>
                <w:sz w:val="24"/>
                <w:lang w:eastAsia="zh-CN"/>
                <w14:textFill>
                  <w14:solidFill>
                    <w14:schemeClr w14:val="tx1"/>
                  </w14:solidFill>
                </w14:textFill>
              </w:rPr>
              <w:t>；颗粒物、</w:t>
            </w:r>
            <w:r>
              <w:rPr>
                <w:rFonts w:hint="eastAsia"/>
                <w:color w:val="000000" w:themeColor="text1"/>
                <w:sz w:val="24"/>
                <w:lang w:val="en-US" w:eastAsia="zh-CN"/>
                <w14:textFill>
                  <w14:solidFill>
                    <w14:schemeClr w14:val="tx1"/>
                  </w14:solidFill>
                </w14:textFill>
              </w:rPr>
              <w:t>SO</w:t>
            </w:r>
            <w:r>
              <w:rPr>
                <w:rFonts w:hint="eastAsia"/>
                <w:color w:val="000000" w:themeColor="text1"/>
                <w:sz w:val="24"/>
                <w:vertAlign w:val="subscript"/>
                <w:lang w:val="en-US" w:eastAsia="zh-CN"/>
                <w14:textFill>
                  <w14:solidFill>
                    <w14:schemeClr w14:val="tx1"/>
                  </w14:solidFill>
                </w14:textFill>
              </w:rPr>
              <w:t>2</w:t>
            </w:r>
            <w:r>
              <w:rPr>
                <w:rFonts w:hint="eastAsia"/>
                <w:color w:val="000000" w:themeColor="text1"/>
                <w:sz w:val="24"/>
                <w:lang w:val="en-US" w:eastAsia="zh-CN"/>
                <w14:textFill>
                  <w14:solidFill>
                    <w14:schemeClr w14:val="tx1"/>
                  </w14:solidFill>
                </w14:textFill>
              </w:rPr>
              <w:t>、NOx排放执行</w:t>
            </w:r>
            <w:r>
              <w:rPr>
                <w:rFonts w:hint="default" w:ascii="Times New Roman" w:hAnsi="Times New Roman" w:eastAsia="宋体" w:cs="Times New Roman"/>
                <w:color w:val="auto"/>
                <w:sz w:val="24"/>
                <w:lang w:val="en-US" w:eastAsia="zh-CN"/>
              </w:rPr>
              <w:t>《工业炉窑大气污染物排放标准》（DB32/3728-2019）表1</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lang w:val="en-US" w:eastAsia="zh-CN"/>
              </w:rPr>
              <w:t>常规大气污染物排放限值</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lang w:val="en-US" w:eastAsia="zh-CN"/>
              </w:rPr>
              <w:t>和《长三角地区2019-2020年秋冬季大气污染综合治理攻坚行动方案》中氮氧化物排放浓度不高于50mg/m</w:t>
            </w:r>
            <w:r>
              <w:rPr>
                <w:rFonts w:hint="default" w:ascii="Times New Roman" w:hAnsi="Times New Roman" w:eastAsia="宋体" w:cs="Times New Roman"/>
                <w:color w:val="auto"/>
                <w:sz w:val="24"/>
                <w:vertAlign w:val="superscript"/>
                <w:lang w:val="en-US" w:eastAsia="zh-CN"/>
              </w:rPr>
              <w:t>3</w:t>
            </w:r>
            <w:r>
              <w:rPr>
                <w:rFonts w:hint="default" w:ascii="Times New Roman" w:hAnsi="Times New Roman" w:eastAsia="宋体" w:cs="Times New Roman"/>
                <w:color w:val="auto"/>
                <w:sz w:val="24"/>
                <w:lang w:val="en-US" w:eastAsia="zh-CN"/>
              </w:rPr>
              <w:t>的要求；</w:t>
            </w:r>
            <w:r>
              <w:rPr>
                <w:rFonts w:hint="eastAsia"/>
                <w:color w:val="000000" w:themeColor="text1"/>
                <w:sz w:val="24"/>
                <w14:textFill>
                  <w14:solidFill>
                    <w14:schemeClr w14:val="tx1"/>
                  </w14:solidFill>
                </w14:textFill>
              </w:rPr>
              <w:t>厂区内VOCs无组织排放执行《挥发性有机物无组织排放控制标准》（GB37822-2019）中附录A表A.1中特别排放限值。</w:t>
            </w:r>
            <w:r>
              <w:rPr>
                <w:rFonts w:hint="eastAsia"/>
                <w:bCs/>
                <w:color w:val="000000" w:themeColor="text1"/>
                <w:sz w:val="24"/>
                <w14:textFill>
                  <w14:solidFill>
                    <w14:schemeClr w14:val="tx1"/>
                  </w14:solidFill>
                </w14:textFill>
              </w:rPr>
              <w:t>详见表4-4。</w:t>
            </w:r>
          </w:p>
          <w:p>
            <w:pPr>
              <w:snapToGrid w:val="0"/>
              <w:jc w:val="center"/>
              <w:rPr>
                <w:rFonts w:eastAsia="黑体"/>
                <w:color w:val="000000" w:themeColor="text1"/>
                <w:vertAlign w:val="superscript"/>
                <w14:textFill>
                  <w14:solidFill>
                    <w14:schemeClr w14:val="tx1"/>
                  </w14:solidFill>
                </w14:textFill>
              </w:rPr>
            </w:pPr>
            <w:r>
              <w:rPr>
                <w:b/>
                <w:color w:val="000000" w:themeColor="text1"/>
                <w:sz w:val="24"/>
                <w:szCs w:val="24"/>
                <w14:textFill>
                  <w14:solidFill>
                    <w14:schemeClr w14:val="tx1"/>
                  </w14:solidFill>
                </w14:textFill>
              </w:rPr>
              <w:t>表</w:t>
            </w:r>
            <w:r>
              <w:rPr>
                <w:rFonts w:hint="eastAsia"/>
                <w:b/>
                <w:color w:val="000000" w:themeColor="text1"/>
                <w:sz w:val="24"/>
                <w:szCs w:val="24"/>
                <w14:textFill>
                  <w14:solidFill>
                    <w14:schemeClr w14:val="tx1"/>
                  </w14:solidFill>
                </w14:textFill>
              </w:rPr>
              <w:t>4-4</w:t>
            </w:r>
            <w:r>
              <w:rPr>
                <w:b/>
                <w:color w:val="000000" w:themeColor="text1"/>
                <w:sz w:val="24"/>
                <w:szCs w:val="24"/>
                <w14:textFill>
                  <w14:solidFill>
                    <w14:schemeClr w14:val="tx1"/>
                  </w14:solidFill>
                </w14:textFill>
              </w:rPr>
              <w:t xml:space="preserve">   大气污染物排放标准</w:t>
            </w:r>
            <w:r>
              <w:rPr>
                <w:b/>
                <w:color w:val="000000" w:themeColor="text1"/>
                <w14:textFill>
                  <w14:solidFill>
                    <w14:schemeClr w14:val="tx1"/>
                  </w14:solidFill>
                </w14:textFill>
              </w:rPr>
              <w:t xml:space="preserve"> </w:t>
            </w:r>
            <w:r>
              <w:rPr>
                <w:rFonts w:eastAsia="黑体"/>
                <w:color w:val="000000" w:themeColor="text1"/>
                <w14:textFill>
                  <w14:solidFill>
                    <w14:schemeClr w14:val="tx1"/>
                  </w14:solidFill>
                </w14:textFill>
              </w:rPr>
              <w:t xml:space="preserve"> </w:t>
            </w:r>
          </w:p>
          <w:tbl>
            <w:tblPr>
              <w:tblStyle w:val="17"/>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47"/>
              <w:gridCol w:w="1219"/>
              <w:gridCol w:w="813"/>
              <w:gridCol w:w="1035"/>
              <w:gridCol w:w="679"/>
              <w:gridCol w:w="1220"/>
              <w:gridCol w:w="200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41" w:type="pct"/>
                  <w:vMerge w:val="restart"/>
                  <w:tcBorders>
                    <w:tl2br w:val="nil"/>
                    <w:tr2bl w:val="nil"/>
                  </w:tcBorders>
                  <w:vAlign w:val="center"/>
                </w:tcPr>
                <w:p>
                  <w:pPr>
                    <w:adjustRightInd w:val="0"/>
                    <w:snapToGrid w:val="0"/>
                    <w:jc w:val="center"/>
                    <w:rPr>
                      <w:b/>
                      <w:bCs/>
                      <w:szCs w:val="21"/>
                    </w:rPr>
                  </w:pPr>
                  <w:r>
                    <w:rPr>
                      <w:b/>
                      <w:bCs/>
                      <w:szCs w:val="21"/>
                    </w:rPr>
                    <w:t>污染物</w:t>
                  </w:r>
                </w:p>
              </w:tc>
              <w:tc>
                <w:tcPr>
                  <w:tcW w:w="779" w:type="pct"/>
                  <w:vMerge w:val="restart"/>
                  <w:tcBorders>
                    <w:tl2br w:val="nil"/>
                    <w:tr2bl w:val="nil"/>
                  </w:tcBorders>
                  <w:vAlign w:val="center"/>
                </w:tcPr>
                <w:p>
                  <w:pPr>
                    <w:adjustRightInd w:val="0"/>
                    <w:snapToGrid w:val="0"/>
                    <w:jc w:val="center"/>
                    <w:rPr>
                      <w:b/>
                      <w:bCs/>
                      <w:szCs w:val="21"/>
                    </w:rPr>
                  </w:pPr>
                  <w:r>
                    <w:rPr>
                      <w:b/>
                      <w:bCs/>
                      <w:szCs w:val="21"/>
                    </w:rPr>
                    <w:t>最高允许排放浓度（mg/m</w:t>
                  </w:r>
                  <w:r>
                    <w:rPr>
                      <w:b/>
                      <w:bCs/>
                      <w:szCs w:val="21"/>
                      <w:vertAlign w:val="superscript"/>
                    </w:rPr>
                    <w:t>3</w:t>
                  </w:r>
                  <w:r>
                    <w:rPr>
                      <w:b/>
                      <w:bCs/>
                      <w:szCs w:val="21"/>
                    </w:rPr>
                    <w:t>）</w:t>
                  </w:r>
                </w:p>
              </w:tc>
              <w:tc>
                <w:tcPr>
                  <w:tcW w:w="520" w:type="pct"/>
                  <w:vMerge w:val="restart"/>
                  <w:tcBorders>
                    <w:tl2br w:val="nil"/>
                    <w:tr2bl w:val="nil"/>
                  </w:tcBorders>
                  <w:vAlign w:val="center"/>
                </w:tcPr>
                <w:p>
                  <w:pPr>
                    <w:adjustRightInd w:val="0"/>
                    <w:snapToGrid w:val="0"/>
                    <w:jc w:val="center"/>
                  </w:pPr>
                  <w:r>
                    <w:rPr>
                      <w:b/>
                      <w:bCs/>
                      <w:szCs w:val="21"/>
                    </w:rPr>
                    <w:t>排气筒（m）</w:t>
                  </w:r>
                </w:p>
              </w:tc>
              <w:tc>
                <w:tcPr>
                  <w:tcW w:w="662" w:type="pct"/>
                  <w:vMerge w:val="restart"/>
                  <w:tcBorders>
                    <w:tl2br w:val="nil"/>
                    <w:tr2bl w:val="nil"/>
                  </w:tcBorders>
                  <w:vAlign w:val="center"/>
                </w:tcPr>
                <w:p>
                  <w:pPr>
                    <w:adjustRightInd w:val="0"/>
                    <w:snapToGrid w:val="0"/>
                    <w:jc w:val="center"/>
                    <w:rPr>
                      <w:b/>
                      <w:bCs/>
                    </w:rPr>
                  </w:pPr>
                  <w:r>
                    <w:rPr>
                      <w:b/>
                      <w:bCs/>
                      <w:szCs w:val="21"/>
                    </w:rPr>
                    <w:t>最高允许排放速率（kg/h）</w:t>
                  </w:r>
                </w:p>
              </w:tc>
              <w:tc>
                <w:tcPr>
                  <w:tcW w:w="1214" w:type="pct"/>
                  <w:gridSpan w:val="2"/>
                  <w:tcBorders>
                    <w:tl2br w:val="nil"/>
                    <w:tr2bl w:val="nil"/>
                  </w:tcBorders>
                  <w:vAlign w:val="center"/>
                </w:tcPr>
                <w:p>
                  <w:pPr>
                    <w:adjustRightInd w:val="0"/>
                    <w:snapToGrid w:val="0"/>
                    <w:jc w:val="center"/>
                    <w:rPr>
                      <w:b/>
                      <w:bCs/>
                      <w:szCs w:val="21"/>
                    </w:rPr>
                  </w:pPr>
                  <w:r>
                    <w:rPr>
                      <w:b/>
                      <w:bCs/>
                      <w:szCs w:val="21"/>
                    </w:rPr>
                    <w:t>无组织排放监控浓度限值（mg/m</w:t>
                  </w:r>
                  <w:r>
                    <w:rPr>
                      <w:b/>
                      <w:bCs/>
                      <w:szCs w:val="21"/>
                      <w:vertAlign w:val="superscript"/>
                    </w:rPr>
                    <w:t>3</w:t>
                  </w:r>
                  <w:r>
                    <w:rPr>
                      <w:b/>
                      <w:bCs/>
                      <w:szCs w:val="21"/>
                    </w:rPr>
                    <w:t>）</w:t>
                  </w:r>
                </w:p>
              </w:tc>
              <w:tc>
                <w:tcPr>
                  <w:tcW w:w="1280" w:type="pct"/>
                  <w:vMerge w:val="restart"/>
                  <w:tcBorders>
                    <w:tl2br w:val="nil"/>
                    <w:tr2bl w:val="nil"/>
                  </w:tcBorders>
                  <w:vAlign w:val="center"/>
                </w:tcPr>
                <w:p>
                  <w:pPr>
                    <w:adjustRightInd w:val="0"/>
                    <w:snapToGrid w:val="0"/>
                    <w:jc w:val="center"/>
                    <w:rPr>
                      <w:b/>
                      <w:bCs/>
                      <w:szCs w:val="21"/>
                    </w:rPr>
                  </w:pPr>
                  <w:r>
                    <w:rPr>
                      <w:b/>
                      <w:bCs/>
                      <w:szCs w:val="21"/>
                    </w:rPr>
                    <w:t>采用标准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41" w:type="pct"/>
                  <w:vMerge w:val="continue"/>
                  <w:tcBorders>
                    <w:tl2br w:val="nil"/>
                    <w:tr2bl w:val="nil"/>
                  </w:tcBorders>
                  <w:vAlign w:val="center"/>
                </w:tcPr>
                <w:p>
                  <w:pPr>
                    <w:adjustRightInd w:val="0"/>
                    <w:snapToGrid w:val="0"/>
                    <w:jc w:val="center"/>
                  </w:pPr>
                </w:p>
              </w:tc>
              <w:tc>
                <w:tcPr>
                  <w:tcW w:w="779" w:type="pct"/>
                  <w:vMerge w:val="continue"/>
                  <w:tcBorders>
                    <w:tl2br w:val="nil"/>
                    <w:tr2bl w:val="nil"/>
                  </w:tcBorders>
                  <w:vAlign w:val="center"/>
                </w:tcPr>
                <w:p>
                  <w:pPr>
                    <w:adjustRightInd w:val="0"/>
                    <w:snapToGrid w:val="0"/>
                    <w:jc w:val="center"/>
                  </w:pPr>
                </w:p>
              </w:tc>
              <w:tc>
                <w:tcPr>
                  <w:tcW w:w="520" w:type="pct"/>
                  <w:vMerge w:val="continue"/>
                  <w:tcBorders>
                    <w:tl2br w:val="nil"/>
                    <w:tr2bl w:val="nil"/>
                  </w:tcBorders>
                  <w:vAlign w:val="center"/>
                </w:tcPr>
                <w:p>
                  <w:pPr>
                    <w:adjustRightInd w:val="0"/>
                    <w:snapToGrid w:val="0"/>
                    <w:jc w:val="center"/>
                  </w:pPr>
                </w:p>
              </w:tc>
              <w:tc>
                <w:tcPr>
                  <w:tcW w:w="662" w:type="pct"/>
                  <w:vMerge w:val="continue"/>
                  <w:tcBorders>
                    <w:tl2br w:val="nil"/>
                    <w:tr2bl w:val="nil"/>
                  </w:tcBorders>
                  <w:vAlign w:val="center"/>
                </w:tcPr>
                <w:p>
                  <w:pPr>
                    <w:adjustRightInd w:val="0"/>
                    <w:snapToGrid w:val="0"/>
                    <w:jc w:val="center"/>
                    <w:rPr>
                      <w:b/>
                      <w:bCs/>
                    </w:rPr>
                  </w:pPr>
                </w:p>
              </w:tc>
              <w:tc>
                <w:tcPr>
                  <w:tcW w:w="434" w:type="pct"/>
                  <w:tcBorders>
                    <w:tl2br w:val="nil"/>
                    <w:tr2bl w:val="nil"/>
                  </w:tcBorders>
                  <w:vAlign w:val="center"/>
                </w:tcPr>
                <w:p>
                  <w:pPr>
                    <w:adjustRightInd w:val="0"/>
                    <w:snapToGrid w:val="0"/>
                    <w:jc w:val="center"/>
                    <w:rPr>
                      <w:b/>
                      <w:bCs/>
                    </w:rPr>
                  </w:pPr>
                  <w:r>
                    <w:rPr>
                      <w:b/>
                      <w:bCs/>
                    </w:rPr>
                    <w:t>监控点</w:t>
                  </w:r>
                </w:p>
              </w:tc>
              <w:tc>
                <w:tcPr>
                  <w:tcW w:w="780" w:type="pct"/>
                  <w:tcBorders>
                    <w:tl2br w:val="nil"/>
                    <w:tr2bl w:val="nil"/>
                  </w:tcBorders>
                  <w:vAlign w:val="center"/>
                </w:tcPr>
                <w:p>
                  <w:pPr>
                    <w:adjustRightInd w:val="0"/>
                    <w:snapToGrid w:val="0"/>
                    <w:jc w:val="center"/>
                    <w:rPr>
                      <w:b/>
                      <w:bCs/>
                    </w:rPr>
                  </w:pPr>
                  <w:r>
                    <w:rPr>
                      <w:b/>
                      <w:bCs/>
                    </w:rPr>
                    <w:t>浓度（mg/m</w:t>
                  </w:r>
                  <w:r>
                    <w:rPr>
                      <w:b/>
                      <w:bCs/>
                      <w:vertAlign w:val="superscript"/>
                    </w:rPr>
                    <w:t>3</w:t>
                  </w:r>
                  <w:r>
                    <w:rPr>
                      <w:b/>
                      <w:bCs/>
                    </w:rPr>
                    <w:t>）</w:t>
                  </w:r>
                </w:p>
              </w:tc>
              <w:tc>
                <w:tcPr>
                  <w:tcW w:w="1280" w:type="pct"/>
                  <w:vMerge w:val="continue"/>
                  <w:tcBorders>
                    <w:tl2br w:val="nil"/>
                    <w:tr2bl w:val="nil"/>
                  </w:tcBorders>
                  <w:vAlign w:val="center"/>
                </w:tcPr>
                <w:p>
                  <w:pPr>
                    <w:adjustRightInd w:val="0"/>
                    <w:snapToGrid w:val="0"/>
                    <w:jc w:val="center"/>
                    <w:rPr>
                      <w:b/>
                      <w:bCs/>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074" w:hRule="atLeast"/>
                <w:jc w:val="center"/>
              </w:trPr>
              <w:tc>
                <w:tcPr>
                  <w:tcW w:w="541" w:type="pct"/>
                  <w:tcBorders>
                    <w:tl2br w:val="nil"/>
                    <w:tr2bl w:val="nil"/>
                  </w:tcBorders>
                  <w:vAlign w:val="center"/>
                </w:tcPr>
                <w:p>
                  <w:pPr>
                    <w:adjustRightInd w:val="0"/>
                    <w:snapToGrid w:val="0"/>
                    <w:jc w:val="center"/>
                    <w:rPr>
                      <w:rFonts w:hint="eastAsia" w:eastAsia="宋体"/>
                      <w:szCs w:val="21"/>
                      <w:lang w:eastAsia="zh-CN"/>
                    </w:rPr>
                  </w:pPr>
                  <w:r>
                    <w:rPr>
                      <w:rFonts w:hint="eastAsia"/>
                      <w:szCs w:val="21"/>
                      <w:lang w:eastAsia="zh-CN"/>
                    </w:rPr>
                    <w:t>非甲烷总烃</w:t>
                  </w:r>
                </w:p>
              </w:tc>
              <w:tc>
                <w:tcPr>
                  <w:tcW w:w="779" w:type="pct"/>
                  <w:tcBorders>
                    <w:tl2br w:val="nil"/>
                    <w:tr2bl w:val="nil"/>
                  </w:tcBorders>
                  <w:vAlign w:val="center"/>
                </w:tcPr>
                <w:p>
                  <w:pPr>
                    <w:adjustRightInd w:val="0"/>
                    <w:snapToGrid w:val="0"/>
                    <w:jc w:val="center"/>
                    <w:rPr>
                      <w:rFonts w:hint="default"/>
                      <w:szCs w:val="21"/>
                      <w:lang w:val="en-US" w:eastAsia="zh-CN"/>
                    </w:rPr>
                  </w:pPr>
                  <w:r>
                    <w:rPr>
                      <w:rFonts w:hint="eastAsia"/>
                      <w:szCs w:val="21"/>
                      <w:lang w:val="en-US" w:eastAsia="zh-CN"/>
                    </w:rPr>
                    <w:t>60</w:t>
                  </w:r>
                </w:p>
              </w:tc>
              <w:tc>
                <w:tcPr>
                  <w:tcW w:w="520" w:type="pct"/>
                  <w:tcBorders>
                    <w:tl2br w:val="nil"/>
                    <w:tr2bl w:val="nil"/>
                  </w:tcBorders>
                  <w:vAlign w:val="center"/>
                </w:tcPr>
                <w:p>
                  <w:pPr>
                    <w:pStyle w:val="38"/>
                    <w:rPr>
                      <w:rFonts w:hint="default" w:eastAsia="宋体"/>
                      <w:sz w:val="21"/>
                      <w:szCs w:val="21"/>
                      <w:lang w:val="en-US" w:eastAsia="zh-CN"/>
                    </w:rPr>
                  </w:pPr>
                  <w:r>
                    <w:rPr>
                      <w:rFonts w:hint="eastAsia" w:eastAsia="宋体"/>
                      <w:sz w:val="21"/>
                      <w:szCs w:val="21"/>
                      <w:lang w:val="en-US" w:eastAsia="zh-CN"/>
                    </w:rPr>
                    <w:t>15</w:t>
                  </w:r>
                </w:p>
              </w:tc>
              <w:tc>
                <w:tcPr>
                  <w:tcW w:w="662" w:type="pct"/>
                  <w:tcBorders>
                    <w:tl2br w:val="nil"/>
                    <w:tr2bl w:val="nil"/>
                  </w:tcBorders>
                  <w:vAlign w:val="center"/>
                </w:tcPr>
                <w:p>
                  <w:pPr>
                    <w:pStyle w:val="38"/>
                    <w:rPr>
                      <w:rFonts w:hint="eastAsia" w:eastAsia="宋体"/>
                      <w:sz w:val="21"/>
                      <w:szCs w:val="21"/>
                      <w:lang w:val="en-US" w:eastAsia="zh-CN"/>
                    </w:rPr>
                  </w:pPr>
                  <w:r>
                    <w:rPr>
                      <w:rFonts w:hint="eastAsia" w:eastAsia="宋体"/>
                      <w:sz w:val="21"/>
                      <w:szCs w:val="21"/>
                      <w:lang w:val="en-US" w:eastAsia="zh-CN"/>
                    </w:rPr>
                    <w:t>/</w:t>
                  </w:r>
                </w:p>
              </w:tc>
              <w:tc>
                <w:tcPr>
                  <w:tcW w:w="434" w:type="pct"/>
                  <w:vMerge w:val="restart"/>
                  <w:tcBorders>
                    <w:tl2br w:val="nil"/>
                    <w:tr2bl w:val="nil"/>
                  </w:tcBorders>
                  <w:vAlign w:val="center"/>
                </w:tcPr>
                <w:p>
                  <w:pPr>
                    <w:adjustRightInd w:val="0"/>
                    <w:snapToGrid w:val="0"/>
                    <w:jc w:val="center"/>
                    <w:rPr>
                      <w:bCs/>
                    </w:rPr>
                  </w:pPr>
                  <w:r>
                    <w:rPr>
                      <w:rFonts w:hint="eastAsia"/>
                      <w:szCs w:val="21"/>
                    </w:rPr>
                    <w:t>企业边界任何1h大气污染物平均浓度</w:t>
                  </w:r>
                </w:p>
              </w:tc>
              <w:tc>
                <w:tcPr>
                  <w:tcW w:w="780" w:type="pct"/>
                  <w:tcBorders>
                    <w:tl2br w:val="nil"/>
                    <w:tr2bl w:val="nil"/>
                  </w:tcBorders>
                  <w:vAlign w:val="center"/>
                </w:tcPr>
                <w:p>
                  <w:pPr>
                    <w:pStyle w:val="38"/>
                    <w:rPr>
                      <w:rFonts w:hint="default" w:eastAsia="宋体"/>
                      <w:sz w:val="21"/>
                      <w:szCs w:val="21"/>
                      <w:lang w:val="en-US" w:eastAsia="zh-CN"/>
                    </w:rPr>
                  </w:pPr>
                  <w:r>
                    <w:rPr>
                      <w:rFonts w:hint="eastAsia" w:eastAsia="宋体"/>
                      <w:sz w:val="21"/>
                      <w:szCs w:val="21"/>
                      <w:lang w:val="en-US" w:eastAsia="zh-CN"/>
                    </w:rPr>
                    <w:t>4.0</w:t>
                  </w:r>
                </w:p>
              </w:tc>
              <w:tc>
                <w:tcPr>
                  <w:tcW w:w="1280" w:type="pct"/>
                  <w:tcBorders>
                    <w:tl2br w:val="nil"/>
                    <w:tr2bl w:val="nil"/>
                  </w:tcBorders>
                  <w:vAlign w:val="center"/>
                </w:tcPr>
                <w:p>
                  <w:pPr>
                    <w:pStyle w:val="38"/>
                    <w:rPr>
                      <w:rFonts w:eastAsiaTheme="minorEastAsia"/>
                      <w:color w:val="000000" w:themeColor="text1"/>
                      <w:sz w:val="21"/>
                      <w:szCs w:val="21"/>
                      <w14:textFill>
                        <w14:solidFill>
                          <w14:schemeClr w14:val="tx1"/>
                        </w14:solidFill>
                      </w14:textFill>
                    </w:rPr>
                  </w:pPr>
                  <w:r>
                    <w:rPr>
                      <w:rFonts w:eastAsiaTheme="minorEastAsia"/>
                      <w:color w:val="000000" w:themeColor="text1"/>
                      <w:sz w:val="21"/>
                      <w:szCs w:val="21"/>
                      <w14:textFill>
                        <w14:solidFill>
                          <w14:schemeClr w14:val="tx1"/>
                        </w14:solidFill>
                      </w14:textFill>
                    </w:rPr>
                    <w:t>《合成树脂工业污染物排放标准》（GB31572-2015）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074" w:hRule="atLeast"/>
                <w:jc w:val="center"/>
              </w:trPr>
              <w:tc>
                <w:tcPr>
                  <w:tcW w:w="541" w:type="pct"/>
                  <w:tcBorders>
                    <w:tl2br w:val="nil"/>
                    <w:tr2bl w:val="nil"/>
                  </w:tcBorders>
                  <w:vAlign w:val="center"/>
                </w:tcPr>
                <w:p>
                  <w:pPr>
                    <w:adjustRightInd w:val="0"/>
                    <w:snapToGrid w:val="0"/>
                    <w:jc w:val="center"/>
                    <w:rPr>
                      <w:szCs w:val="21"/>
                    </w:rPr>
                  </w:pPr>
                  <w:r>
                    <w:rPr>
                      <w:szCs w:val="21"/>
                    </w:rPr>
                    <w:t>颗粒物</w:t>
                  </w:r>
                </w:p>
              </w:tc>
              <w:tc>
                <w:tcPr>
                  <w:tcW w:w="779" w:type="pct"/>
                  <w:tcBorders>
                    <w:tl2br w:val="nil"/>
                    <w:tr2bl w:val="nil"/>
                  </w:tcBorders>
                  <w:vAlign w:val="center"/>
                </w:tcPr>
                <w:p>
                  <w:pPr>
                    <w:adjustRightInd w:val="0"/>
                    <w:snapToGrid w:val="0"/>
                    <w:jc w:val="center"/>
                    <w:rPr>
                      <w:rFonts w:hint="eastAsia" w:eastAsia="宋体"/>
                      <w:szCs w:val="21"/>
                      <w:lang w:val="en-US" w:eastAsia="zh-CN"/>
                    </w:rPr>
                  </w:pPr>
                  <w:r>
                    <w:rPr>
                      <w:rFonts w:hint="eastAsia"/>
                      <w:szCs w:val="21"/>
                      <w:lang w:val="en-US" w:eastAsia="zh-CN"/>
                    </w:rPr>
                    <w:t>/</w:t>
                  </w:r>
                </w:p>
              </w:tc>
              <w:tc>
                <w:tcPr>
                  <w:tcW w:w="520" w:type="pct"/>
                  <w:tcBorders>
                    <w:tl2br w:val="nil"/>
                    <w:tr2bl w:val="nil"/>
                  </w:tcBorders>
                  <w:vAlign w:val="center"/>
                </w:tcPr>
                <w:p>
                  <w:pPr>
                    <w:pStyle w:val="38"/>
                    <w:rPr>
                      <w:rFonts w:eastAsia="宋体"/>
                      <w:sz w:val="21"/>
                      <w:szCs w:val="21"/>
                    </w:rPr>
                  </w:pPr>
                  <w:r>
                    <w:rPr>
                      <w:rFonts w:hint="eastAsia" w:eastAsia="宋体"/>
                      <w:sz w:val="21"/>
                      <w:szCs w:val="21"/>
                    </w:rPr>
                    <w:t>/</w:t>
                  </w:r>
                </w:p>
              </w:tc>
              <w:tc>
                <w:tcPr>
                  <w:tcW w:w="662" w:type="pct"/>
                  <w:tcBorders>
                    <w:tl2br w:val="nil"/>
                    <w:tr2bl w:val="nil"/>
                  </w:tcBorders>
                  <w:vAlign w:val="center"/>
                </w:tcPr>
                <w:p>
                  <w:pPr>
                    <w:pStyle w:val="38"/>
                    <w:rPr>
                      <w:rFonts w:eastAsia="宋体"/>
                      <w:sz w:val="21"/>
                      <w:szCs w:val="21"/>
                    </w:rPr>
                  </w:pPr>
                  <w:r>
                    <w:rPr>
                      <w:rFonts w:hint="eastAsia" w:eastAsia="宋体"/>
                      <w:sz w:val="21"/>
                      <w:szCs w:val="21"/>
                    </w:rPr>
                    <w:t>/</w:t>
                  </w:r>
                </w:p>
              </w:tc>
              <w:tc>
                <w:tcPr>
                  <w:tcW w:w="434" w:type="pct"/>
                  <w:vMerge w:val="continue"/>
                  <w:tcBorders>
                    <w:tl2br w:val="nil"/>
                    <w:tr2bl w:val="nil"/>
                  </w:tcBorders>
                  <w:vAlign w:val="center"/>
                </w:tcPr>
                <w:p>
                  <w:pPr>
                    <w:adjustRightInd w:val="0"/>
                    <w:snapToGrid w:val="0"/>
                    <w:jc w:val="center"/>
                    <w:rPr>
                      <w:bCs/>
                    </w:rPr>
                  </w:pPr>
                </w:p>
              </w:tc>
              <w:tc>
                <w:tcPr>
                  <w:tcW w:w="780" w:type="pct"/>
                  <w:tcBorders>
                    <w:tl2br w:val="nil"/>
                    <w:tr2bl w:val="nil"/>
                  </w:tcBorders>
                  <w:vAlign w:val="center"/>
                </w:tcPr>
                <w:p>
                  <w:pPr>
                    <w:pStyle w:val="38"/>
                    <w:rPr>
                      <w:rFonts w:eastAsia="宋体"/>
                      <w:sz w:val="21"/>
                      <w:szCs w:val="21"/>
                    </w:rPr>
                  </w:pPr>
                  <w:r>
                    <w:rPr>
                      <w:rFonts w:eastAsia="宋体"/>
                      <w:sz w:val="21"/>
                      <w:szCs w:val="21"/>
                    </w:rPr>
                    <w:t>1.0</w:t>
                  </w:r>
                </w:p>
              </w:tc>
              <w:tc>
                <w:tcPr>
                  <w:tcW w:w="1280" w:type="pct"/>
                  <w:tcBorders>
                    <w:tl2br w:val="nil"/>
                    <w:tr2bl w:val="nil"/>
                  </w:tcBorders>
                  <w:vAlign w:val="center"/>
                </w:tcPr>
                <w:p>
                  <w:pPr>
                    <w:pStyle w:val="38"/>
                    <w:rPr>
                      <w:rFonts w:eastAsia="宋体"/>
                      <w:b/>
                      <w:sz w:val="21"/>
                      <w:szCs w:val="21"/>
                    </w:rPr>
                  </w:pPr>
                  <w:r>
                    <w:rPr>
                      <w:rFonts w:eastAsiaTheme="minorEastAsia"/>
                      <w:color w:val="000000" w:themeColor="text1"/>
                      <w:sz w:val="21"/>
                      <w:szCs w:val="21"/>
                      <w14:textFill>
                        <w14:solidFill>
                          <w14:schemeClr w14:val="tx1"/>
                        </w14:solidFill>
                      </w14:textFill>
                    </w:rPr>
                    <w:t>《合成树脂工业污染物排放标准》（GB31572-2015）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074" w:hRule="atLeast"/>
                <w:jc w:val="center"/>
              </w:trPr>
              <w:tc>
                <w:tcPr>
                  <w:tcW w:w="541" w:type="pct"/>
                  <w:tcBorders>
                    <w:tl2br w:val="nil"/>
                    <w:tr2bl w:val="nil"/>
                  </w:tcBorders>
                  <w:vAlign w:val="center"/>
                </w:tcPr>
                <w:p>
                  <w:pPr>
                    <w:pStyle w:val="52"/>
                    <w:snapToGrid/>
                    <w:spacing w:line="240" w:lineRule="auto"/>
                    <w:ind w:right="0" w:rightChars="0" w:firstLine="0" w:firstLineChars="0"/>
                    <w:rPr>
                      <w:rFonts w:hint="default" w:ascii="Times New Roman" w:hAnsi="Times New Roman" w:eastAsia="宋体" w:cs="Times New Roman"/>
                      <w:snapToGrid w:val="0"/>
                      <w:color w:val="auto"/>
                      <w:spacing w:val="-4"/>
                      <w:kern w:val="0"/>
                      <w:sz w:val="21"/>
                      <w:szCs w:val="21"/>
                      <w:lang w:val="en-US" w:eastAsia="zh-CN" w:bidi="ar-SA"/>
                    </w:rPr>
                  </w:pPr>
                  <w:r>
                    <w:rPr>
                      <w:rFonts w:hint="default" w:ascii="Times New Roman" w:hAnsi="Times New Roman" w:eastAsia="宋体" w:cs="Times New Roman"/>
                      <w:color w:val="auto"/>
                      <w:lang w:val="en-US" w:eastAsia="zh-CN"/>
                    </w:rPr>
                    <w:t>烟尘</w:t>
                  </w:r>
                </w:p>
              </w:tc>
              <w:tc>
                <w:tcPr>
                  <w:tcW w:w="779" w:type="pct"/>
                  <w:tcBorders>
                    <w:tl2br w:val="nil"/>
                    <w:tr2bl w:val="nil"/>
                  </w:tcBorders>
                  <w:vAlign w:val="center"/>
                </w:tcPr>
                <w:p>
                  <w:pPr>
                    <w:pStyle w:val="52"/>
                    <w:snapToGrid/>
                    <w:spacing w:line="240" w:lineRule="auto"/>
                    <w:ind w:right="0" w:rightChars="0" w:firstLine="0" w:firstLineChars="0"/>
                    <w:rPr>
                      <w:rFonts w:hint="eastAsia" w:ascii="Times New Roman" w:hAnsi="Times New Roman" w:eastAsia="宋体" w:cs="Times New Roman"/>
                      <w:snapToGrid w:val="0"/>
                      <w:color w:val="auto"/>
                      <w:spacing w:val="-4"/>
                      <w:kern w:val="0"/>
                      <w:sz w:val="21"/>
                      <w:szCs w:val="21"/>
                      <w:lang w:val="en-US" w:eastAsia="zh-CN" w:bidi="ar-SA"/>
                    </w:rPr>
                  </w:pPr>
                  <w:r>
                    <w:rPr>
                      <w:rFonts w:hint="default" w:ascii="Times New Roman" w:hAnsi="Times New Roman" w:eastAsia="宋体" w:cs="Times New Roman"/>
                      <w:color w:val="auto"/>
                      <w:lang w:val="en-US" w:eastAsia="zh-CN"/>
                    </w:rPr>
                    <w:t>20</w:t>
                  </w:r>
                </w:p>
              </w:tc>
              <w:tc>
                <w:tcPr>
                  <w:tcW w:w="520" w:type="pct"/>
                  <w:tcBorders>
                    <w:tl2br w:val="nil"/>
                    <w:tr2bl w:val="nil"/>
                  </w:tcBorders>
                  <w:vAlign w:val="center"/>
                </w:tcPr>
                <w:p>
                  <w:pPr>
                    <w:pStyle w:val="52"/>
                    <w:snapToGrid/>
                    <w:spacing w:line="240" w:lineRule="auto"/>
                    <w:ind w:right="0" w:rightChars="0" w:firstLine="0" w:firstLineChars="0"/>
                    <w:rPr>
                      <w:rFonts w:hint="eastAsia" w:ascii="Times New Roman" w:hAnsi="Times New Roman" w:eastAsia="宋体" w:cs="Times New Roman"/>
                      <w:snapToGrid w:val="0"/>
                      <w:color w:val="auto"/>
                      <w:spacing w:val="-4"/>
                      <w:kern w:val="0"/>
                      <w:sz w:val="21"/>
                      <w:szCs w:val="21"/>
                      <w:lang w:val="en-US" w:eastAsia="zh-CN" w:bidi="ar-SA"/>
                    </w:rPr>
                  </w:pPr>
                  <w:r>
                    <w:rPr>
                      <w:rFonts w:hint="default" w:ascii="Times New Roman" w:hAnsi="Times New Roman" w:eastAsia="宋体" w:cs="Times New Roman"/>
                      <w:color w:val="auto"/>
                      <w:lang w:val="en-US" w:eastAsia="zh-CN"/>
                    </w:rPr>
                    <w:t>15</w:t>
                  </w:r>
                </w:p>
              </w:tc>
              <w:tc>
                <w:tcPr>
                  <w:tcW w:w="662" w:type="pct"/>
                  <w:tcBorders>
                    <w:tl2br w:val="nil"/>
                    <w:tr2bl w:val="nil"/>
                  </w:tcBorders>
                  <w:vAlign w:val="center"/>
                </w:tcPr>
                <w:p>
                  <w:pPr>
                    <w:pStyle w:val="52"/>
                    <w:snapToGrid/>
                    <w:spacing w:line="240" w:lineRule="auto"/>
                    <w:ind w:right="0" w:rightChars="0" w:firstLine="0" w:firstLineChars="0"/>
                    <w:rPr>
                      <w:rFonts w:hint="eastAsia" w:ascii="Times New Roman" w:hAnsi="Times New Roman" w:eastAsia="宋体" w:cs="Times New Roman"/>
                      <w:snapToGrid w:val="0"/>
                      <w:color w:val="auto"/>
                      <w:spacing w:val="-4"/>
                      <w:kern w:val="0"/>
                      <w:sz w:val="21"/>
                      <w:szCs w:val="21"/>
                      <w:lang w:val="en-US" w:eastAsia="zh-CN" w:bidi="ar-SA"/>
                    </w:rPr>
                  </w:pPr>
                  <w:r>
                    <w:rPr>
                      <w:rFonts w:hint="default" w:ascii="Times New Roman" w:hAnsi="Times New Roman" w:eastAsia="宋体" w:cs="Times New Roman"/>
                      <w:color w:val="auto"/>
                      <w:lang w:val="en-US" w:eastAsia="zh-CN"/>
                    </w:rPr>
                    <w:t>/</w:t>
                  </w:r>
                </w:p>
              </w:tc>
              <w:tc>
                <w:tcPr>
                  <w:tcW w:w="434"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Cs w:val="21"/>
                      <w:lang w:val="en-US" w:eastAsia="zh-CN"/>
                    </w:rPr>
                    <w:t>/</w:t>
                  </w:r>
                </w:p>
              </w:tc>
              <w:tc>
                <w:tcPr>
                  <w:tcW w:w="780" w:type="pct"/>
                  <w:tcBorders>
                    <w:tl2br w:val="nil"/>
                    <w:tr2bl w:val="nil"/>
                  </w:tcBorders>
                  <w:vAlign w:val="center"/>
                </w:tcPr>
                <w:p>
                  <w:pPr>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Cs w:val="21"/>
                      <w:lang w:val="en-US" w:eastAsia="zh-CN"/>
                    </w:rPr>
                    <w:t>/</w:t>
                  </w:r>
                </w:p>
              </w:tc>
              <w:tc>
                <w:tcPr>
                  <w:tcW w:w="1280" w:type="pct"/>
                  <w:vMerge w:val="restart"/>
                  <w:tcBorders>
                    <w:tl2br w:val="nil"/>
                    <w:tr2bl w:val="nil"/>
                  </w:tcBorders>
                  <w:vAlign w:val="center"/>
                </w:tcPr>
                <w:p>
                  <w:pPr>
                    <w:pStyle w:val="38"/>
                    <w:rPr>
                      <w:rFonts w:eastAsiaTheme="minorEastAsia"/>
                      <w:color w:val="000000" w:themeColor="text1"/>
                      <w:sz w:val="21"/>
                      <w:szCs w:val="21"/>
                      <w14:textFill>
                        <w14:solidFill>
                          <w14:schemeClr w14:val="tx1"/>
                        </w14:solidFill>
                      </w14:textFill>
                    </w:rPr>
                  </w:pPr>
                  <w:r>
                    <w:rPr>
                      <w:rFonts w:hint="default" w:ascii="Times New Roman" w:hAnsi="Times New Roman" w:eastAsia="宋体" w:cs="Times New Roman"/>
                      <w:color w:val="auto"/>
                      <w:kern w:val="0"/>
                      <w:sz w:val="21"/>
                      <w:szCs w:val="21"/>
                    </w:rPr>
                    <w:t>《工业炉窑大气污染物排放标准》DB32/3728-2019</w:t>
                  </w:r>
                  <w:r>
                    <w:rPr>
                      <w:rFonts w:hint="default" w:ascii="Times New Roman" w:hAnsi="Times New Roman" w:eastAsia="宋体" w:cs="Times New Roman"/>
                      <w:color w:val="auto"/>
                      <w:kern w:val="0"/>
                      <w:sz w:val="21"/>
                      <w:szCs w:val="21"/>
                      <w:lang w:eastAsia="zh-CN"/>
                    </w:rPr>
                    <w:t>和《长三角地区2019-2020年秋冬季大气污染综合治理攻坚行动方案》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074" w:hRule="atLeast"/>
                <w:jc w:val="center"/>
              </w:trPr>
              <w:tc>
                <w:tcPr>
                  <w:tcW w:w="541" w:type="pct"/>
                  <w:tcBorders>
                    <w:tl2br w:val="nil"/>
                    <w:tr2bl w:val="nil"/>
                  </w:tcBorders>
                  <w:vAlign w:val="center"/>
                </w:tcPr>
                <w:p>
                  <w:pPr>
                    <w:pStyle w:val="52"/>
                    <w:snapToGrid/>
                    <w:spacing w:line="240" w:lineRule="auto"/>
                    <w:ind w:right="0" w:rightChars="0" w:firstLine="0" w:firstLineChars="0"/>
                    <w:rPr>
                      <w:rFonts w:hint="default" w:ascii="Times New Roman" w:hAnsi="Times New Roman" w:eastAsia="宋体" w:cs="Times New Roman"/>
                      <w:snapToGrid w:val="0"/>
                      <w:color w:val="auto"/>
                      <w:spacing w:val="-4"/>
                      <w:kern w:val="0"/>
                      <w:sz w:val="21"/>
                      <w:szCs w:val="21"/>
                      <w:lang w:val="en-US" w:eastAsia="zh-CN" w:bidi="ar-SA"/>
                    </w:rPr>
                  </w:pPr>
                  <w:r>
                    <w:rPr>
                      <w:rFonts w:hint="default" w:ascii="Times New Roman" w:hAnsi="Times New Roman" w:eastAsia="宋体" w:cs="Times New Roman"/>
                      <w:color w:val="auto"/>
                      <w:lang w:val="en-US" w:eastAsia="zh-CN"/>
                    </w:rPr>
                    <w:t>SO</w:t>
                  </w:r>
                  <w:r>
                    <w:rPr>
                      <w:rFonts w:hint="default" w:ascii="Times New Roman" w:hAnsi="Times New Roman" w:eastAsia="宋体" w:cs="Times New Roman"/>
                      <w:color w:val="auto"/>
                      <w:vertAlign w:val="subscript"/>
                      <w:lang w:val="en-US" w:eastAsia="zh-CN"/>
                    </w:rPr>
                    <w:t>2</w:t>
                  </w:r>
                </w:p>
              </w:tc>
              <w:tc>
                <w:tcPr>
                  <w:tcW w:w="779" w:type="pct"/>
                  <w:tcBorders>
                    <w:tl2br w:val="nil"/>
                    <w:tr2bl w:val="nil"/>
                  </w:tcBorders>
                  <w:vAlign w:val="center"/>
                </w:tcPr>
                <w:p>
                  <w:pPr>
                    <w:pStyle w:val="52"/>
                    <w:snapToGrid/>
                    <w:spacing w:line="240" w:lineRule="auto"/>
                    <w:ind w:right="0" w:rightChars="0" w:firstLine="0" w:firstLineChars="0"/>
                    <w:rPr>
                      <w:rFonts w:hint="eastAsia" w:ascii="Times New Roman" w:hAnsi="Times New Roman" w:eastAsia="宋体" w:cs="Times New Roman"/>
                      <w:snapToGrid w:val="0"/>
                      <w:color w:val="auto"/>
                      <w:spacing w:val="-4"/>
                      <w:kern w:val="0"/>
                      <w:sz w:val="21"/>
                      <w:szCs w:val="21"/>
                      <w:lang w:val="en-US" w:eastAsia="zh-CN" w:bidi="ar-SA"/>
                    </w:rPr>
                  </w:pPr>
                  <w:r>
                    <w:rPr>
                      <w:rFonts w:hint="default" w:ascii="Times New Roman" w:hAnsi="Times New Roman" w:eastAsia="宋体" w:cs="Times New Roman"/>
                      <w:color w:val="auto"/>
                      <w:lang w:val="en-US" w:eastAsia="zh-CN"/>
                    </w:rPr>
                    <w:t>80</w:t>
                  </w:r>
                </w:p>
              </w:tc>
              <w:tc>
                <w:tcPr>
                  <w:tcW w:w="520" w:type="pct"/>
                  <w:tcBorders>
                    <w:tl2br w:val="nil"/>
                    <w:tr2bl w:val="nil"/>
                  </w:tcBorders>
                  <w:vAlign w:val="center"/>
                </w:tcPr>
                <w:p>
                  <w:pPr>
                    <w:pStyle w:val="52"/>
                    <w:snapToGrid/>
                    <w:spacing w:line="240" w:lineRule="auto"/>
                    <w:ind w:right="0" w:rightChars="0" w:firstLine="0" w:firstLineChars="0"/>
                    <w:rPr>
                      <w:rFonts w:hint="eastAsia" w:ascii="Times New Roman" w:hAnsi="Times New Roman" w:eastAsia="宋体" w:cs="Times New Roman"/>
                      <w:snapToGrid w:val="0"/>
                      <w:color w:val="auto"/>
                      <w:spacing w:val="-4"/>
                      <w:kern w:val="0"/>
                      <w:sz w:val="21"/>
                      <w:szCs w:val="21"/>
                      <w:lang w:val="en-US" w:eastAsia="zh-CN" w:bidi="ar-SA"/>
                    </w:rPr>
                  </w:pPr>
                  <w:r>
                    <w:rPr>
                      <w:rFonts w:hint="default" w:ascii="Times New Roman" w:hAnsi="Times New Roman" w:eastAsia="宋体" w:cs="Times New Roman"/>
                      <w:color w:val="auto"/>
                      <w:lang w:val="en-US" w:eastAsia="zh-CN"/>
                    </w:rPr>
                    <w:t>15</w:t>
                  </w:r>
                </w:p>
              </w:tc>
              <w:tc>
                <w:tcPr>
                  <w:tcW w:w="662" w:type="pct"/>
                  <w:tcBorders>
                    <w:tl2br w:val="nil"/>
                    <w:tr2bl w:val="nil"/>
                  </w:tcBorders>
                  <w:vAlign w:val="center"/>
                </w:tcPr>
                <w:p>
                  <w:pPr>
                    <w:pStyle w:val="52"/>
                    <w:snapToGrid/>
                    <w:spacing w:line="240" w:lineRule="auto"/>
                    <w:ind w:right="0" w:rightChars="0" w:firstLine="0" w:firstLineChars="0"/>
                    <w:rPr>
                      <w:rFonts w:hint="eastAsia" w:ascii="Times New Roman" w:hAnsi="Times New Roman" w:eastAsia="宋体" w:cs="Times New Roman"/>
                      <w:snapToGrid w:val="0"/>
                      <w:color w:val="auto"/>
                      <w:spacing w:val="-4"/>
                      <w:kern w:val="0"/>
                      <w:sz w:val="21"/>
                      <w:szCs w:val="21"/>
                      <w:lang w:val="en-US" w:eastAsia="zh-CN" w:bidi="ar-SA"/>
                    </w:rPr>
                  </w:pPr>
                  <w:r>
                    <w:rPr>
                      <w:rFonts w:hint="default" w:ascii="Times New Roman" w:hAnsi="Times New Roman" w:eastAsia="宋体" w:cs="Times New Roman"/>
                      <w:color w:val="auto"/>
                      <w:lang w:val="en-US" w:eastAsia="zh-CN"/>
                    </w:rPr>
                    <w:t>/</w:t>
                  </w:r>
                </w:p>
              </w:tc>
              <w:tc>
                <w:tcPr>
                  <w:tcW w:w="434"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Cs w:val="21"/>
                      <w:lang w:val="en-US" w:eastAsia="zh-CN"/>
                    </w:rPr>
                    <w:t>/</w:t>
                  </w:r>
                </w:p>
              </w:tc>
              <w:tc>
                <w:tcPr>
                  <w:tcW w:w="780" w:type="pct"/>
                  <w:tcBorders>
                    <w:tl2br w:val="nil"/>
                    <w:tr2bl w:val="nil"/>
                  </w:tcBorders>
                  <w:vAlign w:val="center"/>
                </w:tcPr>
                <w:p>
                  <w:pPr>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Cs w:val="21"/>
                      <w:lang w:val="en-US" w:eastAsia="zh-CN"/>
                    </w:rPr>
                    <w:t>/</w:t>
                  </w:r>
                </w:p>
              </w:tc>
              <w:tc>
                <w:tcPr>
                  <w:tcW w:w="1280" w:type="pct"/>
                  <w:vMerge w:val="continue"/>
                  <w:tcBorders>
                    <w:tl2br w:val="nil"/>
                    <w:tr2bl w:val="nil"/>
                  </w:tcBorders>
                  <w:vAlign w:val="center"/>
                </w:tcPr>
                <w:p>
                  <w:pPr>
                    <w:pStyle w:val="38"/>
                    <w:rPr>
                      <w:rFonts w:eastAsiaTheme="minorEastAsia"/>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074" w:hRule="atLeast"/>
                <w:jc w:val="center"/>
              </w:trPr>
              <w:tc>
                <w:tcPr>
                  <w:tcW w:w="541" w:type="pct"/>
                  <w:tcBorders>
                    <w:tl2br w:val="nil"/>
                    <w:tr2bl w:val="nil"/>
                  </w:tcBorders>
                  <w:vAlign w:val="center"/>
                </w:tcPr>
                <w:p>
                  <w:pPr>
                    <w:pStyle w:val="52"/>
                    <w:snapToGrid/>
                    <w:spacing w:line="240" w:lineRule="auto"/>
                    <w:ind w:right="0" w:rightChars="0" w:firstLine="0" w:firstLineChars="0"/>
                    <w:rPr>
                      <w:rFonts w:hint="default" w:ascii="Times New Roman" w:hAnsi="Times New Roman" w:eastAsia="宋体" w:cs="Times New Roman"/>
                      <w:snapToGrid w:val="0"/>
                      <w:color w:val="auto"/>
                      <w:spacing w:val="-4"/>
                      <w:kern w:val="0"/>
                      <w:sz w:val="21"/>
                      <w:szCs w:val="21"/>
                      <w:lang w:val="en-US" w:eastAsia="zh-CN" w:bidi="ar-SA"/>
                    </w:rPr>
                  </w:pPr>
                  <w:r>
                    <w:rPr>
                      <w:rFonts w:hint="default" w:ascii="Times New Roman" w:hAnsi="Times New Roman" w:eastAsia="宋体" w:cs="Times New Roman"/>
                      <w:color w:val="auto"/>
                      <w:lang w:val="en-US" w:eastAsia="zh-CN"/>
                    </w:rPr>
                    <w:t>NOx</w:t>
                  </w:r>
                </w:p>
              </w:tc>
              <w:tc>
                <w:tcPr>
                  <w:tcW w:w="779" w:type="pct"/>
                  <w:tcBorders>
                    <w:tl2br w:val="nil"/>
                    <w:tr2bl w:val="nil"/>
                  </w:tcBorders>
                  <w:vAlign w:val="center"/>
                </w:tcPr>
                <w:p>
                  <w:pPr>
                    <w:pStyle w:val="52"/>
                    <w:snapToGrid/>
                    <w:spacing w:line="240" w:lineRule="auto"/>
                    <w:ind w:right="0" w:rightChars="0" w:firstLine="0" w:firstLineChars="0"/>
                    <w:rPr>
                      <w:rFonts w:hint="eastAsia" w:ascii="Times New Roman" w:hAnsi="Times New Roman" w:eastAsia="宋体" w:cs="Times New Roman"/>
                      <w:snapToGrid w:val="0"/>
                      <w:color w:val="auto"/>
                      <w:spacing w:val="-4"/>
                      <w:kern w:val="0"/>
                      <w:sz w:val="21"/>
                      <w:szCs w:val="21"/>
                      <w:lang w:val="en-US" w:eastAsia="zh-CN" w:bidi="ar-SA"/>
                    </w:rPr>
                  </w:pPr>
                  <w:r>
                    <w:rPr>
                      <w:rFonts w:hint="default" w:ascii="Times New Roman" w:hAnsi="Times New Roman" w:eastAsia="宋体" w:cs="Times New Roman"/>
                      <w:color w:val="auto"/>
                      <w:lang w:val="en-US" w:eastAsia="zh-CN"/>
                    </w:rPr>
                    <w:t>50</w:t>
                  </w:r>
                </w:p>
              </w:tc>
              <w:tc>
                <w:tcPr>
                  <w:tcW w:w="520" w:type="pct"/>
                  <w:tcBorders>
                    <w:tl2br w:val="nil"/>
                    <w:tr2bl w:val="nil"/>
                  </w:tcBorders>
                  <w:vAlign w:val="center"/>
                </w:tcPr>
                <w:p>
                  <w:pPr>
                    <w:pStyle w:val="52"/>
                    <w:snapToGrid/>
                    <w:spacing w:line="240" w:lineRule="auto"/>
                    <w:ind w:right="0" w:rightChars="0" w:firstLine="0" w:firstLineChars="0"/>
                    <w:rPr>
                      <w:rFonts w:hint="eastAsia" w:ascii="Times New Roman" w:hAnsi="Times New Roman" w:eastAsia="宋体" w:cs="Times New Roman"/>
                      <w:snapToGrid w:val="0"/>
                      <w:color w:val="auto"/>
                      <w:spacing w:val="-4"/>
                      <w:kern w:val="0"/>
                      <w:sz w:val="21"/>
                      <w:szCs w:val="21"/>
                      <w:lang w:val="en-US" w:eastAsia="zh-CN" w:bidi="ar-SA"/>
                    </w:rPr>
                  </w:pPr>
                  <w:r>
                    <w:rPr>
                      <w:rFonts w:hint="default" w:ascii="Times New Roman" w:hAnsi="Times New Roman" w:eastAsia="宋体" w:cs="Times New Roman"/>
                      <w:color w:val="auto"/>
                      <w:lang w:val="en-US" w:eastAsia="zh-CN"/>
                    </w:rPr>
                    <w:t>15</w:t>
                  </w:r>
                </w:p>
              </w:tc>
              <w:tc>
                <w:tcPr>
                  <w:tcW w:w="662" w:type="pct"/>
                  <w:tcBorders>
                    <w:tl2br w:val="nil"/>
                    <w:tr2bl w:val="nil"/>
                  </w:tcBorders>
                  <w:vAlign w:val="center"/>
                </w:tcPr>
                <w:p>
                  <w:pPr>
                    <w:pStyle w:val="52"/>
                    <w:snapToGrid/>
                    <w:spacing w:line="240" w:lineRule="auto"/>
                    <w:ind w:right="0" w:rightChars="0" w:firstLine="0" w:firstLineChars="0"/>
                    <w:rPr>
                      <w:rFonts w:hint="eastAsia" w:ascii="Times New Roman" w:hAnsi="Times New Roman" w:eastAsia="宋体" w:cs="Times New Roman"/>
                      <w:snapToGrid w:val="0"/>
                      <w:color w:val="auto"/>
                      <w:spacing w:val="-4"/>
                      <w:kern w:val="0"/>
                      <w:sz w:val="21"/>
                      <w:szCs w:val="21"/>
                      <w:lang w:val="en-US" w:eastAsia="zh-CN" w:bidi="ar-SA"/>
                    </w:rPr>
                  </w:pPr>
                  <w:r>
                    <w:rPr>
                      <w:rFonts w:hint="default" w:ascii="Times New Roman" w:hAnsi="Times New Roman" w:eastAsia="宋体" w:cs="Times New Roman"/>
                      <w:color w:val="auto"/>
                      <w:lang w:val="en-US" w:eastAsia="zh-CN"/>
                    </w:rPr>
                    <w:t>/</w:t>
                  </w:r>
                </w:p>
              </w:tc>
              <w:tc>
                <w:tcPr>
                  <w:tcW w:w="434" w:type="pct"/>
                  <w:tcBorders>
                    <w:tl2br w:val="nil"/>
                    <w:tr2bl w:val="nil"/>
                  </w:tcBorders>
                  <w:vAlign w:val="center"/>
                </w:tcPr>
                <w:p>
                  <w:pPr>
                    <w:jc w:val="center"/>
                    <w:rPr>
                      <w:rFonts w:hint="eastAsia"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Cs w:val="21"/>
                      <w:lang w:val="en-US" w:eastAsia="zh-CN"/>
                    </w:rPr>
                    <w:t>/</w:t>
                  </w:r>
                </w:p>
              </w:tc>
              <w:tc>
                <w:tcPr>
                  <w:tcW w:w="780" w:type="pct"/>
                  <w:tcBorders>
                    <w:tl2br w:val="nil"/>
                    <w:tr2bl w:val="nil"/>
                  </w:tcBorders>
                  <w:vAlign w:val="center"/>
                </w:tcPr>
                <w:p>
                  <w:pPr>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eastAsia="宋体" w:cs="Times New Roman"/>
                      <w:bCs/>
                      <w:color w:val="auto"/>
                      <w:szCs w:val="21"/>
                      <w:lang w:val="en-US" w:eastAsia="zh-CN"/>
                    </w:rPr>
                    <w:t>/</w:t>
                  </w:r>
                </w:p>
              </w:tc>
              <w:tc>
                <w:tcPr>
                  <w:tcW w:w="1280" w:type="pct"/>
                  <w:vMerge w:val="continue"/>
                  <w:tcBorders>
                    <w:tl2br w:val="nil"/>
                    <w:tr2bl w:val="nil"/>
                  </w:tcBorders>
                  <w:vAlign w:val="center"/>
                </w:tcPr>
                <w:p>
                  <w:pPr>
                    <w:pStyle w:val="38"/>
                    <w:rPr>
                      <w:rFonts w:eastAsiaTheme="minorEastAsia"/>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41" w:type="pct"/>
                  <w:vMerge w:val="restart"/>
                  <w:tcBorders>
                    <w:tl2br w:val="nil"/>
                    <w:tr2bl w:val="nil"/>
                  </w:tcBorders>
                  <w:vAlign w:val="center"/>
                </w:tcPr>
                <w:p>
                  <w:pPr>
                    <w:adjustRightInd w:val="0"/>
                    <w:snapToGrid w:val="0"/>
                    <w:jc w:val="center"/>
                    <w:rPr>
                      <w:szCs w:val="21"/>
                    </w:rPr>
                  </w:pPr>
                  <w:r>
                    <w:t>NMHC</w:t>
                  </w:r>
                </w:p>
              </w:tc>
              <w:tc>
                <w:tcPr>
                  <w:tcW w:w="779" w:type="pct"/>
                  <w:vMerge w:val="restart"/>
                  <w:tcBorders>
                    <w:tl2br w:val="nil"/>
                    <w:tr2bl w:val="nil"/>
                  </w:tcBorders>
                  <w:vAlign w:val="center"/>
                </w:tcPr>
                <w:p>
                  <w:pPr>
                    <w:adjustRightInd w:val="0"/>
                    <w:snapToGrid w:val="0"/>
                    <w:jc w:val="center"/>
                    <w:rPr>
                      <w:szCs w:val="21"/>
                    </w:rPr>
                  </w:pPr>
                  <w:r>
                    <w:rPr>
                      <w:szCs w:val="21"/>
                    </w:rPr>
                    <w:t>/</w:t>
                  </w:r>
                </w:p>
              </w:tc>
              <w:tc>
                <w:tcPr>
                  <w:tcW w:w="520" w:type="pct"/>
                  <w:vMerge w:val="restart"/>
                  <w:tcBorders>
                    <w:tl2br w:val="nil"/>
                    <w:tr2bl w:val="nil"/>
                  </w:tcBorders>
                  <w:vAlign w:val="center"/>
                </w:tcPr>
                <w:p>
                  <w:pPr>
                    <w:pStyle w:val="38"/>
                    <w:rPr>
                      <w:rFonts w:eastAsia="宋体"/>
                      <w:sz w:val="21"/>
                      <w:szCs w:val="21"/>
                    </w:rPr>
                  </w:pPr>
                  <w:r>
                    <w:rPr>
                      <w:rFonts w:eastAsia="宋体"/>
                      <w:sz w:val="21"/>
                      <w:szCs w:val="21"/>
                    </w:rPr>
                    <w:t>/</w:t>
                  </w:r>
                </w:p>
              </w:tc>
              <w:tc>
                <w:tcPr>
                  <w:tcW w:w="662" w:type="pct"/>
                  <w:vMerge w:val="restart"/>
                  <w:tcBorders>
                    <w:tl2br w:val="nil"/>
                    <w:tr2bl w:val="nil"/>
                  </w:tcBorders>
                  <w:vAlign w:val="center"/>
                </w:tcPr>
                <w:p>
                  <w:pPr>
                    <w:pStyle w:val="38"/>
                    <w:rPr>
                      <w:rFonts w:eastAsia="宋体"/>
                      <w:sz w:val="21"/>
                      <w:szCs w:val="21"/>
                    </w:rPr>
                  </w:pPr>
                  <w:r>
                    <w:rPr>
                      <w:rFonts w:eastAsia="宋体"/>
                      <w:sz w:val="21"/>
                      <w:szCs w:val="21"/>
                    </w:rPr>
                    <w:t>/</w:t>
                  </w:r>
                </w:p>
              </w:tc>
              <w:tc>
                <w:tcPr>
                  <w:tcW w:w="434" w:type="pct"/>
                  <w:vMerge w:val="restart"/>
                  <w:tcBorders>
                    <w:tl2br w:val="nil"/>
                    <w:tr2bl w:val="nil"/>
                  </w:tcBorders>
                  <w:vAlign w:val="center"/>
                </w:tcPr>
                <w:p>
                  <w:pPr>
                    <w:jc w:val="center"/>
                    <w:rPr>
                      <w:szCs w:val="21"/>
                    </w:rPr>
                  </w:pPr>
                  <w:r>
                    <w:rPr>
                      <w:bCs/>
                      <w:szCs w:val="21"/>
                    </w:rPr>
                    <w:t>厂界内车间外1米处</w:t>
                  </w:r>
                </w:p>
              </w:tc>
              <w:tc>
                <w:tcPr>
                  <w:tcW w:w="780" w:type="pct"/>
                  <w:tcBorders>
                    <w:tl2br w:val="nil"/>
                    <w:tr2bl w:val="nil"/>
                  </w:tcBorders>
                  <w:vAlign w:val="center"/>
                </w:tcPr>
                <w:p>
                  <w:pPr>
                    <w:jc w:val="center"/>
                    <w:rPr>
                      <w:szCs w:val="21"/>
                    </w:rPr>
                  </w:pPr>
                  <w:r>
                    <w:rPr>
                      <w:bCs/>
                      <w:szCs w:val="21"/>
                    </w:rPr>
                    <w:t>6（1h平均浓度值）</w:t>
                  </w:r>
                </w:p>
              </w:tc>
              <w:tc>
                <w:tcPr>
                  <w:tcW w:w="1280" w:type="pct"/>
                  <w:vMerge w:val="restart"/>
                  <w:tcBorders>
                    <w:tl2br w:val="nil"/>
                    <w:tr2bl w:val="nil"/>
                  </w:tcBorders>
                  <w:vAlign w:val="center"/>
                </w:tcPr>
                <w:p>
                  <w:pPr>
                    <w:pStyle w:val="38"/>
                    <w:rPr>
                      <w:rFonts w:eastAsia="宋体"/>
                      <w:sz w:val="21"/>
                      <w:szCs w:val="21"/>
                    </w:rPr>
                  </w:pPr>
                  <w:r>
                    <w:rPr>
                      <w:rFonts w:eastAsia="宋体"/>
                      <w:sz w:val="21"/>
                      <w:szCs w:val="21"/>
                    </w:rPr>
                    <w:t>《挥发性有机物无组织排放控制标准》（GB37822-2019）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41" w:type="pct"/>
                  <w:vMerge w:val="continue"/>
                  <w:tcBorders>
                    <w:tl2br w:val="nil"/>
                    <w:tr2bl w:val="nil"/>
                  </w:tcBorders>
                  <w:vAlign w:val="center"/>
                </w:tcPr>
                <w:p>
                  <w:pPr>
                    <w:adjustRightInd w:val="0"/>
                    <w:snapToGrid w:val="0"/>
                    <w:jc w:val="center"/>
                    <w:rPr>
                      <w:szCs w:val="21"/>
                    </w:rPr>
                  </w:pPr>
                </w:p>
              </w:tc>
              <w:tc>
                <w:tcPr>
                  <w:tcW w:w="779" w:type="pct"/>
                  <w:vMerge w:val="continue"/>
                  <w:tcBorders>
                    <w:tl2br w:val="nil"/>
                    <w:tr2bl w:val="nil"/>
                  </w:tcBorders>
                  <w:vAlign w:val="center"/>
                </w:tcPr>
                <w:p>
                  <w:pPr>
                    <w:adjustRightInd w:val="0"/>
                    <w:snapToGrid w:val="0"/>
                    <w:jc w:val="center"/>
                    <w:rPr>
                      <w:szCs w:val="21"/>
                    </w:rPr>
                  </w:pPr>
                </w:p>
              </w:tc>
              <w:tc>
                <w:tcPr>
                  <w:tcW w:w="520" w:type="pct"/>
                  <w:vMerge w:val="continue"/>
                  <w:tcBorders>
                    <w:tl2br w:val="nil"/>
                    <w:tr2bl w:val="nil"/>
                  </w:tcBorders>
                  <w:vAlign w:val="center"/>
                </w:tcPr>
                <w:p>
                  <w:pPr>
                    <w:pStyle w:val="38"/>
                    <w:rPr>
                      <w:rFonts w:eastAsia="宋体"/>
                      <w:sz w:val="21"/>
                      <w:szCs w:val="21"/>
                    </w:rPr>
                  </w:pPr>
                </w:p>
              </w:tc>
              <w:tc>
                <w:tcPr>
                  <w:tcW w:w="662" w:type="pct"/>
                  <w:vMerge w:val="continue"/>
                  <w:tcBorders>
                    <w:tl2br w:val="nil"/>
                    <w:tr2bl w:val="nil"/>
                  </w:tcBorders>
                  <w:vAlign w:val="center"/>
                </w:tcPr>
                <w:p>
                  <w:pPr>
                    <w:pStyle w:val="38"/>
                    <w:rPr>
                      <w:rFonts w:eastAsia="宋体"/>
                      <w:sz w:val="21"/>
                      <w:szCs w:val="21"/>
                    </w:rPr>
                  </w:pPr>
                </w:p>
              </w:tc>
              <w:tc>
                <w:tcPr>
                  <w:tcW w:w="434" w:type="pct"/>
                  <w:vMerge w:val="continue"/>
                  <w:tcBorders>
                    <w:tl2br w:val="nil"/>
                    <w:tr2bl w:val="nil"/>
                  </w:tcBorders>
                  <w:vAlign w:val="center"/>
                </w:tcPr>
                <w:p>
                  <w:pPr>
                    <w:adjustRightInd w:val="0"/>
                    <w:snapToGrid w:val="0"/>
                    <w:jc w:val="center"/>
                    <w:rPr>
                      <w:bCs/>
                    </w:rPr>
                  </w:pPr>
                </w:p>
              </w:tc>
              <w:tc>
                <w:tcPr>
                  <w:tcW w:w="780" w:type="pct"/>
                  <w:tcBorders>
                    <w:tl2br w:val="nil"/>
                    <w:tr2bl w:val="nil"/>
                  </w:tcBorders>
                  <w:vAlign w:val="center"/>
                </w:tcPr>
                <w:p>
                  <w:pPr>
                    <w:jc w:val="center"/>
                    <w:rPr>
                      <w:szCs w:val="21"/>
                    </w:rPr>
                  </w:pPr>
                  <w:r>
                    <w:rPr>
                      <w:bCs/>
                      <w:szCs w:val="21"/>
                    </w:rPr>
                    <w:t>20（任意一次浓度值）</w:t>
                  </w:r>
                </w:p>
              </w:tc>
              <w:tc>
                <w:tcPr>
                  <w:tcW w:w="1280" w:type="pct"/>
                  <w:vMerge w:val="continue"/>
                  <w:tcBorders>
                    <w:tl2br w:val="nil"/>
                    <w:tr2bl w:val="nil"/>
                  </w:tcBorders>
                  <w:vAlign w:val="center"/>
                </w:tcPr>
                <w:p>
                  <w:pPr>
                    <w:pStyle w:val="38"/>
                    <w:rPr>
                      <w:rFonts w:eastAsia="宋体"/>
                      <w:sz w:val="21"/>
                      <w:szCs w:val="21"/>
                    </w:rPr>
                  </w:pPr>
                </w:p>
              </w:tc>
            </w:tr>
          </w:tbl>
          <w:p>
            <w:pPr>
              <w:spacing w:line="360" w:lineRule="auto"/>
              <w:ind w:firstLine="480" w:firstLineChars="200"/>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2、废水排放标准</w:t>
            </w:r>
          </w:p>
          <w:p>
            <w:pPr>
              <w:spacing w:line="360" w:lineRule="auto"/>
              <w:ind w:firstLine="480" w:firstLineChars="200"/>
              <w:rPr>
                <w:bCs/>
                <w:color w:val="000000" w:themeColor="text1"/>
                <w:sz w:val="24"/>
                <w14:textFill>
                  <w14:solidFill>
                    <w14:schemeClr w14:val="tx1"/>
                  </w14:solidFill>
                </w14:textFill>
              </w:rPr>
            </w:pPr>
            <w:r>
              <w:rPr>
                <w:color w:val="000000" w:themeColor="text1"/>
                <w:sz w:val="24"/>
                <w14:textFill>
                  <w14:solidFill>
                    <w14:schemeClr w14:val="tx1"/>
                  </w14:solidFill>
                </w14:textFill>
              </w:rPr>
              <w:t>本项目</w:t>
            </w:r>
            <w:r>
              <w:rPr>
                <w:rFonts w:hint="eastAsia"/>
                <w:color w:val="000000" w:themeColor="text1"/>
                <w:sz w:val="24"/>
                <w:lang w:eastAsia="zh-CN"/>
                <w14:textFill>
                  <w14:solidFill>
                    <w14:schemeClr w14:val="tx1"/>
                  </w14:solidFill>
                </w14:textFill>
              </w:rPr>
              <w:t>无生产废水产生，</w:t>
            </w:r>
            <w:r>
              <w:rPr>
                <w:rFonts w:hint="eastAsia"/>
                <w:color w:val="000000" w:themeColor="text1"/>
                <w:sz w:val="24"/>
                <w14:textFill>
                  <w14:solidFill>
                    <w14:schemeClr w14:val="tx1"/>
                  </w14:solidFill>
                </w14:textFill>
              </w:rPr>
              <w:t>生活污水经化粪池收集预处理后达接管标准要求排入市政污水管网，最终汇入常州市直溪鑫鑫污水处理厂集中处理。故污水接管排放执行常州市直溪鑫鑫污水处理厂接管标准，</w:t>
            </w:r>
            <w:r>
              <w:rPr>
                <w:color w:val="000000" w:themeColor="text1"/>
                <w:sz w:val="24"/>
                <w:szCs w:val="24"/>
                <w14:textFill>
                  <w14:solidFill>
                    <w14:schemeClr w14:val="tx1"/>
                  </w14:solidFill>
                </w14:textFill>
              </w:rPr>
              <w:t>接管要求</w:t>
            </w:r>
            <w:r>
              <w:rPr>
                <w:rFonts w:hint="eastAsia"/>
                <w:color w:val="000000" w:themeColor="text1"/>
                <w:sz w:val="24"/>
                <w:szCs w:val="24"/>
                <w14:textFill>
                  <w14:solidFill>
                    <w14:schemeClr w14:val="tx1"/>
                  </w14:solidFill>
                </w14:textFill>
              </w:rPr>
              <w:t>具体</w:t>
            </w:r>
            <w:r>
              <w:rPr>
                <w:color w:val="000000" w:themeColor="text1"/>
                <w:sz w:val="24"/>
                <w:szCs w:val="24"/>
                <w14:textFill>
                  <w14:solidFill>
                    <w14:schemeClr w14:val="tx1"/>
                  </w14:solidFill>
                </w14:textFill>
              </w:rPr>
              <w:t>见表</w:t>
            </w:r>
            <w:r>
              <w:rPr>
                <w:rFonts w:hint="eastAsia"/>
                <w:bCs/>
                <w:color w:val="000000" w:themeColor="text1"/>
                <w:sz w:val="24"/>
                <w14:textFill>
                  <w14:solidFill>
                    <w14:schemeClr w14:val="tx1"/>
                  </w14:solidFill>
                </w14:textFill>
              </w:rPr>
              <w:t>4-</w:t>
            </w:r>
            <w:r>
              <w:rPr>
                <w:rFonts w:hint="eastAsia"/>
                <w:bCs/>
                <w:color w:val="000000" w:themeColor="text1"/>
                <w:sz w:val="24"/>
                <w:lang w:val="en-US" w:eastAsia="zh-CN"/>
                <w14:textFill>
                  <w14:solidFill>
                    <w14:schemeClr w14:val="tx1"/>
                  </w14:solidFill>
                </w14:textFill>
              </w:rPr>
              <w:t>5</w:t>
            </w:r>
            <w:r>
              <w:rPr>
                <w:bCs/>
                <w:color w:val="000000" w:themeColor="text1"/>
                <w:sz w:val="24"/>
                <w14:textFill>
                  <w14:solidFill>
                    <w14:schemeClr w14:val="tx1"/>
                  </w14:solidFill>
                </w14:textFill>
              </w:rPr>
              <w:t>。</w:t>
            </w:r>
          </w:p>
          <w:p>
            <w:pPr>
              <w:jc w:val="center"/>
              <w:rPr>
                <w:rFonts w:eastAsia="SimSun-ExtB"/>
                <w:color w:val="000000" w:themeColor="text1"/>
                <w:szCs w:val="21"/>
                <w14:textFill>
                  <w14:solidFill>
                    <w14:schemeClr w14:val="tx1"/>
                  </w14:solidFill>
                </w14:textFill>
              </w:rPr>
            </w:pPr>
            <w:r>
              <w:rPr>
                <w:rFonts w:hint="eastAsia" w:ascii="宋体"/>
                <w:b/>
                <w:bCs/>
                <w:color w:val="000000" w:themeColor="text1"/>
                <w:sz w:val="24"/>
                <w14:textFill>
                  <w14:solidFill>
                    <w14:schemeClr w14:val="tx1"/>
                  </w14:solidFill>
                </w14:textFill>
              </w:rPr>
              <w:t xml:space="preserve">     </w:t>
            </w:r>
            <w:r>
              <w:rPr>
                <w:rFonts w:hint="eastAsia" w:ascii="宋体"/>
                <w:b/>
                <w:bCs/>
                <w:color w:val="000000" w:themeColor="text1"/>
                <w:sz w:val="24"/>
                <w:szCs w:val="24"/>
                <w14:textFill>
                  <w14:solidFill>
                    <w14:schemeClr w14:val="tx1"/>
                  </w14:solidFill>
                </w14:textFill>
              </w:rPr>
              <w:t xml:space="preserve"> </w:t>
            </w:r>
            <w:r>
              <w:rPr>
                <w:rFonts w:eastAsia="SimSun-ExtB"/>
                <w:b/>
                <w:bCs/>
                <w:color w:val="000000" w:themeColor="text1"/>
                <w:sz w:val="24"/>
                <w:szCs w:val="24"/>
                <w14:textFill>
                  <w14:solidFill>
                    <w14:schemeClr w14:val="tx1"/>
                  </w14:solidFill>
                </w14:textFill>
              </w:rPr>
              <w:t xml:space="preserve"> </w:t>
            </w:r>
            <w:r>
              <w:rPr>
                <w:b/>
                <w:bCs/>
                <w:color w:val="000000" w:themeColor="text1"/>
                <w:sz w:val="24"/>
                <w:szCs w:val="24"/>
                <w14:textFill>
                  <w14:solidFill>
                    <w14:schemeClr w14:val="tx1"/>
                  </w14:solidFill>
                </w14:textFill>
              </w:rPr>
              <w:t>表</w:t>
            </w:r>
            <w:r>
              <w:rPr>
                <w:rFonts w:hint="eastAsia" w:eastAsia="SimSun-ExtB"/>
                <w:b/>
                <w:bCs/>
                <w:color w:val="000000" w:themeColor="text1"/>
                <w:sz w:val="24"/>
                <w:szCs w:val="24"/>
                <w14:textFill>
                  <w14:solidFill>
                    <w14:schemeClr w14:val="tx1"/>
                  </w14:solidFill>
                </w14:textFill>
              </w:rPr>
              <w:t>4-</w:t>
            </w:r>
            <w:r>
              <w:rPr>
                <w:rFonts w:hint="eastAsia" w:eastAsia="SimSun-ExtB"/>
                <w:b/>
                <w:bCs/>
                <w:color w:val="000000" w:themeColor="text1"/>
                <w:sz w:val="24"/>
                <w:szCs w:val="24"/>
                <w:lang w:val="en-US" w:eastAsia="zh-CN"/>
                <w14:textFill>
                  <w14:solidFill>
                    <w14:schemeClr w14:val="tx1"/>
                  </w14:solidFill>
                </w14:textFill>
              </w:rPr>
              <w:t>5</w:t>
            </w:r>
            <w:r>
              <w:rPr>
                <w:rFonts w:eastAsia="SimSun-ExtB"/>
                <w:b/>
                <w:bCs/>
                <w:color w:val="000000" w:themeColor="text1"/>
                <w:sz w:val="24"/>
                <w:szCs w:val="24"/>
                <w14:textFill>
                  <w14:solidFill>
                    <w14:schemeClr w14:val="tx1"/>
                  </w14:solidFill>
                </w14:textFill>
              </w:rPr>
              <w:t xml:space="preserve">  </w:t>
            </w:r>
            <w:r>
              <w:rPr>
                <w:b/>
                <w:color w:val="000000" w:themeColor="text1"/>
                <w:sz w:val="24"/>
                <w:szCs w:val="24"/>
                <w14:textFill>
                  <w14:solidFill>
                    <w14:schemeClr w14:val="tx1"/>
                  </w14:solidFill>
                </w14:textFill>
              </w:rPr>
              <w:t>污水</w:t>
            </w:r>
            <w:r>
              <w:rPr>
                <w:b/>
                <w:bCs/>
                <w:color w:val="000000" w:themeColor="text1"/>
                <w:sz w:val="24"/>
                <w:szCs w:val="24"/>
                <w14:textFill>
                  <w14:solidFill>
                    <w14:schemeClr w14:val="tx1"/>
                  </w14:solidFill>
                </w14:textFill>
              </w:rPr>
              <w:t>接管要求</w:t>
            </w:r>
            <w:r>
              <w:rPr>
                <w:rFonts w:eastAsia="SimSun-ExtB"/>
                <w:b/>
                <w:bCs/>
                <w:color w:val="000000" w:themeColor="text1"/>
                <w:sz w:val="24"/>
                <w:szCs w:val="24"/>
                <w14:textFill>
                  <w14:solidFill>
                    <w14:schemeClr w14:val="tx1"/>
                  </w14:solidFill>
                </w14:textFill>
              </w:rPr>
              <w:t xml:space="preserve">  </w:t>
            </w:r>
            <w:r>
              <w:rPr>
                <w:rFonts w:eastAsia="SimSun-ExtB"/>
                <w:b/>
                <w:bCs/>
                <w:color w:val="000000" w:themeColor="text1"/>
                <w:szCs w:val="21"/>
                <w14:textFill>
                  <w14:solidFill>
                    <w14:schemeClr w14:val="tx1"/>
                  </w14:solidFill>
                </w14:textFill>
              </w:rPr>
              <w:t xml:space="preserve">  </w:t>
            </w:r>
          </w:p>
          <w:tbl>
            <w:tblPr>
              <w:tblStyle w:val="17"/>
              <w:tblW w:w="7815"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372"/>
              <w:gridCol w:w="2775"/>
              <w:gridCol w:w="1380"/>
              <w:gridCol w:w="735"/>
              <w:gridCol w:w="155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jc w:val="center"/>
              </w:trPr>
              <w:tc>
                <w:tcPr>
                  <w:tcW w:w="1372"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排放口名称</w:t>
                  </w:r>
                </w:p>
              </w:tc>
              <w:tc>
                <w:tcPr>
                  <w:tcW w:w="2775"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标准来源</w:t>
                  </w:r>
                </w:p>
              </w:tc>
              <w:tc>
                <w:tcPr>
                  <w:tcW w:w="1380"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污染物指标</w:t>
                  </w:r>
                </w:p>
              </w:tc>
              <w:tc>
                <w:tcPr>
                  <w:tcW w:w="735"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单位</w:t>
                  </w:r>
                </w:p>
              </w:tc>
              <w:tc>
                <w:tcPr>
                  <w:tcW w:w="1553"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最高允许浓度</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15" w:hRule="atLeast"/>
                <w:jc w:val="center"/>
              </w:trPr>
              <w:tc>
                <w:tcPr>
                  <w:tcW w:w="1372"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项目污水排放口</w:t>
                  </w:r>
                </w:p>
              </w:tc>
              <w:tc>
                <w:tcPr>
                  <w:tcW w:w="2775"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常州市金坛区直溪鑫鑫污水处理厂接管标准</w:t>
                  </w:r>
                </w:p>
              </w:tc>
              <w:tc>
                <w:tcPr>
                  <w:tcW w:w="1380"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COD</w:t>
                  </w:r>
                </w:p>
              </w:tc>
              <w:tc>
                <w:tcPr>
                  <w:tcW w:w="735" w:type="dxa"/>
                  <w:vMerge w:val="restart"/>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r>
                    <w:rPr>
                      <w:rFonts w:eastAsia="SimSun-ExtB"/>
                      <w:color w:val="000000" w:themeColor="text1"/>
                      <w:szCs w:val="21"/>
                      <w14:textFill>
                        <w14:solidFill>
                          <w14:schemeClr w14:val="tx1"/>
                        </w14:solidFill>
                      </w14:textFill>
                    </w:rPr>
                    <w:t>mg/L</w:t>
                  </w:r>
                </w:p>
              </w:tc>
              <w:tc>
                <w:tcPr>
                  <w:tcW w:w="1553"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480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65" w:hRule="atLeast"/>
                <w:jc w:val="center"/>
              </w:trPr>
              <w:tc>
                <w:tcPr>
                  <w:tcW w:w="137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p>
              </w:tc>
              <w:tc>
                <w:tcPr>
                  <w:tcW w:w="2775"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p>
              </w:tc>
              <w:tc>
                <w:tcPr>
                  <w:tcW w:w="1380"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SS</w:t>
                  </w:r>
                </w:p>
              </w:tc>
              <w:tc>
                <w:tcPr>
                  <w:tcW w:w="735"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p>
              </w:tc>
              <w:tc>
                <w:tcPr>
                  <w:tcW w:w="1553"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95" w:hRule="atLeast"/>
                <w:jc w:val="center"/>
              </w:trPr>
              <w:tc>
                <w:tcPr>
                  <w:tcW w:w="137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p>
              </w:tc>
              <w:tc>
                <w:tcPr>
                  <w:tcW w:w="2775"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p>
              </w:tc>
              <w:tc>
                <w:tcPr>
                  <w:tcW w:w="1380"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NH</w:t>
                  </w:r>
                  <w:r>
                    <w:rPr>
                      <w:rFonts w:hint="eastAsia"/>
                      <w:color w:val="000000" w:themeColor="text1"/>
                      <w:szCs w:val="21"/>
                      <w:vertAlign w:val="subscript"/>
                      <w14:textFill>
                        <w14:solidFill>
                          <w14:schemeClr w14:val="tx1"/>
                        </w14:solidFill>
                      </w14:textFill>
                    </w:rPr>
                    <w:t>3</w:t>
                  </w:r>
                  <w:r>
                    <w:rPr>
                      <w:rFonts w:hint="eastAsia"/>
                      <w:color w:val="000000" w:themeColor="text1"/>
                      <w:szCs w:val="21"/>
                      <w14:textFill>
                        <w14:solidFill>
                          <w14:schemeClr w14:val="tx1"/>
                        </w14:solidFill>
                      </w14:textFill>
                    </w:rPr>
                    <w:t>-H</w:t>
                  </w:r>
                </w:p>
              </w:tc>
              <w:tc>
                <w:tcPr>
                  <w:tcW w:w="735"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p>
              </w:tc>
              <w:tc>
                <w:tcPr>
                  <w:tcW w:w="1553"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80" w:hRule="atLeast"/>
                <w:jc w:val="center"/>
              </w:trPr>
              <w:tc>
                <w:tcPr>
                  <w:tcW w:w="137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p>
              </w:tc>
              <w:tc>
                <w:tcPr>
                  <w:tcW w:w="2775"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p>
              </w:tc>
              <w:tc>
                <w:tcPr>
                  <w:tcW w:w="1380"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TP</w:t>
                  </w:r>
                </w:p>
              </w:tc>
              <w:tc>
                <w:tcPr>
                  <w:tcW w:w="735"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p>
              </w:tc>
              <w:tc>
                <w:tcPr>
                  <w:tcW w:w="1553"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35" w:hRule="atLeast"/>
                <w:jc w:val="center"/>
              </w:trPr>
              <w:tc>
                <w:tcPr>
                  <w:tcW w:w="137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p>
              </w:tc>
              <w:tc>
                <w:tcPr>
                  <w:tcW w:w="2775"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p>
              </w:tc>
              <w:tc>
                <w:tcPr>
                  <w:tcW w:w="1380"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TN</w:t>
                  </w:r>
                </w:p>
              </w:tc>
              <w:tc>
                <w:tcPr>
                  <w:tcW w:w="735"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p>
              </w:tc>
              <w:tc>
                <w:tcPr>
                  <w:tcW w:w="1553"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45</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35" w:hRule="atLeast"/>
                <w:jc w:val="center"/>
              </w:trPr>
              <w:tc>
                <w:tcPr>
                  <w:tcW w:w="1372" w:type="dxa"/>
                  <w:vMerge w:val="continue"/>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p>
              </w:tc>
              <w:tc>
                <w:tcPr>
                  <w:tcW w:w="2775"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《污水排入城镇下水道水质</w:t>
                  </w:r>
                </w:p>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标准》（GB/T 31962-2015）表1中B等级标准</w:t>
                  </w:r>
                </w:p>
              </w:tc>
              <w:tc>
                <w:tcPr>
                  <w:tcW w:w="1380"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pH</w:t>
                  </w:r>
                </w:p>
              </w:tc>
              <w:tc>
                <w:tcPr>
                  <w:tcW w:w="735"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无量纲</w:t>
                  </w:r>
                </w:p>
              </w:tc>
              <w:tc>
                <w:tcPr>
                  <w:tcW w:w="1553"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line="320" w:lineRule="exact"/>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6.5~9.5</w:t>
                  </w:r>
                </w:p>
              </w:tc>
            </w:tr>
          </w:tbl>
          <w:p>
            <w:pPr>
              <w:spacing w:line="360" w:lineRule="auto"/>
              <w:ind w:firstLine="480" w:firstLineChars="200"/>
              <w:rPr>
                <w:sz w:val="24"/>
              </w:rPr>
            </w:pPr>
            <w:r>
              <w:rPr>
                <w:sz w:val="24"/>
              </w:rPr>
              <w:t>常州市</w:t>
            </w:r>
            <w:r>
              <w:rPr>
                <w:rFonts w:hint="eastAsia"/>
                <w:sz w:val="24"/>
              </w:rPr>
              <w:t>金坛区</w:t>
            </w:r>
            <w:r>
              <w:rPr>
                <w:sz w:val="24"/>
              </w:rPr>
              <w:t>直溪鑫鑫污水处理厂尾水排放执行《太湖地区城镇污水处理厂及重点工业行业主要水污染物排放限值》（DB32/1072-20</w:t>
            </w:r>
            <w:r>
              <w:rPr>
                <w:rFonts w:hint="eastAsia"/>
                <w:sz w:val="24"/>
              </w:rPr>
              <w:t>18</w:t>
            </w:r>
            <w:r>
              <w:rPr>
                <w:sz w:val="24"/>
              </w:rPr>
              <w:t>）中表2标准及《城镇污水处理厂污染物排放标准》（GB18918-2002）中表1一级A标准；具体见表4-</w:t>
            </w:r>
            <w:r>
              <w:rPr>
                <w:rFonts w:hint="eastAsia"/>
                <w:sz w:val="24"/>
                <w:lang w:val="en-US" w:eastAsia="zh-CN"/>
              </w:rPr>
              <w:t>6</w:t>
            </w:r>
            <w:r>
              <w:rPr>
                <w:sz w:val="24"/>
              </w:rPr>
              <w:t>。</w:t>
            </w:r>
          </w:p>
          <w:p>
            <w:pPr>
              <w:jc w:val="center"/>
              <w:rPr>
                <w:b/>
                <w:bCs/>
                <w:color w:val="000000" w:themeColor="text1"/>
                <w:szCs w:val="21"/>
                <w14:textFill>
                  <w14:solidFill>
                    <w14:schemeClr w14:val="tx1"/>
                  </w14:solidFill>
                </w14:textFill>
              </w:rPr>
            </w:pPr>
            <w:r>
              <w:rPr>
                <w:rFonts w:eastAsia="SimSun-ExtB"/>
                <w:b/>
                <w:bCs/>
                <w:color w:val="000000" w:themeColor="text1"/>
                <w:sz w:val="24"/>
                <w:szCs w:val="24"/>
                <w14:textFill>
                  <w14:solidFill>
                    <w14:schemeClr w14:val="tx1"/>
                  </w14:solidFill>
                </w14:textFill>
              </w:rPr>
              <w:t xml:space="preserve"> </w:t>
            </w:r>
            <w:r>
              <w:rPr>
                <w:b/>
                <w:bCs/>
                <w:color w:val="000000" w:themeColor="text1"/>
                <w:sz w:val="24"/>
                <w:szCs w:val="24"/>
                <w14:textFill>
                  <w14:solidFill>
                    <w14:schemeClr w14:val="tx1"/>
                  </w14:solidFill>
                </w14:textFill>
              </w:rPr>
              <w:t>表</w:t>
            </w:r>
            <w:r>
              <w:rPr>
                <w:rFonts w:hint="eastAsia" w:eastAsia="SimSun-ExtB"/>
                <w:b/>
                <w:bCs/>
                <w:color w:val="000000" w:themeColor="text1"/>
                <w:sz w:val="24"/>
                <w:szCs w:val="24"/>
                <w14:textFill>
                  <w14:solidFill>
                    <w14:schemeClr w14:val="tx1"/>
                  </w14:solidFill>
                </w14:textFill>
              </w:rPr>
              <w:t>4-</w:t>
            </w:r>
            <w:r>
              <w:rPr>
                <w:rFonts w:hint="eastAsia" w:eastAsia="SimSun-ExtB"/>
                <w:b/>
                <w:bCs/>
                <w:color w:val="000000" w:themeColor="text1"/>
                <w:sz w:val="24"/>
                <w:szCs w:val="24"/>
                <w:lang w:val="en-US" w:eastAsia="zh-CN"/>
                <w14:textFill>
                  <w14:solidFill>
                    <w14:schemeClr w14:val="tx1"/>
                  </w14:solidFill>
                </w14:textFill>
              </w:rPr>
              <w:t>6</w:t>
            </w:r>
            <w:r>
              <w:rPr>
                <w:rFonts w:eastAsia="SimSun-ExtB"/>
                <w:b/>
                <w:bCs/>
                <w:color w:val="000000" w:themeColor="text1"/>
                <w:sz w:val="24"/>
                <w:szCs w:val="24"/>
                <w14:textFill>
                  <w14:solidFill>
                    <w14:schemeClr w14:val="tx1"/>
                  </w14:solidFill>
                </w14:textFill>
              </w:rPr>
              <w:t xml:space="preserve">  </w:t>
            </w:r>
            <w:r>
              <w:rPr>
                <w:rFonts w:hint="eastAsia" w:eastAsia="SimSun-ExtB"/>
                <w:b/>
                <w:bCs/>
                <w:color w:val="000000" w:themeColor="text1"/>
                <w:sz w:val="24"/>
                <w:szCs w:val="24"/>
                <w14:textFill>
                  <w14:solidFill>
                    <w14:schemeClr w14:val="tx1"/>
                  </w14:solidFill>
                </w14:textFill>
              </w:rPr>
              <w:t>常州市</w:t>
            </w:r>
            <w:r>
              <w:rPr>
                <w:rFonts w:hint="eastAsia" w:eastAsia="SimSun-ExtB"/>
                <w:b/>
                <w:color w:val="000000" w:themeColor="text1"/>
                <w:sz w:val="24"/>
                <w:szCs w:val="24"/>
                <w14:textFill>
                  <w14:solidFill>
                    <w14:schemeClr w14:val="tx1"/>
                  </w14:solidFill>
                </w14:textFill>
              </w:rPr>
              <w:t>直溪</w:t>
            </w:r>
            <w:r>
              <w:rPr>
                <w:rFonts w:hint="eastAsia"/>
                <w:b/>
                <w:color w:val="000000" w:themeColor="text1"/>
                <w:sz w:val="24"/>
                <w:szCs w:val="24"/>
                <w14:textFill>
                  <w14:solidFill>
                    <w14:schemeClr w14:val="tx1"/>
                  </w14:solidFill>
                </w14:textFill>
              </w:rPr>
              <w:t>鑫鑫污水处理厂尾水排放标准</w:t>
            </w:r>
            <w:r>
              <w:rPr>
                <w:rFonts w:eastAsia="SimSun-ExtB"/>
                <w:b/>
                <w:bCs/>
                <w:color w:val="000000" w:themeColor="text1"/>
                <w:sz w:val="24"/>
                <w:szCs w:val="24"/>
                <w14:textFill>
                  <w14:solidFill>
                    <w14:schemeClr w14:val="tx1"/>
                  </w14:solidFill>
                </w14:textFill>
              </w:rPr>
              <w:t xml:space="preserve"> </w:t>
            </w:r>
            <w:r>
              <w:rPr>
                <w:rFonts w:hint="eastAsia" w:eastAsia="SimSun-ExtB"/>
                <w:b/>
                <w:bCs/>
                <w:color w:val="000000" w:themeColor="text1"/>
                <w:sz w:val="24"/>
                <w:szCs w:val="24"/>
                <w14:textFill>
                  <w14:solidFill>
                    <w14:schemeClr w14:val="tx1"/>
                  </w14:solidFill>
                </w14:textFill>
              </w:rPr>
              <w:t>单位：</w:t>
            </w:r>
            <w:r>
              <w:rPr>
                <w:b/>
                <w:sz w:val="24"/>
                <w:szCs w:val="24"/>
              </w:rPr>
              <w:t>mg/L</w:t>
            </w:r>
          </w:p>
          <w:tbl>
            <w:tblPr>
              <w:tblStyle w:val="17"/>
              <w:tblW w:w="7815"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778"/>
              <w:gridCol w:w="1219"/>
              <w:gridCol w:w="1281"/>
              <w:gridCol w:w="4537"/>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778"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jc w:val="center"/>
                    <w:textAlignment w:val="auto"/>
                    <w:rPr>
                      <w:szCs w:val="21"/>
                    </w:rPr>
                  </w:pPr>
                  <w:r>
                    <w:rPr>
                      <w:b/>
                      <w:szCs w:val="21"/>
                    </w:rPr>
                    <w:t>序号</w:t>
                  </w:r>
                </w:p>
              </w:tc>
              <w:tc>
                <w:tcPr>
                  <w:tcW w:w="1219"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jc w:val="center"/>
                    <w:textAlignment w:val="auto"/>
                    <w:rPr>
                      <w:b/>
                      <w:szCs w:val="21"/>
                    </w:rPr>
                  </w:pPr>
                  <w:r>
                    <w:rPr>
                      <w:b/>
                      <w:szCs w:val="21"/>
                    </w:rPr>
                    <w:t>项  目</w:t>
                  </w:r>
                </w:p>
              </w:tc>
              <w:tc>
                <w:tcPr>
                  <w:tcW w:w="1281"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jc w:val="center"/>
                    <w:textAlignment w:val="auto"/>
                    <w:rPr>
                      <w:b/>
                      <w:szCs w:val="21"/>
                    </w:rPr>
                  </w:pPr>
                  <w:r>
                    <w:rPr>
                      <w:b/>
                      <w:szCs w:val="21"/>
                    </w:rPr>
                    <w:t>浓度</w:t>
                  </w:r>
                </w:p>
              </w:tc>
              <w:tc>
                <w:tcPr>
                  <w:tcW w:w="4537"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jc w:val="center"/>
                    <w:textAlignment w:val="auto"/>
                    <w:rPr>
                      <w:b/>
                      <w:szCs w:val="21"/>
                    </w:rPr>
                  </w:pPr>
                  <w:r>
                    <w:rPr>
                      <w:b/>
                      <w:szCs w:val="21"/>
                    </w:rPr>
                    <w:t>标准来源</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16" w:hRule="atLeast"/>
                <w:jc w:val="center"/>
              </w:trPr>
              <w:tc>
                <w:tcPr>
                  <w:tcW w:w="778"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w:t>
                  </w:r>
                </w:p>
              </w:tc>
              <w:tc>
                <w:tcPr>
                  <w:tcW w:w="1219"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COD</w:t>
                  </w:r>
                </w:p>
              </w:tc>
              <w:tc>
                <w:tcPr>
                  <w:tcW w:w="1281"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50</w:t>
                  </w:r>
                </w:p>
              </w:tc>
              <w:tc>
                <w:tcPr>
                  <w:tcW w:w="4537" w:type="dxa"/>
                  <w:vMerge w:val="restart"/>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jc w:val="center"/>
                    <w:textAlignment w:val="auto"/>
                    <w:rPr>
                      <w:color w:val="000000" w:themeColor="text1"/>
                      <w14:textFill>
                        <w14:solidFill>
                          <w14:schemeClr w14:val="tx1"/>
                        </w14:solidFill>
                      </w14:textFill>
                    </w:rPr>
                  </w:pPr>
                  <w:r>
                    <w:rPr>
                      <w:rFonts w:hint="eastAsia"/>
                      <w:color w:val="000000" w:themeColor="text1"/>
                      <w:szCs w:val="21"/>
                      <w14:textFill>
                        <w14:solidFill>
                          <w14:schemeClr w14:val="tx1"/>
                        </w14:solidFill>
                      </w14:textFill>
                    </w:rPr>
                    <w:t>《太湖地区城镇污水处理厂及重点工业行业主要水污染物排放限值》（DB32/1072—2018）中表2中的标准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11" w:hRule="atLeast"/>
                <w:jc w:val="center"/>
              </w:trPr>
              <w:tc>
                <w:tcPr>
                  <w:tcW w:w="778"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1219"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TP</w:t>
                  </w:r>
                </w:p>
              </w:tc>
              <w:tc>
                <w:tcPr>
                  <w:tcW w:w="1281"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0.5</w:t>
                  </w:r>
                </w:p>
              </w:tc>
              <w:tc>
                <w:tcPr>
                  <w:tcW w:w="4537" w:type="dxa"/>
                  <w:vMerge w:val="continue"/>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jc w:val="center"/>
                    <w:textAlignment w:val="auto"/>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90" w:hRule="atLeast"/>
                <w:jc w:val="center"/>
              </w:trPr>
              <w:tc>
                <w:tcPr>
                  <w:tcW w:w="778"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3</w:t>
                  </w:r>
                </w:p>
              </w:tc>
              <w:tc>
                <w:tcPr>
                  <w:tcW w:w="1219"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TN</w:t>
                  </w:r>
                </w:p>
              </w:tc>
              <w:tc>
                <w:tcPr>
                  <w:tcW w:w="1281"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12（15）*</w:t>
                  </w:r>
                </w:p>
              </w:tc>
              <w:tc>
                <w:tcPr>
                  <w:tcW w:w="4537" w:type="dxa"/>
                  <w:vMerge w:val="continue"/>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jc w:val="center"/>
                    <w:textAlignment w:val="auto"/>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04" w:hRule="atLeast"/>
                <w:jc w:val="center"/>
              </w:trPr>
              <w:tc>
                <w:tcPr>
                  <w:tcW w:w="778"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4</w:t>
                  </w:r>
                </w:p>
              </w:tc>
              <w:tc>
                <w:tcPr>
                  <w:tcW w:w="1219"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NH</w:t>
                  </w:r>
                  <w:r>
                    <w:rPr>
                      <w:rFonts w:hint="eastAsia"/>
                      <w:color w:val="000000" w:themeColor="text1"/>
                      <w:vertAlign w:val="subscript"/>
                      <w14:textFill>
                        <w14:solidFill>
                          <w14:schemeClr w14:val="tx1"/>
                        </w14:solidFill>
                      </w14:textFill>
                    </w:rPr>
                    <w:t>3</w:t>
                  </w:r>
                  <w:r>
                    <w:rPr>
                      <w:rFonts w:hint="eastAsia"/>
                      <w:color w:val="000000" w:themeColor="text1"/>
                      <w14:textFill>
                        <w14:solidFill>
                          <w14:schemeClr w14:val="tx1"/>
                        </w14:solidFill>
                      </w14:textFill>
                    </w:rPr>
                    <w:t>-H</w:t>
                  </w:r>
                </w:p>
              </w:tc>
              <w:tc>
                <w:tcPr>
                  <w:tcW w:w="1281"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4（6）*</w:t>
                  </w:r>
                </w:p>
              </w:tc>
              <w:tc>
                <w:tcPr>
                  <w:tcW w:w="4537" w:type="dxa"/>
                  <w:vMerge w:val="continue"/>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jc w:val="center"/>
                    <w:textAlignment w:val="auto"/>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15" w:hRule="atLeast"/>
                <w:jc w:val="center"/>
              </w:trPr>
              <w:tc>
                <w:tcPr>
                  <w:tcW w:w="778" w:type="dxa"/>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auto"/>
                    <w:rPr>
                      <w:snapToGrid w:val="0"/>
                      <w:color w:val="000000" w:themeColor="text1"/>
                      <w:kern w:val="18"/>
                      <w:szCs w:val="21"/>
                      <w14:textFill>
                        <w14:solidFill>
                          <w14:schemeClr w14:val="tx1"/>
                        </w14:solidFill>
                      </w14:textFill>
                    </w:rPr>
                  </w:pPr>
                  <w:r>
                    <w:rPr>
                      <w:rFonts w:hint="eastAsia"/>
                      <w:snapToGrid w:val="0"/>
                      <w:color w:val="000000" w:themeColor="text1"/>
                      <w:kern w:val="18"/>
                      <w:szCs w:val="21"/>
                      <w14:textFill>
                        <w14:solidFill>
                          <w14:schemeClr w14:val="tx1"/>
                        </w14:solidFill>
                      </w14:textFill>
                    </w:rPr>
                    <w:t>5</w:t>
                  </w:r>
                </w:p>
              </w:tc>
              <w:tc>
                <w:tcPr>
                  <w:tcW w:w="1219" w:type="dxa"/>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SS</w:t>
                  </w:r>
                </w:p>
              </w:tc>
              <w:tc>
                <w:tcPr>
                  <w:tcW w:w="1281" w:type="dxa"/>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10</w:t>
                  </w:r>
                </w:p>
              </w:tc>
              <w:tc>
                <w:tcPr>
                  <w:tcW w:w="4537" w:type="dxa"/>
                  <w:vMerge w:val="restar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auto"/>
                    <w:rPr>
                      <w:color w:val="000000" w:themeColor="text1"/>
                      <w:szCs w:val="21"/>
                      <w14:textFill>
                        <w14:solidFill>
                          <w14:schemeClr w14:val="tx1"/>
                        </w14:solidFill>
                      </w14:textFill>
                    </w:rPr>
                  </w:pPr>
                  <w:r>
                    <w:rPr>
                      <w:snapToGrid w:val="0"/>
                      <w:color w:val="000000" w:themeColor="text1"/>
                      <w:kern w:val="18"/>
                      <w:szCs w:val="21"/>
                      <w14:textFill>
                        <w14:solidFill>
                          <w14:schemeClr w14:val="tx1"/>
                        </w14:solidFill>
                      </w14:textFill>
                    </w:rPr>
                    <w:t>《城镇污水处理厂污染物排放标准》</w:t>
                  </w:r>
                  <w:r>
                    <w:rPr>
                      <w:color w:val="000000" w:themeColor="text1"/>
                      <w:szCs w:val="21"/>
                      <w14:textFill>
                        <w14:solidFill>
                          <w14:schemeClr w14:val="tx1"/>
                        </w14:solidFill>
                      </w14:textFill>
                    </w:rPr>
                    <w:t>（</w:t>
                  </w:r>
                  <w:r>
                    <w:rPr>
                      <w:snapToGrid w:val="0"/>
                      <w:color w:val="000000" w:themeColor="text1"/>
                      <w:kern w:val="18"/>
                      <w:szCs w:val="21"/>
                      <w14:textFill>
                        <w14:solidFill>
                          <w14:schemeClr w14:val="tx1"/>
                        </w14:solidFill>
                      </w14:textFill>
                    </w:rPr>
                    <w:t>GB18918</w:t>
                  </w:r>
                  <w:r>
                    <w:rPr>
                      <w:color w:val="000000" w:themeColor="text1"/>
                      <w:szCs w:val="21"/>
                      <w14:textFill>
                        <w14:solidFill>
                          <w14:schemeClr w14:val="tx1"/>
                        </w14:solidFill>
                      </w14:textFill>
                    </w:rPr>
                    <w:t>-2002）及其修改单中</w:t>
                  </w:r>
                  <w:r>
                    <w:rPr>
                      <w:snapToGrid w:val="0"/>
                      <w:color w:val="000000" w:themeColor="text1"/>
                      <w:kern w:val="18"/>
                      <w:szCs w:val="21"/>
                      <w14:textFill>
                        <w14:solidFill>
                          <w14:schemeClr w14:val="tx1"/>
                        </w14:solidFill>
                      </w14:textFill>
                    </w:rPr>
                    <w:t>一级</w:t>
                  </w:r>
                  <w:r>
                    <w:rPr>
                      <w:color w:val="000000" w:themeColor="text1"/>
                      <w:szCs w:val="21"/>
                      <w14:textFill>
                        <w14:solidFill>
                          <w14:schemeClr w14:val="tx1"/>
                        </w14:solidFill>
                      </w14:textFill>
                    </w:rPr>
                    <w:t>A标准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jc w:val="center"/>
              </w:trPr>
              <w:tc>
                <w:tcPr>
                  <w:tcW w:w="778" w:type="dxa"/>
                  <w:vAlign w:val="center"/>
                </w:tcPr>
                <w:p>
                  <w:pPr>
                    <w:keepNext w:val="0"/>
                    <w:keepLines w:val="0"/>
                    <w:pageBreakBefore w:val="0"/>
                    <w:kinsoku/>
                    <w:wordWrap/>
                    <w:overflowPunct/>
                    <w:topLinePunct w:val="0"/>
                    <w:autoSpaceDE/>
                    <w:autoSpaceDN/>
                    <w:bidi w:val="0"/>
                    <w:spacing w:before="63" w:beforeLines="20" w:after="63" w:afterLines="20"/>
                    <w:jc w:val="center"/>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6</w:t>
                  </w:r>
                </w:p>
              </w:tc>
              <w:tc>
                <w:tcPr>
                  <w:tcW w:w="1219" w:type="dxa"/>
                  <w:vAlign w:val="center"/>
                </w:tcPr>
                <w:p>
                  <w:pPr>
                    <w:keepNext w:val="0"/>
                    <w:keepLines w:val="0"/>
                    <w:pageBreakBefore w:val="0"/>
                    <w:kinsoku/>
                    <w:wordWrap/>
                    <w:overflowPunct/>
                    <w:topLinePunct w:val="0"/>
                    <w:autoSpaceDE/>
                    <w:autoSpaceDN/>
                    <w:bidi w:val="0"/>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pH</w:t>
                  </w:r>
                </w:p>
              </w:tc>
              <w:tc>
                <w:tcPr>
                  <w:tcW w:w="1281" w:type="dxa"/>
                  <w:vAlign w:val="center"/>
                </w:tcPr>
                <w:p>
                  <w:pPr>
                    <w:keepNext w:val="0"/>
                    <w:keepLines w:val="0"/>
                    <w:pageBreakBefore w:val="0"/>
                    <w:kinsoku/>
                    <w:wordWrap/>
                    <w:overflowPunct/>
                    <w:topLinePunct w:val="0"/>
                    <w:autoSpaceDE/>
                    <w:autoSpaceDN/>
                    <w:bidi w:val="0"/>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6~9（无量纲）</w:t>
                  </w:r>
                </w:p>
              </w:tc>
              <w:tc>
                <w:tcPr>
                  <w:tcW w:w="4537" w:type="dxa"/>
                  <w:vMerge w:val="continue"/>
                  <w:vAlign w:val="center"/>
                </w:tcPr>
                <w:p>
                  <w:pPr>
                    <w:keepNext w:val="0"/>
                    <w:keepLines w:val="0"/>
                    <w:pageBreakBefore w:val="0"/>
                    <w:kinsoku/>
                    <w:wordWrap/>
                    <w:overflowPunct/>
                    <w:topLinePunct w:val="0"/>
                    <w:autoSpaceDE/>
                    <w:autoSpaceDN/>
                    <w:bidi w:val="0"/>
                    <w:spacing w:before="63" w:beforeLines="20" w:after="63" w:afterLines="20"/>
                    <w:jc w:val="center"/>
                    <w:textAlignment w:val="auto"/>
                    <w:rPr>
                      <w:color w:val="000000" w:themeColor="text1"/>
                      <w:szCs w:val="21"/>
                      <w14:textFill>
                        <w14:solidFill>
                          <w14:schemeClr w14:val="tx1"/>
                        </w14:solidFill>
                      </w14:textFill>
                    </w:rPr>
                  </w:pPr>
                </w:p>
              </w:tc>
            </w:tr>
          </w:tbl>
          <w:p>
            <w:pPr>
              <w:ind w:firstLine="420" w:firstLineChars="200"/>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注：括号外数值为水温＞12℃时的控制指标，括号内数值为水温＜12℃时的控制指标。</w:t>
            </w:r>
          </w:p>
          <w:p>
            <w:pPr>
              <w:spacing w:line="360" w:lineRule="auto"/>
              <w:ind w:firstLine="480" w:firstLineChars="200"/>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3、噪声排放标准</w:t>
            </w:r>
          </w:p>
          <w:p>
            <w:pPr>
              <w:snapToGrid w:val="0"/>
              <w:spacing w:line="360" w:lineRule="auto"/>
              <w:ind w:firstLine="600" w:firstLineChars="250"/>
              <w:rPr>
                <w:color w:val="000000" w:themeColor="text1"/>
                <w:sz w:val="24"/>
                <w14:textFill>
                  <w14:solidFill>
                    <w14:schemeClr w14:val="tx1"/>
                  </w14:solidFill>
                </w14:textFill>
              </w:rPr>
            </w:pPr>
            <w:r>
              <w:rPr>
                <w:color w:val="000000" w:themeColor="text1"/>
                <w:sz w:val="24"/>
                <w14:textFill>
                  <w14:solidFill>
                    <w14:schemeClr w14:val="tx1"/>
                  </w14:solidFill>
                </w14:textFill>
              </w:rPr>
              <w:t>本项目</w:t>
            </w:r>
            <w:r>
              <w:rPr>
                <w:color w:val="000000" w:themeColor="text1"/>
                <w:spacing w:val="-6"/>
                <w:sz w:val="24"/>
                <w14:textFill>
                  <w14:solidFill>
                    <w14:schemeClr w14:val="tx1"/>
                  </w14:solidFill>
                </w14:textFill>
              </w:rPr>
              <w:t>运营期项目厂界执行《工业企业厂界环境噪声排放标准》（GB12348-2008）表1中</w:t>
            </w:r>
            <w:r>
              <w:rPr>
                <w:rFonts w:hint="eastAsia"/>
                <w:color w:val="000000" w:themeColor="text1"/>
                <w:spacing w:val="-6"/>
                <w:sz w:val="24"/>
                <w14:textFill>
                  <w14:solidFill>
                    <w14:schemeClr w14:val="tx1"/>
                  </w14:solidFill>
                </w14:textFill>
              </w:rPr>
              <w:t>3</w:t>
            </w:r>
            <w:r>
              <w:rPr>
                <w:color w:val="000000" w:themeColor="text1"/>
                <w:spacing w:val="-6"/>
                <w:sz w:val="24"/>
                <w14:textFill>
                  <w14:solidFill>
                    <w14:schemeClr w14:val="tx1"/>
                  </w14:solidFill>
                </w14:textFill>
              </w:rPr>
              <w:t>类区标准</w:t>
            </w:r>
            <w:r>
              <w:rPr>
                <w:rFonts w:hint="eastAsia"/>
                <w:color w:val="000000" w:themeColor="text1"/>
                <w:spacing w:val="-6"/>
                <w:sz w:val="24"/>
                <w:lang w:eastAsia="zh-CN"/>
                <w14:textFill>
                  <w14:solidFill>
                    <w14:schemeClr w14:val="tx1"/>
                  </w14:solidFill>
                </w14:textFill>
              </w:rPr>
              <w:t>限值</w:t>
            </w:r>
            <w:r>
              <w:rPr>
                <w:rFonts w:hint="eastAsia"/>
                <w:color w:val="000000" w:themeColor="text1"/>
                <w:spacing w:val="-6"/>
                <w:sz w:val="24"/>
                <w14:textFill>
                  <w14:solidFill>
                    <w14:schemeClr w14:val="tx1"/>
                  </w14:solidFill>
                </w14:textFill>
              </w:rPr>
              <w:t>，</w:t>
            </w:r>
            <w:r>
              <w:rPr>
                <w:color w:val="000000" w:themeColor="text1"/>
                <w:spacing w:val="-6"/>
                <w:sz w:val="24"/>
                <w14:textFill>
                  <w14:solidFill>
                    <w14:schemeClr w14:val="tx1"/>
                  </w14:solidFill>
                </w14:textFill>
              </w:rPr>
              <w:t>具体标准值见</w:t>
            </w:r>
            <w:r>
              <w:rPr>
                <w:rFonts w:hint="eastAsia"/>
                <w:color w:val="000000" w:themeColor="text1"/>
                <w:sz w:val="24"/>
                <w14:textFill>
                  <w14:solidFill>
                    <w14:schemeClr w14:val="tx1"/>
                  </w14:solidFill>
                </w14:textFill>
              </w:rPr>
              <w:t>表4-</w:t>
            </w:r>
            <w:r>
              <w:rPr>
                <w:rFonts w:hint="eastAsia"/>
                <w:color w:val="000000" w:themeColor="text1"/>
                <w:sz w:val="24"/>
                <w:lang w:val="en-US" w:eastAsia="zh-CN"/>
                <w14:textFill>
                  <w14:solidFill>
                    <w14:schemeClr w14:val="tx1"/>
                  </w14:solidFill>
                </w14:textFill>
              </w:rPr>
              <w:t>7</w:t>
            </w:r>
            <w:r>
              <w:rPr>
                <w:rFonts w:hint="eastAsia"/>
                <w:color w:val="000000" w:themeColor="text1"/>
                <w:sz w:val="24"/>
                <w14:textFill>
                  <w14:solidFill>
                    <w14:schemeClr w14:val="tx1"/>
                  </w14:solidFill>
                </w14:textFill>
              </w:rPr>
              <w:t>。</w:t>
            </w:r>
          </w:p>
          <w:p>
            <w:pPr>
              <w:snapToGrid w:val="0"/>
              <w:ind w:firstLine="570" w:firstLineChars="250"/>
              <w:jc w:val="center"/>
              <w:rPr>
                <w:b/>
                <w:color w:val="000000" w:themeColor="text1"/>
                <w:spacing w:val="-6"/>
                <w:szCs w:val="21"/>
                <w14:textFill>
                  <w14:solidFill>
                    <w14:schemeClr w14:val="tx1"/>
                  </w14:solidFill>
                </w14:textFill>
              </w:rPr>
            </w:pPr>
            <w:r>
              <w:rPr>
                <w:b/>
                <w:color w:val="000000" w:themeColor="text1"/>
                <w:spacing w:val="-6"/>
                <w:sz w:val="24"/>
                <w:szCs w:val="24"/>
                <w14:textFill>
                  <w14:solidFill>
                    <w14:schemeClr w14:val="tx1"/>
                  </w14:solidFill>
                </w14:textFill>
              </w:rPr>
              <w:t>表</w:t>
            </w:r>
            <w:r>
              <w:rPr>
                <w:rFonts w:hint="eastAsia"/>
                <w:b/>
                <w:color w:val="000000" w:themeColor="text1"/>
                <w:spacing w:val="-6"/>
                <w:sz w:val="24"/>
                <w:szCs w:val="24"/>
                <w14:textFill>
                  <w14:solidFill>
                    <w14:schemeClr w14:val="tx1"/>
                  </w14:solidFill>
                </w14:textFill>
              </w:rPr>
              <w:t>4</w:t>
            </w:r>
            <w:r>
              <w:rPr>
                <w:rFonts w:hint="eastAsia"/>
                <w:b/>
                <w:color w:val="000000" w:themeColor="text1"/>
                <w:spacing w:val="-6"/>
                <w:sz w:val="24"/>
                <w:szCs w:val="24"/>
                <w:lang w:val="en-US" w:eastAsia="zh-CN"/>
                <w14:textFill>
                  <w14:solidFill>
                    <w14:schemeClr w14:val="tx1"/>
                  </w14:solidFill>
                </w14:textFill>
              </w:rPr>
              <w:t>-7</w:t>
            </w:r>
            <w:r>
              <w:rPr>
                <w:b/>
                <w:color w:val="000000" w:themeColor="text1"/>
                <w:spacing w:val="-6"/>
                <w:sz w:val="24"/>
                <w:szCs w:val="24"/>
                <w14:textFill>
                  <w14:solidFill>
                    <w14:schemeClr w14:val="tx1"/>
                  </w14:solidFill>
                </w14:textFill>
              </w:rPr>
              <w:t xml:space="preserve">  工业企业厂界噪声排放标准       单位：dB</w:t>
            </w:r>
            <w:r>
              <w:rPr>
                <w:rFonts w:hint="eastAsia"/>
                <w:b/>
                <w:color w:val="000000" w:themeColor="text1"/>
                <w:spacing w:val="-6"/>
                <w:sz w:val="24"/>
                <w:szCs w:val="24"/>
                <w14:textFill>
                  <w14:solidFill>
                    <w14:schemeClr w14:val="tx1"/>
                  </w14:solidFill>
                </w14:textFill>
              </w:rPr>
              <w:t>（</w:t>
            </w:r>
            <w:r>
              <w:rPr>
                <w:b/>
                <w:color w:val="000000" w:themeColor="text1"/>
                <w:spacing w:val="-6"/>
                <w:sz w:val="24"/>
                <w:szCs w:val="24"/>
                <w14:textFill>
                  <w14:solidFill>
                    <w14:schemeClr w14:val="tx1"/>
                  </w14:solidFill>
                </w14:textFill>
              </w:rPr>
              <w:t>A</w:t>
            </w:r>
            <w:r>
              <w:rPr>
                <w:rFonts w:hint="eastAsia"/>
                <w:b/>
                <w:color w:val="000000" w:themeColor="text1"/>
                <w:spacing w:val="-6"/>
                <w:sz w:val="24"/>
                <w:szCs w:val="24"/>
                <w14:textFill>
                  <w14:solidFill>
                    <w14:schemeClr w14:val="tx1"/>
                  </w14:solidFill>
                </w14:textFill>
              </w:rPr>
              <w:t>）</w:t>
            </w:r>
          </w:p>
          <w:tbl>
            <w:tblPr>
              <w:tblStyle w:val="17"/>
              <w:tblW w:w="7815"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556"/>
              <w:gridCol w:w="1091"/>
              <w:gridCol w:w="1155"/>
              <w:gridCol w:w="4013"/>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556"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评价标准</w:t>
                  </w:r>
                </w:p>
              </w:tc>
              <w:tc>
                <w:tcPr>
                  <w:tcW w:w="1091"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昼间</w:t>
                  </w:r>
                </w:p>
              </w:tc>
              <w:tc>
                <w:tcPr>
                  <w:tcW w:w="1155"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夜间</w:t>
                  </w:r>
                </w:p>
              </w:tc>
              <w:tc>
                <w:tcPr>
                  <w:tcW w:w="4013"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标准来源</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40" w:hRule="atLeast"/>
                <w:jc w:val="center"/>
              </w:trPr>
              <w:tc>
                <w:tcPr>
                  <w:tcW w:w="1556"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w:t>
                  </w:r>
                  <w:r>
                    <w:rPr>
                      <w:color w:val="000000" w:themeColor="text1"/>
                      <w:szCs w:val="21"/>
                      <w14:textFill>
                        <w14:solidFill>
                          <w14:schemeClr w14:val="tx1"/>
                        </w14:solidFill>
                      </w14:textFill>
                    </w:rPr>
                    <w:t>类</w:t>
                  </w:r>
                </w:p>
              </w:tc>
              <w:tc>
                <w:tcPr>
                  <w:tcW w:w="1091"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65</w:t>
                  </w:r>
                </w:p>
              </w:tc>
              <w:tc>
                <w:tcPr>
                  <w:tcW w:w="1155"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55</w:t>
                  </w:r>
                </w:p>
              </w:tc>
              <w:tc>
                <w:tcPr>
                  <w:tcW w:w="4013"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《工业企业厂界环境噪声排放标准》（GB12348-20</w:t>
                  </w:r>
                  <w:r>
                    <w:rPr>
                      <w:rFonts w:hint="eastAsia"/>
                      <w:color w:val="000000" w:themeColor="text1"/>
                      <w:szCs w:val="21"/>
                      <w14:textFill>
                        <w14:solidFill>
                          <w14:schemeClr w14:val="tx1"/>
                        </w14:solidFill>
                      </w14:textFill>
                    </w:rPr>
                    <w:t>0</w:t>
                  </w:r>
                  <w:r>
                    <w:rPr>
                      <w:color w:val="000000" w:themeColor="text1"/>
                      <w:szCs w:val="21"/>
                      <w14:textFill>
                        <w14:solidFill>
                          <w14:schemeClr w14:val="tx1"/>
                        </w14:solidFill>
                      </w14:textFill>
                    </w:rPr>
                    <w:t>8）</w:t>
                  </w:r>
                </w:p>
              </w:tc>
            </w:tr>
          </w:tbl>
          <w:p>
            <w:pPr>
              <w:spacing w:line="360" w:lineRule="auto"/>
              <w:ind w:firstLine="472" w:firstLineChars="200"/>
              <w:jc w:val="left"/>
              <w:textAlignment w:val="baseline"/>
              <w:rPr>
                <w:b/>
                <w:color w:val="000000" w:themeColor="text1"/>
                <w:spacing w:val="-2"/>
                <w:kern w:val="28"/>
                <w:sz w:val="24"/>
                <w14:textFill>
                  <w14:solidFill>
                    <w14:schemeClr w14:val="tx1"/>
                  </w14:solidFill>
                </w14:textFill>
              </w:rPr>
            </w:pPr>
            <w:r>
              <w:rPr>
                <w:b/>
                <w:color w:val="000000" w:themeColor="text1"/>
                <w:spacing w:val="-2"/>
                <w:kern w:val="28"/>
                <w:sz w:val="24"/>
                <w14:textFill>
                  <w14:solidFill>
                    <w14:schemeClr w14:val="tx1"/>
                  </w14:solidFill>
                </w14:textFill>
              </w:rPr>
              <w:t>4、</w:t>
            </w:r>
            <w:r>
              <w:rPr>
                <w:rFonts w:hint="eastAsia"/>
                <w:b/>
                <w:color w:val="000000" w:themeColor="text1"/>
                <w:spacing w:val="-2"/>
                <w:kern w:val="28"/>
                <w:sz w:val="24"/>
                <w14:textFill>
                  <w14:solidFill>
                    <w14:schemeClr w14:val="tx1"/>
                  </w14:solidFill>
                </w14:textFill>
              </w:rPr>
              <w:t>固体废弃物排放标准</w:t>
            </w:r>
          </w:p>
          <w:p>
            <w:pPr>
              <w:adjustRightInd w:val="0"/>
              <w:snapToGrid w:val="0"/>
              <w:spacing w:before="156" w:beforeLines="50" w:line="360" w:lineRule="auto"/>
              <w:ind w:firstLine="470" w:firstLineChars="196"/>
              <w:rPr>
                <w:color w:val="000000" w:themeColor="text1"/>
                <w:sz w:val="24"/>
                <w:szCs w:val="24"/>
                <w14:textFill>
                  <w14:solidFill>
                    <w14:schemeClr w14:val="tx1"/>
                  </w14:solidFill>
                </w14:textFill>
              </w:rPr>
            </w:pPr>
            <w:r>
              <w:rPr>
                <w:rFonts w:hint="eastAsia"/>
                <w:color w:val="000000" w:themeColor="text1"/>
                <w:sz w:val="24"/>
                <w14:textFill>
                  <w14:solidFill>
                    <w14:schemeClr w14:val="tx1"/>
                  </w14:solidFill>
                </w14:textFill>
              </w:rPr>
              <w:t>危险废物执行《危险废物贮存污染控制标准》（GB</w:t>
            </w:r>
            <w:r>
              <w:rPr>
                <w:color w:val="000000" w:themeColor="text1"/>
                <w:sz w:val="24"/>
                <w14:textFill>
                  <w14:solidFill>
                    <w14:schemeClr w14:val="tx1"/>
                  </w14:solidFill>
                </w14:textFill>
              </w:rPr>
              <w:t>18597</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2001</w:t>
            </w:r>
            <w:r>
              <w:rPr>
                <w:rFonts w:hint="eastAsia"/>
                <w:color w:val="000000" w:themeColor="text1"/>
                <w:sz w:val="24"/>
                <w14:textFill>
                  <w14:solidFill>
                    <w14:schemeClr w14:val="tx1"/>
                  </w14:solidFill>
                </w14:textFill>
              </w:rPr>
              <w:t>）及修改单，一般固废执行《一般工业固体废物贮存、处置场污染控制标准》（</w:t>
            </w:r>
            <w:r>
              <w:rPr>
                <w:color w:val="000000" w:themeColor="text1"/>
                <w:sz w:val="24"/>
                <w14:textFill>
                  <w14:solidFill>
                    <w14:schemeClr w14:val="tx1"/>
                  </w14:solidFill>
                </w14:textFill>
              </w:rPr>
              <w:t>GB18599</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2001</w:t>
            </w:r>
            <w:r>
              <w:rPr>
                <w:rFonts w:hint="eastAsia"/>
                <w:color w:val="000000" w:themeColor="text1"/>
                <w:sz w:val="24"/>
                <w14:textFill>
                  <w14:solidFill>
                    <w14:schemeClr w14:val="tx1"/>
                  </w14:solidFill>
                </w14:textFill>
              </w:rPr>
              <w:t>）及修改单。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352" w:hRule="atLeast"/>
          <w:jc w:val="center"/>
        </w:trPr>
        <w:tc>
          <w:tcPr>
            <w:tcW w:w="497" w:type="dxa"/>
            <w:vAlign w:val="center"/>
          </w:tcPr>
          <w:p>
            <w:pPr>
              <w:snapToGrid w:val="0"/>
              <w:jc w:val="center"/>
              <w:rPr>
                <w:sz w:val="24"/>
              </w:rPr>
            </w:pPr>
            <w:r>
              <w:rPr>
                <w:sz w:val="24"/>
              </w:rPr>
              <w:t>总量控制</w:t>
            </w:r>
          </w:p>
          <w:p>
            <w:pPr>
              <w:snapToGrid w:val="0"/>
              <w:jc w:val="center"/>
              <w:rPr>
                <w:color w:val="000000" w:themeColor="text1"/>
                <w:sz w:val="24"/>
                <w14:textFill>
                  <w14:solidFill>
                    <w14:schemeClr w14:val="tx1"/>
                  </w14:solidFill>
                </w14:textFill>
              </w:rPr>
            </w:pPr>
            <w:r>
              <w:rPr>
                <w:sz w:val="24"/>
              </w:rPr>
              <w:t>指标</w:t>
            </w:r>
          </w:p>
        </w:tc>
        <w:tc>
          <w:tcPr>
            <w:tcW w:w="8031" w:type="dxa"/>
          </w:tcPr>
          <w:p>
            <w:pPr>
              <w:tabs>
                <w:tab w:val="left" w:pos="1367"/>
              </w:tabs>
              <w:spacing w:line="360" w:lineRule="auto"/>
              <w:ind w:firstLine="480" w:firstLineChars="200"/>
              <w:rPr>
                <w:b/>
                <w:sz w:val="24"/>
              </w:rPr>
            </w:pPr>
            <w:r>
              <w:rPr>
                <w:rFonts w:hint="eastAsia"/>
                <w:b/>
                <w:sz w:val="24"/>
              </w:rPr>
              <w:t>1、项目污染物总量排放情况</w:t>
            </w:r>
          </w:p>
          <w:p>
            <w:pPr>
              <w:tabs>
                <w:tab w:val="left" w:pos="1367"/>
              </w:tabs>
              <w:spacing w:line="360" w:lineRule="auto"/>
              <w:ind w:firstLine="480" w:firstLineChars="200"/>
              <w:rPr>
                <w:sz w:val="24"/>
              </w:rPr>
            </w:pPr>
            <w:r>
              <w:rPr>
                <w:rFonts w:hint="eastAsia"/>
                <w:sz w:val="24"/>
              </w:rPr>
              <w:t>根据《江苏省排放污染物总量控制暂行规定》（省政府38号令）、《江苏省建设项目主要污染物排放总量区域平衡方案审核管理办法》（苏环办</w:t>
            </w:r>
            <w:r>
              <w:rPr>
                <w:rFonts w:hint="eastAsia"/>
                <w:sz w:val="24"/>
                <w:lang w:eastAsia="zh-CN"/>
              </w:rPr>
              <w:t>〔</w:t>
            </w:r>
            <w:r>
              <w:rPr>
                <w:rFonts w:hint="eastAsia"/>
                <w:sz w:val="24"/>
              </w:rPr>
              <w:t>2011</w:t>
            </w:r>
            <w:r>
              <w:rPr>
                <w:rFonts w:hint="eastAsia"/>
                <w:sz w:val="24"/>
                <w:lang w:eastAsia="zh-CN"/>
              </w:rPr>
              <w:t>〕</w:t>
            </w:r>
            <w:r>
              <w:rPr>
                <w:rFonts w:hint="eastAsia"/>
                <w:sz w:val="24"/>
              </w:rPr>
              <w:t>71号）及《关于加强建设项目烟粉尘、挥发性有机物准入审核的通知》（苏环办</w:t>
            </w:r>
            <w:r>
              <w:rPr>
                <w:rFonts w:hint="eastAsia"/>
                <w:sz w:val="24"/>
                <w:lang w:eastAsia="zh-CN"/>
              </w:rPr>
              <w:t>〔</w:t>
            </w:r>
            <w:r>
              <w:rPr>
                <w:rFonts w:hint="eastAsia"/>
                <w:sz w:val="24"/>
              </w:rPr>
              <w:t>2014</w:t>
            </w:r>
            <w:r>
              <w:rPr>
                <w:rFonts w:hint="eastAsia"/>
                <w:sz w:val="24"/>
                <w:lang w:eastAsia="zh-CN"/>
              </w:rPr>
              <w:t>〕</w:t>
            </w:r>
            <w:r>
              <w:rPr>
                <w:rFonts w:hint="eastAsia"/>
                <w:sz w:val="24"/>
              </w:rPr>
              <w:t>148号）等有关规定要求，结合项目排污特征，确定总量控制因子为：</w:t>
            </w:r>
          </w:p>
          <w:p>
            <w:pPr>
              <w:tabs>
                <w:tab w:val="left" w:pos="1367"/>
              </w:tabs>
              <w:spacing w:line="360" w:lineRule="auto"/>
              <w:ind w:firstLine="480" w:firstLineChars="200"/>
              <w:rPr>
                <w:sz w:val="24"/>
              </w:rPr>
            </w:pPr>
            <w:r>
              <w:rPr>
                <w:rFonts w:hint="eastAsia"/>
                <w:sz w:val="24"/>
              </w:rPr>
              <w:t>废水：</w:t>
            </w:r>
            <w:r>
              <w:rPr>
                <w:sz w:val="24"/>
              </w:rPr>
              <w:t>总量控制因子：COD、NH</w:t>
            </w:r>
            <w:r>
              <w:rPr>
                <w:sz w:val="24"/>
                <w:vertAlign w:val="subscript"/>
              </w:rPr>
              <w:t>3</w:t>
            </w:r>
            <w:r>
              <w:rPr>
                <w:sz w:val="24"/>
              </w:rPr>
              <w:t>-N、TP、TN；特征考核因子：SS；</w:t>
            </w:r>
          </w:p>
          <w:p>
            <w:pPr>
              <w:tabs>
                <w:tab w:val="left" w:pos="1367"/>
              </w:tabs>
              <w:spacing w:line="360" w:lineRule="auto"/>
              <w:ind w:firstLine="480" w:firstLineChars="200"/>
              <w:rPr>
                <w:sz w:val="24"/>
              </w:rPr>
            </w:pPr>
            <w:r>
              <w:rPr>
                <w:rFonts w:hint="eastAsia"/>
                <w:sz w:val="24"/>
              </w:rPr>
              <w:t>废气：VOCs（</w:t>
            </w:r>
            <w:r>
              <w:rPr>
                <w:rFonts w:hint="eastAsia"/>
                <w:sz w:val="24"/>
                <w:lang w:eastAsia="zh-CN"/>
              </w:rPr>
              <w:t>以非甲烷总烃计</w:t>
            </w:r>
            <w:r>
              <w:rPr>
                <w:rFonts w:hint="eastAsia"/>
                <w:sz w:val="24"/>
              </w:rPr>
              <w:t>）、颗粒物、</w:t>
            </w:r>
            <w:r>
              <w:rPr>
                <w:rFonts w:hint="eastAsia"/>
                <w:sz w:val="24"/>
                <w:lang w:val="en-US" w:eastAsia="zh-CN"/>
              </w:rPr>
              <w:t>SO</w:t>
            </w:r>
            <w:r>
              <w:rPr>
                <w:rFonts w:hint="eastAsia"/>
                <w:sz w:val="24"/>
                <w:vertAlign w:val="subscript"/>
                <w:lang w:val="en-US" w:eastAsia="zh-CN"/>
              </w:rPr>
              <w:t>2</w:t>
            </w:r>
            <w:r>
              <w:rPr>
                <w:rFonts w:hint="eastAsia"/>
                <w:sz w:val="24"/>
                <w:lang w:val="en-US" w:eastAsia="zh-CN"/>
              </w:rPr>
              <w:t>、NOx</w:t>
            </w:r>
            <w:r>
              <w:rPr>
                <w:rFonts w:hint="eastAsia"/>
                <w:sz w:val="24"/>
              </w:rPr>
              <w:t>；</w:t>
            </w:r>
          </w:p>
          <w:p>
            <w:pPr>
              <w:tabs>
                <w:tab w:val="left" w:pos="1367"/>
              </w:tabs>
              <w:spacing w:line="360" w:lineRule="auto"/>
              <w:ind w:firstLine="480" w:firstLineChars="200"/>
              <w:rPr>
                <w:sz w:val="24"/>
              </w:rPr>
            </w:pPr>
            <w:r>
              <w:rPr>
                <w:rFonts w:hint="eastAsia"/>
                <w:sz w:val="24"/>
              </w:rPr>
              <w:t>固废：工业固体废物排放量。</w:t>
            </w:r>
          </w:p>
          <w:p>
            <w:pPr>
              <w:tabs>
                <w:tab w:val="left" w:pos="1367"/>
              </w:tabs>
              <w:spacing w:line="360" w:lineRule="auto"/>
              <w:ind w:firstLine="480" w:firstLineChars="200"/>
              <w:rPr>
                <w:sz w:val="24"/>
              </w:rPr>
            </w:pPr>
            <w:r>
              <w:rPr>
                <w:rFonts w:hint="eastAsia"/>
                <w:sz w:val="24"/>
              </w:rPr>
              <w:t>项目污染物排放量总量详见下表：</w:t>
            </w:r>
          </w:p>
          <w:p>
            <w:pPr>
              <w:tabs>
                <w:tab w:val="left" w:pos="1367"/>
              </w:tabs>
              <w:ind w:firstLine="480" w:firstLineChars="200"/>
              <w:jc w:val="center"/>
              <w:rPr>
                <w:b/>
                <w:kern w:val="0"/>
                <w:sz w:val="24"/>
                <w:szCs w:val="24"/>
                <w:lang w:bidi="ar"/>
              </w:rPr>
            </w:pPr>
            <w:r>
              <w:rPr>
                <w:b/>
                <w:kern w:val="0"/>
                <w:sz w:val="24"/>
                <w:szCs w:val="24"/>
                <w:lang w:bidi="ar"/>
              </w:rPr>
              <w:t>表4-</w:t>
            </w:r>
            <w:r>
              <w:rPr>
                <w:rFonts w:hint="eastAsia"/>
                <w:b/>
                <w:kern w:val="0"/>
                <w:sz w:val="24"/>
                <w:szCs w:val="24"/>
                <w:lang w:val="en-US" w:eastAsia="zh-CN" w:bidi="ar"/>
              </w:rPr>
              <w:t>8</w:t>
            </w:r>
            <w:r>
              <w:rPr>
                <w:b/>
                <w:kern w:val="0"/>
                <w:sz w:val="24"/>
                <w:szCs w:val="24"/>
                <w:lang w:bidi="ar"/>
              </w:rPr>
              <w:t xml:space="preserve">  污染物总量排放一览表</w:t>
            </w:r>
            <w:r>
              <w:rPr>
                <w:rFonts w:hint="eastAsia"/>
                <w:b/>
                <w:kern w:val="0"/>
                <w:sz w:val="24"/>
                <w:szCs w:val="24"/>
                <w:lang w:bidi="ar"/>
              </w:rPr>
              <w:t xml:space="preserve">  （t/a）</w:t>
            </w:r>
          </w:p>
          <w:tbl>
            <w:tblPr>
              <w:tblStyle w:val="17"/>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42"/>
              <w:gridCol w:w="1044"/>
              <w:gridCol w:w="1072"/>
              <w:gridCol w:w="1351"/>
              <w:gridCol w:w="1351"/>
              <w:gridCol w:w="1122"/>
              <w:gridCol w:w="112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5" w:type="pct"/>
                  <w:vAlign w:val="center"/>
                </w:tcPr>
                <w:p>
                  <w:pPr>
                    <w:keepNext w:val="0"/>
                    <w:keepLines w:val="0"/>
                    <w:pageBreakBefore w:val="0"/>
                    <w:kinsoku/>
                    <w:wordWrap/>
                    <w:overflowPunct/>
                    <w:topLinePunct w:val="0"/>
                    <w:autoSpaceDE/>
                    <w:autoSpaceDN/>
                    <w:bidi w:val="0"/>
                    <w:spacing w:before="63" w:beforeLines="20" w:after="63" w:afterLines="2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分类</w:t>
                  </w:r>
                </w:p>
              </w:tc>
              <w:tc>
                <w:tcPr>
                  <w:tcW w:w="1354" w:type="pct"/>
                  <w:gridSpan w:val="2"/>
                  <w:vAlign w:val="center"/>
                </w:tcPr>
                <w:p>
                  <w:pPr>
                    <w:keepNext w:val="0"/>
                    <w:keepLines w:val="0"/>
                    <w:pageBreakBefore w:val="0"/>
                    <w:kinsoku/>
                    <w:wordWrap/>
                    <w:overflowPunct/>
                    <w:topLinePunct w:val="0"/>
                    <w:autoSpaceDE/>
                    <w:autoSpaceDN/>
                    <w:bidi w:val="0"/>
                    <w:spacing w:before="63" w:beforeLines="20" w:after="63" w:afterLines="2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污染物</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产生量</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削减量</w:t>
                  </w:r>
                </w:p>
              </w:tc>
              <w:tc>
                <w:tcPr>
                  <w:tcW w:w="718" w:type="pct"/>
                  <w:vAlign w:val="center"/>
                </w:tcPr>
                <w:p>
                  <w:pPr>
                    <w:keepNext w:val="0"/>
                    <w:keepLines w:val="0"/>
                    <w:pageBreakBefore w:val="0"/>
                    <w:kinsoku/>
                    <w:wordWrap/>
                    <w:overflowPunct/>
                    <w:topLinePunct w:val="0"/>
                    <w:autoSpaceDE/>
                    <w:autoSpaceDN/>
                    <w:bidi w:val="0"/>
                    <w:spacing w:before="63" w:beforeLines="20" w:after="63" w:afterLines="2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接管量</w:t>
                  </w:r>
                </w:p>
              </w:tc>
              <w:tc>
                <w:tcPr>
                  <w:tcW w:w="720" w:type="pct"/>
                  <w:vAlign w:val="center"/>
                </w:tcPr>
                <w:p>
                  <w:pPr>
                    <w:keepNext w:val="0"/>
                    <w:keepLines w:val="0"/>
                    <w:pageBreakBefore w:val="0"/>
                    <w:kinsoku/>
                    <w:wordWrap/>
                    <w:overflowPunct/>
                    <w:topLinePunct w:val="0"/>
                    <w:autoSpaceDE/>
                    <w:autoSpaceDN/>
                    <w:bidi w:val="0"/>
                    <w:spacing w:before="63" w:beforeLines="20" w:after="63" w:afterLines="2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排放量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5" w:type="pct"/>
                  <w:vMerge w:val="restar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废水</w:t>
                  </w:r>
                </w:p>
              </w:tc>
              <w:tc>
                <w:tcPr>
                  <w:tcW w:w="668" w:type="pct"/>
                  <w:vMerge w:val="restar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生活污水</w:t>
                  </w:r>
                </w:p>
              </w:tc>
              <w:tc>
                <w:tcPr>
                  <w:tcW w:w="686" w:type="pc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废水量</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rFonts w:hint="default" w:eastAsia="宋体"/>
                      <w:szCs w:val="21"/>
                      <w:lang w:val="en-US" w:eastAsia="zh-CN"/>
                    </w:rPr>
                  </w:pPr>
                  <w:r>
                    <w:rPr>
                      <w:rFonts w:hint="eastAsia"/>
                      <w:szCs w:val="21"/>
                      <w:lang w:val="en-US" w:eastAsia="zh-CN"/>
                    </w:rPr>
                    <w:t>600</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szCs w:val="21"/>
                    </w:rPr>
                  </w:pPr>
                  <w:r>
                    <w:rPr>
                      <w:szCs w:val="21"/>
                    </w:rPr>
                    <w:t>0</w:t>
                  </w:r>
                </w:p>
              </w:tc>
              <w:tc>
                <w:tcPr>
                  <w:tcW w:w="718" w:type="pct"/>
                  <w:vAlign w:val="center"/>
                </w:tcPr>
                <w:p>
                  <w:pPr>
                    <w:keepNext w:val="0"/>
                    <w:keepLines w:val="0"/>
                    <w:pageBreakBefore w:val="0"/>
                    <w:kinsoku/>
                    <w:wordWrap/>
                    <w:overflowPunct/>
                    <w:topLinePunct w:val="0"/>
                    <w:autoSpaceDE/>
                    <w:autoSpaceDN/>
                    <w:bidi w:val="0"/>
                    <w:spacing w:before="63" w:beforeLines="20" w:after="63" w:afterLines="20"/>
                    <w:jc w:val="center"/>
                    <w:rPr>
                      <w:rFonts w:hint="default" w:eastAsia="宋体"/>
                      <w:szCs w:val="21"/>
                      <w:lang w:val="en-US" w:eastAsia="zh-CN"/>
                    </w:rPr>
                  </w:pPr>
                  <w:r>
                    <w:rPr>
                      <w:rFonts w:hint="eastAsia"/>
                      <w:szCs w:val="21"/>
                      <w:lang w:val="en-US" w:eastAsia="zh-CN"/>
                    </w:rPr>
                    <w:t>600</w:t>
                  </w:r>
                </w:p>
              </w:tc>
              <w:tc>
                <w:tcPr>
                  <w:tcW w:w="720" w:type="pct"/>
                  <w:vAlign w:val="center"/>
                </w:tcPr>
                <w:p>
                  <w:pPr>
                    <w:keepNext w:val="0"/>
                    <w:keepLines w:val="0"/>
                    <w:pageBreakBefore w:val="0"/>
                    <w:kinsoku/>
                    <w:wordWrap/>
                    <w:overflowPunct/>
                    <w:topLinePunct w:val="0"/>
                    <w:autoSpaceDE/>
                    <w:autoSpaceDN/>
                    <w:bidi w:val="0"/>
                    <w:spacing w:before="63" w:beforeLines="20" w:after="63" w:afterLines="20"/>
                    <w:jc w:val="center"/>
                    <w:rPr>
                      <w:rFonts w:hint="default" w:eastAsia="宋体"/>
                      <w:szCs w:val="21"/>
                      <w:lang w:val="en-US" w:eastAsia="zh-CN"/>
                    </w:rPr>
                  </w:pPr>
                  <w:r>
                    <w:rPr>
                      <w:rFonts w:hint="eastAsia"/>
                      <w:szCs w:val="21"/>
                      <w:lang w:val="en-US" w:eastAsia="zh-CN"/>
                    </w:rPr>
                    <w:t>600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475" w:type="pct"/>
                  <w:vMerge w:val="continue"/>
                  <w:vAlign w:val="center"/>
                </w:tcPr>
                <w:p>
                  <w:pPr>
                    <w:keepNext w:val="0"/>
                    <w:keepLines w:val="0"/>
                    <w:pageBreakBefore w:val="0"/>
                    <w:kinsoku/>
                    <w:wordWrap/>
                    <w:overflowPunct/>
                    <w:topLinePunct w:val="0"/>
                    <w:autoSpaceDE/>
                    <w:autoSpaceDN/>
                    <w:bidi w:val="0"/>
                    <w:spacing w:before="63" w:beforeLines="20" w:after="63" w:afterLines="20"/>
                    <w:rPr>
                      <w:color w:val="000000" w:themeColor="text1"/>
                      <w:szCs w:val="21"/>
                      <w14:textFill>
                        <w14:solidFill>
                          <w14:schemeClr w14:val="tx1"/>
                        </w14:solidFill>
                      </w14:textFill>
                    </w:rPr>
                  </w:pPr>
                </w:p>
              </w:tc>
              <w:tc>
                <w:tcPr>
                  <w:tcW w:w="668" w:type="pct"/>
                  <w:vMerge w:val="continue"/>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p>
              </w:tc>
              <w:tc>
                <w:tcPr>
                  <w:tcW w:w="686" w:type="pct"/>
                  <w:vAlign w:val="center"/>
                </w:tcPr>
                <w:p>
                  <w:pPr>
                    <w:keepNext w:val="0"/>
                    <w:keepLines w:val="0"/>
                    <w:pageBreakBefore w:val="0"/>
                    <w:widowControl/>
                    <w:kinsoku/>
                    <w:wordWrap/>
                    <w:overflowPunct/>
                    <w:topLinePunct w:val="0"/>
                    <w:autoSpaceDE/>
                    <w:autoSpaceDN/>
                    <w:bidi w:val="0"/>
                    <w:spacing w:before="63" w:beforeLines="20" w:after="63" w:afterLines="20"/>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COD</w:t>
                  </w:r>
                </w:p>
              </w:tc>
              <w:tc>
                <w:tcPr>
                  <w:tcW w:w="865"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0.2400 </w:t>
                  </w:r>
                </w:p>
              </w:tc>
              <w:tc>
                <w:tcPr>
                  <w:tcW w:w="865"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0.036</w:t>
                  </w:r>
                </w:p>
              </w:tc>
              <w:tc>
                <w:tcPr>
                  <w:tcW w:w="718"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0.2040 </w:t>
                  </w:r>
                </w:p>
              </w:tc>
              <w:tc>
                <w:tcPr>
                  <w:tcW w:w="1197" w:type="dxa"/>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hint="default" w:ascii="Times New Roman" w:hAnsi="Times New Roman" w:cs="Times New Roman"/>
                      <w:szCs w:val="21"/>
                      <w:lang w:val="en-US"/>
                    </w:rPr>
                  </w:pPr>
                  <w:r>
                    <w:rPr>
                      <w:rFonts w:hint="default" w:ascii="Times New Roman" w:hAnsi="Times New Roman" w:eastAsia="宋体" w:cs="Times New Roman"/>
                      <w:i w:val="0"/>
                      <w:color w:val="000000"/>
                      <w:kern w:val="0"/>
                      <w:sz w:val="22"/>
                      <w:szCs w:val="22"/>
                      <w:u w:val="none"/>
                      <w:lang w:val="en-US" w:eastAsia="zh-CN" w:bidi="ar"/>
                    </w:rPr>
                    <w:t>0.03</w:t>
                  </w:r>
                  <w:r>
                    <w:rPr>
                      <w:rFonts w:hint="eastAsia" w:cs="Times New Roman"/>
                      <w:i w:val="0"/>
                      <w:color w:val="000000"/>
                      <w:kern w:val="0"/>
                      <w:sz w:val="22"/>
                      <w:szCs w:val="22"/>
                      <w:u w:val="none"/>
                      <w:lang w:val="en-US" w:eastAsia="zh-CN" w:bidi="ar"/>
                    </w:rPr>
                    <w:t>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475" w:type="pct"/>
                  <w:vMerge w:val="continue"/>
                  <w:vAlign w:val="center"/>
                </w:tcPr>
                <w:p>
                  <w:pPr>
                    <w:keepNext w:val="0"/>
                    <w:keepLines w:val="0"/>
                    <w:pageBreakBefore w:val="0"/>
                    <w:kinsoku/>
                    <w:wordWrap/>
                    <w:overflowPunct/>
                    <w:topLinePunct w:val="0"/>
                    <w:autoSpaceDE/>
                    <w:autoSpaceDN/>
                    <w:bidi w:val="0"/>
                    <w:spacing w:before="63" w:beforeLines="20" w:after="63" w:afterLines="20"/>
                    <w:rPr>
                      <w:color w:val="000000" w:themeColor="text1"/>
                      <w:szCs w:val="21"/>
                      <w14:textFill>
                        <w14:solidFill>
                          <w14:schemeClr w14:val="tx1"/>
                        </w14:solidFill>
                      </w14:textFill>
                    </w:rPr>
                  </w:pPr>
                </w:p>
              </w:tc>
              <w:tc>
                <w:tcPr>
                  <w:tcW w:w="668" w:type="pct"/>
                  <w:vMerge w:val="continue"/>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p>
              </w:tc>
              <w:tc>
                <w:tcPr>
                  <w:tcW w:w="686" w:type="pc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SS</w:t>
                  </w:r>
                </w:p>
              </w:tc>
              <w:tc>
                <w:tcPr>
                  <w:tcW w:w="865"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0.1200 </w:t>
                  </w:r>
                </w:p>
              </w:tc>
              <w:tc>
                <w:tcPr>
                  <w:tcW w:w="865"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0.024</w:t>
                  </w:r>
                </w:p>
              </w:tc>
              <w:tc>
                <w:tcPr>
                  <w:tcW w:w="718"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0.0960 </w:t>
                  </w:r>
                </w:p>
              </w:tc>
              <w:tc>
                <w:tcPr>
                  <w:tcW w:w="1197" w:type="dxa"/>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hint="default" w:ascii="Times New Roman" w:hAnsi="Times New Roman" w:cs="Times New Roman"/>
                      <w:szCs w:val="21"/>
                      <w:lang w:val="en-US"/>
                    </w:rPr>
                  </w:pPr>
                  <w:r>
                    <w:rPr>
                      <w:rFonts w:hint="default" w:ascii="Times New Roman" w:hAnsi="Times New Roman" w:eastAsia="宋体" w:cs="Times New Roman"/>
                      <w:i w:val="0"/>
                      <w:color w:val="000000"/>
                      <w:kern w:val="0"/>
                      <w:sz w:val="22"/>
                      <w:szCs w:val="22"/>
                      <w:u w:val="none"/>
                      <w:lang w:val="en-US" w:eastAsia="zh-CN" w:bidi="ar"/>
                    </w:rPr>
                    <w:t>0.006</w:t>
                  </w:r>
                  <w:r>
                    <w:rPr>
                      <w:rFonts w:hint="eastAsia" w:cs="Times New Roman"/>
                      <w:i w:val="0"/>
                      <w:color w:val="000000"/>
                      <w:kern w:val="0"/>
                      <w:sz w:val="22"/>
                      <w:szCs w:val="22"/>
                      <w:u w:val="none"/>
                      <w:lang w:val="en-US" w:eastAsia="zh-CN"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5" w:type="pct"/>
                  <w:vMerge w:val="continue"/>
                  <w:vAlign w:val="center"/>
                </w:tcPr>
                <w:p>
                  <w:pPr>
                    <w:keepNext w:val="0"/>
                    <w:keepLines w:val="0"/>
                    <w:pageBreakBefore w:val="0"/>
                    <w:kinsoku/>
                    <w:wordWrap/>
                    <w:overflowPunct/>
                    <w:topLinePunct w:val="0"/>
                    <w:autoSpaceDE/>
                    <w:autoSpaceDN/>
                    <w:bidi w:val="0"/>
                    <w:spacing w:before="63" w:beforeLines="20" w:after="63" w:afterLines="20"/>
                    <w:rPr>
                      <w:color w:val="000000" w:themeColor="text1"/>
                      <w:szCs w:val="21"/>
                      <w14:textFill>
                        <w14:solidFill>
                          <w14:schemeClr w14:val="tx1"/>
                        </w14:solidFill>
                      </w14:textFill>
                    </w:rPr>
                  </w:pPr>
                </w:p>
              </w:tc>
              <w:tc>
                <w:tcPr>
                  <w:tcW w:w="668" w:type="pct"/>
                  <w:vMerge w:val="continue"/>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p>
              </w:tc>
              <w:tc>
                <w:tcPr>
                  <w:tcW w:w="686" w:type="pc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NH</w:t>
                  </w:r>
                  <w:r>
                    <w:rPr>
                      <w:color w:val="000000" w:themeColor="text1"/>
                      <w:szCs w:val="21"/>
                      <w:vertAlign w:val="subscript"/>
                      <w14:textFill>
                        <w14:solidFill>
                          <w14:schemeClr w14:val="tx1"/>
                        </w14:solidFill>
                      </w14:textFill>
                    </w:rPr>
                    <w:t>3</w:t>
                  </w:r>
                  <w:r>
                    <w:rPr>
                      <w:color w:val="000000" w:themeColor="text1"/>
                      <w:szCs w:val="21"/>
                      <w14:textFill>
                        <w14:solidFill>
                          <w14:schemeClr w14:val="tx1"/>
                        </w14:solidFill>
                      </w14:textFill>
                    </w:rPr>
                    <w:t>-N</w:t>
                  </w:r>
                </w:p>
              </w:tc>
              <w:tc>
                <w:tcPr>
                  <w:tcW w:w="865"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0.0150 </w:t>
                  </w:r>
                </w:p>
              </w:tc>
              <w:tc>
                <w:tcPr>
                  <w:tcW w:w="865"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w:t>
                  </w:r>
                </w:p>
              </w:tc>
              <w:tc>
                <w:tcPr>
                  <w:tcW w:w="718"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0.0150 </w:t>
                  </w:r>
                </w:p>
              </w:tc>
              <w:tc>
                <w:tcPr>
                  <w:tcW w:w="1197" w:type="dxa"/>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hint="default" w:ascii="Times New Roman" w:hAnsi="Times New Roman" w:cs="Times New Roman"/>
                      <w:szCs w:val="21"/>
                    </w:rPr>
                  </w:pPr>
                  <w:r>
                    <w:rPr>
                      <w:rFonts w:hint="default" w:ascii="Times New Roman" w:hAnsi="Times New Roman" w:eastAsia="宋体" w:cs="Times New Roman"/>
                      <w:i w:val="0"/>
                      <w:color w:val="000000"/>
                      <w:kern w:val="0"/>
                      <w:sz w:val="22"/>
                      <w:szCs w:val="22"/>
                      <w:u w:val="none"/>
                      <w:lang w:val="en-US" w:eastAsia="zh-CN" w:bidi="ar"/>
                    </w:rPr>
                    <w:t>0.0024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5" w:type="pct"/>
                  <w:vMerge w:val="continue"/>
                  <w:vAlign w:val="center"/>
                </w:tcPr>
                <w:p>
                  <w:pPr>
                    <w:keepNext w:val="0"/>
                    <w:keepLines w:val="0"/>
                    <w:pageBreakBefore w:val="0"/>
                    <w:kinsoku/>
                    <w:wordWrap/>
                    <w:overflowPunct/>
                    <w:topLinePunct w:val="0"/>
                    <w:autoSpaceDE/>
                    <w:autoSpaceDN/>
                    <w:bidi w:val="0"/>
                    <w:spacing w:before="63" w:beforeLines="20" w:after="63" w:afterLines="20"/>
                    <w:rPr>
                      <w:color w:val="000000" w:themeColor="text1"/>
                      <w:szCs w:val="21"/>
                      <w14:textFill>
                        <w14:solidFill>
                          <w14:schemeClr w14:val="tx1"/>
                        </w14:solidFill>
                      </w14:textFill>
                    </w:rPr>
                  </w:pPr>
                </w:p>
              </w:tc>
              <w:tc>
                <w:tcPr>
                  <w:tcW w:w="668" w:type="pct"/>
                  <w:vMerge w:val="continue"/>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p>
              </w:tc>
              <w:tc>
                <w:tcPr>
                  <w:tcW w:w="686" w:type="pc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TP</w:t>
                  </w:r>
                </w:p>
              </w:tc>
              <w:tc>
                <w:tcPr>
                  <w:tcW w:w="865"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0.0018 </w:t>
                  </w:r>
                </w:p>
              </w:tc>
              <w:tc>
                <w:tcPr>
                  <w:tcW w:w="865"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w:t>
                  </w:r>
                </w:p>
              </w:tc>
              <w:tc>
                <w:tcPr>
                  <w:tcW w:w="718"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0.0018 </w:t>
                  </w:r>
                </w:p>
              </w:tc>
              <w:tc>
                <w:tcPr>
                  <w:tcW w:w="1197" w:type="dxa"/>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hint="default" w:ascii="Times New Roman" w:hAnsi="Times New Roman" w:cs="Times New Roman"/>
                      <w:szCs w:val="21"/>
                    </w:rPr>
                  </w:pPr>
                  <w:r>
                    <w:rPr>
                      <w:rFonts w:hint="default" w:ascii="Times New Roman" w:hAnsi="Times New Roman" w:eastAsia="宋体" w:cs="Times New Roman"/>
                      <w:i w:val="0"/>
                      <w:color w:val="000000"/>
                      <w:kern w:val="0"/>
                      <w:sz w:val="22"/>
                      <w:szCs w:val="22"/>
                      <w:u w:val="none"/>
                      <w:lang w:val="en-US" w:eastAsia="zh-CN" w:bidi="ar"/>
                    </w:rPr>
                    <w:t>0.0003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5" w:type="pct"/>
                  <w:vMerge w:val="continue"/>
                  <w:vAlign w:val="center"/>
                </w:tcPr>
                <w:p>
                  <w:pPr>
                    <w:keepNext w:val="0"/>
                    <w:keepLines w:val="0"/>
                    <w:pageBreakBefore w:val="0"/>
                    <w:kinsoku/>
                    <w:wordWrap/>
                    <w:overflowPunct/>
                    <w:topLinePunct w:val="0"/>
                    <w:autoSpaceDE/>
                    <w:autoSpaceDN/>
                    <w:bidi w:val="0"/>
                    <w:spacing w:before="63" w:beforeLines="20" w:after="63" w:afterLines="20"/>
                    <w:rPr>
                      <w:color w:val="000000" w:themeColor="text1"/>
                      <w:szCs w:val="21"/>
                      <w14:textFill>
                        <w14:solidFill>
                          <w14:schemeClr w14:val="tx1"/>
                        </w14:solidFill>
                      </w14:textFill>
                    </w:rPr>
                  </w:pPr>
                </w:p>
              </w:tc>
              <w:tc>
                <w:tcPr>
                  <w:tcW w:w="668" w:type="pct"/>
                  <w:vMerge w:val="continue"/>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p>
              </w:tc>
              <w:tc>
                <w:tcPr>
                  <w:tcW w:w="686" w:type="pct"/>
                  <w:vAlign w:val="center"/>
                </w:tcPr>
                <w:p>
                  <w:pPr>
                    <w:keepNext w:val="0"/>
                    <w:keepLines w:val="0"/>
                    <w:pageBreakBefore w:val="0"/>
                    <w:widowControl/>
                    <w:kinsoku/>
                    <w:wordWrap/>
                    <w:overflowPunct/>
                    <w:topLinePunct w:val="0"/>
                    <w:autoSpaceDE/>
                    <w:autoSpaceDN/>
                    <w:bidi w:val="0"/>
                    <w:spacing w:before="63" w:beforeLines="20" w:after="63" w:afterLines="20"/>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TN</w:t>
                  </w:r>
                </w:p>
              </w:tc>
              <w:tc>
                <w:tcPr>
                  <w:tcW w:w="865"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0.0210 </w:t>
                  </w:r>
                </w:p>
              </w:tc>
              <w:tc>
                <w:tcPr>
                  <w:tcW w:w="865"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w:t>
                  </w:r>
                </w:p>
              </w:tc>
              <w:tc>
                <w:tcPr>
                  <w:tcW w:w="718"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0.0210 </w:t>
                  </w:r>
                </w:p>
              </w:tc>
              <w:tc>
                <w:tcPr>
                  <w:tcW w:w="1197" w:type="dxa"/>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hint="default" w:ascii="Times New Roman" w:hAnsi="Times New Roman" w:cs="Times New Roman"/>
                      <w:szCs w:val="21"/>
                    </w:rPr>
                  </w:pPr>
                  <w:r>
                    <w:rPr>
                      <w:rFonts w:hint="default" w:ascii="Times New Roman" w:hAnsi="Times New Roman" w:eastAsia="宋体" w:cs="Times New Roman"/>
                      <w:i w:val="0"/>
                      <w:color w:val="000000"/>
                      <w:kern w:val="0"/>
                      <w:sz w:val="22"/>
                      <w:szCs w:val="22"/>
                      <w:u w:val="none"/>
                      <w:lang w:val="en-US" w:eastAsia="zh-CN" w:bidi="ar"/>
                    </w:rPr>
                    <w:t>0.0072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5" w:type="pct"/>
                  <w:vMerge w:val="restar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废气</w:t>
                  </w:r>
                </w:p>
              </w:tc>
              <w:tc>
                <w:tcPr>
                  <w:tcW w:w="668" w:type="pct"/>
                  <w:vMerge w:val="restar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有组织废气</w:t>
                  </w:r>
                </w:p>
              </w:tc>
              <w:tc>
                <w:tcPr>
                  <w:tcW w:w="686" w:type="pct"/>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105" w:leftChars="-50" w:right="-105" w:rightChars="-50"/>
                    <w:jc w:val="center"/>
                    <w:rPr>
                      <w:color w:val="auto"/>
                      <w:szCs w:val="21"/>
                    </w:rPr>
                  </w:pPr>
                  <w:r>
                    <w:rPr>
                      <w:rFonts w:hint="eastAsia"/>
                      <w:color w:val="auto"/>
                      <w:szCs w:val="21"/>
                    </w:rPr>
                    <w:t>颗粒物</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rFonts w:hint="default" w:eastAsia="宋体"/>
                      <w:color w:val="auto"/>
                      <w:szCs w:val="21"/>
                      <w:lang w:val="en-US" w:eastAsia="zh-CN"/>
                    </w:rPr>
                  </w:pPr>
                  <w:r>
                    <w:rPr>
                      <w:rFonts w:hint="eastAsia"/>
                      <w:color w:val="auto"/>
                      <w:szCs w:val="21"/>
                      <w:lang w:val="en-US" w:eastAsia="zh-CN"/>
                    </w:rPr>
                    <w:t>1.627</w:t>
                  </w:r>
                </w:p>
              </w:tc>
              <w:tc>
                <w:tcPr>
                  <w:tcW w:w="865"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default" w:eastAsia="宋体"/>
                      <w:color w:val="auto"/>
                      <w:szCs w:val="21"/>
                      <w:lang w:val="en-US" w:eastAsia="zh-CN"/>
                    </w:rPr>
                  </w:pPr>
                  <w:r>
                    <w:rPr>
                      <w:rFonts w:hint="eastAsia"/>
                      <w:color w:val="auto"/>
                      <w:szCs w:val="21"/>
                      <w:lang w:val="en-US" w:eastAsia="zh-CN"/>
                    </w:rPr>
                    <w:t>1.6</w:t>
                  </w:r>
                </w:p>
              </w:tc>
              <w:tc>
                <w:tcPr>
                  <w:tcW w:w="718"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w:t>
                  </w:r>
                </w:p>
              </w:tc>
              <w:tc>
                <w:tcPr>
                  <w:tcW w:w="720"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default" w:eastAsia="宋体"/>
                      <w:color w:val="auto"/>
                      <w:szCs w:val="21"/>
                      <w:lang w:val="en-US" w:eastAsia="zh-CN"/>
                    </w:rPr>
                  </w:pPr>
                  <w:r>
                    <w:rPr>
                      <w:rFonts w:hint="eastAsia"/>
                      <w:color w:val="auto"/>
                      <w:szCs w:val="21"/>
                      <w:lang w:val="en-US" w:eastAsia="zh-CN"/>
                    </w:rPr>
                    <w:t>0.027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5" w:type="pct"/>
                  <w:vMerge w:val="continue"/>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p>
              </w:tc>
              <w:tc>
                <w:tcPr>
                  <w:tcW w:w="668" w:type="pct"/>
                  <w:vMerge w:val="continue"/>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p>
              </w:tc>
              <w:tc>
                <w:tcPr>
                  <w:tcW w:w="686" w:type="pct"/>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105" w:leftChars="-50" w:right="-105" w:rightChars="-50"/>
                    <w:jc w:val="center"/>
                    <w:rPr>
                      <w:rFonts w:hint="eastAsia" w:eastAsia="宋体"/>
                      <w:color w:val="auto"/>
                      <w:szCs w:val="21"/>
                      <w:lang w:eastAsia="zh-CN"/>
                    </w:rPr>
                  </w:pPr>
                  <w:r>
                    <w:rPr>
                      <w:rFonts w:hint="eastAsia"/>
                      <w:color w:val="auto"/>
                      <w:szCs w:val="21"/>
                      <w:lang w:eastAsia="zh-CN"/>
                    </w:rPr>
                    <w:t>非甲烷总烃</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rFonts w:hint="default" w:eastAsia="宋体"/>
                      <w:color w:val="auto"/>
                      <w:szCs w:val="21"/>
                      <w:lang w:val="en-US" w:eastAsia="zh-CN"/>
                    </w:rPr>
                  </w:pPr>
                  <w:r>
                    <w:rPr>
                      <w:rFonts w:hint="eastAsia"/>
                      <w:color w:val="auto"/>
                      <w:szCs w:val="21"/>
                      <w:lang w:val="en-US" w:eastAsia="zh-CN"/>
                    </w:rPr>
                    <w:t>0.029</w:t>
                  </w:r>
                </w:p>
              </w:tc>
              <w:tc>
                <w:tcPr>
                  <w:tcW w:w="865"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default" w:eastAsia="宋体"/>
                      <w:color w:val="auto"/>
                      <w:szCs w:val="21"/>
                      <w:lang w:val="en-US" w:eastAsia="zh-CN"/>
                    </w:rPr>
                  </w:pPr>
                  <w:r>
                    <w:rPr>
                      <w:rFonts w:hint="eastAsia"/>
                      <w:color w:val="auto"/>
                      <w:szCs w:val="21"/>
                      <w:lang w:val="en-US" w:eastAsia="zh-CN"/>
                    </w:rPr>
                    <w:t>0.026</w:t>
                  </w:r>
                </w:p>
              </w:tc>
              <w:tc>
                <w:tcPr>
                  <w:tcW w:w="718"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w:t>
                  </w:r>
                </w:p>
              </w:tc>
              <w:tc>
                <w:tcPr>
                  <w:tcW w:w="720"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default" w:eastAsia="宋体"/>
                      <w:color w:val="auto"/>
                      <w:szCs w:val="21"/>
                      <w:lang w:val="en-US" w:eastAsia="zh-CN"/>
                    </w:rPr>
                  </w:pPr>
                  <w:r>
                    <w:rPr>
                      <w:rFonts w:hint="eastAsia"/>
                      <w:color w:val="auto"/>
                      <w:szCs w:val="21"/>
                      <w:lang w:val="en-US" w:eastAsia="zh-CN"/>
                    </w:rPr>
                    <w:t>0.003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5" w:type="pct"/>
                  <w:vMerge w:val="continue"/>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p>
              </w:tc>
              <w:tc>
                <w:tcPr>
                  <w:tcW w:w="668" w:type="pct"/>
                  <w:vMerge w:val="continue"/>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p>
              </w:tc>
              <w:tc>
                <w:tcPr>
                  <w:tcW w:w="686" w:type="pct"/>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105" w:leftChars="-50" w:right="-105" w:rightChars="-50"/>
                    <w:jc w:val="center"/>
                    <w:rPr>
                      <w:rFonts w:hint="default" w:eastAsia="宋体"/>
                      <w:color w:val="auto"/>
                      <w:szCs w:val="21"/>
                      <w:lang w:val="en-US" w:eastAsia="zh-CN"/>
                    </w:rPr>
                  </w:pPr>
                  <w:r>
                    <w:rPr>
                      <w:rFonts w:hint="eastAsia"/>
                      <w:color w:val="auto"/>
                      <w:szCs w:val="21"/>
                      <w:lang w:val="en-US" w:eastAsia="zh-CN"/>
                    </w:rPr>
                    <w:t>SO</w:t>
                  </w:r>
                  <w:r>
                    <w:rPr>
                      <w:rFonts w:hint="eastAsia"/>
                      <w:color w:val="auto"/>
                      <w:szCs w:val="21"/>
                      <w:vertAlign w:val="subscript"/>
                      <w:lang w:val="en-US" w:eastAsia="zh-CN"/>
                    </w:rPr>
                    <w:t>2</w:t>
                  </w:r>
                </w:p>
              </w:tc>
              <w:tc>
                <w:tcPr>
                  <w:tcW w:w="865" w:type="pct"/>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105" w:leftChars="-50" w:right="-105" w:rightChars="-50"/>
                    <w:jc w:val="center"/>
                    <w:rPr>
                      <w:rFonts w:hint="default" w:eastAsia="宋体"/>
                      <w:color w:val="auto"/>
                      <w:szCs w:val="21"/>
                      <w:lang w:val="en-US" w:eastAsia="zh-CN"/>
                    </w:rPr>
                  </w:pPr>
                  <w:r>
                    <w:rPr>
                      <w:rFonts w:hint="eastAsia"/>
                      <w:color w:val="auto"/>
                      <w:szCs w:val="21"/>
                      <w:lang w:val="en-US" w:eastAsia="zh-CN"/>
                    </w:rPr>
                    <w:t>0.012</w:t>
                  </w:r>
                </w:p>
              </w:tc>
              <w:tc>
                <w:tcPr>
                  <w:tcW w:w="865"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eastAsia" w:eastAsia="宋体"/>
                      <w:color w:val="auto"/>
                      <w:szCs w:val="21"/>
                      <w:lang w:val="en-US" w:eastAsia="zh-CN"/>
                    </w:rPr>
                  </w:pPr>
                  <w:r>
                    <w:rPr>
                      <w:rFonts w:hint="eastAsia"/>
                      <w:color w:val="auto"/>
                      <w:szCs w:val="21"/>
                      <w:lang w:val="en-US" w:eastAsia="zh-CN"/>
                    </w:rPr>
                    <w:t>0</w:t>
                  </w:r>
                </w:p>
              </w:tc>
              <w:tc>
                <w:tcPr>
                  <w:tcW w:w="718" w:type="pct"/>
                  <w:vAlign w:val="center"/>
                </w:tcPr>
                <w:p>
                  <w:pPr>
                    <w:keepNext w:val="0"/>
                    <w:keepLines w:val="0"/>
                    <w:pageBreakBefore w:val="0"/>
                    <w:kinsoku/>
                    <w:wordWrap/>
                    <w:overflowPunct/>
                    <w:topLinePunct w:val="0"/>
                    <w:autoSpaceDE/>
                    <w:autoSpaceDN/>
                    <w:bidi w:val="0"/>
                    <w:spacing w:before="63" w:beforeLines="20" w:after="63" w:afterLines="20"/>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szCs w:val="21"/>
                      <w14:textFill>
                        <w14:solidFill>
                          <w14:schemeClr w14:val="tx1"/>
                        </w14:solidFill>
                      </w14:textFill>
                    </w:rPr>
                    <w:t>/</w:t>
                  </w:r>
                </w:p>
              </w:tc>
              <w:tc>
                <w:tcPr>
                  <w:tcW w:w="720"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default" w:eastAsia="宋体"/>
                      <w:color w:val="auto"/>
                      <w:szCs w:val="21"/>
                      <w:lang w:val="en-US" w:eastAsia="zh-CN"/>
                    </w:rPr>
                  </w:pPr>
                  <w:r>
                    <w:rPr>
                      <w:rFonts w:hint="eastAsia"/>
                      <w:color w:val="auto"/>
                      <w:szCs w:val="21"/>
                      <w:lang w:val="en-US" w:eastAsia="zh-CN"/>
                    </w:rPr>
                    <w:t>0.012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5" w:type="pct"/>
                  <w:vMerge w:val="continue"/>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p>
              </w:tc>
              <w:tc>
                <w:tcPr>
                  <w:tcW w:w="668" w:type="pct"/>
                  <w:vMerge w:val="continue"/>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p>
              </w:tc>
              <w:tc>
                <w:tcPr>
                  <w:tcW w:w="686" w:type="pct"/>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105" w:leftChars="-50" w:right="-105" w:rightChars="-50"/>
                    <w:jc w:val="center"/>
                    <w:rPr>
                      <w:rFonts w:hint="default" w:eastAsia="宋体"/>
                      <w:color w:val="auto"/>
                      <w:szCs w:val="21"/>
                      <w:lang w:val="en-US" w:eastAsia="zh-CN"/>
                    </w:rPr>
                  </w:pPr>
                  <w:r>
                    <w:rPr>
                      <w:rFonts w:hint="eastAsia"/>
                      <w:color w:val="auto"/>
                      <w:szCs w:val="21"/>
                      <w:lang w:val="en-US" w:eastAsia="zh-CN"/>
                    </w:rPr>
                    <w:t>NOx</w:t>
                  </w:r>
                </w:p>
              </w:tc>
              <w:tc>
                <w:tcPr>
                  <w:tcW w:w="865" w:type="pct"/>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105" w:leftChars="-50" w:right="-105" w:rightChars="-50"/>
                    <w:jc w:val="center"/>
                    <w:rPr>
                      <w:rFonts w:hint="default" w:eastAsia="宋体"/>
                      <w:color w:val="auto"/>
                      <w:szCs w:val="21"/>
                      <w:lang w:val="en-US" w:eastAsia="zh-CN"/>
                    </w:rPr>
                  </w:pPr>
                  <w:r>
                    <w:rPr>
                      <w:rFonts w:hint="eastAsia"/>
                      <w:color w:val="auto"/>
                      <w:szCs w:val="21"/>
                      <w:lang w:val="en-US" w:eastAsia="zh-CN"/>
                    </w:rPr>
                    <w:t>0.02</w:t>
                  </w:r>
                </w:p>
              </w:tc>
              <w:tc>
                <w:tcPr>
                  <w:tcW w:w="865"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eastAsia" w:eastAsia="宋体"/>
                      <w:color w:val="auto"/>
                      <w:szCs w:val="21"/>
                      <w:lang w:val="en-US" w:eastAsia="zh-CN"/>
                    </w:rPr>
                  </w:pPr>
                  <w:r>
                    <w:rPr>
                      <w:rFonts w:hint="eastAsia"/>
                      <w:color w:val="auto"/>
                      <w:szCs w:val="21"/>
                      <w:lang w:val="en-US" w:eastAsia="zh-CN"/>
                    </w:rPr>
                    <w:t>0</w:t>
                  </w:r>
                </w:p>
              </w:tc>
              <w:tc>
                <w:tcPr>
                  <w:tcW w:w="718"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w:t>
                  </w:r>
                </w:p>
              </w:tc>
              <w:tc>
                <w:tcPr>
                  <w:tcW w:w="720"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default" w:eastAsia="宋体"/>
                      <w:color w:val="auto"/>
                      <w:szCs w:val="21"/>
                      <w:lang w:val="en-US" w:eastAsia="zh-CN"/>
                    </w:rPr>
                  </w:pPr>
                  <w:r>
                    <w:rPr>
                      <w:rFonts w:hint="eastAsia"/>
                      <w:color w:val="auto"/>
                      <w:szCs w:val="21"/>
                      <w:lang w:val="en-US" w:eastAsia="zh-CN"/>
                    </w:rPr>
                    <w:t>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tblHeader/>
                <w:jc w:val="center"/>
              </w:trPr>
              <w:tc>
                <w:tcPr>
                  <w:tcW w:w="475" w:type="pct"/>
                  <w:vMerge w:val="continue"/>
                  <w:vAlign w:val="center"/>
                </w:tcPr>
                <w:p>
                  <w:pPr>
                    <w:keepNext w:val="0"/>
                    <w:keepLines w:val="0"/>
                    <w:pageBreakBefore w:val="0"/>
                    <w:kinsoku/>
                    <w:wordWrap/>
                    <w:overflowPunct/>
                    <w:topLinePunct w:val="0"/>
                    <w:autoSpaceDE/>
                    <w:autoSpaceDN/>
                    <w:bidi w:val="0"/>
                    <w:spacing w:before="63" w:beforeLines="20" w:after="63" w:afterLines="20"/>
                    <w:rPr>
                      <w:color w:val="000000" w:themeColor="text1"/>
                      <w:szCs w:val="21"/>
                      <w14:textFill>
                        <w14:solidFill>
                          <w14:schemeClr w14:val="tx1"/>
                        </w14:solidFill>
                      </w14:textFill>
                    </w:rPr>
                  </w:pPr>
                </w:p>
              </w:tc>
              <w:tc>
                <w:tcPr>
                  <w:tcW w:w="668" w:type="pct"/>
                  <w:vMerge w:val="restar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无组织废气</w:t>
                  </w:r>
                </w:p>
              </w:tc>
              <w:tc>
                <w:tcPr>
                  <w:tcW w:w="686" w:type="pct"/>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105" w:leftChars="-50" w:right="-105" w:rightChars="-50"/>
                    <w:jc w:val="center"/>
                    <w:rPr>
                      <w:color w:val="auto"/>
                      <w:szCs w:val="21"/>
                    </w:rPr>
                  </w:pPr>
                  <w:r>
                    <w:rPr>
                      <w:rFonts w:hint="eastAsia"/>
                      <w:color w:val="auto"/>
                      <w:szCs w:val="21"/>
                    </w:rPr>
                    <w:t>颗粒物</w:t>
                  </w:r>
                </w:p>
              </w:tc>
              <w:tc>
                <w:tcPr>
                  <w:tcW w:w="865"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default" w:eastAsia="宋体"/>
                      <w:color w:val="auto"/>
                      <w:kern w:val="0"/>
                      <w:szCs w:val="21"/>
                      <w:lang w:val="en-US" w:eastAsia="zh-CN"/>
                    </w:rPr>
                  </w:pPr>
                  <w:r>
                    <w:rPr>
                      <w:rFonts w:hint="eastAsia"/>
                      <w:color w:val="auto"/>
                      <w:kern w:val="0"/>
                      <w:szCs w:val="21"/>
                      <w:lang w:val="en-US" w:eastAsia="zh-CN"/>
                    </w:rPr>
                    <w:t>0.03</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rFonts w:hint="eastAsia" w:eastAsia="宋体"/>
                      <w:color w:val="auto"/>
                      <w:szCs w:val="21"/>
                      <w:lang w:val="en-US" w:eastAsia="zh-CN"/>
                    </w:rPr>
                  </w:pPr>
                  <w:r>
                    <w:rPr>
                      <w:rFonts w:hint="eastAsia"/>
                      <w:color w:val="auto"/>
                      <w:szCs w:val="21"/>
                      <w:lang w:val="en-US" w:eastAsia="zh-CN"/>
                    </w:rPr>
                    <w:t>0</w:t>
                  </w:r>
                </w:p>
              </w:tc>
              <w:tc>
                <w:tcPr>
                  <w:tcW w:w="718"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eastAsia" w:eastAsia="宋体"/>
                      <w:color w:val="auto"/>
                      <w:szCs w:val="21"/>
                      <w:lang w:val="en-US" w:eastAsia="zh-CN"/>
                    </w:rPr>
                  </w:pPr>
                  <w:r>
                    <w:rPr>
                      <w:rFonts w:hint="eastAsia"/>
                      <w:color w:val="auto"/>
                      <w:szCs w:val="21"/>
                      <w:lang w:val="en-US" w:eastAsia="zh-CN"/>
                    </w:rPr>
                    <w:t>/</w:t>
                  </w:r>
                </w:p>
              </w:tc>
              <w:tc>
                <w:tcPr>
                  <w:tcW w:w="720"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default" w:eastAsia="宋体"/>
                      <w:color w:val="auto"/>
                      <w:szCs w:val="21"/>
                      <w:lang w:val="en-US" w:eastAsia="zh-CN"/>
                    </w:rPr>
                  </w:pPr>
                  <w:r>
                    <w:rPr>
                      <w:rFonts w:hint="eastAsia"/>
                      <w:color w:val="auto"/>
                      <w:szCs w:val="21"/>
                      <w:lang w:val="en-US" w:eastAsia="zh-CN"/>
                    </w:rPr>
                    <w:t>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5" w:type="pct"/>
                  <w:vMerge w:val="continue"/>
                  <w:vAlign w:val="center"/>
                </w:tcPr>
                <w:p>
                  <w:pPr>
                    <w:keepNext w:val="0"/>
                    <w:keepLines w:val="0"/>
                    <w:pageBreakBefore w:val="0"/>
                    <w:kinsoku/>
                    <w:wordWrap/>
                    <w:overflowPunct/>
                    <w:topLinePunct w:val="0"/>
                    <w:autoSpaceDE/>
                    <w:autoSpaceDN/>
                    <w:bidi w:val="0"/>
                    <w:spacing w:before="63" w:beforeLines="20" w:after="63" w:afterLines="20"/>
                    <w:rPr>
                      <w:color w:val="000000" w:themeColor="text1"/>
                      <w:szCs w:val="21"/>
                      <w14:textFill>
                        <w14:solidFill>
                          <w14:schemeClr w14:val="tx1"/>
                        </w14:solidFill>
                      </w14:textFill>
                    </w:rPr>
                  </w:pPr>
                </w:p>
              </w:tc>
              <w:tc>
                <w:tcPr>
                  <w:tcW w:w="668" w:type="pct"/>
                  <w:vMerge w:val="continue"/>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p>
              </w:tc>
              <w:tc>
                <w:tcPr>
                  <w:tcW w:w="686" w:type="pct"/>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105" w:leftChars="-50" w:right="-105" w:rightChars="-50"/>
                    <w:jc w:val="center"/>
                    <w:rPr>
                      <w:rFonts w:hint="eastAsia" w:eastAsia="宋体"/>
                      <w:color w:val="auto"/>
                      <w:szCs w:val="21"/>
                      <w:lang w:eastAsia="zh-CN"/>
                    </w:rPr>
                  </w:pPr>
                  <w:r>
                    <w:rPr>
                      <w:rFonts w:hint="eastAsia"/>
                      <w:color w:val="auto"/>
                      <w:szCs w:val="21"/>
                      <w:lang w:eastAsia="zh-CN"/>
                    </w:rPr>
                    <w:t>非甲烷总烃</w:t>
                  </w:r>
                </w:p>
              </w:tc>
              <w:tc>
                <w:tcPr>
                  <w:tcW w:w="865"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default" w:eastAsia="宋体"/>
                      <w:color w:val="auto"/>
                      <w:szCs w:val="21"/>
                      <w:lang w:val="en-US" w:eastAsia="zh-CN"/>
                    </w:rPr>
                  </w:pPr>
                  <w:r>
                    <w:rPr>
                      <w:rFonts w:hint="eastAsia"/>
                      <w:color w:val="auto"/>
                      <w:szCs w:val="21"/>
                      <w:lang w:val="en-US" w:eastAsia="zh-CN"/>
                    </w:rPr>
                    <w:t>0.001</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rFonts w:hint="eastAsia" w:eastAsia="宋体"/>
                      <w:color w:val="auto"/>
                      <w:szCs w:val="21"/>
                      <w:lang w:val="en-US" w:eastAsia="zh-CN"/>
                    </w:rPr>
                  </w:pPr>
                  <w:r>
                    <w:rPr>
                      <w:rFonts w:hint="eastAsia"/>
                      <w:color w:val="auto"/>
                      <w:szCs w:val="21"/>
                      <w:lang w:val="en-US" w:eastAsia="zh-CN"/>
                    </w:rPr>
                    <w:t>0</w:t>
                  </w:r>
                </w:p>
              </w:tc>
              <w:tc>
                <w:tcPr>
                  <w:tcW w:w="718"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eastAsia" w:eastAsia="宋体"/>
                      <w:color w:val="auto"/>
                      <w:szCs w:val="21"/>
                      <w:lang w:val="en-US" w:eastAsia="zh-CN"/>
                    </w:rPr>
                  </w:pPr>
                  <w:r>
                    <w:rPr>
                      <w:rFonts w:hint="eastAsia"/>
                      <w:color w:val="auto"/>
                      <w:szCs w:val="21"/>
                      <w:lang w:val="en-US" w:eastAsia="zh-CN"/>
                    </w:rPr>
                    <w:t>/</w:t>
                  </w:r>
                </w:p>
              </w:tc>
              <w:tc>
                <w:tcPr>
                  <w:tcW w:w="720"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default" w:eastAsia="宋体"/>
                      <w:color w:val="auto"/>
                      <w:szCs w:val="21"/>
                      <w:lang w:val="en-US" w:eastAsia="zh-CN"/>
                    </w:rPr>
                  </w:pPr>
                  <w:r>
                    <w:rPr>
                      <w:rFonts w:hint="eastAsia"/>
                      <w:color w:val="auto"/>
                      <w:szCs w:val="21"/>
                      <w:lang w:val="en-US" w:eastAsia="zh-CN"/>
                    </w:rPr>
                    <w:t>0.001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5" w:type="pct"/>
                  <w:vMerge w:val="restar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固废</w:t>
                  </w:r>
                </w:p>
              </w:tc>
              <w:tc>
                <w:tcPr>
                  <w:tcW w:w="1354" w:type="pct"/>
                  <w:gridSpan w:val="2"/>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生活垃圾</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rFonts w:hint="default" w:eastAsia="宋体"/>
                      <w:szCs w:val="21"/>
                      <w:lang w:val="en-US" w:eastAsia="zh-CN"/>
                    </w:rPr>
                  </w:pPr>
                  <w:r>
                    <w:rPr>
                      <w:rFonts w:hint="eastAsia"/>
                      <w:szCs w:val="21"/>
                      <w:lang w:val="en-US" w:eastAsia="zh-CN"/>
                    </w:rPr>
                    <w:t>7.5</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rFonts w:hint="default" w:eastAsia="宋体"/>
                      <w:color w:val="000000" w:themeColor="text1"/>
                      <w:szCs w:val="21"/>
                      <w:lang w:val="en-US" w:eastAsia="zh-CN"/>
                      <w14:textFill>
                        <w14:solidFill>
                          <w14:schemeClr w14:val="tx1"/>
                        </w14:solidFill>
                      </w14:textFill>
                    </w:rPr>
                  </w:pPr>
                  <w:r>
                    <w:rPr>
                      <w:rFonts w:hint="eastAsia"/>
                      <w:szCs w:val="21"/>
                      <w:lang w:val="en-US" w:eastAsia="zh-CN"/>
                    </w:rPr>
                    <w:t>7.5</w:t>
                  </w:r>
                </w:p>
              </w:tc>
              <w:tc>
                <w:tcPr>
                  <w:tcW w:w="718" w:type="pc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720" w:type="pc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5" w:type="pct"/>
                  <w:vMerge w:val="continue"/>
                  <w:vAlign w:val="center"/>
                </w:tcPr>
                <w:p>
                  <w:pPr>
                    <w:keepNext w:val="0"/>
                    <w:keepLines w:val="0"/>
                    <w:pageBreakBefore w:val="0"/>
                    <w:kinsoku/>
                    <w:wordWrap/>
                    <w:overflowPunct/>
                    <w:topLinePunct w:val="0"/>
                    <w:autoSpaceDE/>
                    <w:autoSpaceDN/>
                    <w:bidi w:val="0"/>
                    <w:spacing w:before="63" w:beforeLines="20" w:after="63" w:afterLines="20"/>
                    <w:rPr>
                      <w:color w:val="000000" w:themeColor="text1"/>
                      <w:szCs w:val="21"/>
                      <w14:textFill>
                        <w14:solidFill>
                          <w14:schemeClr w14:val="tx1"/>
                        </w14:solidFill>
                      </w14:textFill>
                    </w:rPr>
                  </w:pPr>
                </w:p>
              </w:tc>
              <w:tc>
                <w:tcPr>
                  <w:tcW w:w="1354" w:type="pct"/>
                  <w:gridSpan w:val="2"/>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一般固废</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rFonts w:hint="default" w:eastAsia="宋体"/>
                      <w:szCs w:val="21"/>
                      <w:lang w:val="en-US" w:eastAsia="zh-CN"/>
                    </w:rPr>
                  </w:pPr>
                  <w:r>
                    <w:rPr>
                      <w:rFonts w:hint="eastAsia"/>
                      <w:szCs w:val="21"/>
                      <w:lang w:val="en-US" w:eastAsia="zh-CN"/>
                    </w:rPr>
                    <w:t>0.43</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rFonts w:hint="eastAsia"/>
                      <w:szCs w:val="21"/>
                    </w:rPr>
                    <w:t>10.5</w:t>
                  </w:r>
                </w:p>
              </w:tc>
              <w:tc>
                <w:tcPr>
                  <w:tcW w:w="718" w:type="pc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720" w:type="pc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5" w:type="pct"/>
                  <w:vMerge w:val="continue"/>
                  <w:vAlign w:val="center"/>
                </w:tcPr>
                <w:p>
                  <w:pPr>
                    <w:keepNext w:val="0"/>
                    <w:keepLines w:val="0"/>
                    <w:pageBreakBefore w:val="0"/>
                    <w:kinsoku/>
                    <w:wordWrap/>
                    <w:overflowPunct/>
                    <w:topLinePunct w:val="0"/>
                    <w:autoSpaceDE/>
                    <w:autoSpaceDN/>
                    <w:bidi w:val="0"/>
                    <w:spacing w:before="63" w:beforeLines="20" w:after="63" w:afterLines="20"/>
                    <w:rPr>
                      <w:color w:val="000000" w:themeColor="text1"/>
                      <w:szCs w:val="21"/>
                      <w14:textFill>
                        <w14:solidFill>
                          <w14:schemeClr w14:val="tx1"/>
                        </w14:solidFill>
                      </w14:textFill>
                    </w:rPr>
                  </w:pPr>
                </w:p>
              </w:tc>
              <w:tc>
                <w:tcPr>
                  <w:tcW w:w="1354" w:type="pct"/>
                  <w:gridSpan w:val="2"/>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危险固废</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color w:val="FF0000"/>
                      <w:szCs w:val="21"/>
                    </w:rPr>
                  </w:pPr>
                  <w:r>
                    <w:rPr>
                      <w:rFonts w:hint="eastAsia"/>
                      <w:szCs w:val="21"/>
                      <w:lang w:val="en-US" w:eastAsia="zh-CN"/>
                    </w:rPr>
                    <w:t>0.926</w:t>
                  </w:r>
                  <w:r>
                    <w:rPr>
                      <w:rFonts w:hint="eastAsia"/>
                      <w:szCs w:val="21"/>
                    </w:rPr>
                    <w:t>t/a+</w:t>
                  </w:r>
                  <w:r>
                    <w:rPr>
                      <w:rFonts w:hint="eastAsia"/>
                      <w:szCs w:val="21"/>
                      <w:lang w:val="en-US" w:eastAsia="zh-CN"/>
                    </w:rPr>
                    <w:t>10</w:t>
                  </w:r>
                  <w:r>
                    <w:rPr>
                      <w:rFonts w:hint="eastAsia"/>
                      <w:szCs w:val="21"/>
                    </w:rPr>
                    <w:t>只/a</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color w:val="FF0000"/>
                      <w:szCs w:val="21"/>
                    </w:rPr>
                  </w:pPr>
                  <w:r>
                    <w:rPr>
                      <w:rFonts w:hint="eastAsia"/>
                      <w:szCs w:val="21"/>
                      <w:lang w:val="en-US" w:eastAsia="zh-CN"/>
                    </w:rPr>
                    <w:t>0.926</w:t>
                  </w:r>
                  <w:r>
                    <w:rPr>
                      <w:rFonts w:hint="eastAsia"/>
                      <w:szCs w:val="21"/>
                    </w:rPr>
                    <w:t>t/a+</w:t>
                  </w:r>
                  <w:r>
                    <w:rPr>
                      <w:rFonts w:hint="eastAsia"/>
                      <w:szCs w:val="21"/>
                      <w:lang w:val="en-US" w:eastAsia="zh-CN"/>
                    </w:rPr>
                    <w:t>10</w:t>
                  </w:r>
                  <w:r>
                    <w:rPr>
                      <w:rFonts w:hint="eastAsia"/>
                      <w:szCs w:val="21"/>
                    </w:rPr>
                    <w:t>只/a</w:t>
                  </w:r>
                </w:p>
              </w:tc>
              <w:tc>
                <w:tcPr>
                  <w:tcW w:w="718" w:type="pc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720" w:type="pc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r>
          </w:tbl>
          <w:p>
            <w:pPr>
              <w:tabs>
                <w:tab w:val="left" w:pos="1367"/>
              </w:tabs>
              <w:ind w:firstLine="480" w:firstLineChars="200"/>
              <w:jc w:val="center"/>
              <w:rPr>
                <w:b/>
                <w:kern w:val="0"/>
                <w:sz w:val="24"/>
                <w:szCs w:val="24"/>
                <w:lang w:bidi="ar"/>
              </w:rPr>
            </w:pPr>
          </w:p>
          <w:p>
            <w:pPr>
              <w:tabs>
                <w:tab w:val="left" w:pos="1367"/>
              </w:tabs>
              <w:spacing w:line="360" w:lineRule="auto"/>
              <w:ind w:firstLine="480" w:firstLineChars="200"/>
              <w:rPr>
                <w:b/>
                <w:sz w:val="24"/>
              </w:rPr>
            </w:pPr>
            <w:r>
              <w:rPr>
                <w:rFonts w:hint="eastAsia"/>
                <w:sz w:val="24"/>
              </w:rPr>
              <w:t>2</w:t>
            </w:r>
            <w:r>
              <w:rPr>
                <w:rFonts w:hint="eastAsia"/>
                <w:b/>
                <w:sz w:val="24"/>
              </w:rPr>
              <w:t>、污染物总量平衡方案</w:t>
            </w:r>
          </w:p>
          <w:p>
            <w:pPr>
              <w:tabs>
                <w:tab w:val="left" w:pos="1367"/>
              </w:tabs>
              <w:spacing w:line="360" w:lineRule="auto"/>
              <w:ind w:firstLine="480" w:firstLineChars="200"/>
              <w:rPr>
                <w:color w:val="000000" w:themeColor="text1"/>
                <w:sz w:val="24"/>
                <w14:textFill>
                  <w14:solidFill>
                    <w14:schemeClr w14:val="tx1"/>
                  </w14:solidFill>
                </w14:textFill>
              </w:rPr>
            </w:pPr>
            <w:r>
              <w:rPr>
                <w:rFonts w:hint="eastAsia"/>
                <w:sz w:val="24"/>
              </w:rPr>
              <w:t>建设单位向金坛区环保局申请总量，污染物排放量应在金坛区内平衡。</w:t>
            </w:r>
          </w:p>
        </w:tc>
      </w:tr>
    </w:tbl>
    <w:p>
      <w:pPr>
        <w:pStyle w:val="23"/>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建设项目工程分析</w:t>
      </w:r>
    </w:p>
    <w:tbl>
      <w:tblPr>
        <w:tblStyle w:val="17"/>
        <w:tblW w:w="852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12" w:space="0"/>
        </w:tblBorders>
        <w:tblLayout w:type="fixed"/>
        <w:tblCellMar>
          <w:top w:w="0" w:type="dxa"/>
          <w:left w:w="108" w:type="dxa"/>
          <w:bottom w:w="0" w:type="dxa"/>
          <w:right w:w="108" w:type="dxa"/>
        </w:tblCellMar>
      </w:tblPr>
      <w:tblGrid>
        <w:gridCol w:w="852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12" w:space="0"/>
          </w:tblBorders>
          <w:tblCellMar>
            <w:top w:w="0" w:type="dxa"/>
            <w:left w:w="108" w:type="dxa"/>
            <w:bottom w:w="0" w:type="dxa"/>
            <w:right w:w="108" w:type="dxa"/>
          </w:tblCellMar>
        </w:tblPrEx>
        <w:trPr>
          <w:trHeight w:val="13166" w:hRule="atLeast"/>
          <w:jc w:val="center"/>
        </w:trPr>
        <w:tc>
          <w:tcPr>
            <w:tcW w:w="8528" w:type="dxa"/>
          </w:tcPr>
          <w:p>
            <w:pPr>
              <w:snapToGrid w:val="0"/>
              <w:rPr>
                <w:b/>
                <w:color w:val="000000" w:themeColor="text1"/>
                <w:sz w:val="10"/>
                <w14:textFill>
                  <w14:solidFill>
                    <w14:schemeClr w14:val="tx1"/>
                  </w14:solidFill>
                </w14:textFill>
              </w:rPr>
            </w:pPr>
          </w:p>
          <w:p>
            <w:pPr>
              <w:widowControl/>
              <w:spacing w:line="360" w:lineRule="auto"/>
              <w:ind w:firstLine="480" w:firstLineChars="200"/>
              <w:jc w:val="left"/>
              <w:rPr>
                <w:b/>
                <w:color w:val="000000" w:themeColor="text1"/>
                <w:kern w:val="0"/>
                <w:sz w:val="24"/>
                <w14:textFill>
                  <w14:solidFill>
                    <w14:schemeClr w14:val="tx1"/>
                  </w14:solidFill>
                </w14:textFill>
              </w:rPr>
            </w:pPr>
            <w:r>
              <w:rPr>
                <w:rFonts w:hint="eastAsia"/>
                <w:b/>
                <w:color w:val="000000" w:themeColor="text1"/>
                <w:kern w:val="0"/>
                <w:sz w:val="24"/>
                <w14:textFill>
                  <w14:solidFill>
                    <w14:schemeClr w14:val="tx1"/>
                  </w14:solidFill>
                </w14:textFill>
              </w:rPr>
              <w:t>一</w:t>
            </w:r>
            <w:r>
              <w:rPr>
                <w:b/>
                <w:color w:val="000000" w:themeColor="text1"/>
                <w:kern w:val="0"/>
                <w:sz w:val="24"/>
                <w14:textFill>
                  <w14:solidFill>
                    <w14:schemeClr w14:val="tx1"/>
                  </w14:solidFill>
                </w14:textFill>
              </w:rPr>
              <w:t>、</w:t>
            </w:r>
            <w:r>
              <w:rPr>
                <w:rFonts w:hint="eastAsia"/>
                <w:b/>
                <w:color w:val="000000" w:themeColor="text1"/>
                <w:kern w:val="0"/>
                <w:sz w:val="24"/>
                <w14:textFill>
                  <w14:solidFill>
                    <w14:schemeClr w14:val="tx1"/>
                  </w14:solidFill>
                </w14:textFill>
              </w:rPr>
              <w:t>工程</w:t>
            </w:r>
            <w:r>
              <w:rPr>
                <w:b/>
                <w:color w:val="000000" w:themeColor="text1"/>
                <w:kern w:val="0"/>
                <w:sz w:val="24"/>
                <w14:textFill>
                  <w14:solidFill>
                    <w14:schemeClr w14:val="tx1"/>
                  </w14:solidFill>
                </w14:textFill>
              </w:rPr>
              <w:t>分析：</w:t>
            </w:r>
          </w:p>
          <w:p>
            <w:pPr>
              <w:adjustRightInd w:val="0"/>
              <w:snapToGrid w:val="0"/>
              <w:spacing w:line="360" w:lineRule="auto"/>
              <w:ind w:firstLine="480" w:firstLineChars="200"/>
              <w:jc w:val="left"/>
              <w:textAlignment w:val="baseline"/>
              <w:rPr>
                <w:color w:val="000000" w:themeColor="text1"/>
                <w:spacing w:val="-2"/>
                <w:kern w:val="28"/>
                <w:sz w:val="24"/>
                <w14:textFill>
                  <w14:solidFill>
                    <w14:schemeClr w14:val="tx1"/>
                  </w14:solidFill>
                </w14:textFill>
              </w:rPr>
            </w:pPr>
            <w:r>
              <w:rPr>
                <w:rFonts w:hint="eastAsia"/>
                <w:color w:val="000000" w:themeColor="text1"/>
                <w:sz w:val="24"/>
                <w14:textFill>
                  <w14:solidFill>
                    <w14:schemeClr w14:val="tx1"/>
                  </w14:solidFill>
                </w14:textFill>
              </w:rPr>
              <w:t>本项目</w:t>
            </w:r>
            <w:r>
              <w:rPr>
                <w:rFonts w:hint="eastAsia"/>
                <w:color w:val="000000" w:themeColor="text1"/>
                <w:spacing w:val="-2"/>
                <w:kern w:val="28"/>
                <w:sz w:val="24"/>
                <w14:textFill>
                  <w14:solidFill>
                    <w14:schemeClr w14:val="tx1"/>
                  </w14:solidFill>
                </w14:textFill>
              </w:rPr>
              <w:t>工程分析包括施工期和营运期。</w:t>
            </w:r>
          </w:p>
          <w:p>
            <w:pPr>
              <w:numPr>
                <w:ilvl w:val="0"/>
                <w:numId w:val="2"/>
              </w:numPr>
              <w:adjustRightInd w:val="0"/>
              <w:snapToGrid w:val="0"/>
              <w:spacing w:line="360" w:lineRule="auto"/>
              <w:ind w:firstLine="480" w:firstLineChars="200"/>
              <w:jc w:val="left"/>
              <w:textAlignment w:val="baseline"/>
              <w:rPr>
                <w:b/>
                <w:color w:val="000000" w:themeColor="text1"/>
                <w:kern w:val="0"/>
                <w:sz w:val="24"/>
                <w14:textFill>
                  <w14:solidFill>
                    <w14:schemeClr w14:val="tx1"/>
                  </w14:solidFill>
                </w14:textFill>
              </w:rPr>
            </w:pPr>
            <w:r>
              <w:rPr>
                <w:rFonts w:hint="eastAsia"/>
                <w:b/>
                <w:color w:val="000000" w:themeColor="text1"/>
                <w:kern w:val="0"/>
                <w:sz w:val="24"/>
                <w14:textFill>
                  <w14:solidFill>
                    <w14:schemeClr w14:val="tx1"/>
                  </w14:solidFill>
                </w14:textFill>
              </w:rPr>
              <w:t>施工期</w:t>
            </w:r>
          </w:p>
          <w:p>
            <w:pPr>
              <w:adjustRightInd w:val="0"/>
              <w:snapToGrid w:val="0"/>
              <w:spacing w:line="360" w:lineRule="auto"/>
              <w:ind w:firstLine="472" w:firstLineChars="200"/>
              <w:jc w:val="left"/>
              <w:textAlignment w:val="baseline"/>
              <w:rPr>
                <w:color w:val="000000" w:themeColor="text1"/>
                <w:spacing w:val="-2"/>
                <w:kern w:val="28"/>
                <w:sz w:val="24"/>
                <w14:textFill>
                  <w14:solidFill>
                    <w14:schemeClr w14:val="tx1"/>
                  </w14:solidFill>
                </w14:textFill>
              </w:rPr>
            </w:pPr>
            <w:r>
              <w:rPr>
                <w:rFonts w:hint="eastAsia"/>
                <w:color w:val="000000" w:themeColor="text1"/>
                <w:spacing w:val="-2"/>
                <w:kern w:val="28"/>
                <w:sz w:val="24"/>
                <w14:textFill>
                  <w14:solidFill>
                    <w14:schemeClr w14:val="tx1"/>
                  </w14:solidFill>
                </w14:textFill>
              </w:rPr>
              <w:t>本项目租赁现有厂房，</w:t>
            </w:r>
            <w:r>
              <w:rPr>
                <w:color w:val="000000" w:themeColor="text1"/>
                <w:kern w:val="24"/>
                <w:sz w:val="24"/>
                <w14:textFill>
                  <w14:solidFill>
                    <w14:schemeClr w14:val="tx1"/>
                  </w14:solidFill>
                </w14:textFill>
              </w:rPr>
              <w:t>施工期</w:t>
            </w:r>
            <w:r>
              <w:rPr>
                <w:rFonts w:hint="eastAsia"/>
                <w:color w:val="000000" w:themeColor="text1"/>
                <w:kern w:val="24"/>
                <w:sz w:val="24"/>
                <w14:textFill>
                  <w14:solidFill>
                    <w14:schemeClr w14:val="tx1"/>
                  </w14:solidFill>
                </w14:textFill>
              </w:rPr>
              <w:t>无大型土木工程，</w:t>
            </w:r>
            <w:r>
              <w:rPr>
                <w:color w:val="000000" w:themeColor="text1"/>
                <w:kern w:val="24"/>
                <w:sz w:val="24"/>
                <w14:textFill>
                  <w14:solidFill>
                    <w14:schemeClr w14:val="tx1"/>
                  </w14:solidFill>
                </w14:textFill>
              </w:rPr>
              <w:t>仅进行</w:t>
            </w:r>
            <w:r>
              <w:rPr>
                <w:rFonts w:hint="eastAsia"/>
                <w:color w:val="000000" w:themeColor="text1"/>
                <w:kern w:val="24"/>
                <w:sz w:val="24"/>
                <w14:textFill>
                  <w14:solidFill>
                    <w14:schemeClr w14:val="tx1"/>
                  </w14:solidFill>
                </w14:textFill>
              </w:rPr>
              <w:t>施工装饰，</w:t>
            </w:r>
            <w:r>
              <w:rPr>
                <w:color w:val="000000" w:themeColor="text1"/>
                <w:kern w:val="24"/>
                <w:sz w:val="24"/>
                <w14:textFill>
                  <w14:solidFill>
                    <w14:schemeClr w14:val="tx1"/>
                  </w14:solidFill>
                </w14:textFill>
              </w:rPr>
              <w:t>设备安装、调试。</w:t>
            </w:r>
            <w:r>
              <w:rPr>
                <w:rFonts w:hint="eastAsia"/>
                <w:color w:val="000000" w:themeColor="text1"/>
                <w:kern w:val="24"/>
                <w:sz w:val="24"/>
                <w14:textFill>
                  <w14:solidFill>
                    <w14:schemeClr w14:val="tx1"/>
                  </w14:solidFill>
                </w14:textFill>
              </w:rPr>
              <w:t>施工期较为简单，本次不再重点阐述。</w:t>
            </w:r>
          </w:p>
          <w:p>
            <w:pPr>
              <w:numPr>
                <w:ilvl w:val="0"/>
                <w:numId w:val="3"/>
              </w:numPr>
              <w:spacing w:line="360" w:lineRule="auto"/>
              <w:ind w:firstLine="480" w:firstLineChars="200"/>
              <w:rPr>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营运期</w:t>
            </w:r>
          </w:p>
          <w:p>
            <w:pPr>
              <w:spacing w:line="360" w:lineRule="auto"/>
              <w:ind w:firstLine="480"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本项目产品为</w:t>
            </w:r>
            <w:r>
              <w:rPr>
                <w:rFonts w:hint="eastAsia"/>
                <w:color w:val="000000" w:themeColor="text1"/>
                <w:sz w:val="24"/>
                <w:szCs w:val="24"/>
                <w:lang w:eastAsia="zh-CN"/>
                <w14:textFill>
                  <w14:solidFill>
                    <w14:schemeClr w14:val="tx1"/>
                  </w14:solidFill>
                </w14:textFill>
              </w:rPr>
              <w:t>减速器和机械零部件，均为外购成品部件，在厂内喷塑、组装</w:t>
            </w:r>
            <w:r>
              <w:rPr>
                <w:rFonts w:hint="eastAsia"/>
                <w:color w:val="000000" w:themeColor="text1"/>
                <w:sz w:val="24"/>
                <w:szCs w:val="24"/>
                <w14:textFill>
                  <w14:solidFill>
                    <w14:schemeClr w14:val="tx1"/>
                  </w14:solidFill>
                </w14:textFill>
              </w:rPr>
              <w:t>。工艺流程如下：</w:t>
            </w:r>
          </w:p>
          <w:p>
            <w:pPr>
              <w:pStyle w:val="6"/>
              <w:jc w:val="center"/>
              <w:rPr>
                <w:rFonts w:ascii="Times New Roman" w:hAnsi="Times New Roman"/>
                <w:bCs w:val="0"/>
                <w:color w:val="000000" w:themeColor="text1"/>
                <w:kern w:val="2"/>
                <w:sz w:val="21"/>
                <w:szCs w:val="21"/>
                <w14:textFill>
                  <w14:solidFill>
                    <w14:schemeClr w14:val="tx1"/>
                  </w14:solidFill>
                </w14:textFill>
              </w:rPr>
            </w:pPr>
            <w:r>
              <w:rPr>
                <w:sz w:val="21"/>
              </w:rPr>
              <mc:AlternateContent>
                <mc:Choice Requires="wpg">
                  <w:drawing>
                    <wp:anchor distT="0" distB="0" distL="114300" distR="114300" simplePos="0" relativeHeight="251681792" behindDoc="0" locked="0" layoutInCell="1" allowOverlap="1">
                      <wp:simplePos x="0" y="0"/>
                      <wp:positionH relativeFrom="column">
                        <wp:posOffset>422910</wp:posOffset>
                      </wp:positionH>
                      <wp:positionV relativeFrom="paragraph">
                        <wp:posOffset>50165</wp:posOffset>
                      </wp:positionV>
                      <wp:extent cx="4310380" cy="2968625"/>
                      <wp:effectExtent l="0" t="0" r="0" b="22225"/>
                      <wp:wrapNone/>
                      <wp:docPr id="71" name="组合 71"/>
                      <wp:cNvGraphicFramePr/>
                      <a:graphic xmlns:a="http://schemas.openxmlformats.org/drawingml/2006/main">
                        <a:graphicData uri="http://schemas.microsoft.com/office/word/2010/wordprocessingGroup">
                          <wpg:wgp>
                            <wpg:cNvGrpSpPr/>
                            <wpg:grpSpPr>
                              <a:xfrm>
                                <a:off x="0" y="0"/>
                                <a:ext cx="4310380" cy="2968625"/>
                                <a:chOff x="3587" y="502289"/>
                                <a:chExt cx="6788" cy="4675"/>
                              </a:xfrm>
                            </wpg:grpSpPr>
                            <wps:wsp>
                              <wps:cNvPr id="2" name="文本框 2"/>
                              <wps:cNvSpPr txBox="1"/>
                              <wps:spPr>
                                <a:xfrm>
                                  <a:off x="5623" y="502289"/>
                                  <a:ext cx="2019" cy="434"/>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jc w:val="center"/>
                                      <w:rPr>
                                        <w:rFonts w:hint="eastAsia" w:ascii="Times New Roman" w:hAnsi="Times New Roman" w:eastAsia="宋体"/>
                                        <w:b w:val="0"/>
                                        <w:color w:val="000000" w:themeColor="text1"/>
                                        <w:kern w:val="2"/>
                                        <w:sz w:val="21"/>
                                        <w:szCs w:val="21"/>
                                        <w:lang w:eastAsia="zh-CN"/>
                                        <w14:textFill>
                                          <w14:solidFill>
                                            <w14:schemeClr w14:val="tx1"/>
                                          </w14:solidFill>
                                        </w14:textFill>
                                      </w:rPr>
                                    </w:pPr>
                                    <w:r>
                                      <w:rPr>
                                        <w:rFonts w:hint="eastAsia" w:ascii="Times New Roman" w:hAnsi="Times New Roman"/>
                                        <w:b w:val="0"/>
                                        <w:color w:val="000000" w:themeColor="text1"/>
                                        <w:kern w:val="2"/>
                                        <w:sz w:val="21"/>
                                        <w:szCs w:val="21"/>
                                        <w:lang w:eastAsia="zh-CN"/>
                                        <w14:textFill>
                                          <w14:solidFill>
                                            <w14:schemeClr w14:val="tx1"/>
                                          </w14:solidFill>
                                        </w14:textFill>
                                      </w:rPr>
                                      <w:t>机壳、成品零部件</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 name="直接箭头连接符 3"/>
                              <wps:cNvCnPr/>
                              <wps:spPr>
                                <a:xfrm>
                                  <a:off x="6588" y="502749"/>
                                  <a:ext cx="2" cy="616"/>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5" name="文本框 5"/>
                              <wps:cNvSpPr txBox="1"/>
                              <wps:spPr>
                                <a:xfrm>
                                  <a:off x="5886" y="503350"/>
                                  <a:ext cx="1394" cy="434"/>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pStyle w:val="6"/>
                                      <w:jc w:val="center"/>
                                      <w:rPr>
                                        <w:rFonts w:hint="eastAsia" w:ascii="Times New Roman" w:hAnsi="Times New Roman" w:eastAsia="宋体"/>
                                        <w:b w:val="0"/>
                                        <w:color w:val="000000" w:themeColor="text1"/>
                                        <w:kern w:val="2"/>
                                        <w:sz w:val="21"/>
                                        <w:szCs w:val="21"/>
                                        <w:lang w:eastAsia="zh-CN"/>
                                        <w14:textFill>
                                          <w14:solidFill>
                                            <w14:schemeClr w14:val="tx1"/>
                                          </w14:solidFill>
                                        </w14:textFill>
                                      </w:rPr>
                                    </w:pPr>
                                    <w:r>
                                      <w:rPr>
                                        <w:rFonts w:hint="eastAsia" w:ascii="Times New Roman" w:hAnsi="Times New Roman"/>
                                        <w:b w:val="0"/>
                                        <w:color w:val="000000" w:themeColor="text1"/>
                                        <w:kern w:val="2"/>
                                        <w:sz w:val="21"/>
                                        <w:szCs w:val="21"/>
                                        <w:lang w:eastAsia="zh-CN"/>
                                        <w14:textFill>
                                          <w14:solidFill>
                                            <w14:schemeClr w14:val="tx1"/>
                                          </w14:solidFill>
                                        </w14:textFill>
                                      </w:rPr>
                                      <w:t>喷塑</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 name="直接箭头连接符 15"/>
                              <wps:cNvCnPr/>
                              <wps:spPr>
                                <a:xfrm>
                                  <a:off x="6605" y="503829"/>
                                  <a:ext cx="2" cy="616"/>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6" name="文本框 16"/>
                              <wps:cNvSpPr txBox="1"/>
                              <wps:spPr>
                                <a:xfrm>
                                  <a:off x="5856" y="504430"/>
                                  <a:ext cx="1394" cy="434"/>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pStyle w:val="6"/>
                                      <w:jc w:val="center"/>
                                      <w:rPr>
                                        <w:rFonts w:hint="eastAsia" w:ascii="Times New Roman" w:hAnsi="Times New Roman" w:eastAsia="宋体"/>
                                        <w:b w:val="0"/>
                                        <w:color w:val="000000" w:themeColor="text1"/>
                                        <w:kern w:val="2"/>
                                        <w:sz w:val="21"/>
                                        <w:szCs w:val="21"/>
                                        <w:lang w:eastAsia="zh-CN"/>
                                        <w14:textFill>
                                          <w14:solidFill>
                                            <w14:schemeClr w14:val="tx1"/>
                                          </w14:solidFill>
                                        </w14:textFill>
                                      </w:rPr>
                                    </w:pPr>
                                    <w:r>
                                      <w:rPr>
                                        <w:rFonts w:hint="eastAsia" w:ascii="Times New Roman" w:hAnsi="Times New Roman"/>
                                        <w:b w:val="0"/>
                                        <w:color w:val="000000" w:themeColor="text1"/>
                                        <w:kern w:val="2"/>
                                        <w:sz w:val="21"/>
                                        <w:szCs w:val="21"/>
                                        <w:lang w:eastAsia="zh-CN"/>
                                        <w14:textFill>
                                          <w14:solidFill>
                                            <w14:schemeClr w14:val="tx1"/>
                                          </w14:solidFill>
                                        </w14:textFill>
                                      </w:rPr>
                                      <w:t>烘干</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7" name="直接箭头连接符 17"/>
                              <wps:cNvCnPr>
                                <a:endCxn id="19" idx="0"/>
                              </wps:cNvCnPr>
                              <wps:spPr>
                                <a:xfrm flipH="1">
                                  <a:off x="6583" y="504864"/>
                                  <a:ext cx="15" cy="601"/>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9" name="文本框 19"/>
                              <wps:cNvSpPr txBox="1"/>
                              <wps:spPr>
                                <a:xfrm>
                                  <a:off x="5886" y="505465"/>
                                  <a:ext cx="1394" cy="434"/>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pStyle w:val="6"/>
                                      <w:jc w:val="center"/>
                                      <w:rPr>
                                        <w:rFonts w:hint="eastAsia" w:ascii="Times New Roman" w:hAnsi="Times New Roman" w:eastAsia="宋体"/>
                                        <w:b w:val="0"/>
                                        <w:color w:val="000000" w:themeColor="text1"/>
                                        <w:kern w:val="2"/>
                                        <w:sz w:val="21"/>
                                        <w:szCs w:val="21"/>
                                        <w:lang w:eastAsia="zh-CN"/>
                                        <w14:textFill>
                                          <w14:solidFill>
                                            <w14:schemeClr w14:val="tx1"/>
                                          </w14:solidFill>
                                        </w14:textFill>
                                      </w:rPr>
                                    </w:pPr>
                                    <w:r>
                                      <w:rPr>
                                        <w:rFonts w:hint="eastAsia" w:ascii="Times New Roman" w:hAnsi="Times New Roman"/>
                                        <w:b w:val="0"/>
                                        <w:color w:val="000000" w:themeColor="text1"/>
                                        <w:kern w:val="2"/>
                                        <w:sz w:val="21"/>
                                        <w:szCs w:val="21"/>
                                        <w:lang w:eastAsia="zh-CN"/>
                                        <w14:textFill>
                                          <w14:solidFill>
                                            <w14:schemeClr w14:val="tx1"/>
                                          </w14:solidFill>
                                        </w14:textFill>
                                      </w:rPr>
                                      <w:t>组装</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0" name="直接箭头连接符 20"/>
                              <wps:cNvCnPr/>
                              <wps:spPr>
                                <a:xfrm>
                                  <a:off x="6583" y="505974"/>
                                  <a:ext cx="2" cy="519"/>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21" name="文本框 21"/>
                              <wps:cNvSpPr txBox="1"/>
                              <wps:spPr>
                                <a:xfrm>
                                  <a:off x="5916" y="506530"/>
                                  <a:ext cx="1394" cy="434"/>
                                </a:xfrm>
                                <a:prstGeom prst="rect">
                                  <a:avLst/>
                                </a:prstGeom>
                                <a:no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pStyle w:val="6"/>
                                      <w:jc w:val="center"/>
                                      <w:rPr>
                                        <w:rFonts w:hint="eastAsia" w:ascii="Times New Roman" w:hAnsi="Times New Roman" w:eastAsia="宋体"/>
                                        <w:b w:val="0"/>
                                        <w:color w:val="000000" w:themeColor="text1"/>
                                        <w:kern w:val="2"/>
                                        <w:sz w:val="21"/>
                                        <w:szCs w:val="21"/>
                                        <w:lang w:eastAsia="zh-CN"/>
                                        <w14:textFill>
                                          <w14:solidFill>
                                            <w14:schemeClr w14:val="tx1"/>
                                          </w14:solidFill>
                                        </w14:textFill>
                                      </w:rPr>
                                    </w:pPr>
                                    <w:r>
                                      <w:rPr>
                                        <w:rFonts w:hint="eastAsia" w:ascii="Times New Roman" w:hAnsi="Times New Roman"/>
                                        <w:b w:val="0"/>
                                        <w:color w:val="000000" w:themeColor="text1"/>
                                        <w:kern w:val="2"/>
                                        <w:sz w:val="21"/>
                                        <w:szCs w:val="21"/>
                                        <w:lang w:eastAsia="zh-CN"/>
                                        <w14:textFill>
                                          <w14:solidFill>
                                            <w14:schemeClr w14:val="tx1"/>
                                          </w14:solidFill>
                                        </w14:textFill>
                                      </w:rPr>
                                      <w:t>入库待售</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8" name="直接箭头连接符 28"/>
                              <wps:cNvCnPr/>
                              <wps:spPr>
                                <a:xfrm>
                                  <a:off x="7347" y="503582"/>
                                  <a:ext cx="625" cy="5"/>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29" name="文本框 29"/>
                              <wps:cNvSpPr txBox="1"/>
                              <wps:spPr>
                                <a:xfrm>
                                  <a:off x="7977" y="502975"/>
                                  <a:ext cx="1664" cy="110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b w:val="0"/>
                                        <w:color w:val="000000" w:themeColor="text1"/>
                                        <w:kern w:val="2"/>
                                        <w:sz w:val="21"/>
                                        <w:szCs w:val="21"/>
                                        <w14:textFill>
                                          <w14:solidFill>
                                            <w14:schemeClr w14:val="tx1"/>
                                          </w14:solidFill>
                                        </w14:textFill>
                                      </w:rPr>
                                    </w:pPr>
                                    <w:r>
                                      <w:rPr>
                                        <w:rFonts w:hint="eastAsia" w:ascii="Times New Roman" w:hAnsi="Times New Roman"/>
                                        <w:b w:val="0"/>
                                        <w:color w:val="000000" w:themeColor="text1"/>
                                        <w:kern w:val="2"/>
                                        <w:sz w:val="21"/>
                                        <w:szCs w:val="21"/>
                                        <w14:textFill>
                                          <w14:solidFill>
                                            <w14:schemeClr w14:val="tx1"/>
                                          </w14:solidFill>
                                        </w14:textFill>
                                      </w:rPr>
                                      <w:t>G1</w:t>
                                    </w:r>
                                    <w:r>
                                      <w:rPr>
                                        <w:rFonts w:hint="eastAsia" w:ascii="Times New Roman" w:hAnsi="Times New Roman"/>
                                        <w:b w:val="0"/>
                                        <w:color w:val="000000" w:themeColor="text1"/>
                                        <w:kern w:val="2"/>
                                        <w:sz w:val="21"/>
                                        <w:szCs w:val="21"/>
                                        <w:lang w:eastAsia="zh-CN"/>
                                        <w14:textFill>
                                          <w14:solidFill>
                                            <w14:schemeClr w14:val="tx1"/>
                                          </w14:solidFill>
                                        </w14:textFill>
                                      </w:rPr>
                                      <w:t>喷塑</w:t>
                                    </w:r>
                                    <w:r>
                                      <w:rPr>
                                        <w:rFonts w:hint="eastAsia" w:ascii="Times New Roman" w:hAnsi="Times New Roman"/>
                                        <w:b w:val="0"/>
                                        <w:color w:val="000000" w:themeColor="text1"/>
                                        <w:kern w:val="2"/>
                                        <w:sz w:val="21"/>
                                        <w:szCs w:val="21"/>
                                        <w14:textFill>
                                          <w14:solidFill>
                                            <w14:schemeClr w14:val="tx1"/>
                                          </w14:solidFill>
                                        </w14:textFill>
                                      </w:rPr>
                                      <w:t>粉尘</w:t>
                                    </w:r>
                                  </w:p>
                                  <w:p>
                                    <w:pPr>
                                      <w:pStyle w:val="2"/>
                                      <w:keepNext w:val="0"/>
                                      <w:keepLines w:val="0"/>
                                      <w:pageBreakBefore w:val="0"/>
                                      <w:kinsoku/>
                                      <w:wordWrap/>
                                      <w:overflowPunct/>
                                      <w:topLinePunct w:val="0"/>
                                      <w:autoSpaceDE/>
                                      <w:autoSpaceDN/>
                                      <w:bidi w:val="0"/>
                                      <w:adjustRightInd/>
                                      <w:snapToGrid/>
                                      <w:spacing w:after="0" w:line="240" w:lineRule="auto"/>
                                      <w:textAlignment w:val="auto"/>
                                      <w:rPr>
                                        <w:rFonts w:hint="eastAsia"/>
                                        <w:b w:val="0"/>
                                        <w:color w:val="000000" w:themeColor="text1"/>
                                        <w:kern w:val="2"/>
                                        <w:sz w:val="21"/>
                                        <w:szCs w:val="21"/>
                                        <w:lang w:val="en-US" w:eastAsia="zh-CN"/>
                                        <w14:textFill>
                                          <w14:solidFill>
                                            <w14:schemeClr w14:val="tx1"/>
                                          </w14:solidFill>
                                        </w14:textFill>
                                      </w:rPr>
                                    </w:pPr>
                                    <w:r>
                                      <w:rPr>
                                        <w:rFonts w:hint="eastAsia"/>
                                        <w:b w:val="0"/>
                                        <w:color w:val="000000" w:themeColor="text1"/>
                                        <w:kern w:val="2"/>
                                        <w:sz w:val="21"/>
                                        <w:szCs w:val="21"/>
                                        <w:lang w:val="en-US" w:eastAsia="zh-CN"/>
                                        <w14:textFill>
                                          <w14:solidFill>
                                            <w14:schemeClr w14:val="tx1"/>
                                          </w14:solidFill>
                                        </w14:textFill>
                                      </w:rPr>
                                      <w:t>S1 废塑粉</w:t>
                                    </w:r>
                                  </w:p>
                                  <w:p>
                                    <w:pPr>
                                      <w:pStyle w:val="2"/>
                                      <w:keepNext w:val="0"/>
                                      <w:keepLines w:val="0"/>
                                      <w:pageBreakBefore w:val="0"/>
                                      <w:kinsoku/>
                                      <w:wordWrap/>
                                      <w:overflowPunct/>
                                      <w:topLinePunct w:val="0"/>
                                      <w:autoSpaceDE/>
                                      <w:autoSpaceDN/>
                                      <w:bidi w:val="0"/>
                                      <w:adjustRightInd/>
                                      <w:snapToGrid/>
                                      <w:spacing w:after="0" w:line="240" w:lineRule="auto"/>
                                      <w:textAlignment w:val="auto"/>
                                      <w:rPr>
                                        <w:rFonts w:hint="default"/>
                                        <w:b w:val="0"/>
                                        <w:color w:val="000000" w:themeColor="text1"/>
                                        <w:kern w:val="2"/>
                                        <w:sz w:val="21"/>
                                        <w:szCs w:val="21"/>
                                        <w:lang w:val="en-US" w:eastAsia="zh-CN"/>
                                        <w14:textFill>
                                          <w14:solidFill>
                                            <w14:schemeClr w14:val="tx1"/>
                                          </w14:solidFill>
                                        </w14:textFill>
                                      </w:rPr>
                                    </w:pPr>
                                    <w:r>
                                      <w:rPr>
                                        <w:rFonts w:hint="eastAsia"/>
                                        <w:b w:val="0"/>
                                        <w:color w:val="000000" w:themeColor="text1"/>
                                        <w:kern w:val="2"/>
                                        <w:sz w:val="21"/>
                                        <w:szCs w:val="21"/>
                                        <w:lang w:val="en-US" w:eastAsia="zh-CN"/>
                                        <w14:textFill>
                                          <w14:solidFill>
                                            <w14:schemeClr w14:val="tx1"/>
                                          </w14:solidFill>
                                        </w14:textFill>
                                      </w:rPr>
                                      <w:t>N设备噪声</w:t>
                                    </w:r>
                                  </w:p>
                                  <w:p>
                                    <w:pPr>
                                      <w:pStyle w:val="3"/>
                                      <w:rPr>
                                        <w:rFonts w:hint="default"/>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0" name="直接箭头连接符 30"/>
                              <wps:cNvCnPr/>
                              <wps:spPr>
                                <a:xfrm>
                                  <a:off x="7355" y="504647"/>
                                  <a:ext cx="625" cy="5"/>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9" name="文本框 9"/>
                              <wps:cNvSpPr txBox="1"/>
                              <wps:spPr>
                                <a:xfrm>
                                  <a:off x="3587" y="504410"/>
                                  <a:ext cx="1499" cy="421"/>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jc w:val="center"/>
                                      <w:rPr>
                                        <w:rFonts w:hint="eastAsia" w:ascii="Times New Roman" w:hAnsi="Times New Roman" w:eastAsia="宋体"/>
                                        <w:b w:val="0"/>
                                        <w:color w:val="000000" w:themeColor="text1"/>
                                        <w:kern w:val="2"/>
                                        <w:sz w:val="21"/>
                                        <w:szCs w:val="21"/>
                                        <w:lang w:eastAsia="zh-CN"/>
                                        <w14:textFill>
                                          <w14:solidFill>
                                            <w14:schemeClr w14:val="tx1"/>
                                          </w14:solidFill>
                                        </w14:textFill>
                                      </w:rPr>
                                    </w:pPr>
                                    <w:r>
                                      <w:rPr>
                                        <w:rFonts w:hint="eastAsia" w:ascii="Times New Roman" w:hAnsi="Times New Roman"/>
                                        <w:b w:val="0"/>
                                        <w:color w:val="000000" w:themeColor="text1"/>
                                        <w:kern w:val="2"/>
                                        <w:sz w:val="21"/>
                                        <w:szCs w:val="21"/>
                                        <w:lang w:eastAsia="zh-CN"/>
                                        <w14:textFill>
                                          <w14:solidFill>
                                            <w14:schemeClr w14:val="tx1"/>
                                          </w14:solidFill>
                                        </w14:textFill>
                                      </w:rPr>
                                      <w:t>热源：天然气</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8" name="直接箭头连接符 8"/>
                              <wps:cNvCnPr/>
                              <wps:spPr>
                                <a:xfrm flipV="1">
                                  <a:off x="4993" y="504647"/>
                                  <a:ext cx="857" cy="7"/>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31" name="文本框 31"/>
                              <wps:cNvSpPr txBox="1"/>
                              <wps:spPr>
                                <a:xfrm>
                                  <a:off x="7978" y="504145"/>
                                  <a:ext cx="2397" cy="1107"/>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color w:val="000000" w:themeColor="text1"/>
                                        <w:szCs w:val="21"/>
                                        <w:lang w:eastAsia="zh-CN"/>
                                        <w14:textFill>
                                          <w14:solidFill>
                                            <w14:schemeClr w14:val="tx1"/>
                                          </w14:solidFill>
                                        </w14:textFill>
                                      </w:rPr>
                                    </w:pPr>
                                    <w:r>
                                      <w:rPr>
                                        <w:rFonts w:hint="eastAsia" w:ascii="Times New Roman" w:hAnsi="Times New Roman"/>
                                        <w:b w:val="0"/>
                                        <w:color w:val="000000" w:themeColor="text1"/>
                                        <w:kern w:val="2"/>
                                        <w:sz w:val="21"/>
                                        <w:szCs w:val="21"/>
                                        <w14:textFill>
                                          <w14:solidFill>
                                            <w14:schemeClr w14:val="tx1"/>
                                          </w14:solidFill>
                                        </w14:textFill>
                                      </w:rPr>
                                      <w:t xml:space="preserve">G2 </w:t>
                                    </w:r>
                                    <w:r>
                                      <w:rPr>
                                        <w:rFonts w:hint="eastAsia" w:ascii="Times New Roman" w:hAnsi="Times New Roman"/>
                                        <w:b w:val="0"/>
                                        <w:color w:val="000000" w:themeColor="text1"/>
                                        <w:kern w:val="2"/>
                                        <w:sz w:val="21"/>
                                        <w:szCs w:val="21"/>
                                        <w:lang w:eastAsia="zh-CN"/>
                                        <w14:textFill>
                                          <w14:solidFill>
                                            <w14:schemeClr w14:val="tx1"/>
                                          </w14:solidFill>
                                        </w14:textFill>
                                      </w:rPr>
                                      <w:t>固化废气</w:t>
                                    </w:r>
                                  </w:p>
                                  <w:p>
                                    <w:pPr>
                                      <w:pStyle w:val="24"/>
                                      <w:ind w:firstLine="0" w:firstLineChars="0"/>
                                      <w:jc w:val="left"/>
                                      <w:rPr>
                                        <w:rFonts w:hint="eastAsia"/>
                                        <w:lang w:val="en-US" w:eastAsia="zh-CN"/>
                                      </w:rPr>
                                    </w:pPr>
                                    <w:r>
                                      <w:rPr>
                                        <w:rFonts w:hint="eastAsia" w:ascii="Times New Roman" w:hAnsi="Times New Roman" w:cs="Times New Roman"/>
                                        <w:lang w:val="en-US" w:eastAsia="zh-CN"/>
                                      </w:rPr>
                                      <w:t>G3</w:t>
                                    </w:r>
                                    <w:r>
                                      <w:rPr>
                                        <w:rFonts w:hint="default" w:ascii="Times New Roman" w:hAnsi="Times New Roman" w:cs="Times New Roman"/>
                                        <w:lang w:val="en-US" w:eastAsia="zh-CN"/>
                                      </w:rPr>
                                      <w:t xml:space="preserve"> </w:t>
                                    </w:r>
                                    <w:r>
                                      <w:rPr>
                                        <w:rFonts w:hint="eastAsia"/>
                                        <w:lang w:val="en-US" w:eastAsia="zh-CN"/>
                                      </w:rPr>
                                      <w:t>天然气燃烧废气</w:t>
                                    </w:r>
                                  </w:p>
                                  <w:p>
                                    <w:pPr>
                                      <w:pStyle w:val="24"/>
                                      <w:ind w:firstLine="0" w:firstLineChars="0"/>
                                      <w:jc w:val="left"/>
                                      <w:rPr>
                                        <w:rFonts w:hint="default" w:ascii="Times New Roman" w:hAnsi="Times New Roman" w:eastAsia="宋体" w:cs="Times New Roman"/>
                                        <w:lang w:val="en-US" w:eastAsia="zh-CN"/>
                                      </w:rPr>
                                    </w:pPr>
                                    <w:r>
                                      <w:rPr>
                                        <w:rFonts w:hint="default" w:ascii="Times New Roman" w:hAnsi="Times New Roman" w:cs="Times New Roman"/>
                                        <w:lang w:val="en-US" w:eastAsia="zh-CN"/>
                                      </w:rPr>
                                      <w:t>N设备噪声</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33.3pt;margin-top:3.95pt;height:233.75pt;width:339.4pt;z-index:251681792;mso-width-relative:page;mso-height-relative:page;" coordorigin="3587,502289" coordsize="6788,4675" o:gfxdata="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">
                      <o:lock v:ext="edit" aspectratio="f"/>
                      <v:shape id="_x0000_s1026" o:spid="_x0000_s1026" o:spt="202" type="#_x0000_t202" style="position:absolute;left:5623;top:502289;height:434;width:2019;" filled="f" stroked="f" coordsize="21600,21600" o:gfxdata="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OgsWi8AAAA&#10;2gAAAA8AAAAAAAAAAQAgAAAAIgAAAGRycy9kb3ducmV2LnhtbFBLAQIUABQAAAAIAIdO4kAzLwWe&#10;OwAAADkAAAAQAAAAAAAAAAEAIAAAAAsBAABkcnMvc2hhcGV4bWwueG1sUEsFBgAAAAAGAAYAWwEA&#10;ALUDAAAAAA==&#10;">
                        <v:fill on="f" focussize="0,0"/>
                        <v:stroke on="f" weight="0.5pt"/>
                        <v:imagedata o:title=""/>
                        <o:lock v:ext="edit" aspectratio="f"/>
                        <v:textbox>
                          <w:txbxContent>
                            <w:p>
                              <w:pPr>
                                <w:pStyle w:val="6"/>
                                <w:jc w:val="center"/>
                                <w:rPr>
                                  <w:rFonts w:hint="eastAsia" w:ascii="Times New Roman" w:hAnsi="Times New Roman" w:eastAsia="宋体"/>
                                  <w:b w:val="0"/>
                                  <w:color w:val="000000" w:themeColor="text1"/>
                                  <w:kern w:val="2"/>
                                  <w:sz w:val="21"/>
                                  <w:szCs w:val="21"/>
                                  <w:lang w:eastAsia="zh-CN"/>
                                  <w14:textFill>
                                    <w14:solidFill>
                                      <w14:schemeClr w14:val="tx1"/>
                                    </w14:solidFill>
                                  </w14:textFill>
                                </w:rPr>
                              </w:pPr>
                              <w:r>
                                <w:rPr>
                                  <w:rFonts w:hint="eastAsia" w:ascii="Times New Roman" w:hAnsi="Times New Roman"/>
                                  <w:b w:val="0"/>
                                  <w:color w:val="000000" w:themeColor="text1"/>
                                  <w:kern w:val="2"/>
                                  <w:sz w:val="21"/>
                                  <w:szCs w:val="21"/>
                                  <w:lang w:eastAsia="zh-CN"/>
                                  <w14:textFill>
                                    <w14:solidFill>
                                      <w14:schemeClr w14:val="tx1"/>
                                    </w14:solidFill>
                                  </w14:textFill>
                                </w:rPr>
                                <w:t>机壳、成品零部件</w:t>
                              </w:r>
                            </w:p>
                          </w:txbxContent>
                        </v:textbox>
                      </v:shape>
                      <v:shape id="_x0000_s1026" o:spid="_x0000_s1026" o:spt="32" type="#_x0000_t32" style="position:absolute;left:6588;top:502749;height:616;width:2;" filled="f" stroked="t" coordsize="21600,21600" o:gfxdata="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98uQW8AAAA&#10;2gAAAA8AAAAAAAAAAQAgAAAAIgAAAGRycy9kb3ducmV2LnhtbFBLAQIUABQAAAAIAIdO4kAzLwWe&#10;OwAAADkAAAAQAAAAAAAAAAEAIAAAAAsBAABkcnMvc2hhcGV4bWwueG1sUEsFBgAAAAAGAAYAWwEA&#10;ALUDAAAAAA==&#10;">
                        <v:fill on="f" focussize="0,0"/>
                        <v:stroke weight="0.5pt" color="#000000 [3213]" miterlimit="8" joinstyle="miter" endarrow="block"/>
                        <v:imagedata o:title=""/>
                        <o:lock v:ext="edit" aspectratio="f"/>
                      </v:shape>
                      <v:shape id="_x0000_s1026" o:spid="_x0000_s1026" o:spt="202" type="#_x0000_t202" style="position:absolute;left:5886;top:503350;height:434;width:1394;" filled="f" stroked="t" coordsize="21600,21600" o:gfxdata="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hvJxL4A&#10;AADaAAAADwAAAAAAAAABACAAAAAiAAAAZHJzL2Rvd25yZXYueG1sUEsBAhQAFAAAAAgAh07iQDMv&#10;BZ47AAAAOQAAABAAAAAAAAAAAQAgAAAADQEAAGRycy9zaGFwZXhtbC54bWxQSwUGAAAAAAYABgBb&#10;AQAAtwMAAAAA&#10;">
                        <v:fill on="f" focussize="0,0"/>
                        <v:stroke weight="0.5pt" color="#000000 [3204]" joinstyle="round"/>
                        <v:imagedata o:title=""/>
                        <o:lock v:ext="edit" aspectratio="f"/>
                        <v:textbox>
                          <w:txbxContent>
                            <w:p>
                              <w:pPr>
                                <w:pStyle w:val="6"/>
                                <w:jc w:val="center"/>
                                <w:rPr>
                                  <w:rFonts w:hint="eastAsia" w:ascii="Times New Roman" w:hAnsi="Times New Roman" w:eastAsia="宋体"/>
                                  <w:b w:val="0"/>
                                  <w:color w:val="000000" w:themeColor="text1"/>
                                  <w:kern w:val="2"/>
                                  <w:sz w:val="21"/>
                                  <w:szCs w:val="21"/>
                                  <w:lang w:eastAsia="zh-CN"/>
                                  <w14:textFill>
                                    <w14:solidFill>
                                      <w14:schemeClr w14:val="tx1"/>
                                    </w14:solidFill>
                                  </w14:textFill>
                                </w:rPr>
                              </w:pPr>
                              <w:r>
                                <w:rPr>
                                  <w:rFonts w:hint="eastAsia" w:ascii="Times New Roman" w:hAnsi="Times New Roman"/>
                                  <w:b w:val="0"/>
                                  <w:color w:val="000000" w:themeColor="text1"/>
                                  <w:kern w:val="2"/>
                                  <w:sz w:val="21"/>
                                  <w:szCs w:val="21"/>
                                  <w:lang w:eastAsia="zh-CN"/>
                                  <w14:textFill>
                                    <w14:solidFill>
                                      <w14:schemeClr w14:val="tx1"/>
                                    </w14:solidFill>
                                  </w14:textFill>
                                </w:rPr>
                                <w:t>喷塑</w:t>
                              </w:r>
                            </w:p>
                          </w:txbxContent>
                        </v:textbox>
                      </v:shape>
                      <v:shape id="_x0000_s1026" o:spid="_x0000_s1026" o:spt="32" type="#_x0000_t32" style="position:absolute;left:6605;top:503829;height:616;width:2;" filled="f" stroked="t" coordsize="21600,21600" o:gfxdata="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QzDV7sAAADb&#10;AAAADwAAAAAAAAABACAAAAAiAAAAZHJzL2Rvd25yZXYueG1sUEsBAhQAFAAAAAgAh07iQDMvBZ47&#10;AAAAOQAAABAAAAAAAAAAAQAgAAAACgEAAGRycy9zaGFwZXhtbC54bWxQSwUGAAAAAAYABgBbAQAA&#10;tAMAAAAA&#10;">
                        <v:fill on="f" focussize="0,0"/>
                        <v:stroke weight="0.5pt" color="#000000 [3213]" miterlimit="8" joinstyle="miter" endarrow="block"/>
                        <v:imagedata o:title=""/>
                        <o:lock v:ext="edit" aspectratio="f"/>
                      </v:shape>
                      <v:shape id="_x0000_s1026" o:spid="_x0000_s1026" o:spt="202" type="#_x0000_t202" style="position:absolute;left:5856;top:504430;height:434;width:1394;" filled="f" stroked="t" coordsize="21600,21600" o:gfxdata="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3iqCG8AAAA&#10;2wAAAA8AAAAAAAAAAQAgAAAAIgAAAGRycy9kb3ducmV2LnhtbFBLAQIUABQAAAAIAIdO4kAzLwWe&#10;OwAAADkAAAAQAAAAAAAAAAEAIAAAAAsBAABkcnMvc2hhcGV4bWwueG1sUEsFBgAAAAAGAAYAWwEA&#10;ALUDAAAAAA==&#10;">
                        <v:fill on="f" focussize="0,0"/>
                        <v:stroke weight="0.5pt" color="#000000 [3204]" joinstyle="round"/>
                        <v:imagedata o:title=""/>
                        <o:lock v:ext="edit" aspectratio="f"/>
                        <v:textbox>
                          <w:txbxContent>
                            <w:p>
                              <w:pPr>
                                <w:pStyle w:val="6"/>
                                <w:jc w:val="center"/>
                                <w:rPr>
                                  <w:rFonts w:hint="eastAsia" w:ascii="Times New Roman" w:hAnsi="Times New Roman" w:eastAsia="宋体"/>
                                  <w:b w:val="0"/>
                                  <w:color w:val="000000" w:themeColor="text1"/>
                                  <w:kern w:val="2"/>
                                  <w:sz w:val="21"/>
                                  <w:szCs w:val="21"/>
                                  <w:lang w:eastAsia="zh-CN"/>
                                  <w14:textFill>
                                    <w14:solidFill>
                                      <w14:schemeClr w14:val="tx1"/>
                                    </w14:solidFill>
                                  </w14:textFill>
                                </w:rPr>
                              </w:pPr>
                              <w:r>
                                <w:rPr>
                                  <w:rFonts w:hint="eastAsia" w:ascii="Times New Roman" w:hAnsi="Times New Roman"/>
                                  <w:b w:val="0"/>
                                  <w:color w:val="000000" w:themeColor="text1"/>
                                  <w:kern w:val="2"/>
                                  <w:sz w:val="21"/>
                                  <w:szCs w:val="21"/>
                                  <w:lang w:eastAsia="zh-CN"/>
                                  <w14:textFill>
                                    <w14:solidFill>
                                      <w14:schemeClr w14:val="tx1"/>
                                    </w14:solidFill>
                                  </w14:textFill>
                                </w:rPr>
                                <w:t>烘干</w:t>
                              </w:r>
                            </w:p>
                          </w:txbxContent>
                        </v:textbox>
                      </v:shape>
                      <v:shape id="_x0000_s1026" o:spid="_x0000_s1026" o:spt="32" type="#_x0000_t32" style="position:absolute;left:6583;top:504864;flip:x;height:601;width:15;" filled="f" stroked="t" coordsize="21600,21600" o:gfxdata="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RU+Zq8AAAA&#10;2wAAAA8AAAAAAAAAAQAgAAAAIgAAAGRycy9kb3ducmV2LnhtbFBLAQIUABQAAAAIAIdO4kAzLwWe&#10;OwAAADkAAAAQAAAAAAAAAAEAIAAAAAsBAABkcnMvc2hhcGV4bWwueG1sUEsFBgAAAAAGAAYAWwEA&#10;ALUDAAAAAA==&#10;">
                        <v:fill on="f" focussize="0,0"/>
                        <v:stroke weight="0.5pt" color="#000000 [3213]" miterlimit="8" joinstyle="miter" endarrow="block"/>
                        <v:imagedata o:title=""/>
                        <o:lock v:ext="edit" aspectratio="f"/>
                      </v:shape>
                      <v:shape id="_x0000_s1026" o:spid="_x0000_s1026" o:spt="202" type="#_x0000_t202" style="position:absolute;left:5886;top:505465;height:434;width:1394;" filled="f" stroked="t" coordsize="21600,21600" o:gfxdata="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fTxTvQAA&#10;ANsAAAAPAAAAAAAAAAEAIAAAACIAAABkcnMvZG93bnJldi54bWxQSwECFAAUAAAACACHTuJAMy8F&#10;njsAAAA5AAAAEAAAAAAAAAABACAAAAAMAQAAZHJzL3NoYXBleG1sLnhtbFBLBQYAAAAABgAGAFsB&#10;AAC2AwAAAAA=&#10;">
                        <v:fill on="f" focussize="0,0"/>
                        <v:stroke weight="0.5pt" color="#000000 [3204]" joinstyle="round"/>
                        <v:imagedata o:title=""/>
                        <o:lock v:ext="edit" aspectratio="f"/>
                        <v:textbox>
                          <w:txbxContent>
                            <w:p>
                              <w:pPr>
                                <w:pStyle w:val="6"/>
                                <w:jc w:val="center"/>
                                <w:rPr>
                                  <w:rFonts w:hint="eastAsia" w:ascii="Times New Roman" w:hAnsi="Times New Roman" w:eastAsia="宋体"/>
                                  <w:b w:val="0"/>
                                  <w:color w:val="000000" w:themeColor="text1"/>
                                  <w:kern w:val="2"/>
                                  <w:sz w:val="21"/>
                                  <w:szCs w:val="21"/>
                                  <w:lang w:eastAsia="zh-CN"/>
                                  <w14:textFill>
                                    <w14:solidFill>
                                      <w14:schemeClr w14:val="tx1"/>
                                    </w14:solidFill>
                                  </w14:textFill>
                                </w:rPr>
                              </w:pPr>
                              <w:r>
                                <w:rPr>
                                  <w:rFonts w:hint="eastAsia" w:ascii="Times New Roman" w:hAnsi="Times New Roman"/>
                                  <w:b w:val="0"/>
                                  <w:color w:val="000000" w:themeColor="text1"/>
                                  <w:kern w:val="2"/>
                                  <w:sz w:val="21"/>
                                  <w:szCs w:val="21"/>
                                  <w:lang w:eastAsia="zh-CN"/>
                                  <w14:textFill>
                                    <w14:solidFill>
                                      <w14:schemeClr w14:val="tx1"/>
                                    </w14:solidFill>
                                  </w14:textFill>
                                </w:rPr>
                                <w:t>组装</w:t>
                              </w:r>
                            </w:p>
                          </w:txbxContent>
                        </v:textbox>
                      </v:shape>
                      <v:shape id="_x0000_s1026" o:spid="_x0000_s1026" o:spt="32" type="#_x0000_t32" style="position:absolute;left:6583;top:505974;height:519;width:2;" filled="f" stroked="t" coordsize="21600,21600" o:gfxdata="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HF6pyugAAANsA&#10;AAAPAAAAAAAAAAEAIAAAACIAAABkcnMvZG93bnJldi54bWxQSwECFAAUAAAACACHTuJAMy8FnjsA&#10;AAA5AAAAEAAAAAAAAAABACAAAAAJAQAAZHJzL3NoYXBleG1sLnhtbFBLBQYAAAAABgAGAFsBAACz&#10;AwAAAAA=&#10;">
                        <v:fill on="f" focussize="0,0"/>
                        <v:stroke weight="0.5pt" color="#000000 [3213]" miterlimit="8" joinstyle="miter" endarrow="block"/>
                        <v:imagedata o:title=""/>
                        <o:lock v:ext="edit" aspectratio="f"/>
                      </v:shape>
                      <v:shape id="_x0000_s1026" o:spid="_x0000_s1026" o:spt="202" type="#_x0000_t202" style="position:absolute;left:5916;top:506530;height:434;width:1394;" filled="f" stroked="t" coordsize="21600,21600" o:gfxdata="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xn+ui/&#10;AAAA2wAAAA8AAAAAAAAAAQAgAAAAIgAAAGRycy9kb3ducmV2LnhtbFBLAQIUABQAAAAIAIdO4kAz&#10;LwWeOwAAADkAAAAQAAAAAAAAAAEAIAAAAA4BAABkcnMvc2hhcGV4bWwueG1sUEsFBgAAAAAGAAYA&#10;WwEAALgDAAAAAA==&#10;">
                        <v:fill on="f" focussize="0,0"/>
                        <v:stroke weight="0.5pt" color="#000000 [3204]" joinstyle="round"/>
                        <v:imagedata o:title=""/>
                        <o:lock v:ext="edit" aspectratio="f"/>
                        <v:textbox>
                          <w:txbxContent>
                            <w:p>
                              <w:pPr>
                                <w:pStyle w:val="6"/>
                                <w:jc w:val="center"/>
                                <w:rPr>
                                  <w:rFonts w:hint="eastAsia" w:ascii="Times New Roman" w:hAnsi="Times New Roman" w:eastAsia="宋体"/>
                                  <w:b w:val="0"/>
                                  <w:color w:val="000000" w:themeColor="text1"/>
                                  <w:kern w:val="2"/>
                                  <w:sz w:val="21"/>
                                  <w:szCs w:val="21"/>
                                  <w:lang w:eastAsia="zh-CN"/>
                                  <w14:textFill>
                                    <w14:solidFill>
                                      <w14:schemeClr w14:val="tx1"/>
                                    </w14:solidFill>
                                  </w14:textFill>
                                </w:rPr>
                              </w:pPr>
                              <w:r>
                                <w:rPr>
                                  <w:rFonts w:hint="eastAsia" w:ascii="Times New Roman" w:hAnsi="Times New Roman"/>
                                  <w:b w:val="0"/>
                                  <w:color w:val="000000" w:themeColor="text1"/>
                                  <w:kern w:val="2"/>
                                  <w:sz w:val="21"/>
                                  <w:szCs w:val="21"/>
                                  <w:lang w:eastAsia="zh-CN"/>
                                  <w14:textFill>
                                    <w14:solidFill>
                                      <w14:schemeClr w14:val="tx1"/>
                                    </w14:solidFill>
                                  </w14:textFill>
                                </w:rPr>
                                <w:t>入库待售</w:t>
                              </w:r>
                            </w:p>
                          </w:txbxContent>
                        </v:textbox>
                      </v:shape>
                      <v:shape id="_x0000_s1026" o:spid="_x0000_s1026" o:spt="32" type="#_x0000_t32" style="position:absolute;left:7347;top:503582;height:5;width:625;" filled="f" stroked="t" coordsize="21600,21600" o:gfxdata="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7HS9DugAAANsA&#10;AAAPAAAAAAAAAAEAIAAAACIAAABkcnMvZG93bnJldi54bWxQSwECFAAUAAAACACHTuJAMy8FnjsA&#10;AAA5AAAAEAAAAAAAAAABACAAAAAJAQAAZHJzL3NoYXBleG1sLnhtbFBLBQYAAAAABgAGAFsBAACz&#10;AwAAAAA=&#10;">
                        <v:fill on="f" focussize="0,0"/>
                        <v:stroke weight="0.5pt" color="#000000 [3213]" miterlimit="8" joinstyle="miter" dashstyle="dash" endarrow="block"/>
                        <v:imagedata o:title=""/>
                        <o:lock v:ext="edit" aspectratio="f"/>
                      </v:shape>
                      <v:shape id="_x0000_s1026" o:spid="_x0000_s1026" o:spt="202" type="#_x0000_t202" style="position:absolute;left:7977;top:502975;height:1106;width:1664;" filled="f" stroked="f" coordsize="21600,21600" o:gfxdata="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RyKq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pPr>
                                <w:pStyle w:val="6"/>
                                <w:keepNext w:val="0"/>
                                <w:keepLines w:val="0"/>
                                <w:pageBreakBefore w:val="0"/>
                                <w:kinsoku/>
                                <w:wordWrap/>
                                <w:overflowPunct/>
                                <w:topLinePunct w:val="0"/>
                                <w:autoSpaceDE/>
                                <w:autoSpaceDN/>
                                <w:bidi w:val="0"/>
                                <w:adjustRightInd/>
                                <w:snapToGrid/>
                                <w:spacing w:line="240" w:lineRule="auto"/>
                                <w:textAlignment w:val="auto"/>
                                <w:rPr>
                                  <w:rFonts w:hint="eastAsia" w:ascii="Times New Roman" w:hAnsi="Times New Roman"/>
                                  <w:b w:val="0"/>
                                  <w:color w:val="000000" w:themeColor="text1"/>
                                  <w:kern w:val="2"/>
                                  <w:sz w:val="21"/>
                                  <w:szCs w:val="21"/>
                                  <w14:textFill>
                                    <w14:solidFill>
                                      <w14:schemeClr w14:val="tx1"/>
                                    </w14:solidFill>
                                  </w14:textFill>
                                </w:rPr>
                              </w:pPr>
                              <w:r>
                                <w:rPr>
                                  <w:rFonts w:hint="eastAsia" w:ascii="Times New Roman" w:hAnsi="Times New Roman"/>
                                  <w:b w:val="0"/>
                                  <w:color w:val="000000" w:themeColor="text1"/>
                                  <w:kern w:val="2"/>
                                  <w:sz w:val="21"/>
                                  <w:szCs w:val="21"/>
                                  <w14:textFill>
                                    <w14:solidFill>
                                      <w14:schemeClr w14:val="tx1"/>
                                    </w14:solidFill>
                                  </w14:textFill>
                                </w:rPr>
                                <w:t>G1</w:t>
                              </w:r>
                              <w:r>
                                <w:rPr>
                                  <w:rFonts w:hint="eastAsia" w:ascii="Times New Roman" w:hAnsi="Times New Roman"/>
                                  <w:b w:val="0"/>
                                  <w:color w:val="000000" w:themeColor="text1"/>
                                  <w:kern w:val="2"/>
                                  <w:sz w:val="21"/>
                                  <w:szCs w:val="21"/>
                                  <w:lang w:eastAsia="zh-CN"/>
                                  <w14:textFill>
                                    <w14:solidFill>
                                      <w14:schemeClr w14:val="tx1"/>
                                    </w14:solidFill>
                                  </w14:textFill>
                                </w:rPr>
                                <w:t>喷塑</w:t>
                              </w:r>
                              <w:r>
                                <w:rPr>
                                  <w:rFonts w:hint="eastAsia" w:ascii="Times New Roman" w:hAnsi="Times New Roman"/>
                                  <w:b w:val="0"/>
                                  <w:color w:val="000000" w:themeColor="text1"/>
                                  <w:kern w:val="2"/>
                                  <w:sz w:val="21"/>
                                  <w:szCs w:val="21"/>
                                  <w14:textFill>
                                    <w14:solidFill>
                                      <w14:schemeClr w14:val="tx1"/>
                                    </w14:solidFill>
                                  </w14:textFill>
                                </w:rPr>
                                <w:t>粉尘</w:t>
                              </w:r>
                            </w:p>
                            <w:p>
                              <w:pPr>
                                <w:pStyle w:val="2"/>
                                <w:keepNext w:val="0"/>
                                <w:keepLines w:val="0"/>
                                <w:pageBreakBefore w:val="0"/>
                                <w:kinsoku/>
                                <w:wordWrap/>
                                <w:overflowPunct/>
                                <w:topLinePunct w:val="0"/>
                                <w:autoSpaceDE/>
                                <w:autoSpaceDN/>
                                <w:bidi w:val="0"/>
                                <w:adjustRightInd/>
                                <w:snapToGrid/>
                                <w:spacing w:after="0" w:line="240" w:lineRule="auto"/>
                                <w:textAlignment w:val="auto"/>
                                <w:rPr>
                                  <w:rFonts w:hint="eastAsia"/>
                                  <w:b w:val="0"/>
                                  <w:color w:val="000000" w:themeColor="text1"/>
                                  <w:kern w:val="2"/>
                                  <w:sz w:val="21"/>
                                  <w:szCs w:val="21"/>
                                  <w:lang w:val="en-US" w:eastAsia="zh-CN"/>
                                  <w14:textFill>
                                    <w14:solidFill>
                                      <w14:schemeClr w14:val="tx1"/>
                                    </w14:solidFill>
                                  </w14:textFill>
                                </w:rPr>
                              </w:pPr>
                              <w:r>
                                <w:rPr>
                                  <w:rFonts w:hint="eastAsia"/>
                                  <w:b w:val="0"/>
                                  <w:color w:val="000000" w:themeColor="text1"/>
                                  <w:kern w:val="2"/>
                                  <w:sz w:val="21"/>
                                  <w:szCs w:val="21"/>
                                  <w:lang w:val="en-US" w:eastAsia="zh-CN"/>
                                  <w14:textFill>
                                    <w14:solidFill>
                                      <w14:schemeClr w14:val="tx1"/>
                                    </w14:solidFill>
                                  </w14:textFill>
                                </w:rPr>
                                <w:t>S1 废塑粉</w:t>
                              </w:r>
                            </w:p>
                            <w:p>
                              <w:pPr>
                                <w:pStyle w:val="2"/>
                                <w:keepNext w:val="0"/>
                                <w:keepLines w:val="0"/>
                                <w:pageBreakBefore w:val="0"/>
                                <w:kinsoku/>
                                <w:wordWrap/>
                                <w:overflowPunct/>
                                <w:topLinePunct w:val="0"/>
                                <w:autoSpaceDE/>
                                <w:autoSpaceDN/>
                                <w:bidi w:val="0"/>
                                <w:adjustRightInd/>
                                <w:snapToGrid/>
                                <w:spacing w:after="0" w:line="240" w:lineRule="auto"/>
                                <w:textAlignment w:val="auto"/>
                                <w:rPr>
                                  <w:rFonts w:hint="default"/>
                                  <w:b w:val="0"/>
                                  <w:color w:val="000000" w:themeColor="text1"/>
                                  <w:kern w:val="2"/>
                                  <w:sz w:val="21"/>
                                  <w:szCs w:val="21"/>
                                  <w:lang w:val="en-US" w:eastAsia="zh-CN"/>
                                  <w14:textFill>
                                    <w14:solidFill>
                                      <w14:schemeClr w14:val="tx1"/>
                                    </w14:solidFill>
                                  </w14:textFill>
                                </w:rPr>
                              </w:pPr>
                              <w:r>
                                <w:rPr>
                                  <w:rFonts w:hint="eastAsia"/>
                                  <w:b w:val="0"/>
                                  <w:color w:val="000000" w:themeColor="text1"/>
                                  <w:kern w:val="2"/>
                                  <w:sz w:val="21"/>
                                  <w:szCs w:val="21"/>
                                  <w:lang w:val="en-US" w:eastAsia="zh-CN"/>
                                  <w14:textFill>
                                    <w14:solidFill>
                                      <w14:schemeClr w14:val="tx1"/>
                                    </w14:solidFill>
                                  </w14:textFill>
                                </w:rPr>
                                <w:t>N设备噪声</w:t>
                              </w:r>
                            </w:p>
                            <w:p>
                              <w:pPr>
                                <w:pStyle w:val="3"/>
                                <w:rPr>
                                  <w:rFonts w:hint="default"/>
                                  <w:lang w:val="en-US" w:eastAsia="zh-CN"/>
                                </w:rPr>
                              </w:pPr>
                            </w:p>
                          </w:txbxContent>
                        </v:textbox>
                      </v:shape>
                      <v:shape id="_x0000_s1026" o:spid="_x0000_s1026" o:spt="32" type="#_x0000_t32" style="position:absolute;left:7355;top:504647;height:5;width:625;" filled="f" stroked="t" coordsize="21600,21600" o:gfxdata="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AsrWYugAAANsA&#10;AAAPAAAAAAAAAAEAIAAAACIAAABkcnMvZG93bnJldi54bWxQSwECFAAUAAAACACHTuJAMy8FnjsA&#10;AAA5AAAAEAAAAAAAAAABACAAAAAJAQAAZHJzL3NoYXBleG1sLnhtbFBLBQYAAAAABgAGAFsBAACz&#10;AwAAAAA=&#10;">
                        <v:fill on="f" focussize="0,0"/>
                        <v:stroke weight="0.5pt" color="#000000 [3213]" miterlimit="8" joinstyle="miter" dashstyle="dash" endarrow="block"/>
                        <v:imagedata o:title=""/>
                        <o:lock v:ext="edit" aspectratio="f"/>
                      </v:shape>
                      <v:shape id="_x0000_s1026" o:spid="_x0000_s1026" o:spt="202" type="#_x0000_t202" style="position:absolute;left:3587;top:504410;height:421;width:1499;" filled="f" stroked="f" coordsize="21600,21600" o:gfxdata="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QQjGb4A&#10;AADa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pStyle w:val="6"/>
                                <w:jc w:val="center"/>
                                <w:rPr>
                                  <w:rFonts w:hint="eastAsia" w:ascii="Times New Roman" w:hAnsi="Times New Roman" w:eastAsia="宋体"/>
                                  <w:b w:val="0"/>
                                  <w:color w:val="000000" w:themeColor="text1"/>
                                  <w:kern w:val="2"/>
                                  <w:sz w:val="21"/>
                                  <w:szCs w:val="21"/>
                                  <w:lang w:eastAsia="zh-CN"/>
                                  <w14:textFill>
                                    <w14:solidFill>
                                      <w14:schemeClr w14:val="tx1"/>
                                    </w14:solidFill>
                                  </w14:textFill>
                                </w:rPr>
                              </w:pPr>
                              <w:r>
                                <w:rPr>
                                  <w:rFonts w:hint="eastAsia" w:ascii="Times New Roman" w:hAnsi="Times New Roman"/>
                                  <w:b w:val="0"/>
                                  <w:color w:val="000000" w:themeColor="text1"/>
                                  <w:kern w:val="2"/>
                                  <w:sz w:val="21"/>
                                  <w:szCs w:val="21"/>
                                  <w:lang w:eastAsia="zh-CN"/>
                                  <w14:textFill>
                                    <w14:solidFill>
                                      <w14:schemeClr w14:val="tx1"/>
                                    </w14:solidFill>
                                  </w14:textFill>
                                </w:rPr>
                                <w:t>热源：天然气</w:t>
                              </w:r>
                            </w:p>
                          </w:txbxContent>
                        </v:textbox>
                      </v:shape>
                      <v:shape id="_x0000_s1026" o:spid="_x0000_s1026" o:spt="32" type="#_x0000_t32" style="position:absolute;left:4993;top:504647;flip:y;height:7;width:857;" filled="f" stroked="t" coordsize="21600,21600" o:gfxdata="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FfxnBugAAANoA&#10;AAAPAAAAAAAAAAEAIAAAACIAAABkcnMvZG93bnJldi54bWxQSwECFAAUAAAACACHTuJAMy8FnjsA&#10;AAA5AAAAEAAAAAAAAAABACAAAAAJAQAAZHJzL3NoYXBleG1sLnhtbFBLBQYAAAAABgAGAFsBAACz&#10;AwAAAAA=&#10;">
                        <v:fill on="f" focussize="0,0"/>
                        <v:stroke weight="0.5pt" color="#000000 [3213]" miterlimit="8" joinstyle="miter" endarrow="block"/>
                        <v:imagedata o:title=""/>
                        <o:lock v:ext="edit" aspectratio="f"/>
                      </v:shape>
                      <v:shape id="_x0000_s1026" o:spid="_x0000_s1026" o:spt="202" type="#_x0000_t202" style="position:absolute;left:7978;top:504145;height:1107;width:2397;" filled="f" stroked="f" coordsize="21600,21600" o:gfxdata="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92we74A&#10;AADb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pPr>
                                <w:pStyle w:val="6"/>
                                <w:rPr>
                                  <w:rFonts w:hint="eastAsia" w:eastAsia="宋体"/>
                                  <w:color w:val="000000" w:themeColor="text1"/>
                                  <w:szCs w:val="21"/>
                                  <w:lang w:eastAsia="zh-CN"/>
                                  <w14:textFill>
                                    <w14:solidFill>
                                      <w14:schemeClr w14:val="tx1"/>
                                    </w14:solidFill>
                                  </w14:textFill>
                                </w:rPr>
                              </w:pPr>
                              <w:r>
                                <w:rPr>
                                  <w:rFonts w:hint="eastAsia" w:ascii="Times New Roman" w:hAnsi="Times New Roman"/>
                                  <w:b w:val="0"/>
                                  <w:color w:val="000000" w:themeColor="text1"/>
                                  <w:kern w:val="2"/>
                                  <w:sz w:val="21"/>
                                  <w:szCs w:val="21"/>
                                  <w14:textFill>
                                    <w14:solidFill>
                                      <w14:schemeClr w14:val="tx1"/>
                                    </w14:solidFill>
                                  </w14:textFill>
                                </w:rPr>
                                <w:t xml:space="preserve">G2 </w:t>
                              </w:r>
                              <w:r>
                                <w:rPr>
                                  <w:rFonts w:hint="eastAsia" w:ascii="Times New Roman" w:hAnsi="Times New Roman"/>
                                  <w:b w:val="0"/>
                                  <w:color w:val="000000" w:themeColor="text1"/>
                                  <w:kern w:val="2"/>
                                  <w:sz w:val="21"/>
                                  <w:szCs w:val="21"/>
                                  <w:lang w:eastAsia="zh-CN"/>
                                  <w14:textFill>
                                    <w14:solidFill>
                                      <w14:schemeClr w14:val="tx1"/>
                                    </w14:solidFill>
                                  </w14:textFill>
                                </w:rPr>
                                <w:t>固化废气</w:t>
                              </w:r>
                            </w:p>
                            <w:p>
                              <w:pPr>
                                <w:pStyle w:val="24"/>
                                <w:ind w:firstLine="0" w:firstLineChars="0"/>
                                <w:jc w:val="left"/>
                                <w:rPr>
                                  <w:rFonts w:hint="eastAsia"/>
                                  <w:lang w:val="en-US" w:eastAsia="zh-CN"/>
                                </w:rPr>
                              </w:pPr>
                              <w:r>
                                <w:rPr>
                                  <w:rFonts w:hint="eastAsia" w:ascii="Times New Roman" w:hAnsi="Times New Roman" w:cs="Times New Roman"/>
                                  <w:lang w:val="en-US" w:eastAsia="zh-CN"/>
                                </w:rPr>
                                <w:t>G3</w:t>
                              </w:r>
                              <w:r>
                                <w:rPr>
                                  <w:rFonts w:hint="default" w:ascii="Times New Roman" w:hAnsi="Times New Roman" w:cs="Times New Roman"/>
                                  <w:lang w:val="en-US" w:eastAsia="zh-CN"/>
                                </w:rPr>
                                <w:t xml:space="preserve"> </w:t>
                              </w:r>
                              <w:r>
                                <w:rPr>
                                  <w:rFonts w:hint="eastAsia"/>
                                  <w:lang w:val="en-US" w:eastAsia="zh-CN"/>
                                </w:rPr>
                                <w:t>天然气燃烧废气</w:t>
                              </w:r>
                            </w:p>
                            <w:p>
                              <w:pPr>
                                <w:pStyle w:val="24"/>
                                <w:ind w:firstLine="0" w:firstLineChars="0"/>
                                <w:jc w:val="left"/>
                                <w:rPr>
                                  <w:rFonts w:hint="default" w:ascii="Times New Roman" w:hAnsi="Times New Roman" w:eastAsia="宋体" w:cs="Times New Roman"/>
                                  <w:lang w:val="en-US" w:eastAsia="zh-CN"/>
                                </w:rPr>
                              </w:pPr>
                              <w:r>
                                <w:rPr>
                                  <w:rFonts w:hint="default" w:ascii="Times New Roman" w:hAnsi="Times New Roman" w:cs="Times New Roman"/>
                                  <w:lang w:val="en-US" w:eastAsia="zh-CN"/>
                                </w:rPr>
                                <w:t>N设备噪声</w:t>
                              </w:r>
                            </w:p>
                          </w:txbxContent>
                        </v:textbox>
                      </v:shape>
                    </v:group>
                  </w:pict>
                </mc:Fallback>
              </mc:AlternateContent>
            </w:r>
          </w:p>
          <w:p>
            <w:pPr>
              <w:pStyle w:val="6"/>
              <w:jc w:val="center"/>
              <w:rPr>
                <w:rFonts w:ascii="Times New Roman" w:hAnsi="Times New Roman"/>
                <w:bCs w:val="0"/>
                <w:color w:val="000000" w:themeColor="text1"/>
                <w:kern w:val="2"/>
                <w:sz w:val="21"/>
                <w:szCs w:val="21"/>
                <w14:textFill>
                  <w14:solidFill>
                    <w14:schemeClr w14:val="tx1"/>
                  </w14:solidFill>
                </w14:textFill>
              </w:rPr>
            </w:pPr>
          </w:p>
          <w:p>
            <w:pPr>
              <w:pStyle w:val="6"/>
              <w:jc w:val="center"/>
              <w:rPr>
                <w:rFonts w:ascii="Times New Roman" w:hAnsi="Times New Roman"/>
                <w:bCs w:val="0"/>
                <w:color w:val="000000" w:themeColor="text1"/>
                <w:kern w:val="2"/>
                <w:sz w:val="21"/>
                <w:szCs w:val="21"/>
                <w14:textFill>
                  <w14:solidFill>
                    <w14:schemeClr w14:val="tx1"/>
                  </w14:solidFill>
                </w14:textFill>
              </w:rPr>
            </w:pPr>
          </w:p>
          <w:p>
            <w:pPr>
              <w:pStyle w:val="6"/>
              <w:jc w:val="center"/>
              <w:rPr>
                <w:rFonts w:ascii="Times New Roman" w:hAnsi="Times New Roman"/>
                <w:bCs w:val="0"/>
                <w:color w:val="000000" w:themeColor="text1"/>
                <w:kern w:val="2"/>
                <w:sz w:val="21"/>
                <w:szCs w:val="21"/>
                <w14:textFill>
                  <w14:solidFill>
                    <w14:schemeClr w14:val="tx1"/>
                  </w14:solidFill>
                </w14:textFill>
              </w:rPr>
            </w:pPr>
          </w:p>
          <w:p>
            <w:pPr>
              <w:pStyle w:val="6"/>
              <w:jc w:val="center"/>
              <w:rPr>
                <w:rFonts w:ascii="Times New Roman" w:hAnsi="Times New Roman"/>
                <w:bCs w:val="0"/>
                <w:color w:val="000000" w:themeColor="text1"/>
                <w:kern w:val="2"/>
                <w:sz w:val="21"/>
                <w:szCs w:val="21"/>
                <w14:textFill>
                  <w14:solidFill>
                    <w14:schemeClr w14:val="tx1"/>
                  </w14:solidFill>
                </w14:textFill>
              </w:rPr>
            </w:pPr>
          </w:p>
          <w:p>
            <w:pPr>
              <w:pStyle w:val="6"/>
              <w:jc w:val="center"/>
              <w:rPr>
                <w:rFonts w:ascii="Times New Roman" w:hAnsi="Times New Roman"/>
                <w:bCs w:val="0"/>
                <w:color w:val="000000" w:themeColor="text1"/>
                <w:kern w:val="2"/>
                <w:sz w:val="21"/>
                <w:szCs w:val="21"/>
                <w14:textFill>
                  <w14:solidFill>
                    <w14:schemeClr w14:val="tx1"/>
                  </w14:solidFill>
                </w14:textFill>
              </w:rPr>
            </w:pPr>
          </w:p>
          <w:p>
            <w:pPr>
              <w:pStyle w:val="6"/>
              <w:jc w:val="center"/>
              <w:rPr>
                <w:rFonts w:ascii="Times New Roman" w:hAnsi="Times New Roman"/>
                <w:bCs w:val="0"/>
                <w:color w:val="000000" w:themeColor="text1"/>
                <w:kern w:val="2"/>
                <w:sz w:val="21"/>
                <w:szCs w:val="21"/>
                <w14:textFill>
                  <w14:solidFill>
                    <w14:schemeClr w14:val="tx1"/>
                  </w14:solidFill>
                </w14:textFill>
              </w:rPr>
            </w:pPr>
          </w:p>
          <w:p>
            <w:pPr>
              <w:pStyle w:val="6"/>
              <w:jc w:val="center"/>
              <w:rPr>
                <w:rFonts w:ascii="Times New Roman" w:hAnsi="Times New Roman"/>
                <w:bCs w:val="0"/>
                <w:color w:val="000000" w:themeColor="text1"/>
                <w:kern w:val="2"/>
                <w:sz w:val="21"/>
                <w:szCs w:val="21"/>
                <w14:textFill>
                  <w14:solidFill>
                    <w14:schemeClr w14:val="tx1"/>
                  </w14:solidFill>
                </w14:textFill>
              </w:rPr>
            </w:pPr>
          </w:p>
          <w:p>
            <w:pPr>
              <w:pStyle w:val="6"/>
              <w:jc w:val="center"/>
              <w:rPr>
                <w:rFonts w:ascii="Times New Roman" w:hAnsi="Times New Roman"/>
                <w:bCs w:val="0"/>
                <w:color w:val="000000" w:themeColor="text1"/>
                <w:kern w:val="2"/>
                <w:sz w:val="21"/>
                <w:szCs w:val="21"/>
                <w14:textFill>
                  <w14:solidFill>
                    <w14:schemeClr w14:val="tx1"/>
                  </w14:solidFill>
                </w14:textFill>
              </w:rPr>
            </w:pPr>
          </w:p>
          <w:p>
            <w:pPr>
              <w:pStyle w:val="6"/>
              <w:jc w:val="center"/>
              <w:rPr>
                <w:rFonts w:ascii="Times New Roman" w:hAnsi="Times New Roman"/>
                <w:bCs w:val="0"/>
                <w:color w:val="000000" w:themeColor="text1"/>
                <w:kern w:val="2"/>
                <w:sz w:val="21"/>
                <w:szCs w:val="21"/>
                <w14:textFill>
                  <w14:solidFill>
                    <w14:schemeClr w14:val="tx1"/>
                  </w14:solidFill>
                </w14:textFill>
              </w:rPr>
            </w:pPr>
            <w:r>
              <mc:AlternateContent>
                <mc:Choice Requires="wps">
                  <w:drawing>
                    <wp:anchor distT="0" distB="0" distL="114300" distR="114300" simplePos="0" relativeHeight="255630336" behindDoc="0" locked="0" layoutInCell="1" allowOverlap="1">
                      <wp:simplePos x="0" y="0"/>
                      <wp:positionH relativeFrom="column">
                        <wp:posOffset>43180</wp:posOffset>
                      </wp:positionH>
                      <wp:positionV relativeFrom="paragraph">
                        <wp:posOffset>13970</wp:posOffset>
                      </wp:positionV>
                      <wp:extent cx="1331595" cy="915035"/>
                      <wp:effectExtent l="0" t="0" r="0" b="0"/>
                      <wp:wrapNone/>
                      <wp:docPr id="103" name="文本框 103"/>
                      <wp:cNvGraphicFramePr/>
                      <a:graphic xmlns:a="http://schemas.openxmlformats.org/drawingml/2006/main">
                        <a:graphicData uri="http://schemas.microsoft.com/office/word/2010/wordprocessingShape">
                          <wps:wsp>
                            <wps:cNvSpPr txBox="1"/>
                            <wps:spPr>
                              <a:xfrm>
                                <a:off x="0" y="0"/>
                                <a:ext cx="1331595" cy="9150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jc w:val="center"/>
                                    <w:rPr>
                                      <w:rFonts w:hint="eastAsia" w:ascii="Times New Roman" w:hAnsi="Times New Roman" w:eastAsia="宋体"/>
                                      <w:b w:val="0"/>
                                      <w:color w:val="000000" w:themeColor="text1"/>
                                      <w:kern w:val="2"/>
                                      <w:sz w:val="21"/>
                                      <w:szCs w:val="21"/>
                                      <w:lang w:eastAsia="zh-CN"/>
                                      <w14:textFill>
                                        <w14:solidFill>
                                          <w14:schemeClr w14:val="tx1"/>
                                        </w14:solidFill>
                                      </w14:textFill>
                                    </w:rPr>
                                  </w:pPr>
                                  <w:r>
                                    <w:rPr>
                                      <w:rFonts w:hint="eastAsia" w:ascii="Times New Roman" w:hAnsi="Times New Roman"/>
                                      <w:b w:val="0"/>
                                      <w:color w:val="000000" w:themeColor="text1"/>
                                      <w:kern w:val="2"/>
                                      <w:sz w:val="21"/>
                                      <w:szCs w:val="21"/>
                                      <w:lang w:eastAsia="zh-CN"/>
                                      <w14:textFill>
                                        <w14:solidFill>
                                          <w14:schemeClr w14:val="tx1"/>
                                        </w14:solidFill>
                                      </w14:textFill>
                                    </w:rPr>
                                    <w:t>回转驱动、涡轮、卧杆、轴承、油封、机壳、其他部件、机械零部件、润滑脂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4pt;margin-top:1.1pt;height:72.05pt;width:104.85pt;z-index:255630336;mso-width-relative:page;mso-height-relative:page;" filled="f" stroked="f" coordsize="21600,21600" o:gfxdata="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DOuTWLY&#10;AAAABwEAAA8AAAAAAAAAAQAgAAAAIgAAAGRycy9kb3ducmV2LnhtbFBLAQIUABQAAAAIAIdO4kCR&#10;T7p8IAIAABwEAAAOAAAAAAAAAAEAIAAAACcBAABkcnMvZTJvRG9jLnhtbFBLBQYAAAAABgAGAFkB&#10;AAC5BQAAAAA=&#10;">
                      <v:fill on="f" focussize="0,0"/>
                      <v:stroke on="f" weight="0.5pt"/>
                      <v:imagedata o:title=""/>
                      <o:lock v:ext="edit" aspectratio="f"/>
                      <v:textbox>
                        <w:txbxContent>
                          <w:p>
                            <w:pPr>
                              <w:pStyle w:val="6"/>
                              <w:jc w:val="center"/>
                              <w:rPr>
                                <w:rFonts w:hint="eastAsia" w:ascii="Times New Roman" w:hAnsi="Times New Roman" w:eastAsia="宋体"/>
                                <w:b w:val="0"/>
                                <w:color w:val="000000" w:themeColor="text1"/>
                                <w:kern w:val="2"/>
                                <w:sz w:val="21"/>
                                <w:szCs w:val="21"/>
                                <w:lang w:eastAsia="zh-CN"/>
                                <w14:textFill>
                                  <w14:solidFill>
                                    <w14:schemeClr w14:val="tx1"/>
                                  </w14:solidFill>
                                </w14:textFill>
                              </w:rPr>
                            </w:pPr>
                            <w:r>
                              <w:rPr>
                                <w:rFonts w:hint="eastAsia" w:ascii="Times New Roman" w:hAnsi="Times New Roman"/>
                                <w:b w:val="0"/>
                                <w:color w:val="000000" w:themeColor="text1"/>
                                <w:kern w:val="2"/>
                                <w:sz w:val="21"/>
                                <w:szCs w:val="21"/>
                                <w:lang w:eastAsia="zh-CN"/>
                                <w14:textFill>
                                  <w14:solidFill>
                                    <w14:schemeClr w14:val="tx1"/>
                                  </w14:solidFill>
                                </w14:textFill>
                              </w:rPr>
                              <w:t>回转驱动、涡轮、卧杆、轴承、油封、机壳、其他部件、机械零部件、润滑脂</w:t>
                            </w:r>
                          </w:p>
                        </w:txbxContent>
                      </v:textbox>
                    </v:shape>
                  </w:pict>
                </mc:Fallback>
              </mc:AlternateContent>
            </w:r>
            <w:r>
              <mc:AlternateContent>
                <mc:Choice Requires="wps">
                  <w:drawing>
                    <wp:anchor distT="0" distB="0" distL="114300" distR="114300" simplePos="0" relativeHeight="255628288" behindDoc="0" locked="0" layoutInCell="1" allowOverlap="1">
                      <wp:simplePos x="0" y="0"/>
                      <wp:positionH relativeFrom="column">
                        <wp:posOffset>3211195</wp:posOffset>
                      </wp:positionH>
                      <wp:positionV relativeFrom="paragraph">
                        <wp:posOffset>188595</wp:posOffset>
                      </wp:positionV>
                      <wp:extent cx="1522095" cy="513080"/>
                      <wp:effectExtent l="0" t="0" r="0" b="0"/>
                      <wp:wrapNone/>
                      <wp:docPr id="101" name="文本框 101"/>
                      <wp:cNvGraphicFramePr/>
                      <a:graphic xmlns:a="http://schemas.openxmlformats.org/drawingml/2006/main">
                        <a:graphicData uri="http://schemas.microsoft.com/office/word/2010/wordprocessingShape">
                          <wps:wsp>
                            <wps:cNvSpPr txBox="1"/>
                            <wps:spPr>
                              <a:xfrm>
                                <a:off x="0" y="0"/>
                                <a:ext cx="1522095" cy="5130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color w:val="000000" w:themeColor="text1"/>
                                      <w:szCs w:val="21"/>
                                      <w:lang w:eastAsia="zh-CN"/>
                                      <w14:textFill>
                                        <w14:solidFill>
                                          <w14:schemeClr w14:val="tx1"/>
                                        </w14:solidFill>
                                      </w14:textFill>
                                    </w:rPr>
                                  </w:pPr>
                                  <w:r>
                                    <w:rPr>
                                      <w:rFonts w:hint="eastAsia" w:ascii="Times New Roman" w:hAnsi="Times New Roman"/>
                                      <w:b w:val="0"/>
                                      <w:color w:val="000000" w:themeColor="text1"/>
                                      <w:kern w:val="2"/>
                                      <w:sz w:val="21"/>
                                      <w:szCs w:val="21"/>
                                      <w:lang w:val="en-US" w:eastAsia="zh-CN"/>
                                      <w14:textFill>
                                        <w14:solidFill>
                                          <w14:schemeClr w14:val="tx1"/>
                                        </w14:solidFill>
                                      </w14:textFill>
                                    </w:rPr>
                                    <w:t>S</w:t>
                                  </w:r>
                                  <w:r>
                                    <w:rPr>
                                      <w:rFonts w:hint="eastAsia" w:ascii="Times New Roman" w:hAnsi="Times New Roman"/>
                                      <w:b w:val="0"/>
                                      <w:color w:val="000000" w:themeColor="text1"/>
                                      <w:kern w:val="2"/>
                                      <w:sz w:val="21"/>
                                      <w:szCs w:val="21"/>
                                      <w14:textFill>
                                        <w14:solidFill>
                                          <w14:schemeClr w14:val="tx1"/>
                                        </w14:solidFill>
                                      </w14:textFill>
                                    </w:rPr>
                                    <w:t xml:space="preserve">2 </w:t>
                                  </w:r>
                                  <w:r>
                                    <w:rPr>
                                      <w:rFonts w:hint="eastAsia" w:ascii="Times New Roman" w:hAnsi="Times New Roman"/>
                                      <w:b w:val="0"/>
                                      <w:color w:val="000000" w:themeColor="text1"/>
                                      <w:kern w:val="2"/>
                                      <w:sz w:val="21"/>
                                      <w:szCs w:val="21"/>
                                      <w:lang w:eastAsia="zh-CN"/>
                                      <w14:textFill>
                                        <w14:solidFill>
                                          <w14:schemeClr w14:val="tx1"/>
                                        </w14:solidFill>
                                      </w14:textFill>
                                    </w:rPr>
                                    <w:t>废包装桶</w:t>
                                  </w:r>
                                </w:p>
                                <w:p>
                                  <w:pPr>
                                    <w:pStyle w:val="24"/>
                                    <w:ind w:firstLine="0" w:firstLineChars="0"/>
                                    <w:jc w:val="left"/>
                                    <w:rPr>
                                      <w:rFonts w:hint="default" w:ascii="Times New Roman" w:hAnsi="Times New Roman" w:eastAsia="宋体" w:cs="Times New Roman"/>
                                      <w:lang w:val="en-US" w:eastAsia="zh-CN"/>
                                    </w:rPr>
                                  </w:pPr>
                                  <w:r>
                                    <w:rPr>
                                      <w:rFonts w:hint="eastAsia" w:ascii="Times New Roman" w:hAnsi="Times New Roman" w:cs="Times New Roman"/>
                                      <w:lang w:val="en-US" w:eastAsia="zh-CN"/>
                                    </w:rPr>
                                    <w:t>S3</w:t>
                                  </w:r>
                                  <w:r>
                                    <w:rPr>
                                      <w:rFonts w:hint="default" w:ascii="Times New Roman" w:hAnsi="Times New Roman" w:cs="Times New Roman"/>
                                      <w:lang w:val="en-US" w:eastAsia="zh-CN"/>
                                    </w:rPr>
                                    <w:t xml:space="preserve"> </w:t>
                                  </w:r>
                                  <w:r>
                                    <w:rPr>
                                      <w:rFonts w:hint="eastAsia"/>
                                      <w:lang w:val="en-US" w:eastAsia="zh-CN"/>
                                    </w:rPr>
                                    <w:t>含油抹布和手套</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52.85pt;margin-top:14.85pt;height:40.4pt;width:119.85pt;z-index:255628288;mso-width-relative:page;mso-height-relative:page;" filled="f" stroked="f" coordsize="21600,21600" o:gfxdata="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Mlm&#10;z0HbAAAACgEAAA8AAAAAAAAAAQAgAAAAIgAAAGRycy9kb3ducmV2LnhtbFBLAQIUABQAAAAIAIdO&#10;4kCfbZiIIAIAABwEAAAOAAAAAAAAAAEAIAAAACoBAABkcnMvZTJvRG9jLnhtbFBLBQYAAAAABgAG&#10;AFkBAAC8BQAAAAA=&#10;">
                      <v:fill on="f" focussize="0,0"/>
                      <v:stroke on="f" weight="0.5pt"/>
                      <v:imagedata o:title=""/>
                      <o:lock v:ext="edit" aspectratio="f"/>
                      <v:textbox>
                        <w:txbxContent>
                          <w:p>
                            <w:pPr>
                              <w:pStyle w:val="6"/>
                              <w:rPr>
                                <w:rFonts w:hint="eastAsia" w:eastAsia="宋体"/>
                                <w:color w:val="000000" w:themeColor="text1"/>
                                <w:szCs w:val="21"/>
                                <w:lang w:eastAsia="zh-CN"/>
                                <w14:textFill>
                                  <w14:solidFill>
                                    <w14:schemeClr w14:val="tx1"/>
                                  </w14:solidFill>
                                </w14:textFill>
                              </w:rPr>
                            </w:pPr>
                            <w:r>
                              <w:rPr>
                                <w:rFonts w:hint="eastAsia" w:ascii="Times New Roman" w:hAnsi="Times New Roman"/>
                                <w:b w:val="0"/>
                                <w:color w:val="000000" w:themeColor="text1"/>
                                <w:kern w:val="2"/>
                                <w:sz w:val="21"/>
                                <w:szCs w:val="21"/>
                                <w:lang w:val="en-US" w:eastAsia="zh-CN"/>
                                <w14:textFill>
                                  <w14:solidFill>
                                    <w14:schemeClr w14:val="tx1"/>
                                  </w14:solidFill>
                                </w14:textFill>
                              </w:rPr>
                              <w:t>S</w:t>
                            </w:r>
                            <w:r>
                              <w:rPr>
                                <w:rFonts w:hint="eastAsia" w:ascii="Times New Roman" w:hAnsi="Times New Roman"/>
                                <w:b w:val="0"/>
                                <w:color w:val="000000" w:themeColor="text1"/>
                                <w:kern w:val="2"/>
                                <w:sz w:val="21"/>
                                <w:szCs w:val="21"/>
                                <w14:textFill>
                                  <w14:solidFill>
                                    <w14:schemeClr w14:val="tx1"/>
                                  </w14:solidFill>
                                </w14:textFill>
                              </w:rPr>
                              <w:t xml:space="preserve">2 </w:t>
                            </w:r>
                            <w:r>
                              <w:rPr>
                                <w:rFonts w:hint="eastAsia" w:ascii="Times New Roman" w:hAnsi="Times New Roman"/>
                                <w:b w:val="0"/>
                                <w:color w:val="000000" w:themeColor="text1"/>
                                <w:kern w:val="2"/>
                                <w:sz w:val="21"/>
                                <w:szCs w:val="21"/>
                                <w:lang w:eastAsia="zh-CN"/>
                                <w14:textFill>
                                  <w14:solidFill>
                                    <w14:schemeClr w14:val="tx1"/>
                                  </w14:solidFill>
                                </w14:textFill>
                              </w:rPr>
                              <w:t>废包装桶</w:t>
                            </w:r>
                          </w:p>
                          <w:p>
                            <w:pPr>
                              <w:pStyle w:val="24"/>
                              <w:ind w:firstLine="0" w:firstLineChars="0"/>
                              <w:jc w:val="left"/>
                              <w:rPr>
                                <w:rFonts w:hint="default" w:ascii="Times New Roman" w:hAnsi="Times New Roman" w:eastAsia="宋体" w:cs="Times New Roman"/>
                                <w:lang w:val="en-US" w:eastAsia="zh-CN"/>
                              </w:rPr>
                            </w:pPr>
                            <w:r>
                              <w:rPr>
                                <w:rFonts w:hint="eastAsia" w:ascii="Times New Roman" w:hAnsi="Times New Roman" w:cs="Times New Roman"/>
                                <w:lang w:val="en-US" w:eastAsia="zh-CN"/>
                              </w:rPr>
                              <w:t>S3</w:t>
                            </w:r>
                            <w:r>
                              <w:rPr>
                                <w:rFonts w:hint="default" w:ascii="Times New Roman" w:hAnsi="Times New Roman" w:cs="Times New Roman"/>
                                <w:lang w:val="en-US" w:eastAsia="zh-CN"/>
                              </w:rPr>
                              <w:t xml:space="preserve"> </w:t>
                            </w:r>
                            <w:r>
                              <w:rPr>
                                <w:rFonts w:hint="eastAsia"/>
                                <w:lang w:val="en-US" w:eastAsia="zh-CN"/>
                              </w:rPr>
                              <w:t>含油抹布和手套</w:t>
                            </w:r>
                          </w:p>
                        </w:txbxContent>
                      </v:textbox>
                    </v:shape>
                  </w:pict>
                </mc:Fallback>
              </mc:AlternateContent>
            </w:r>
          </w:p>
          <w:p>
            <w:pPr>
              <w:pStyle w:val="6"/>
              <w:jc w:val="center"/>
              <w:rPr>
                <w:rFonts w:ascii="Times New Roman" w:hAnsi="Times New Roman"/>
                <w:bCs w:val="0"/>
                <w:color w:val="000000" w:themeColor="text1"/>
                <w:kern w:val="2"/>
                <w:sz w:val="21"/>
                <w:szCs w:val="21"/>
                <w14:textFill>
                  <w14:solidFill>
                    <w14:schemeClr w14:val="tx1"/>
                  </w14:solidFill>
                </w14:textFill>
              </w:rPr>
            </w:pPr>
          </w:p>
          <w:p>
            <w:pPr>
              <w:pStyle w:val="6"/>
              <w:jc w:val="center"/>
              <w:rPr>
                <w:rFonts w:ascii="Times New Roman" w:hAnsi="Times New Roman"/>
                <w:bCs w:val="0"/>
                <w:color w:val="000000" w:themeColor="text1"/>
                <w:kern w:val="2"/>
                <w:sz w:val="21"/>
                <w:szCs w:val="21"/>
                <w14:textFill>
                  <w14:solidFill>
                    <w14:schemeClr w14:val="tx1"/>
                  </w14:solidFill>
                </w14:textFill>
              </w:rPr>
            </w:pPr>
            <w:r>
              <mc:AlternateContent>
                <mc:Choice Requires="wps">
                  <w:drawing>
                    <wp:anchor distT="0" distB="0" distL="114300" distR="114300" simplePos="0" relativeHeight="255629312" behindDoc="0" locked="0" layoutInCell="1" allowOverlap="1">
                      <wp:simplePos x="0" y="0"/>
                      <wp:positionH relativeFrom="column">
                        <wp:posOffset>1344295</wp:posOffset>
                      </wp:positionH>
                      <wp:positionV relativeFrom="paragraph">
                        <wp:posOffset>34925</wp:posOffset>
                      </wp:positionV>
                      <wp:extent cx="544195" cy="4445"/>
                      <wp:effectExtent l="0" t="37465" r="8255" b="34290"/>
                      <wp:wrapNone/>
                      <wp:docPr id="102" name="直接箭头连接符 102"/>
                      <wp:cNvGraphicFramePr/>
                      <a:graphic xmlns:a="http://schemas.openxmlformats.org/drawingml/2006/main">
                        <a:graphicData uri="http://schemas.microsoft.com/office/word/2010/wordprocessingShape">
                          <wps:wsp>
                            <wps:cNvCnPr/>
                            <wps:spPr>
                              <a:xfrm flipV="1">
                                <a:off x="0" y="0"/>
                                <a:ext cx="544195" cy="4445"/>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105.85pt;margin-top:2.75pt;height:0.35pt;width:42.85pt;z-index:255629312;mso-width-relative:page;mso-height-relative:page;" filled="f" stroked="t" coordsize="21600,21600" o:gfxdata="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6kOvGdcAAAAHAQAADwAAAAAAAAABACAAAAAiAAAA&#10;ZHJzL2Rvd25yZXYueG1sUEsBAhQAFAAAAAgAh07iQAZ0+fcIAgAAzQMAAA4AAAAAAAAAAQAgAAAA&#10;JgEAAGRycy9lMm9Eb2MueG1sUEsFBgAAAAAGAAYAWQEAAKAFAAAAAA==&#10;">
                      <v:fill on="f" focussize="0,0"/>
                      <v:stroke weight="0.5pt" color="#000000 [3213]" miterlimit="8" joinstyle="miter" endarrow="block"/>
                      <v:imagedata o:title=""/>
                      <o:lock v:ext="edit" aspectratio="f"/>
                    </v:shape>
                  </w:pict>
                </mc:Fallback>
              </mc:AlternateContent>
            </w:r>
            <w:r>
              <mc:AlternateContent>
                <mc:Choice Requires="wps">
                  <w:drawing>
                    <wp:anchor distT="0" distB="0" distL="114300" distR="114300" simplePos="0" relativeHeight="255627264" behindDoc="0" locked="0" layoutInCell="1" allowOverlap="1">
                      <wp:simplePos x="0" y="0"/>
                      <wp:positionH relativeFrom="column">
                        <wp:posOffset>2796540</wp:posOffset>
                      </wp:positionH>
                      <wp:positionV relativeFrom="paragraph">
                        <wp:posOffset>25400</wp:posOffset>
                      </wp:positionV>
                      <wp:extent cx="396875" cy="3175"/>
                      <wp:effectExtent l="0" t="35560" r="3175" b="37465"/>
                      <wp:wrapNone/>
                      <wp:docPr id="100" name="直接箭头连接符 100"/>
                      <wp:cNvGraphicFramePr/>
                      <a:graphic xmlns:a="http://schemas.openxmlformats.org/drawingml/2006/main">
                        <a:graphicData uri="http://schemas.microsoft.com/office/word/2010/wordprocessingShape">
                          <wps:wsp>
                            <wps:cNvCnPr/>
                            <wps:spPr>
                              <a:xfrm>
                                <a:off x="0" y="0"/>
                                <a:ext cx="396875" cy="3175"/>
                              </a:xfrm>
                              <a:prstGeom prst="straightConnector1">
                                <a:avLst/>
                              </a:prstGeom>
                              <a:ln>
                                <a:solidFill>
                                  <a:schemeClr val="tx1"/>
                                </a:solidFill>
                                <a:prstDash val="dash"/>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20.2pt;margin-top:2pt;height:0.25pt;width:31.25pt;z-index:255627264;mso-width-relative:page;mso-height-relative:page;" filled="f" stroked="t" coordsize="21600,21600" o:gfxdata="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bvsoW1QAAAAcBAAAPAAAAAAAAAAEAIAAAACIAAABkcnMvZG93bnJl&#10;di54bWxQSwECFAAUAAAACACHTuJA3nks9QACAADCAwAADgAAAAAAAAABACAAAAAkAQAAZHJzL2Uy&#10;b0RvYy54bWxQSwUGAAAAAAYABgBZAQAAlgUAAAAA&#10;">
                      <v:fill on="f" focussize="0,0"/>
                      <v:stroke weight="0.5pt" color="#000000 [3213]" miterlimit="8" joinstyle="miter" dashstyle="dash" endarrow="block"/>
                      <v:imagedata o:title=""/>
                      <o:lock v:ext="edit" aspectratio="f"/>
                    </v:shape>
                  </w:pict>
                </mc:Fallback>
              </mc:AlternateContent>
            </w:r>
          </w:p>
          <w:p>
            <w:pPr>
              <w:pStyle w:val="6"/>
              <w:jc w:val="center"/>
              <w:rPr>
                <w:rFonts w:ascii="Times New Roman" w:hAnsi="Times New Roman"/>
                <w:bCs w:val="0"/>
                <w:color w:val="000000" w:themeColor="text1"/>
                <w:kern w:val="2"/>
                <w:sz w:val="21"/>
                <w:szCs w:val="21"/>
                <w14:textFill>
                  <w14:solidFill>
                    <w14:schemeClr w14:val="tx1"/>
                  </w14:solidFill>
                </w14:textFill>
              </w:rPr>
            </w:pPr>
          </w:p>
          <w:p>
            <w:pPr>
              <w:pStyle w:val="6"/>
              <w:jc w:val="center"/>
              <w:rPr>
                <w:rFonts w:ascii="Times New Roman" w:hAnsi="Times New Roman"/>
                <w:bCs w:val="0"/>
                <w:color w:val="000000" w:themeColor="text1"/>
                <w:kern w:val="2"/>
                <w:sz w:val="21"/>
                <w:szCs w:val="21"/>
                <w14:textFill>
                  <w14:solidFill>
                    <w14:schemeClr w14:val="tx1"/>
                  </w14:solidFill>
                </w14:textFill>
              </w:rPr>
            </w:pPr>
          </w:p>
          <w:p>
            <w:pPr>
              <w:pStyle w:val="6"/>
              <w:jc w:val="center"/>
              <w:rPr>
                <w:rFonts w:ascii="Times New Roman" w:hAnsi="Times New Roman"/>
                <w:bCs w:val="0"/>
                <w:color w:val="000000" w:themeColor="text1"/>
                <w:kern w:val="2"/>
                <w:sz w:val="21"/>
                <w:szCs w:val="21"/>
                <w14:textFill>
                  <w14:solidFill>
                    <w14:schemeClr w14:val="tx1"/>
                  </w14:solidFill>
                </w14:textFill>
              </w:rPr>
            </w:pPr>
          </w:p>
          <w:p>
            <w:pPr>
              <w:pStyle w:val="6"/>
              <w:jc w:val="center"/>
              <w:rPr>
                <w:rFonts w:ascii="Times New Roman" w:hAnsi="Times New Roman"/>
                <w:bCs w:val="0"/>
                <w:color w:val="000000" w:themeColor="text1"/>
                <w:kern w:val="2"/>
                <w:sz w:val="21"/>
                <w:szCs w:val="21"/>
                <w14:textFill>
                  <w14:solidFill>
                    <w14:schemeClr w14:val="tx1"/>
                  </w14:solidFill>
                </w14:textFill>
              </w:rPr>
            </w:pPr>
          </w:p>
          <w:p>
            <w:pPr>
              <w:pStyle w:val="6"/>
              <w:spacing w:line="360" w:lineRule="auto"/>
              <w:jc w:val="center"/>
              <w:rPr>
                <w:rFonts w:ascii="Times New Roman" w:hAnsi="Times New Roman"/>
                <w:bCs w:val="0"/>
                <w:color w:val="000000" w:themeColor="text1"/>
                <w:kern w:val="2"/>
                <w:sz w:val="24"/>
                <w:szCs w:val="24"/>
                <w14:textFill>
                  <w14:solidFill>
                    <w14:schemeClr w14:val="tx1"/>
                  </w14:solidFill>
                </w14:textFill>
              </w:rPr>
            </w:pPr>
            <w:r>
              <w:rPr>
                <w:rFonts w:ascii="Times New Roman" w:hAnsi="Times New Roman"/>
                <w:bCs w:val="0"/>
                <w:color w:val="000000" w:themeColor="text1"/>
                <w:kern w:val="2"/>
                <w:sz w:val="24"/>
                <w:szCs w:val="24"/>
                <w14:textFill>
                  <w14:solidFill>
                    <w14:schemeClr w14:val="tx1"/>
                  </w14:solidFill>
                </w14:textFill>
              </w:rPr>
              <w:t>图</w:t>
            </w:r>
            <w:r>
              <w:rPr>
                <w:rFonts w:hint="eastAsia" w:ascii="Times New Roman" w:hAnsi="Times New Roman"/>
                <w:bCs w:val="0"/>
                <w:color w:val="000000" w:themeColor="text1"/>
                <w:kern w:val="2"/>
                <w:sz w:val="24"/>
                <w:szCs w:val="24"/>
                <w14:textFill>
                  <w14:solidFill>
                    <w14:schemeClr w14:val="tx1"/>
                  </w14:solidFill>
                </w14:textFill>
              </w:rPr>
              <w:t>5-</w:t>
            </w:r>
            <w:r>
              <w:rPr>
                <w:rFonts w:ascii="Times New Roman" w:hAnsi="Times New Roman"/>
                <w:bCs w:val="0"/>
                <w:color w:val="000000" w:themeColor="text1"/>
                <w:kern w:val="2"/>
                <w:sz w:val="24"/>
                <w:szCs w:val="24"/>
                <w14:textFill>
                  <w14:solidFill>
                    <w14:schemeClr w14:val="tx1"/>
                  </w14:solidFill>
                </w14:textFill>
              </w:rPr>
              <w:t>1</w:t>
            </w:r>
            <w:r>
              <w:rPr>
                <w:rFonts w:hint="eastAsia" w:ascii="Times New Roman" w:hAnsi="Times New Roman"/>
                <w:bCs w:val="0"/>
                <w:color w:val="000000" w:themeColor="text1"/>
                <w:kern w:val="2"/>
                <w:sz w:val="24"/>
                <w:szCs w:val="24"/>
                <w14:textFill>
                  <w14:solidFill>
                    <w14:schemeClr w14:val="tx1"/>
                  </w14:solidFill>
                </w14:textFill>
              </w:rPr>
              <w:t xml:space="preserve">  工艺</w:t>
            </w:r>
            <w:r>
              <w:rPr>
                <w:rFonts w:ascii="Times New Roman" w:hAnsi="Times New Roman"/>
                <w:bCs w:val="0"/>
                <w:color w:val="000000" w:themeColor="text1"/>
                <w:kern w:val="2"/>
                <w:sz w:val="24"/>
                <w:szCs w:val="24"/>
                <w14:textFill>
                  <w14:solidFill>
                    <w14:schemeClr w14:val="tx1"/>
                  </w14:solidFill>
                </w14:textFill>
              </w:rPr>
              <w:t>流程及产污环节图</w:t>
            </w:r>
          </w:p>
          <w:p>
            <w:pPr>
              <w:pStyle w:val="6"/>
              <w:spacing w:line="360" w:lineRule="auto"/>
              <w:ind w:firstLine="480" w:firstLineChars="200"/>
              <w:jc w:val="both"/>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工艺流程说明</w:t>
            </w:r>
            <w:r>
              <w:rPr>
                <w:rFonts w:hint="eastAsia"/>
                <w:color w:val="000000" w:themeColor="text1"/>
                <w:sz w:val="24"/>
                <w:szCs w:val="24"/>
                <w14:textFill>
                  <w14:solidFill>
                    <w14:schemeClr w14:val="tx1"/>
                  </w14:solidFill>
                </w14:textFill>
              </w:rPr>
              <w:t>：</w:t>
            </w:r>
          </w:p>
          <w:p>
            <w:pPr>
              <w:pStyle w:val="2"/>
              <w:numPr>
                <w:ilvl w:val="0"/>
                <w:numId w:val="0"/>
              </w:numPr>
              <w:spacing w:after="0" w:line="360" w:lineRule="auto"/>
              <w:ind w:firstLine="480" w:firstLineChars="200"/>
              <w:rPr>
                <w:rFonts w:hint="eastAsia"/>
                <w:color w:val="auto"/>
                <w:sz w:val="24"/>
              </w:rPr>
            </w:pPr>
            <w:r>
              <w:rPr>
                <w:rFonts w:hint="eastAsia"/>
                <w:b/>
                <w:bCs/>
                <w:color w:val="auto"/>
                <w:sz w:val="24"/>
                <w:lang w:val="en-US" w:eastAsia="zh-CN"/>
              </w:rPr>
              <w:t>1）</w:t>
            </w:r>
            <w:r>
              <w:rPr>
                <w:rFonts w:hint="eastAsia"/>
                <w:b/>
                <w:bCs/>
                <w:color w:val="auto"/>
                <w:sz w:val="24"/>
              </w:rPr>
              <w:t>喷塑</w:t>
            </w:r>
            <w:r>
              <w:rPr>
                <w:b/>
                <w:bCs/>
                <w:color w:val="auto"/>
                <w:sz w:val="24"/>
              </w:rPr>
              <w:t>：</w:t>
            </w:r>
            <w:r>
              <w:rPr>
                <w:rFonts w:hint="eastAsia"/>
                <w:b w:val="0"/>
                <w:bCs w:val="0"/>
                <w:color w:val="auto"/>
                <w:sz w:val="24"/>
                <w:lang w:eastAsia="zh-CN"/>
              </w:rPr>
              <w:t>本项目所购入原料均为加工好的零部件和机壳，无需其他处理，需要喷塑的零部件和机壳可直接进入喷塑线。</w:t>
            </w:r>
            <w:r>
              <w:rPr>
                <w:rFonts w:hint="eastAsia"/>
                <w:color w:val="auto"/>
                <w:sz w:val="24"/>
              </w:rPr>
              <w:t>喷塑过程在喷塑房内进行，</w:t>
            </w:r>
            <w:r>
              <w:rPr>
                <w:rFonts w:hint="eastAsia"/>
                <w:color w:val="auto"/>
                <w:sz w:val="24"/>
                <w:lang w:eastAsia="zh-CN"/>
              </w:rPr>
              <w:t>位于生产车间二中，</w:t>
            </w:r>
            <w:r>
              <w:rPr>
                <w:color w:val="auto"/>
                <w:sz w:val="24"/>
              </w:rPr>
              <w:t>粉末喷涂通过采取高压静电喷涂的方式，将涂层材料喷向工件，渗入微孔中，再经烘烤固化处理后，喷涂材料将牢牢嵌入氧化层微孔中，使涂层与基体很难拔离，从而实现喷涂材料对金属构件的长期保护</w:t>
            </w:r>
            <w:r>
              <w:rPr>
                <w:rFonts w:hint="eastAsia"/>
                <w:color w:val="auto"/>
                <w:sz w:val="24"/>
              </w:rPr>
              <w:t>。静电喷涂原理：在喷枪头部金属喷杯和极针接上高压负极，被喷涂工件接地形成正极，使喷枪和工件之间形成一个较强的静电电场。当作为运载气体的压缩空气，将粉末涂料从供粉桶经粉管送到喷枪的喷杯和极针时，由于它接上高压负极产生的电晕放电，在其附近产生了密集的负电荷，是粉末带上负电荷，进入了电场强度很高的静电场，在静电力和运载气体推动力的双重作用下，粉末均匀地飞向接地工件表面形成厚薄均匀的粉层，再加热固化转化为耐久的涂膜。</w:t>
            </w:r>
          </w:p>
          <w:p>
            <w:pPr>
              <w:pStyle w:val="2"/>
              <w:spacing w:after="0" w:line="360" w:lineRule="auto"/>
              <w:ind w:firstLine="480" w:firstLineChars="200"/>
              <w:rPr>
                <w:color w:val="auto"/>
                <w:sz w:val="24"/>
              </w:rPr>
            </w:pPr>
            <w:r>
              <w:rPr>
                <w:rFonts w:hint="eastAsia"/>
                <w:b/>
                <w:bCs/>
                <w:color w:val="auto"/>
                <w:sz w:val="24"/>
              </w:rPr>
              <w:t>此工序产污节点为：喷塑粉尘G</w:t>
            </w:r>
            <w:r>
              <w:rPr>
                <w:rFonts w:hint="eastAsia"/>
                <w:b/>
                <w:bCs/>
                <w:color w:val="auto"/>
                <w:sz w:val="24"/>
                <w:lang w:val="en-US" w:eastAsia="zh-CN"/>
              </w:rPr>
              <w:t>1</w:t>
            </w:r>
            <w:r>
              <w:rPr>
                <w:rFonts w:hint="eastAsia"/>
                <w:b/>
                <w:bCs/>
                <w:color w:val="auto"/>
                <w:sz w:val="24"/>
              </w:rPr>
              <w:t>、废塑粉S</w:t>
            </w:r>
            <w:r>
              <w:rPr>
                <w:rFonts w:hint="eastAsia"/>
                <w:b/>
                <w:bCs/>
                <w:color w:val="auto"/>
                <w:sz w:val="24"/>
                <w:lang w:val="en-US" w:eastAsia="zh-CN"/>
              </w:rPr>
              <w:t>1</w:t>
            </w:r>
            <w:r>
              <w:rPr>
                <w:rFonts w:hint="eastAsia"/>
                <w:b/>
                <w:bCs/>
                <w:color w:val="auto"/>
                <w:sz w:val="24"/>
              </w:rPr>
              <w:t>、设备噪声N。</w:t>
            </w:r>
          </w:p>
          <w:p>
            <w:pPr>
              <w:pStyle w:val="2"/>
              <w:numPr>
                <w:ilvl w:val="0"/>
                <w:numId w:val="0"/>
              </w:numPr>
              <w:spacing w:after="0" w:line="360" w:lineRule="auto"/>
              <w:ind w:firstLine="480" w:firstLineChars="200"/>
              <w:rPr>
                <w:rFonts w:hint="eastAsia"/>
                <w:b w:val="0"/>
                <w:bCs w:val="0"/>
                <w:sz w:val="24"/>
                <w:lang w:val="en-US" w:eastAsia="zh-CN"/>
              </w:rPr>
            </w:pPr>
            <w:r>
              <w:rPr>
                <w:rFonts w:hint="eastAsia"/>
                <w:b/>
                <w:bCs/>
                <w:sz w:val="24"/>
                <w:lang w:val="en-US" w:eastAsia="zh-CN"/>
              </w:rPr>
              <w:t>2）固化：</w:t>
            </w:r>
            <w:r>
              <w:rPr>
                <w:rFonts w:hint="eastAsia"/>
                <w:b w:val="0"/>
                <w:bCs w:val="0"/>
                <w:sz w:val="24"/>
                <w:lang w:val="en-US" w:eastAsia="zh-CN"/>
              </w:rPr>
              <w:t>固化工序在烘干室中进行，位于生产车间二中，喷粉的半成品在特定温度（200℃）下烘烤使吸附在型材表面上的涂层熔融，排除涂料间隙中气体，逐渐流平、胶化、固化成膜。本项目设置两间烘干室，一间烘干室为电加热，另一间烘干室热源为天然气，为直接加热，天然气产生热风经过烘道直接与被烘干工件接触，产生废气经排气孔收集。</w:t>
            </w:r>
          </w:p>
          <w:p>
            <w:pPr>
              <w:pStyle w:val="2"/>
              <w:numPr>
                <w:ilvl w:val="0"/>
                <w:numId w:val="0"/>
              </w:numPr>
              <w:spacing w:after="0" w:line="360" w:lineRule="auto"/>
              <w:ind w:leftChars="200"/>
              <w:rPr>
                <w:rFonts w:hint="eastAsia" w:eastAsia="宋体"/>
                <w:b/>
                <w:bCs/>
                <w:sz w:val="24"/>
                <w:lang w:val="en-US" w:eastAsia="zh-CN"/>
              </w:rPr>
            </w:pPr>
            <w:r>
              <w:rPr>
                <w:rFonts w:hint="eastAsia"/>
                <w:b/>
                <w:bCs/>
                <w:color w:val="auto"/>
                <w:sz w:val="24"/>
              </w:rPr>
              <w:t>此工序产污节点为：固化废气G</w:t>
            </w:r>
            <w:r>
              <w:rPr>
                <w:rFonts w:hint="eastAsia"/>
                <w:b/>
                <w:bCs/>
                <w:color w:val="auto"/>
                <w:sz w:val="24"/>
                <w:lang w:val="en-US" w:eastAsia="zh-CN"/>
              </w:rPr>
              <w:t>2</w:t>
            </w:r>
            <w:r>
              <w:rPr>
                <w:rFonts w:hint="eastAsia"/>
                <w:b/>
                <w:bCs/>
                <w:color w:val="auto"/>
                <w:sz w:val="24"/>
              </w:rPr>
              <w:t>、</w:t>
            </w:r>
            <w:r>
              <w:rPr>
                <w:rFonts w:hint="eastAsia"/>
                <w:b/>
                <w:bCs/>
                <w:color w:val="auto"/>
                <w:sz w:val="24"/>
                <w:lang w:eastAsia="zh-CN"/>
              </w:rPr>
              <w:t>天然气燃烧废气</w:t>
            </w:r>
            <w:r>
              <w:rPr>
                <w:rFonts w:hint="eastAsia"/>
                <w:b/>
                <w:bCs/>
                <w:color w:val="auto"/>
                <w:sz w:val="24"/>
                <w:lang w:val="en-US" w:eastAsia="zh-CN"/>
              </w:rPr>
              <w:t>G3、</w:t>
            </w:r>
            <w:r>
              <w:rPr>
                <w:rFonts w:hint="eastAsia"/>
                <w:b/>
                <w:bCs/>
                <w:color w:val="auto"/>
                <w:sz w:val="24"/>
              </w:rPr>
              <w:t>设备噪声N。</w:t>
            </w:r>
          </w:p>
          <w:p>
            <w:pPr>
              <w:spacing w:line="360" w:lineRule="auto"/>
              <w:ind w:firstLine="480" w:firstLineChars="200"/>
              <w:rPr>
                <w:rFonts w:hint="eastAsia" w:eastAsia="宋体"/>
                <w:b w:val="0"/>
                <w:bCs w:val="0"/>
                <w:sz w:val="24"/>
                <w:lang w:eastAsia="zh-CN"/>
              </w:rPr>
            </w:pPr>
            <w:r>
              <w:rPr>
                <w:rFonts w:hint="eastAsia"/>
                <w:b/>
                <w:bCs/>
                <w:sz w:val="24"/>
                <w:lang w:val="en-US" w:eastAsia="zh-CN"/>
              </w:rPr>
              <w:t>3</w:t>
            </w:r>
            <w:r>
              <w:rPr>
                <w:rFonts w:hint="eastAsia"/>
                <w:b/>
                <w:bCs/>
                <w:sz w:val="24"/>
              </w:rPr>
              <w:t>）</w:t>
            </w:r>
            <w:r>
              <w:rPr>
                <w:rFonts w:hint="eastAsia"/>
                <w:b/>
                <w:bCs/>
                <w:sz w:val="24"/>
                <w:lang w:eastAsia="zh-CN"/>
              </w:rPr>
              <w:t>组装</w:t>
            </w:r>
            <w:r>
              <w:rPr>
                <w:rFonts w:hint="eastAsia"/>
                <w:b/>
                <w:bCs/>
                <w:sz w:val="24"/>
              </w:rPr>
              <w:t>：</w:t>
            </w:r>
            <w:r>
              <w:rPr>
                <w:rFonts w:hint="eastAsia"/>
                <w:b w:val="0"/>
                <w:bCs w:val="0"/>
                <w:sz w:val="24"/>
                <w:lang w:eastAsia="zh-CN"/>
              </w:rPr>
              <w:t>本项目生产两种减速器，一种为回转式减速器，是由回转驱动、轴承、油封、机壳和其他部件组装而成；另一种为卧杆减速器，是由卧杆、轴承、油封、机壳和其他部件组装而成</w:t>
            </w:r>
            <w:r>
              <w:rPr>
                <w:rFonts w:hint="eastAsia"/>
                <w:b w:val="0"/>
                <w:bCs w:val="0"/>
                <w:sz w:val="24"/>
                <w:szCs w:val="24"/>
              </w:rPr>
              <w:t>。</w:t>
            </w:r>
            <w:r>
              <w:rPr>
                <w:rFonts w:hint="eastAsia"/>
                <w:b w:val="0"/>
                <w:bCs w:val="0"/>
                <w:sz w:val="24"/>
                <w:lang w:eastAsia="zh-CN"/>
              </w:rPr>
              <w:t>机械零部件由所购入的各种零部件组装而成。组装过程中需加入润滑脂，无废润滑脂产生。</w:t>
            </w:r>
          </w:p>
          <w:p>
            <w:pPr>
              <w:spacing w:line="360" w:lineRule="auto"/>
              <w:ind w:firstLine="480" w:firstLineChars="200"/>
              <w:rPr>
                <w:b/>
                <w:bCs/>
                <w:sz w:val="24"/>
              </w:rPr>
            </w:pPr>
            <w:r>
              <w:rPr>
                <w:b/>
                <w:bCs/>
                <w:sz w:val="24"/>
              </w:rPr>
              <w:t>本工艺</w:t>
            </w:r>
            <w:r>
              <w:rPr>
                <w:rFonts w:hint="eastAsia"/>
                <w:b/>
                <w:bCs/>
                <w:sz w:val="24"/>
              </w:rPr>
              <w:t>的产污节点为：</w:t>
            </w:r>
            <w:r>
              <w:rPr>
                <w:rFonts w:hint="eastAsia"/>
                <w:b/>
                <w:bCs/>
                <w:sz w:val="24"/>
                <w:lang w:eastAsia="zh-CN"/>
              </w:rPr>
              <w:t>废包装桶</w:t>
            </w:r>
            <w:r>
              <w:rPr>
                <w:rFonts w:hint="eastAsia"/>
                <w:b/>
                <w:bCs/>
                <w:sz w:val="24"/>
                <w:lang w:val="en-US" w:eastAsia="zh-CN"/>
              </w:rPr>
              <w:t>S2</w:t>
            </w:r>
            <w:r>
              <w:rPr>
                <w:rFonts w:hint="eastAsia"/>
                <w:b/>
                <w:bCs/>
                <w:sz w:val="24"/>
              </w:rPr>
              <w:t>、</w:t>
            </w:r>
            <w:r>
              <w:rPr>
                <w:rFonts w:hint="eastAsia"/>
                <w:b/>
                <w:bCs/>
                <w:sz w:val="24"/>
                <w:lang w:eastAsia="zh-CN"/>
              </w:rPr>
              <w:t>含油抹布和手套</w:t>
            </w:r>
            <w:r>
              <w:rPr>
                <w:rFonts w:hint="eastAsia"/>
                <w:b/>
                <w:bCs/>
                <w:sz w:val="24"/>
                <w:lang w:val="en-US" w:eastAsia="zh-CN"/>
              </w:rPr>
              <w:t>S3</w:t>
            </w:r>
            <w:r>
              <w:rPr>
                <w:rFonts w:hint="eastAsia"/>
                <w:b/>
                <w:bCs/>
                <w:sz w:val="24"/>
              </w:rPr>
              <w:t>。</w:t>
            </w:r>
          </w:p>
          <w:p>
            <w:pPr>
              <w:spacing w:line="360" w:lineRule="auto"/>
              <w:ind w:firstLine="472" w:firstLineChars="200"/>
              <w:rPr>
                <w:rFonts w:hint="eastAsia" w:eastAsia="宋体"/>
                <w:b w:val="0"/>
                <w:bCs/>
                <w:spacing w:val="-2"/>
                <w:sz w:val="24"/>
                <w:lang w:val="en-US" w:eastAsia="zh-CN"/>
              </w:rPr>
            </w:pPr>
            <w:r>
              <w:rPr>
                <w:rFonts w:hint="eastAsia"/>
                <w:b/>
                <w:spacing w:val="-2"/>
                <w:sz w:val="24"/>
                <w:lang w:val="en-US" w:eastAsia="zh-CN"/>
              </w:rPr>
              <w:t>4）入库待售：</w:t>
            </w:r>
            <w:r>
              <w:rPr>
                <w:rFonts w:hint="eastAsia"/>
                <w:b w:val="0"/>
                <w:bCs/>
                <w:spacing w:val="-2"/>
                <w:sz w:val="24"/>
                <w:lang w:val="en-US" w:eastAsia="zh-CN"/>
              </w:rPr>
              <w:t>组装完成后，放入成品区待售。</w:t>
            </w:r>
          </w:p>
          <w:p>
            <w:pPr>
              <w:spacing w:line="360" w:lineRule="auto"/>
              <w:ind w:firstLine="472" w:firstLineChars="200"/>
              <w:rPr>
                <w:b/>
                <w:spacing w:val="-2"/>
                <w:sz w:val="24"/>
              </w:rPr>
            </w:pPr>
            <w:r>
              <w:rPr>
                <w:rFonts w:hint="eastAsia"/>
                <w:b/>
                <w:spacing w:val="-2"/>
                <w:sz w:val="24"/>
              </w:rPr>
              <w:t>二</w:t>
            </w:r>
            <w:r>
              <w:rPr>
                <w:b/>
                <w:spacing w:val="-2"/>
                <w:sz w:val="24"/>
              </w:rPr>
              <w:t>、</w:t>
            </w:r>
            <w:r>
              <w:rPr>
                <w:rFonts w:hint="eastAsia"/>
                <w:b/>
                <w:spacing w:val="-2"/>
                <w:sz w:val="24"/>
              </w:rPr>
              <w:t>污染因子识别：</w:t>
            </w:r>
          </w:p>
          <w:p>
            <w:pPr>
              <w:spacing w:line="360" w:lineRule="auto"/>
              <w:ind w:firstLine="472" w:firstLineChars="200"/>
              <w:rPr>
                <w:b/>
                <w:spacing w:val="-2"/>
                <w:sz w:val="24"/>
              </w:rPr>
            </w:pPr>
            <w:r>
              <w:rPr>
                <w:b/>
                <w:spacing w:val="-2"/>
                <w:sz w:val="24"/>
              </w:rPr>
              <w:t>运行期：</w:t>
            </w:r>
          </w:p>
          <w:p>
            <w:pPr>
              <w:spacing w:line="360" w:lineRule="auto"/>
              <w:ind w:firstLine="480" w:firstLineChars="200"/>
              <w:rPr>
                <w:b/>
                <w:sz w:val="24"/>
              </w:rPr>
            </w:pPr>
            <w:r>
              <w:rPr>
                <w:rFonts w:hint="eastAsia"/>
                <w:b/>
                <w:sz w:val="24"/>
              </w:rPr>
              <w:t>（1）废气:</w:t>
            </w:r>
          </w:p>
          <w:p>
            <w:pPr>
              <w:spacing w:line="360" w:lineRule="auto"/>
              <w:ind w:firstLine="480" w:firstLineChars="200"/>
              <w:rPr>
                <w:sz w:val="24"/>
              </w:rPr>
            </w:pPr>
            <w:r>
              <w:rPr>
                <w:rFonts w:hint="eastAsia"/>
                <w:sz w:val="24"/>
              </w:rPr>
              <w:t>运行期废气主要为</w:t>
            </w:r>
            <w:r>
              <w:rPr>
                <w:rFonts w:hint="eastAsia"/>
                <w:sz w:val="24"/>
                <w:lang w:eastAsia="zh-CN"/>
              </w:rPr>
              <w:t>喷塑</w:t>
            </w:r>
            <w:r>
              <w:rPr>
                <w:rFonts w:hint="eastAsia"/>
                <w:sz w:val="24"/>
              </w:rPr>
              <w:t>粉尘G1、</w:t>
            </w:r>
            <w:r>
              <w:rPr>
                <w:rFonts w:hint="eastAsia"/>
                <w:sz w:val="24"/>
                <w:lang w:eastAsia="zh-CN"/>
              </w:rPr>
              <w:t>固化废气</w:t>
            </w:r>
            <w:r>
              <w:rPr>
                <w:rFonts w:hint="eastAsia"/>
                <w:sz w:val="24"/>
              </w:rPr>
              <w:t>G2、</w:t>
            </w:r>
            <w:r>
              <w:rPr>
                <w:rFonts w:hint="eastAsia"/>
                <w:sz w:val="24"/>
                <w:lang w:eastAsia="zh-CN"/>
              </w:rPr>
              <w:t>天然气燃烧废气</w:t>
            </w:r>
            <w:r>
              <w:rPr>
                <w:rFonts w:hint="eastAsia"/>
                <w:sz w:val="24"/>
              </w:rPr>
              <w:t>G3。</w:t>
            </w:r>
          </w:p>
          <w:p>
            <w:pPr>
              <w:spacing w:line="360" w:lineRule="auto"/>
              <w:ind w:firstLine="480" w:firstLineChars="200"/>
              <w:rPr>
                <w:b/>
                <w:sz w:val="24"/>
              </w:rPr>
            </w:pPr>
            <w:r>
              <w:rPr>
                <w:rFonts w:hint="eastAsia"/>
                <w:b/>
                <w:sz w:val="24"/>
              </w:rPr>
              <w:t>（2）废水:</w:t>
            </w:r>
          </w:p>
          <w:p>
            <w:pPr>
              <w:spacing w:line="360" w:lineRule="auto"/>
              <w:ind w:firstLine="480" w:firstLineChars="200"/>
              <w:rPr>
                <w:sz w:val="24"/>
              </w:rPr>
            </w:pPr>
            <w:r>
              <w:rPr>
                <w:rFonts w:hint="eastAsia"/>
                <w:sz w:val="24"/>
              </w:rPr>
              <w:t>本项目运行期</w:t>
            </w:r>
            <w:r>
              <w:rPr>
                <w:rFonts w:hint="eastAsia"/>
                <w:sz w:val="24"/>
                <w:lang w:eastAsia="zh-CN"/>
              </w:rPr>
              <w:t>无生产废水产生，</w:t>
            </w:r>
            <w:r>
              <w:rPr>
                <w:sz w:val="24"/>
              </w:rPr>
              <w:t>废水</w:t>
            </w:r>
            <w:r>
              <w:rPr>
                <w:rFonts w:hint="eastAsia"/>
                <w:sz w:val="24"/>
                <w:lang w:eastAsia="zh-CN"/>
              </w:rPr>
              <w:t>仅</w:t>
            </w:r>
            <w:r>
              <w:rPr>
                <w:sz w:val="24"/>
              </w:rPr>
              <w:t>为</w:t>
            </w:r>
            <w:r>
              <w:rPr>
                <w:rFonts w:hint="eastAsia"/>
                <w:sz w:val="24"/>
              </w:rPr>
              <w:t>工作人员生活污水。</w:t>
            </w:r>
          </w:p>
          <w:p>
            <w:pPr>
              <w:spacing w:line="360" w:lineRule="auto"/>
              <w:ind w:firstLine="472" w:firstLineChars="200"/>
              <w:rPr>
                <w:b/>
                <w:spacing w:val="-2"/>
                <w:sz w:val="24"/>
              </w:rPr>
            </w:pPr>
            <w:r>
              <w:rPr>
                <w:rFonts w:hint="eastAsia"/>
                <w:b/>
                <w:spacing w:val="-2"/>
                <w:sz w:val="24"/>
              </w:rPr>
              <w:t>（3）噪声:</w:t>
            </w:r>
          </w:p>
          <w:p>
            <w:pPr>
              <w:spacing w:line="360" w:lineRule="auto"/>
              <w:ind w:firstLine="480" w:firstLineChars="200"/>
              <w:rPr>
                <w:b/>
                <w:spacing w:val="-2"/>
                <w:sz w:val="24"/>
              </w:rPr>
            </w:pPr>
            <w:r>
              <w:rPr>
                <w:rFonts w:hint="eastAsia"/>
                <w:sz w:val="24"/>
              </w:rPr>
              <w:t>运行期</w:t>
            </w:r>
            <w:r>
              <w:rPr>
                <w:sz w:val="24"/>
              </w:rPr>
              <w:t>噪声主要为</w:t>
            </w:r>
            <w:r>
              <w:rPr>
                <w:rFonts w:hint="eastAsia"/>
                <w:sz w:val="24"/>
                <w:lang w:eastAsia="zh-CN"/>
              </w:rPr>
              <w:t>喷枪</w:t>
            </w:r>
            <w:r>
              <w:rPr>
                <w:rFonts w:hint="eastAsia"/>
                <w:sz w:val="24"/>
              </w:rPr>
              <w:t>、风机产生的</w:t>
            </w:r>
            <w:r>
              <w:rPr>
                <w:sz w:val="24"/>
              </w:rPr>
              <w:t>噪声。</w:t>
            </w:r>
          </w:p>
          <w:p>
            <w:pPr>
              <w:spacing w:line="360" w:lineRule="auto"/>
              <w:ind w:firstLine="472" w:firstLineChars="200"/>
              <w:rPr>
                <w:b/>
                <w:spacing w:val="-2"/>
                <w:sz w:val="24"/>
              </w:rPr>
            </w:pPr>
            <w:r>
              <w:rPr>
                <w:rFonts w:hint="eastAsia"/>
                <w:b/>
                <w:spacing w:val="-2"/>
                <w:sz w:val="24"/>
              </w:rPr>
              <w:t>（4）固废:</w:t>
            </w:r>
          </w:p>
          <w:p>
            <w:pPr>
              <w:spacing w:line="360" w:lineRule="auto"/>
              <w:ind w:firstLine="480" w:firstLineChars="200"/>
              <w:rPr>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①运行期的固体废弃物主要为废</w:t>
            </w:r>
            <w:r>
              <w:rPr>
                <w:rFonts w:hint="eastAsia"/>
                <w:bCs/>
                <w:color w:val="000000" w:themeColor="text1"/>
                <w:sz w:val="24"/>
                <w:szCs w:val="24"/>
                <w:lang w:eastAsia="zh-CN"/>
                <w14:textFill>
                  <w14:solidFill>
                    <w14:schemeClr w14:val="tx1"/>
                  </w14:solidFill>
                </w14:textFill>
              </w:rPr>
              <w:t>塑粉</w:t>
            </w:r>
            <w:r>
              <w:rPr>
                <w:rFonts w:hint="eastAsia"/>
                <w:bCs/>
                <w:color w:val="000000" w:themeColor="text1"/>
                <w:sz w:val="24"/>
                <w:szCs w:val="24"/>
                <w14:textFill>
                  <w14:solidFill>
                    <w14:schemeClr w14:val="tx1"/>
                  </w14:solidFill>
                </w14:textFill>
              </w:rPr>
              <w:t>S1、</w:t>
            </w:r>
            <w:r>
              <w:rPr>
                <w:rFonts w:hint="eastAsia"/>
                <w:bCs/>
                <w:color w:val="000000" w:themeColor="text1"/>
                <w:sz w:val="24"/>
                <w:szCs w:val="24"/>
                <w:lang w:eastAsia="zh-CN"/>
                <w14:textFill>
                  <w14:solidFill>
                    <w14:schemeClr w14:val="tx1"/>
                  </w14:solidFill>
                </w14:textFill>
              </w:rPr>
              <w:t>废包装桶</w:t>
            </w:r>
            <w:r>
              <w:rPr>
                <w:rFonts w:hint="eastAsia"/>
                <w:bCs/>
                <w:color w:val="000000" w:themeColor="text1"/>
                <w:sz w:val="24"/>
                <w:szCs w:val="24"/>
                <w14:textFill>
                  <w14:solidFill>
                    <w14:schemeClr w14:val="tx1"/>
                  </w14:solidFill>
                </w14:textFill>
              </w:rPr>
              <w:t>S2、</w:t>
            </w:r>
            <w:r>
              <w:rPr>
                <w:rFonts w:hint="eastAsia"/>
                <w:bCs/>
                <w:color w:val="000000" w:themeColor="text1"/>
                <w:sz w:val="24"/>
                <w:szCs w:val="24"/>
                <w:lang w:eastAsia="zh-CN"/>
                <w14:textFill>
                  <w14:solidFill>
                    <w14:schemeClr w14:val="tx1"/>
                  </w14:solidFill>
                </w14:textFill>
              </w:rPr>
              <w:t>含油抹布和手套</w:t>
            </w:r>
            <w:r>
              <w:rPr>
                <w:rFonts w:hint="eastAsia"/>
                <w:bCs/>
                <w:color w:val="000000" w:themeColor="text1"/>
                <w:sz w:val="24"/>
                <w:szCs w:val="24"/>
                <w14:textFill>
                  <w14:solidFill>
                    <w14:schemeClr w14:val="tx1"/>
                  </w14:solidFill>
                </w14:textFill>
              </w:rPr>
              <w:t>S3、</w:t>
            </w:r>
            <w:r>
              <w:rPr>
                <w:rFonts w:hint="eastAsia"/>
                <w:bCs/>
                <w:color w:val="000000" w:themeColor="text1"/>
                <w:sz w:val="24"/>
                <w:szCs w:val="24"/>
                <w:lang w:eastAsia="zh-CN"/>
                <w14:textFill>
                  <w14:solidFill>
                    <w14:schemeClr w14:val="tx1"/>
                  </w14:solidFill>
                </w14:textFill>
              </w:rPr>
              <w:t>废包装材料</w:t>
            </w:r>
            <w:r>
              <w:rPr>
                <w:rFonts w:hint="eastAsia"/>
                <w:bCs/>
                <w:color w:val="auto"/>
                <w:sz w:val="24"/>
                <w:szCs w:val="24"/>
                <w:lang w:eastAsia="zh-CN"/>
              </w:rPr>
              <w:t>、</w:t>
            </w:r>
            <w:r>
              <w:rPr>
                <w:rFonts w:hint="eastAsia"/>
                <w:bCs/>
                <w:color w:val="000000" w:themeColor="text1"/>
                <w:sz w:val="24"/>
                <w:szCs w:val="24"/>
                <w14:textFill>
                  <w14:solidFill>
                    <w14:schemeClr w14:val="tx1"/>
                  </w14:solidFill>
                </w14:textFill>
              </w:rPr>
              <w:t>废活性炭；</w:t>
            </w:r>
          </w:p>
          <w:p>
            <w:pPr>
              <w:spacing w:line="360" w:lineRule="auto"/>
              <w:ind w:firstLine="480" w:firstLineChars="200"/>
              <w:rPr>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②员工生产生活过程中产生的生活垃圾。</w:t>
            </w:r>
          </w:p>
          <w:p>
            <w:pPr>
              <w:numPr>
                <w:ilvl w:val="0"/>
                <w:numId w:val="4"/>
              </w:numPr>
              <w:spacing w:line="360" w:lineRule="auto"/>
              <w:ind w:firstLine="480" w:firstLineChars="200"/>
              <w:rPr>
                <w:rFonts w:hint="eastAsia"/>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污染工序及源强分析：</w:t>
            </w:r>
          </w:p>
          <w:p>
            <w:pPr>
              <w:numPr>
                <w:ilvl w:val="0"/>
                <w:numId w:val="5"/>
              </w:numPr>
              <w:spacing w:line="360" w:lineRule="auto"/>
              <w:ind w:firstLine="480" w:firstLineChars="200"/>
              <w:rPr>
                <w:rFonts w:hint="eastAsia"/>
                <w:color w:val="auto"/>
                <w:sz w:val="24"/>
                <w:szCs w:val="24"/>
                <w:lang w:val="en-US" w:eastAsia="zh-CN"/>
              </w:rPr>
            </w:pPr>
            <w:r>
              <w:rPr>
                <w:color w:val="auto"/>
                <w:sz w:val="24"/>
                <w:szCs w:val="24"/>
              </w:rPr>
              <w:t>天然气燃烧废气G</w:t>
            </w:r>
            <w:r>
              <w:rPr>
                <w:rFonts w:hint="eastAsia"/>
                <w:color w:val="auto"/>
                <w:sz w:val="24"/>
                <w:szCs w:val="24"/>
                <w:lang w:val="en-US" w:eastAsia="zh-CN"/>
              </w:rPr>
              <w:t>3</w:t>
            </w:r>
          </w:p>
          <w:p>
            <w:pPr>
              <w:numPr>
                <w:ilvl w:val="0"/>
                <w:numId w:val="0"/>
              </w:numPr>
              <w:spacing w:line="360" w:lineRule="auto"/>
              <w:ind w:firstLine="480" w:firstLineChars="200"/>
              <w:rPr>
                <w:rFonts w:hint="default" w:eastAsia="宋体"/>
                <w:color w:val="auto"/>
                <w:sz w:val="24"/>
                <w:szCs w:val="24"/>
                <w:lang w:val="en-US" w:eastAsia="zh-CN"/>
              </w:rPr>
            </w:pPr>
            <w:r>
              <w:rPr>
                <w:color w:val="auto"/>
                <w:sz w:val="24"/>
                <w:szCs w:val="24"/>
              </w:rPr>
              <w:t>本项目设有</w:t>
            </w:r>
            <w:r>
              <w:rPr>
                <w:rFonts w:hint="eastAsia"/>
                <w:color w:val="auto"/>
                <w:sz w:val="24"/>
                <w:szCs w:val="24"/>
                <w:lang w:eastAsia="zh-CN"/>
              </w:rPr>
              <w:t>两间烘干室</w:t>
            </w:r>
            <w:r>
              <w:rPr>
                <w:color w:val="auto"/>
                <w:sz w:val="24"/>
                <w:szCs w:val="24"/>
              </w:rPr>
              <w:t>，</w:t>
            </w:r>
            <w:r>
              <w:rPr>
                <w:rFonts w:hint="eastAsia"/>
                <w:color w:val="auto"/>
                <w:sz w:val="24"/>
                <w:szCs w:val="24"/>
                <w:lang w:eastAsia="zh-CN"/>
              </w:rPr>
              <w:t>其中一间</w:t>
            </w:r>
            <w:r>
              <w:rPr>
                <w:color w:val="auto"/>
                <w:sz w:val="24"/>
                <w:szCs w:val="24"/>
              </w:rPr>
              <w:t>采用天然气加热，产生天然气燃烧废气，本项目天然气使用量为</w:t>
            </w:r>
            <w:r>
              <w:rPr>
                <w:rFonts w:hint="eastAsia"/>
                <w:color w:val="auto"/>
                <w:sz w:val="24"/>
                <w:szCs w:val="24"/>
                <w:lang w:val="en-US" w:eastAsia="zh-CN"/>
              </w:rPr>
              <w:t>3</w:t>
            </w:r>
            <w:r>
              <w:rPr>
                <w:color w:val="auto"/>
                <w:sz w:val="24"/>
                <w:szCs w:val="24"/>
              </w:rPr>
              <w:t>万m</w:t>
            </w:r>
            <w:r>
              <w:rPr>
                <w:color w:val="auto"/>
                <w:sz w:val="24"/>
                <w:szCs w:val="24"/>
                <w:vertAlign w:val="superscript"/>
              </w:rPr>
              <w:t>3</w:t>
            </w:r>
            <w:r>
              <w:rPr>
                <w:color w:val="auto"/>
                <w:sz w:val="24"/>
                <w:szCs w:val="24"/>
              </w:rPr>
              <w:t>/a。</w:t>
            </w:r>
            <w:r>
              <w:rPr>
                <w:rFonts w:hint="eastAsia"/>
                <w:color w:val="auto"/>
                <w:sz w:val="24"/>
                <w:szCs w:val="24"/>
                <w:lang w:eastAsia="zh-CN"/>
              </w:rPr>
              <w:t>本项目设置低氮燃烧器降低氮氧化物排放浓度和排放量，</w:t>
            </w:r>
            <w:r>
              <w:rPr>
                <w:color w:val="auto"/>
                <w:sz w:val="24"/>
                <w:szCs w:val="24"/>
              </w:rPr>
              <w:t>天然气燃料产污系数按照《第一次全国污染源普查工业污染源产排污系数手册》，</w:t>
            </w:r>
            <w:r>
              <w:rPr>
                <w:rFonts w:hint="eastAsia"/>
                <w:color w:val="auto"/>
                <w:sz w:val="24"/>
                <w:szCs w:val="24"/>
                <w:lang w:eastAsia="zh-CN"/>
              </w:rPr>
              <w:t>氮氧化物的</w:t>
            </w:r>
            <w:r>
              <w:rPr>
                <w:color w:val="auto"/>
                <w:sz w:val="24"/>
                <w:szCs w:val="24"/>
              </w:rPr>
              <w:t>产</w:t>
            </w:r>
            <w:r>
              <w:rPr>
                <w:rFonts w:hint="eastAsia"/>
                <w:color w:val="auto"/>
                <w:sz w:val="24"/>
                <w:szCs w:val="24"/>
                <w:lang w:eastAsia="zh-CN"/>
              </w:rPr>
              <w:t>排</w:t>
            </w:r>
            <w:r>
              <w:rPr>
                <w:color w:val="auto"/>
                <w:sz w:val="24"/>
                <w:szCs w:val="24"/>
              </w:rPr>
              <w:t>污系数</w:t>
            </w:r>
            <w:r>
              <w:rPr>
                <w:rFonts w:hint="eastAsia"/>
                <w:color w:val="auto"/>
                <w:sz w:val="24"/>
                <w:szCs w:val="24"/>
                <w:lang w:eastAsia="zh-CN"/>
              </w:rPr>
              <w:t>为</w:t>
            </w:r>
            <w:r>
              <w:rPr>
                <w:rFonts w:hint="eastAsia"/>
                <w:color w:val="auto"/>
                <w:sz w:val="24"/>
                <w:szCs w:val="24"/>
                <w:lang w:val="en-US" w:eastAsia="zh-CN"/>
              </w:rPr>
              <w:t>18.71</w:t>
            </w:r>
            <w:r>
              <w:rPr>
                <w:color w:val="auto"/>
                <w:sz w:val="24"/>
                <w:szCs w:val="24"/>
              </w:rPr>
              <w:t>千克/万立方米-原料</w:t>
            </w:r>
            <w:r>
              <w:rPr>
                <w:rFonts w:hint="eastAsia"/>
                <w:color w:val="auto"/>
                <w:sz w:val="24"/>
                <w:szCs w:val="24"/>
                <w:lang w:eastAsia="zh-CN"/>
              </w:rPr>
              <w:t>，低氮燃烧器可降低</w:t>
            </w:r>
            <w:r>
              <w:rPr>
                <w:rFonts w:hint="eastAsia"/>
                <w:color w:val="auto"/>
                <w:sz w:val="24"/>
                <w:szCs w:val="24"/>
                <w:lang w:val="en-US" w:eastAsia="zh-CN"/>
              </w:rPr>
              <w:t>60%以上氮氧化物排放量，因此产排污系数为7.48</w:t>
            </w:r>
            <w:r>
              <w:rPr>
                <w:color w:val="auto"/>
                <w:sz w:val="24"/>
                <w:szCs w:val="24"/>
              </w:rPr>
              <w:t>千克/万立方米-原料</w:t>
            </w:r>
            <w:r>
              <w:rPr>
                <w:rFonts w:hint="eastAsia"/>
                <w:color w:val="auto"/>
                <w:sz w:val="24"/>
                <w:szCs w:val="24"/>
                <w:lang w:eastAsia="zh-CN"/>
              </w:rPr>
              <w:t>，其他污染因子产污系数</w:t>
            </w:r>
            <w:r>
              <w:rPr>
                <w:color w:val="auto"/>
                <w:sz w:val="24"/>
                <w:szCs w:val="24"/>
              </w:rPr>
              <w:t>详见下表。天然气为清洁能源，天然气燃烧废气经15m排气筒（1#）直接排放。</w:t>
            </w:r>
            <w:r>
              <w:rPr>
                <w:rFonts w:hint="eastAsia"/>
                <w:color w:val="auto"/>
                <w:sz w:val="24"/>
                <w:szCs w:val="24"/>
                <w:lang w:eastAsia="zh-CN"/>
              </w:rPr>
              <w:t>由于天然气烘道达到一定温度后会恒温，此时停止燃烧天然气，本项目年烘干时间为</w:t>
            </w:r>
            <w:r>
              <w:rPr>
                <w:rFonts w:hint="eastAsia"/>
                <w:color w:val="auto"/>
                <w:sz w:val="24"/>
                <w:szCs w:val="24"/>
                <w:lang w:val="en-US" w:eastAsia="zh-CN"/>
              </w:rPr>
              <w:t>2000h，则天然气燃烧时间约为1200h。</w:t>
            </w:r>
          </w:p>
          <w:p>
            <w:pPr>
              <w:snapToGrid w:val="0"/>
              <w:spacing w:line="240" w:lineRule="auto"/>
              <w:jc w:val="center"/>
              <w:rPr>
                <w:b/>
                <w:bCs/>
                <w:color w:val="auto"/>
                <w:kern w:val="0"/>
                <w:sz w:val="24"/>
                <w:szCs w:val="24"/>
              </w:rPr>
            </w:pPr>
            <w:r>
              <w:rPr>
                <w:b/>
                <w:bCs/>
                <w:color w:val="auto"/>
                <w:kern w:val="0"/>
                <w:sz w:val="24"/>
                <w:szCs w:val="24"/>
              </w:rPr>
              <w:t>表5-</w:t>
            </w:r>
            <w:r>
              <w:rPr>
                <w:rFonts w:hint="eastAsia"/>
                <w:b/>
                <w:bCs/>
                <w:color w:val="auto"/>
                <w:kern w:val="0"/>
                <w:sz w:val="24"/>
                <w:szCs w:val="24"/>
                <w:lang w:val="en-US" w:eastAsia="zh-CN"/>
              </w:rPr>
              <w:t>1</w:t>
            </w:r>
            <w:r>
              <w:rPr>
                <w:b/>
                <w:bCs/>
                <w:color w:val="auto"/>
                <w:kern w:val="0"/>
                <w:sz w:val="24"/>
                <w:szCs w:val="24"/>
              </w:rPr>
              <w:t xml:space="preserve">  天然气工业炉产排污系数表</w:t>
            </w:r>
          </w:p>
          <w:tbl>
            <w:tblPr>
              <w:tblStyle w:val="17"/>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14"/>
              <w:gridCol w:w="872"/>
              <w:gridCol w:w="870"/>
              <w:gridCol w:w="1339"/>
              <w:gridCol w:w="743"/>
              <w:gridCol w:w="1113"/>
              <w:gridCol w:w="735"/>
              <w:gridCol w:w="1005"/>
              <w:gridCol w:w="102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4"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b/>
                      <w:bCs/>
                      <w:color w:val="auto"/>
                      <w:szCs w:val="21"/>
                    </w:rPr>
                  </w:pPr>
                  <w:r>
                    <w:rPr>
                      <w:b/>
                      <w:bCs/>
                      <w:color w:val="auto"/>
                      <w:szCs w:val="21"/>
                    </w:rPr>
                    <w:t>原料</w:t>
                  </w:r>
                </w:p>
              </w:tc>
              <w:tc>
                <w:tcPr>
                  <w:tcW w:w="872"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b/>
                      <w:bCs/>
                      <w:color w:val="auto"/>
                      <w:szCs w:val="21"/>
                    </w:rPr>
                  </w:pPr>
                  <w:r>
                    <w:rPr>
                      <w:b/>
                      <w:bCs/>
                      <w:color w:val="auto"/>
                      <w:szCs w:val="21"/>
                    </w:rPr>
                    <w:t>污染物指标</w:t>
                  </w: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b/>
                      <w:bCs/>
                      <w:color w:val="auto"/>
                      <w:szCs w:val="21"/>
                    </w:rPr>
                  </w:pPr>
                  <w:r>
                    <w:rPr>
                      <w:b/>
                      <w:bCs/>
                      <w:color w:val="auto"/>
                      <w:szCs w:val="21"/>
                    </w:rPr>
                    <w:t>单位</w:t>
                  </w:r>
                </w:p>
              </w:tc>
              <w:tc>
                <w:tcPr>
                  <w:tcW w:w="1339"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b/>
                      <w:bCs/>
                      <w:color w:val="auto"/>
                      <w:szCs w:val="21"/>
                    </w:rPr>
                  </w:pPr>
                  <w:r>
                    <w:rPr>
                      <w:b/>
                      <w:bCs/>
                      <w:color w:val="auto"/>
                      <w:szCs w:val="21"/>
                    </w:rPr>
                    <w:t>产污系数</w:t>
                  </w:r>
                </w:p>
              </w:tc>
              <w:tc>
                <w:tcPr>
                  <w:tcW w:w="743"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b/>
                      <w:bCs/>
                      <w:color w:val="auto"/>
                      <w:szCs w:val="21"/>
                    </w:rPr>
                  </w:pPr>
                  <w:r>
                    <w:rPr>
                      <w:b/>
                      <w:bCs/>
                      <w:color w:val="auto"/>
                      <w:szCs w:val="21"/>
                    </w:rPr>
                    <w:t>末端治理技术名称</w:t>
                  </w:r>
                </w:p>
              </w:tc>
              <w:tc>
                <w:tcPr>
                  <w:tcW w:w="1113"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b/>
                      <w:bCs/>
                      <w:color w:val="auto"/>
                      <w:szCs w:val="21"/>
                    </w:rPr>
                  </w:pPr>
                  <w:r>
                    <w:rPr>
                      <w:b/>
                      <w:bCs/>
                      <w:color w:val="auto"/>
                      <w:szCs w:val="21"/>
                    </w:rPr>
                    <w:t>排污系数</w:t>
                  </w:r>
                </w:p>
              </w:tc>
              <w:tc>
                <w:tcPr>
                  <w:tcW w:w="735"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b/>
                      <w:bCs/>
                      <w:color w:val="auto"/>
                      <w:szCs w:val="21"/>
                    </w:rPr>
                  </w:pPr>
                  <w:r>
                    <w:rPr>
                      <w:b/>
                      <w:bCs/>
                      <w:color w:val="auto"/>
                      <w:szCs w:val="21"/>
                    </w:rPr>
                    <w:t>天然气用量</w:t>
                  </w:r>
                </w:p>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rFonts w:hint="default" w:eastAsia="宋体"/>
                      <w:b/>
                      <w:bCs/>
                      <w:color w:val="auto"/>
                      <w:szCs w:val="21"/>
                      <w:lang w:val="en-US" w:eastAsia="zh-CN"/>
                    </w:rPr>
                  </w:pPr>
                  <w:r>
                    <w:rPr>
                      <w:rFonts w:hint="eastAsia"/>
                      <w:b/>
                      <w:bCs/>
                      <w:color w:val="auto"/>
                      <w:szCs w:val="21"/>
                      <w:lang w:val="en-US" w:eastAsia="zh-CN"/>
                    </w:rPr>
                    <w:t>m</w:t>
                  </w:r>
                  <w:r>
                    <w:rPr>
                      <w:rFonts w:hint="eastAsia"/>
                      <w:b/>
                      <w:bCs/>
                      <w:color w:val="auto"/>
                      <w:szCs w:val="21"/>
                      <w:vertAlign w:val="superscript"/>
                      <w:lang w:val="en-US" w:eastAsia="zh-CN"/>
                    </w:rPr>
                    <w:t>3</w:t>
                  </w:r>
                  <w:r>
                    <w:rPr>
                      <w:b/>
                      <w:bCs/>
                      <w:color w:val="auto"/>
                      <w:szCs w:val="21"/>
                    </w:rPr>
                    <w:t>/</w:t>
                  </w:r>
                  <w:r>
                    <w:rPr>
                      <w:rFonts w:hint="eastAsia"/>
                      <w:b/>
                      <w:bCs/>
                      <w:color w:val="auto"/>
                      <w:szCs w:val="21"/>
                      <w:lang w:val="en-US" w:eastAsia="zh-CN"/>
                    </w:rPr>
                    <w:t>a</w:t>
                  </w:r>
                </w:p>
              </w:tc>
              <w:tc>
                <w:tcPr>
                  <w:tcW w:w="1005"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b/>
                      <w:bCs/>
                      <w:color w:val="auto"/>
                      <w:szCs w:val="21"/>
                    </w:rPr>
                  </w:pPr>
                  <w:r>
                    <w:rPr>
                      <w:b/>
                      <w:bCs/>
                      <w:color w:val="auto"/>
                      <w:szCs w:val="21"/>
                    </w:rPr>
                    <w:t>产生量（t/a）</w:t>
                  </w:r>
                </w:p>
              </w:tc>
              <w:tc>
                <w:tcPr>
                  <w:tcW w:w="1021"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b/>
                      <w:bCs/>
                      <w:color w:val="auto"/>
                      <w:szCs w:val="21"/>
                    </w:rPr>
                  </w:pPr>
                  <w:r>
                    <w:rPr>
                      <w:b/>
                      <w:bCs/>
                      <w:color w:val="auto"/>
                      <w:szCs w:val="21"/>
                    </w:rPr>
                    <w:t>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4"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r>
                    <w:rPr>
                      <w:color w:val="auto"/>
                      <w:szCs w:val="21"/>
                    </w:rPr>
                    <w:t>天然气</w:t>
                  </w:r>
                </w:p>
              </w:tc>
              <w:tc>
                <w:tcPr>
                  <w:tcW w:w="872"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r>
                    <w:rPr>
                      <w:color w:val="auto"/>
                      <w:szCs w:val="21"/>
                    </w:rPr>
                    <w:t>工业废气量</w:t>
                  </w:r>
                </w:p>
              </w:tc>
              <w:tc>
                <w:tcPr>
                  <w:tcW w:w="870"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r>
                    <w:rPr>
                      <w:color w:val="auto"/>
                      <w:szCs w:val="21"/>
                    </w:rPr>
                    <w:t>标立方米/万立方米-原料</w:t>
                  </w:r>
                </w:p>
              </w:tc>
              <w:tc>
                <w:tcPr>
                  <w:tcW w:w="1339"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r>
                    <w:rPr>
                      <w:color w:val="auto"/>
                      <w:szCs w:val="21"/>
                    </w:rPr>
                    <w:t>136259.17</w:t>
                  </w:r>
                </w:p>
              </w:tc>
              <w:tc>
                <w:tcPr>
                  <w:tcW w:w="743"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r>
                    <w:rPr>
                      <w:color w:val="auto"/>
                      <w:szCs w:val="21"/>
                    </w:rPr>
                    <w:t>直排</w:t>
                  </w:r>
                </w:p>
              </w:tc>
              <w:tc>
                <w:tcPr>
                  <w:tcW w:w="1113"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r>
                    <w:rPr>
                      <w:color w:val="auto"/>
                      <w:szCs w:val="21"/>
                    </w:rPr>
                    <w:t>136259.17</w:t>
                  </w:r>
                </w:p>
              </w:tc>
              <w:tc>
                <w:tcPr>
                  <w:tcW w:w="735"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r>
                    <w:rPr>
                      <w:color w:val="auto"/>
                      <w:szCs w:val="21"/>
                    </w:rPr>
                    <w:t>8万</w:t>
                  </w:r>
                </w:p>
              </w:tc>
              <w:tc>
                <w:tcPr>
                  <w:tcW w:w="1005"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r>
                    <w:rPr>
                      <w:rFonts w:hint="eastAsia"/>
                      <w:color w:val="auto"/>
                      <w:szCs w:val="21"/>
                      <w:lang w:val="en-US" w:eastAsia="zh-CN"/>
                    </w:rPr>
                    <w:t>41</w:t>
                  </w:r>
                  <w:r>
                    <w:rPr>
                      <w:color w:val="auto"/>
                      <w:szCs w:val="21"/>
                    </w:rPr>
                    <w:t>万标立方米/a</w:t>
                  </w:r>
                </w:p>
              </w:tc>
              <w:tc>
                <w:tcPr>
                  <w:tcW w:w="1021"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r>
                    <w:rPr>
                      <w:rFonts w:hint="eastAsia"/>
                      <w:color w:val="auto"/>
                      <w:szCs w:val="21"/>
                      <w:lang w:val="en-US" w:eastAsia="zh-CN"/>
                    </w:rPr>
                    <w:t>41</w:t>
                  </w:r>
                  <w:r>
                    <w:rPr>
                      <w:color w:val="auto"/>
                      <w:szCs w:val="21"/>
                    </w:rPr>
                    <w:t>万标立方米/a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p>
              </w:tc>
              <w:tc>
                <w:tcPr>
                  <w:tcW w:w="872"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r>
                    <w:rPr>
                      <w:color w:val="auto"/>
                      <w:szCs w:val="21"/>
                    </w:rPr>
                    <w:t>二氧化硫</w:t>
                  </w:r>
                </w:p>
              </w:tc>
              <w:tc>
                <w:tcPr>
                  <w:tcW w:w="870"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r>
                    <w:rPr>
                      <w:color w:val="auto"/>
                      <w:szCs w:val="21"/>
                    </w:rPr>
                    <w:t>千克/万立方米-原料</w:t>
                  </w:r>
                </w:p>
              </w:tc>
              <w:tc>
                <w:tcPr>
                  <w:tcW w:w="1339"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r>
                    <w:rPr>
                      <w:color w:val="auto"/>
                      <w:szCs w:val="21"/>
                    </w:rPr>
                    <w:t>0.02S</w:t>
                  </w:r>
                  <w:r>
                    <w:rPr>
                      <w:color w:val="auto"/>
                      <w:szCs w:val="21"/>
                      <w:vertAlign w:val="superscript"/>
                    </w:rPr>
                    <w:t>①</w:t>
                  </w:r>
                </w:p>
              </w:tc>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p>
              </w:tc>
              <w:tc>
                <w:tcPr>
                  <w:tcW w:w="1113"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r>
                    <w:rPr>
                      <w:color w:val="auto"/>
                      <w:szCs w:val="21"/>
                    </w:rPr>
                    <w:t>0.02S</w:t>
                  </w:r>
                </w:p>
              </w:tc>
              <w:tc>
                <w:tcPr>
                  <w:tcW w:w="73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p>
              </w:tc>
              <w:tc>
                <w:tcPr>
                  <w:tcW w:w="1005"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rFonts w:hint="default" w:eastAsia="宋体"/>
                      <w:color w:val="auto"/>
                      <w:szCs w:val="21"/>
                      <w:lang w:val="en-US" w:eastAsia="zh-CN"/>
                    </w:rPr>
                  </w:pPr>
                  <w:r>
                    <w:rPr>
                      <w:color w:val="auto"/>
                      <w:szCs w:val="21"/>
                    </w:rPr>
                    <w:t>0.0</w:t>
                  </w:r>
                  <w:r>
                    <w:rPr>
                      <w:rFonts w:hint="eastAsia"/>
                      <w:color w:val="auto"/>
                      <w:szCs w:val="21"/>
                      <w:lang w:val="en-US" w:eastAsia="zh-CN"/>
                    </w:rPr>
                    <w:t>12</w:t>
                  </w:r>
                </w:p>
              </w:tc>
              <w:tc>
                <w:tcPr>
                  <w:tcW w:w="1021"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rFonts w:hint="default"/>
                      <w:color w:val="auto"/>
                      <w:szCs w:val="21"/>
                      <w:lang w:val="en-US"/>
                    </w:rPr>
                  </w:pPr>
                  <w:r>
                    <w:rPr>
                      <w:color w:val="auto"/>
                      <w:szCs w:val="21"/>
                    </w:rPr>
                    <w:t>0.0</w:t>
                  </w:r>
                  <w:r>
                    <w:rPr>
                      <w:rFonts w:hint="eastAsia"/>
                      <w:color w:val="auto"/>
                      <w:szCs w:val="21"/>
                      <w:lang w:val="en-US" w:eastAsia="zh-CN"/>
                    </w:rPr>
                    <w:t>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p>
              </w:tc>
              <w:tc>
                <w:tcPr>
                  <w:tcW w:w="872"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r>
                    <w:rPr>
                      <w:color w:val="auto"/>
                      <w:szCs w:val="21"/>
                    </w:rPr>
                    <w:t>氮氧化物</w:t>
                  </w:r>
                </w:p>
              </w:tc>
              <w:tc>
                <w:tcPr>
                  <w:tcW w:w="87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p>
              </w:tc>
              <w:tc>
                <w:tcPr>
                  <w:tcW w:w="1339"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rFonts w:hint="default" w:eastAsia="宋体"/>
                      <w:color w:val="auto"/>
                      <w:szCs w:val="21"/>
                      <w:lang w:val="en-US" w:eastAsia="zh-CN"/>
                    </w:rPr>
                  </w:pPr>
                  <w:r>
                    <w:rPr>
                      <w:rFonts w:hint="eastAsia"/>
                      <w:color w:val="auto"/>
                      <w:szCs w:val="21"/>
                      <w:lang w:val="en-US" w:eastAsia="zh-CN"/>
                    </w:rPr>
                    <w:t>7.48</w:t>
                  </w:r>
                </w:p>
              </w:tc>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p>
              </w:tc>
              <w:tc>
                <w:tcPr>
                  <w:tcW w:w="1113"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rFonts w:hint="default" w:eastAsia="宋体"/>
                      <w:color w:val="auto"/>
                      <w:szCs w:val="21"/>
                      <w:lang w:val="en-US" w:eastAsia="zh-CN"/>
                    </w:rPr>
                  </w:pPr>
                  <w:r>
                    <w:rPr>
                      <w:rFonts w:hint="eastAsia"/>
                      <w:color w:val="auto"/>
                      <w:szCs w:val="21"/>
                      <w:lang w:val="en-US" w:eastAsia="zh-CN"/>
                    </w:rPr>
                    <w:t>7.48</w:t>
                  </w:r>
                </w:p>
              </w:tc>
              <w:tc>
                <w:tcPr>
                  <w:tcW w:w="73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p>
              </w:tc>
              <w:tc>
                <w:tcPr>
                  <w:tcW w:w="1005"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rFonts w:hint="default" w:eastAsia="宋体"/>
                      <w:color w:val="auto"/>
                      <w:szCs w:val="21"/>
                      <w:lang w:val="en-US" w:eastAsia="zh-CN"/>
                    </w:rPr>
                  </w:pPr>
                  <w:r>
                    <w:rPr>
                      <w:rFonts w:hint="eastAsia"/>
                      <w:color w:val="auto"/>
                      <w:szCs w:val="21"/>
                      <w:lang w:val="en-US" w:eastAsia="zh-CN"/>
                    </w:rPr>
                    <w:t>0.02</w:t>
                  </w:r>
                </w:p>
              </w:tc>
              <w:tc>
                <w:tcPr>
                  <w:tcW w:w="1021"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rFonts w:hint="default" w:eastAsia="宋体"/>
                      <w:color w:val="auto"/>
                      <w:szCs w:val="21"/>
                      <w:lang w:val="en-US" w:eastAsia="zh-CN"/>
                    </w:rPr>
                  </w:pPr>
                  <w:r>
                    <w:rPr>
                      <w:color w:val="auto"/>
                      <w:szCs w:val="21"/>
                    </w:rPr>
                    <w:t>0.</w:t>
                  </w:r>
                  <w:r>
                    <w:rPr>
                      <w:rFonts w:hint="eastAsia"/>
                      <w:color w:val="auto"/>
                      <w:szCs w:val="21"/>
                      <w:lang w:val="en-US" w:eastAsia="zh-CN"/>
                    </w:rPr>
                    <w:t>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14"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p>
              </w:tc>
              <w:tc>
                <w:tcPr>
                  <w:tcW w:w="872"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r>
                    <w:rPr>
                      <w:color w:val="auto"/>
                      <w:szCs w:val="21"/>
                    </w:rPr>
                    <w:t>颗粒物</w:t>
                  </w:r>
                </w:p>
              </w:tc>
              <w:tc>
                <w:tcPr>
                  <w:tcW w:w="870"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p>
              </w:tc>
              <w:tc>
                <w:tcPr>
                  <w:tcW w:w="1339"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r>
                    <w:rPr>
                      <w:color w:val="auto"/>
                      <w:szCs w:val="21"/>
                    </w:rPr>
                    <w:t>2.4</w:t>
                  </w:r>
                </w:p>
              </w:tc>
              <w:tc>
                <w:tcPr>
                  <w:tcW w:w="743"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p>
              </w:tc>
              <w:tc>
                <w:tcPr>
                  <w:tcW w:w="1113"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r>
                    <w:rPr>
                      <w:color w:val="auto"/>
                      <w:szCs w:val="21"/>
                    </w:rPr>
                    <w:t>2.4</w:t>
                  </w:r>
                </w:p>
              </w:tc>
              <w:tc>
                <w:tcPr>
                  <w:tcW w:w="735"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color w:val="auto"/>
                      <w:szCs w:val="21"/>
                    </w:rPr>
                  </w:pPr>
                </w:p>
              </w:tc>
              <w:tc>
                <w:tcPr>
                  <w:tcW w:w="1005"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rFonts w:hint="default" w:eastAsia="宋体"/>
                      <w:color w:val="auto"/>
                      <w:szCs w:val="21"/>
                      <w:lang w:val="en-US" w:eastAsia="zh-CN"/>
                    </w:rPr>
                  </w:pPr>
                  <w:r>
                    <w:rPr>
                      <w:color w:val="auto"/>
                      <w:szCs w:val="21"/>
                    </w:rPr>
                    <w:t>0.0</w:t>
                  </w:r>
                  <w:r>
                    <w:rPr>
                      <w:rFonts w:hint="eastAsia"/>
                      <w:color w:val="auto"/>
                      <w:szCs w:val="21"/>
                      <w:lang w:val="en-US" w:eastAsia="zh-CN"/>
                    </w:rPr>
                    <w:t>07</w:t>
                  </w:r>
                </w:p>
              </w:tc>
              <w:tc>
                <w:tcPr>
                  <w:tcW w:w="1021" w:type="dxa"/>
                  <w:noWrap w:val="0"/>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outlineLvl w:val="0"/>
                    <w:rPr>
                      <w:rFonts w:hint="eastAsia" w:eastAsia="宋体"/>
                      <w:color w:val="auto"/>
                      <w:szCs w:val="21"/>
                      <w:lang w:eastAsia="zh-CN"/>
                    </w:rPr>
                  </w:pPr>
                  <w:r>
                    <w:rPr>
                      <w:color w:val="auto"/>
                      <w:szCs w:val="21"/>
                    </w:rPr>
                    <w:t>0.0</w:t>
                  </w:r>
                  <w:r>
                    <w:rPr>
                      <w:rFonts w:hint="eastAsia"/>
                      <w:color w:val="auto"/>
                      <w:szCs w:val="21"/>
                      <w:lang w:val="en-US" w:eastAsia="zh-CN"/>
                    </w:rPr>
                    <w:t>07</w:t>
                  </w:r>
                </w:p>
              </w:tc>
            </w:tr>
          </w:tbl>
          <w:p>
            <w:pPr>
              <w:spacing w:line="360" w:lineRule="auto"/>
              <w:ind w:firstLine="360" w:firstLineChars="200"/>
              <w:rPr>
                <w:color w:val="auto"/>
                <w:sz w:val="24"/>
                <w:szCs w:val="24"/>
              </w:rPr>
            </w:pPr>
            <w:r>
              <w:rPr>
                <w:b/>
                <w:bCs/>
                <w:color w:val="auto"/>
                <w:sz w:val="18"/>
                <w:szCs w:val="13"/>
              </w:rPr>
              <w:t>注：①产排污系数表中二氧化硫的产排污系数是以含硫量（S）的形式表示的，其中含硫量（S）是指燃气收到基硫分含量，单位为毫克/立方米。例如燃料中含硫量（S）为200毫克/立方米，则S=200。</w:t>
            </w:r>
          </w:p>
          <w:p>
            <w:pPr>
              <w:adjustRightInd w:val="0"/>
              <w:snapToGrid w:val="0"/>
              <w:spacing w:line="360" w:lineRule="auto"/>
              <w:ind w:firstLine="480" w:firstLineChars="200"/>
              <w:jc w:val="left"/>
              <w:rPr>
                <w:rFonts w:hint="eastAsia" w:eastAsia="宋体"/>
                <w:color w:val="auto"/>
                <w:sz w:val="24"/>
                <w:szCs w:val="24"/>
                <w:lang w:eastAsia="zh-CN"/>
              </w:rPr>
            </w:pPr>
            <w:r>
              <w:rPr>
                <w:rFonts w:hint="eastAsia"/>
                <w:color w:val="auto"/>
                <w:sz w:val="24"/>
                <w:szCs w:val="24"/>
                <w:lang w:eastAsia="zh-CN"/>
              </w:rPr>
              <w:t>（</w:t>
            </w:r>
            <w:r>
              <w:rPr>
                <w:rFonts w:hint="eastAsia"/>
                <w:color w:val="auto"/>
                <w:sz w:val="24"/>
                <w:szCs w:val="24"/>
                <w:lang w:val="en-US" w:eastAsia="zh-CN"/>
              </w:rPr>
              <w:t>2</w:t>
            </w:r>
            <w:r>
              <w:rPr>
                <w:rFonts w:hint="eastAsia"/>
                <w:color w:val="auto"/>
                <w:sz w:val="24"/>
                <w:szCs w:val="24"/>
                <w:lang w:eastAsia="zh-CN"/>
              </w:rPr>
              <w:t>）</w:t>
            </w:r>
            <w:r>
              <w:rPr>
                <w:color w:val="auto"/>
                <w:sz w:val="24"/>
                <w:szCs w:val="24"/>
              </w:rPr>
              <w:t>喷塑粉尘G</w:t>
            </w:r>
            <w:r>
              <w:rPr>
                <w:rFonts w:hint="eastAsia"/>
                <w:color w:val="auto"/>
                <w:sz w:val="24"/>
                <w:szCs w:val="24"/>
                <w:lang w:val="en-US" w:eastAsia="zh-CN"/>
              </w:rPr>
              <w:t>1</w:t>
            </w:r>
          </w:p>
          <w:p>
            <w:pPr>
              <w:adjustRightInd w:val="0"/>
              <w:snapToGrid w:val="0"/>
              <w:spacing w:line="360" w:lineRule="auto"/>
              <w:ind w:firstLine="480" w:firstLineChars="200"/>
              <w:jc w:val="left"/>
              <w:rPr>
                <w:color w:val="auto"/>
                <w:sz w:val="24"/>
                <w:szCs w:val="24"/>
              </w:rPr>
            </w:pPr>
            <w:r>
              <w:rPr>
                <w:color w:val="auto"/>
                <w:sz w:val="24"/>
              </w:rPr>
              <w:t>本项目喷塑工艺在喷塑房内进行。本项目设置</w:t>
            </w:r>
            <w:r>
              <w:rPr>
                <w:rFonts w:hint="eastAsia"/>
                <w:color w:val="auto"/>
                <w:sz w:val="24"/>
                <w:lang w:val="en-US" w:eastAsia="zh-CN"/>
              </w:rPr>
              <w:t>1</w:t>
            </w:r>
            <w:r>
              <w:rPr>
                <w:color w:val="auto"/>
                <w:sz w:val="24"/>
              </w:rPr>
              <w:t>条手动喷塑线，1条自动喷塑线，共设置两个喷塑房，</w:t>
            </w:r>
            <w:r>
              <w:rPr>
                <w:rFonts w:hint="eastAsia"/>
                <w:color w:val="auto"/>
                <w:sz w:val="24"/>
              </w:rPr>
              <w:t>自动喷塑房设置</w:t>
            </w:r>
            <w:r>
              <w:rPr>
                <w:rFonts w:hint="eastAsia"/>
                <w:color w:val="auto"/>
                <w:sz w:val="24"/>
                <w:lang w:val="en-US" w:eastAsia="zh-CN"/>
              </w:rPr>
              <w:t>2</w:t>
            </w:r>
            <w:r>
              <w:rPr>
                <w:rFonts w:hint="eastAsia"/>
                <w:color w:val="auto"/>
                <w:sz w:val="24"/>
              </w:rPr>
              <w:t>把自动往返式喷枪，手动喷塑房设置2把手动喷枪</w:t>
            </w:r>
            <w:r>
              <w:rPr>
                <w:color w:val="auto"/>
                <w:sz w:val="24"/>
              </w:rPr>
              <w:t>，喷涂工序塑粉附着率约为70%，25%未附着部分收集后进入滤芯回收后再利用，剩余5%喷涂时掉落地面作为固废处置，考虑到喷塑房人员进出，收集效率为98%，滤芯回收效率99%，风量为1</w:t>
            </w:r>
            <w:r>
              <w:rPr>
                <w:rFonts w:hint="eastAsia"/>
                <w:color w:val="auto"/>
                <w:sz w:val="24"/>
                <w:lang w:val="en-US" w:eastAsia="zh-CN"/>
              </w:rPr>
              <w:t>0</w:t>
            </w:r>
            <w:r>
              <w:rPr>
                <w:color w:val="auto"/>
                <w:sz w:val="24"/>
              </w:rPr>
              <w:t>000m</w:t>
            </w:r>
            <w:r>
              <w:rPr>
                <w:color w:val="auto"/>
                <w:sz w:val="24"/>
                <w:vertAlign w:val="superscript"/>
              </w:rPr>
              <w:t>3</w:t>
            </w:r>
            <w:r>
              <w:rPr>
                <w:color w:val="auto"/>
                <w:sz w:val="24"/>
              </w:rPr>
              <w:t>/h。喷涂塑粉的使用量为</w:t>
            </w:r>
            <w:r>
              <w:rPr>
                <w:rFonts w:hint="eastAsia"/>
                <w:color w:val="auto"/>
                <w:sz w:val="24"/>
                <w:lang w:val="en-US" w:eastAsia="zh-CN"/>
              </w:rPr>
              <w:t>5</w:t>
            </w:r>
            <w:r>
              <w:rPr>
                <w:color w:val="auto"/>
                <w:sz w:val="24"/>
              </w:rPr>
              <w:t>t/a，考虑到塑粉经滤芯处理后回用，则通过喷枪的塑粉总量为</w:t>
            </w:r>
            <w:r>
              <w:rPr>
                <w:rFonts w:hint="eastAsia"/>
                <w:color w:val="auto"/>
                <w:sz w:val="24"/>
                <w:lang w:val="en-US" w:eastAsia="zh-CN"/>
              </w:rPr>
              <w:t>6.6</w:t>
            </w:r>
            <w:r>
              <w:rPr>
                <w:color w:val="auto"/>
                <w:sz w:val="24"/>
              </w:rPr>
              <w:t>t/a，进入二级回收滤芯式后过滤器处理，尾气由15m（1#）排气筒排放。滤芯回收的塑粉再利用，喷塑粉尘有组织产生量为</w:t>
            </w:r>
            <w:r>
              <w:rPr>
                <w:rFonts w:hint="eastAsia"/>
                <w:color w:val="auto"/>
                <w:sz w:val="24"/>
                <w:lang w:val="en-US" w:eastAsia="zh-CN"/>
              </w:rPr>
              <w:t>1.62</w:t>
            </w:r>
            <w:r>
              <w:rPr>
                <w:color w:val="auto"/>
                <w:sz w:val="24"/>
              </w:rPr>
              <w:t>t/a，有组织排放量为0.</w:t>
            </w:r>
            <w:r>
              <w:rPr>
                <w:rFonts w:hint="eastAsia"/>
                <w:color w:val="auto"/>
                <w:sz w:val="24"/>
                <w:lang w:val="en-US" w:eastAsia="zh-CN"/>
              </w:rPr>
              <w:t>02</w:t>
            </w:r>
            <w:r>
              <w:rPr>
                <w:color w:val="auto"/>
                <w:sz w:val="24"/>
              </w:rPr>
              <w:t>t/a，无组织排放量为</w:t>
            </w:r>
            <w:r>
              <w:rPr>
                <w:rFonts w:hint="eastAsia"/>
                <w:color w:val="auto"/>
                <w:sz w:val="24"/>
                <w:lang w:val="en-US" w:eastAsia="zh-CN"/>
              </w:rPr>
              <w:t>0.03</w:t>
            </w:r>
            <w:r>
              <w:rPr>
                <w:color w:val="auto"/>
                <w:sz w:val="24"/>
              </w:rPr>
              <w:t>t/a。本项目年喷塑时间为</w:t>
            </w:r>
            <w:r>
              <w:rPr>
                <w:rFonts w:hint="eastAsia"/>
                <w:color w:val="auto"/>
                <w:sz w:val="24"/>
                <w:lang w:val="en-US" w:eastAsia="zh-CN"/>
              </w:rPr>
              <w:t>12</w:t>
            </w:r>
            <w:r>
              <w:rPr>
                <w:color w:val="auto"/>
                <w:sz w:val="24"/>
              </w:rPr>
              <w:t>00h。</w:t>
            </w:r>
          </w:p>
          <w:p>
            <w:pPr>
              <w:adjustRightInd w:val="0"/>
              <w:snapToGrid w:val="0"/>
              <w:spacing w:line="360" w:lineRule="auto"/>
              <w:ind w:firstLine="480" w:firstLineChars="200"/>
              <w:jc w:val="left"/>
              <w:rPr>
                <w:rFonts w:hint="eastAsia" w:eastAsia="宋体"/>
                <w:color w:val="auto"/>
                <w:sz w:val="24"/>
                <w:szCs w:val="24"/>
                <w:lang w:eastAsia="zh-CN"/>
              </w:rPr>
            </w:pPr>
            <w:r>
              <w:rPr>
                <w:rFonts w:hint="eastAsia"/>
                <w:color w:val="auto"/>
                <w:sz w:val="24"/>
                <w:szCs w:val="24"/>
                <w:lang w:eastAsia="zh-CN"/>
              </w:rPr>
              <w:t>（</w:t>
            </w:r>
            <w:r>
              <w:rPr>
                <w:rFonts w:hint="eastAsia"/>
                <w:color w:val="auto"/>
                <w:sz w:val="24"/>
                <w:szCs w:val="24"/>
                <w:lang w:val="en-US" w:eastAsia="zh-CN"/>
              </w:rPr>
              <w:t>3</w:t>
            </w:r>
            <w:r>
              <w:rPr>
                <w:rFonts w:hint="eastAsia"/>
                <w:color w:val="auto"/>
                <w:sz w:val="24"/>
                <w:szCs w:val="24"/>
                <w:lang w:eastAsia="zh-CN"/>
              </w:rPr>
              <w:t>）</w:t>
            </w:r>
            <w:r>
              <w:rPr>
                <w:color w:val="auto"/>
                <w:sz w:val="24"/>
                <w:szCs w:val="24"/>
              </w:rPr>
              <w:t>固化废气G</w:t>
            </w:r>
            <w:r>
              <w:rPr>
                <w:rFonts w:hint="eastAsia"/>
                <w:color w:val="auto"/>
                <w:sz w:val="24"/>
                <w:szCs w:val="24"/>
                <w:lang w:val="en-US" w:eastAsia="zh-CN"/>
              </w:rPr>
              <w:t>2</w:t>
            </w:r>
          </w:p>
          <w:p>
            <w:pPr>
              <w:adjustRightInd w:val="0"/>
              <w:snapToGrid w:val="0"/>
              <w:spacing w:line="360" w:lineRule="auto"/>
              <w:ind w:firstLine="480" w:firstLineChars="200"/>
              <w:jc w:val="left"/>
              <w:rPr>
                <w:color w:val="auto"/>
                <w:sz w:val="24"/>
                <w:szCs w:val="24"/>
              </w:rPr>
            </w:pPr>
            <w:r>
              <w:rPr>
                <w:color w:val="auto"/>
                <w:sz w:val="24"/>
                <w:szCs w:val="24"/>
              </w:rPr>
              <w:t>本项目</w:t>
            </w:r>
            <w:r>
              <w:rPr>
                <w:rFonts w:hint="eastAsia"/>
                <w:color w:val="auto"/>
                <w:sz w:val="24"/>
                <w:szCs w:val="24"/>
                <w:lang w:eastAsia="zh-CN"/>
              </w:rPr>
              <w:t>固化</w:t>
            </w:r>
            <w:r>
              <w:rPr>
                <w:color w:val="auto"/>
                <w:sz w:val="24"/>
                <w:szCs w:val="24"/>
              </w:rPr>
              <w:t>在</w:t>
            </w:r>
            <w:r>
              <w:rPr>
                <w:rFonts w:hint="eastAsia"/>
                <w:color w:val="auto"/>
                <w:sz w:val="24"/>
                <w:szCs w:val="24"/>
                <w:lang w:eastAsia="zh-CN"/>
              </w:rPr>
              <w:t>烘干室</w:t>
            </w:r>
            <w:r>
              <w:rPr>
                <w:color w:val="auto"/>
                <w:sz w:val="24"/>
                <w:szCs w:val="24"/>
              </w:rPr>
              <w:t>进行，喷塑后部件进行烘干固化，固化产生有机废气非甲烷总烃。根据《喷塑行业污染物源强估算及治理方法探讨》（中国环境管理干部学院学报，第26卷第6期），固化工序产生的非甲烷总烃约占塑粉量的3‰~6‰，本次项目取6‰。本项目塑粉用量为</w:t>
            </w:r>
            <w:r>
              <w:rPr>
                <w:rFonts w:hint="eastAsia"/>
                <w:color w:val="auto"/>
                <w:sz w:val="24"/>
                <w:szCs w:val="24"/>
                <w:lang w:val="en-US" w:eastAsia="zh-CN"/>
              </w:rPr>
              <w:t>6</w:t>
            </w:r>
            <w:r>
              <w:rPr>
                <w:color w:val="auto"/>
                <w:sz w:val="24"/>
                <w:szCs w:val="24"/>
              </w:rPr>
              <w:t>t/a，附着在工件上进入固化工序的塑粉约</w:t>
            </w:r>
            <w:r>
              <w:rPr>
                <w:rFonts w:hint="eastAsia"/>
                <w:color w:val="auto"/>
                <w:sz w:val="24"/>
                <w:szCs w:val="24"/>
                <w:lang w:val="en-US" w:eastAsia="zh-CN"/>
              </w:rPr>
              <w:t>4.62</w:t>
            </w:r>
            <w:r>
              <w:rPr>
                <w:color w:val="auto"/>
                <w:sz w:val="24"/>
                <w:szCs w:val="24"/>
              </w:rPr>
              <w:t>t/a，则固化工序非甲烷总烃产生量为</w:t>
            </w:r>
            <w:r>
              <w:rPr>
                <w:rFonts w:hint="eastAsia"/>
                <w:color w:val="auto"/>
                <w:sz w:val="24"/>
                <w:szCs w:val="24"/>
                <w:lang w:val="en-US" w:eastAsia="zh-CN"/>
              </w:rPr>
              <w:t>0.03</w:t>
            </w:r>
            <w:r>
              <w:rPr>
                <w:color w:val="auto"/>
                <w:sz w:val="24"/>
                <w:szCs w:val="24"/>
              </w:rPr>
              <w:t>t/a。由于固化过程在</w:t>
            </w:r>
            <w:r>
              <w:rPr>
                <w:rFonts w:hint="eastAsia"/>
                <w:color w:val="auto"/>
                <w:sz w:val="24"/>
                <w:szCs w:val="24"/>
                <w:lang w:eastAsia="zh-CN"/>
              </w:rPr>
              <w:t>烘干室</w:t>
            </w:r>
            <w:r>
              <w:rPr>
                <w:color w:val="auto"/>
                <w:sz w:val="24"/>
                <w:szCs w:val="24"/>
              </w:rPr>
              <w:t>内进行，</w:t>
            </w:r>
            <w:r>
              <w:rPr>
                <w:rFonts w:hint="eastAsia"/>
                <w:color w:val="auto"/>
                <w:sz w:val="24"/>
                <w:szCs w:val="24"/>
                <w:lang w:eastAsia="zh-CN"/>
              </w:rPr>
              <w:t>烘干室</w:t>
            </w:r>
            <w:r>
              <w:rPr>
                <w:color w:val="auto"/>
                <w:sz w:val="24"/>
                <w:szCs w:val="24"/>
              </w:rPr>
              <w:t>为密闭，废气经</w:t>
            </w:r>
            <w:r>
              <w:rPr>
                <w:rFonts w:hint="eastAsia"/>
                <w:color w:val="auto"/>
                <w:sz w:val="24"/>
                <w:szCs w:val="24"/>
                <w:lang w:eastAsia="zh-CN"/>
              </w:rPr>
              <w:t>烘干室</w:t>
            </w:r>
            <w:r>
              <w:rPr>
                <w:color w:val="auto"/>
                <w:sz w:val="24"/>
                <w:szCs w:val="24"/>
              </w:rPr>
              <w:t>排气孔引一根集气管，集气管连接冷却器冷却废气（集气效率以9</w:t>
            </w:r>
            <w:r>
              <w:rPr>
                <w:rFonts w:hint="eastAsia"/>
                <w:color w:val="auto"/>
                <w:sz w:val="24"/>
                <w:szCs w:val="24"/>
                <w:lang w:val="en-US" w:eastAsia="zh-CN"/>
              </w:rPr>
              <w:t>8</w:t>
            </w:r>
            <w:r>
              <w:rPr>
                <w:color w:val="auto"/>
                <w:sz w:val="24"/>
                <w:szCs w:val="24"/>
              </w:rPr>
              <w:t>%计），冷却后的废气进入二级活性炭处理（处理效率90%，风机风量</w:t>
            </w:r>
            <w:r>
              <w:rPr>
                <w:rFonts w:hint="eastAsia"/>
                <w:color w:val="auto"/>
                <w:sz w:val="24"/>
                <w:szCs w:val="24"/>
                <w:lang w:val="en-US" w:eastAsia="zh-CN"/>
              </w:rPr>
              <w:t>5</w:t>
            </w:r>
            <w:r>
              <w:rPr>
                <w:color w:val="auto"/>
                <w:sz w:val="24"/>
                <w:szCs w:val="24"/>
              </w:rPr>
              <w:t>000m</w:t>
            </w:r>
            <w:r>
              <w:rPr>
                <w:color w:val="auto"/>
                <w:sz w:val="24"/>
                <w:szCs w:val="24"/>
                <w:vertAlign w:val="superscript"/>
              </w:rPr>
              <w:t>3</w:t>
            </w:r>
            <w:r>
              <w:rPr>
                <w:color w:val="auto"/>
                <w:sz w:val="24"/>
                <w:szCs w:val="24"/>
              </w:rPr>
              <w:t>/h），废气净化器吸附后通过15m（1#）排气筒排放。则固化废气有组织产生量为</w:t>
            </w:r>
            <w:r>
              <w:rPr>
                <w:rFonts w:hint="eastAsia"/>
                <w:color w:val="auto"/>
                <w:sz w:val="24"/>
                <w:szCs w:val="24"/>
                <w:lang w:val="en-US" w:eastAsia="zh-CN"/>
              </w:rPr>
              <w:t>0.029</w:t>
            </w:r>
            <w:r>
              <w:rPr>
                <w:color w:val="auto"/>
                <w:sz w:val="24"/>
                <w:szCs w:val="24"/>
              </w:rPr>
              <w:t>t/a，有组织排放量为0.</w:t>
            </w:r>
            <w:r>
              <w:rPr>
                <w:rFonts w:hint="eastAsia"/>
                <w:color w:val="auto"/>
                <w:sz w:val="24"/>
                <w:szCs w:val="24"/>
                <w:lang w:val="en-US" w:eastAsia="zh-CN"/>
              </w:rPr>
              <w:t>003</w:t>
            </w:r>
            <w:r>
              <w:rPr>
                <w:color w:val="auto"/>
                <w:sz w:val="24"/>
                <w:szCs w:val="24"/>
              </w:rPr>
              <w:t>t/a。无组织排放量为0.0</w:t>
            </w:r>
            <w:r>
              <w:rPr>
                <w:rFonts w:hint="eastAsia"/>
                <w:color w:val="auto"/>
                <w:sz w:val="24"/>
                <w:szCs w:val="24"/>
                <w:lang w:val="en-US" w:eastAsia="zh-CN"/>
              </w:rPr>
              <w:t>01</w:t>
            </w:r>
            <w:r>
              <w:rPr>
                <w:color w:val="auto"/>
                <w:sz w:val="24"/>
                <w:szCs w:val="24"/>
              </w:rPr>
              <w:t>t/a，年固化时间为</w:t>
            </w:r>
            <w:r>
              <w:rPr>
                <w:rFonts w:hint="eastAsia"/>
                <w:color w:val="auto"/>
                <w:sz w:val="24"/>
                <w:szCs w:val="24"/>
                <w:lang w:val="en-US" w:eastAsia="zh-CN"/>
              </w:rPr>
              <w:t>2000</w:t>
            </w:r>
            <w:r>
              <w:rPr>
                <w:color w:val="auto"/>
                <w:sz w:val="24"/>
                <w:szCs w:val="24"/>
              </w:rPr>
              <w:t>h。</w:t>
            </w:r>
          </w:p>
          <w:p>
            <w:pPr>
              <w:spacing w:line="360" w:lineRule="auto"/>
              <w:ind w:firstLine="480" w:firstLineChars="200"/>
              <w:rPr>
                <w:b/>
                <w:color w:val="auto"/>
                <w:sz w:val="24"/>
                <w:szCs w:val="24"/>
              </w:rPr>
            </w:pPr>
            <w:r>
              <w:rPr>
                <w:b/>
                <w:color w:val="auto"/>
                <w:sz w:val="24"/>
                <w:szCs w:val="24"/>
              </w:rPr>
              <w:t>塑粉用量核算：</w:t>
            </w:r>
          </w:p>
          <w:p>
            <w:pPr>
              <w:spacing w:line="360" w:lineRule="auto"/>
              <w:ind w:firstLine="480" w:firstLineChars="200"/>
              <w:rPr>
                <w:bCs/>
                <w:color w:val="auto"/>
                <w:sz w:val="24"/>
                <w:szCs w:val="24"/>
              </w:rPr>
            </w:pPr>
            <w:r>
              <w:rPr>
                <w:bCs/>
                <w:color w:val="auto"/>
                <w:sz w:val="24"/>
                <w:szCs w:val="24"/>
              </w:rPr>
              <w:t>本项目共设1条手动喷塑线和1条自动喷塑线，产品总面积约为</w:t>
            </w:r>
            <w:r>
              <w:rPr>
                <w:rFonts w:hint="eastAsia"/>
                <w:bCs/>
                <w:color w:val="auto"/>
                <w:sz w:val="24"/>
                <w:szCs w:val="24"/>
                <w:lang w:val="en-US" w:eastAsia="zh-CN"/>
              </w:rPr>
              <w:t>5200</w:t>
            </w:r>
            <w:r>
              <w:rPr>
                <w:bCs/>
                <w:color w:val="auto"/>
                <w:sz w:val="24"/>
                <w:szCs w:val="24"/>
              </w:rPr>
              <w:t>m</w:t>
            </w:r>
            <w:r>
              <w:rPr>
                <w:bCs/>
                <w:color w:val="auto"/>
                <w:sz w:val="24"/>
                <w:szCs w:val="24"/>
                <w:vertAlign w:val="superscript"/>
              </w:rPr>
              <w:t>2</w:t>
            </w:r>
            <w:r>
              <w:rPr>
                <w:bCs/>
                <w:color w:val="auto"/>
                <w:sz w:val="24"/>
                <w:szCs w:val="24"/>
              </w:rPr>
              <w:t>，喷涂厚度0.8mm，塑粉比重按照1.1t/m</w:t>
            </w:r>
            <w:r>
              <w:rPr>
                <w:bCs/>
                <w:color w:val="auto"/>
                <w:sz w:val="24"/>
                <w:szCs w:val="24"/>
                <w:vertAlign w:val="superscript"/>
              </w:rPr>
              <w:t>3</w:t>
            </w:r>
            <w:r>
              <w:rPr>
                <w:bCs/>
                <w:color w:val="auto"/>
                <w:sz w:val="24"/>
                <w:szCs w:val="24"/>
              </w:rPr>
              <w:t>计算，则喷塑后附着在产品表面的固体组分总量约为</w:t>
            </w:r>
            <w:r>
              <w:rPr>
                <w:rFonts w:hint="eastAsia"/>
                <w:bCs/>
                <w:color w:val="auto"/>
                <w:sz w:val="24"/>
                <w:szCs w:val="24"/>
                <w:lang w:val="en-US" w:eastAsia="zh-CN"/>
              </w:rPr>
              <w:t>4.58</w:t>
            </w:r>
            <w:r>
              <w:rPr>
                <w:bCs/>
                <w:color w:val="auto"/>
                <w:sz w:val="24"/>
                <w:szCs w:val="24"/>
              </w:rPr>
              <w:t>t。本项目手工喷涂使用的塑粉量为</w:t>
            </w:r>
            <w:r>
              <w:rPr>
                <w:rFonts w:hint="eastAsia"/>
                <w:bCs/>
                <w:color w:val="auto"/>
                <w:sz w:val="24"/>
                <w:szCs w:val="24"/>
                <w:lang w:val="en-US" w:eastAsia="zh-CN"/>
              </w:rPr>
              <w:t>5</w:t>
            </w:r>
            <w:r>
              <w:rPr>
                <w:bCs/>
                <w:color w:val="auto"/>
                <w:sz w:val="24"/>
                <w:szCs w:val="24"/>
              </w:rPr>
              <w:t>t/a。</w:t>
            </w:r>
            <w:r>
              <w:rPr>
                <w:rFonts w:hint="eastAsia"/>
                <w:bCs/>
                <w:color w:val="auto"/>
                <w:sz w:val="24"/>
                <w:szCs w:val="24"/>
                <w:lang w:eastAsia="zh-CN"/>
              </w:rPr>
              <w:t>根据物料平衡，塑粉附着量为</w:t>
            </w:r>
            <w:r>
              <w:rPr>
                <w:rFonts w:hint="eastAsia"/>
                <w:bCs/>
                <w:color w:val="auto"/>
                <w:sz w:val="24"/>
                <w:szCs w:val="24"/>
                <w:lang w:val="en-US" w:eastAsia="zh-CN"/>
              </w:rPr>
              <w:t>4.62</w:t>
            </w:r>
            <w:r>
              <w:rPr>
                <w:bCs/>
                <w:color w:val="auto"/>
                <w:sz w:val="24"/>
                <w:szCs w:val="24"/>
              </w:rPr>
              <w:t>t，满足本项目所需塑粉要求。</w:t>
            </w:r>
          </w:p>
          <w:p>
            <w:pPr>
              <w:spacing w:line="360" w:lineRule="auto"/>
              <w:ind w:firstLine="480" w:firstLineChars="200"/>
              <w:rPr>
                <w:rFonts w:hint="eastAsia"/>
                <w:b/>
                <w:color w:val="auto"/>
                <w:sz w:val="24"/>
                <w:szCs w:val="24"/>
              </w:rPr>
            </w:pPr>
          </w:p>
          <w:p>
            <w:pPr>
              <w:spacing w:line="360" w:lineRule="auto"/>
              <w:ind w:firstLine="480" w:firstLineChars="200"/>
              <w:rPr>
                <w:rFonts w:hint="eastAsia"/>
                <w:b/>
                <w:color w:val="auto"/>
                <w:sz w:val="24"/>
                <w:szCs w:val="24"/>
              </w:rPr>
            </w:pPr>
          </w:p>
          <w:p>
            <w:pPr>
              <w:spacing w:line="360" w:lineRule="auto"/>
              <w:ind w:firstLine="480" w:firstLineChars="200"/>
              <w:rPr>
                <w:rFonts w:hint="eastAsia"/>
                <w:b/>
                <w:color w:val="auto"/>
                <w:sz w:val="24"/>
                <w:szCs w:val="24"/>
              </w:rPr>
            </w:pPr>
          </w:p>
          <w:p>
            <w:pPr>
              <w:spacing w:line="360" w:lineRule="auto"/>
              <w:ind w:firstLine="480" w:firstLineChars="200"/>
              <w:rPr>
                <w:rFonts w:hint="eastAsia"/>
                <w:b/>
                <w:color w:val="auto"/>
                <w:sz w:val="24"/>
                <w:szCs w:val="24"/>
              </w:rPr>
            </w:pPr>
          </w:p>
          <w:p>
            <w:pPr>
              <w:spacing w:line="360" w:lineRule="auto"/>
              <w:ind w:firstLine="480" w:firstLineChars="200"/>
              <w:rPr>
                <w:rFonts w:hint="eastAsia"/>
                <w:b/>
                <w:color w:val="auto"/>
                <w:sz w:val="24"/>
                <w:szCs w:val="24"/>
              </w:rPr>
            </w:pPr>
          </w:p>
          <w:p>
            <w:pPr>
              <w:spacing w:line="360" w:lineRule="auto"/>
              <w:ind w:firstLine="480" w:firstLineChars="200"/>
              <w:rPr>
                <w:rFonts w:hint="eastAsia"/>
                <w:b/>
                <w:color w:val="auto"/>
                <w:sz w:val="24"/>
                <w:szCs w:val="24"/>
              </w:rPr>
            </w:pPr>
          </w:p>
          <w:p>
            <w:pPr>
              <w:spacing w:line="360" w:lineRule="auto"/>
              <w:ind w:firstLine="480" w:firstLineChars="200"/>
              <w:rPr>
                <w:rFonts w:hint="eastAsia"/>
                <w:b/>
                <w:color w:val="auto"/>
                <w:sz w:val="24"/>
                <w:szCs w:val="24"/>
              </w:rPr>
            </w:pPr>
          </w:p>
          <w:p>
            <w:pPr>
              <w:spacing w:line="360" w:lineRule="auto"/>
              <w:ind w:firstLine="480" w:firstLineChars="200"/>
              <w:rPr>
                <w:rFonts w:hint="eastAsia"/>
                <w:b/>
                <w:color w:val="auto"/>
                <w:sz w:val="24"/>
                <w:szCs w:val="24"/>
              </w:rPr>
            </w:pPr>
          </w:p>
          <w:p>
            <w:pPr>
              <w:spacing w:line="360" w:lineRule="auto"/>
              <w:ind w:firstLine="480" w:firstLineChars="200"/>
              <w:rPr>
                <w:rFonts w:hint="eastAsia"/>
                <w:b/>
                <w:color w:val="auto"/>
                <w:sz w:val="24"/>
                <w:szCs w:val="24"/>
              </w:rPr>
            </w:pPr>
          </w:p>
          <w:p>
            <w:pPr>
              <w:spacing w:line="360" w:lineRule="auto"/>
              <w:ind w:firstLine="480" w:firstLineChars="200"/>
              <w:rPr>
                <w:color w:val="auto"/>
                <w:sz w:val="24"/>
                <w:szCs w:val="24"/>
              </w:rPr>
            </w:pPr>
            <w:r>
              <w:rPr>
                <w:sz w:val="24"/>
              </w:rPr>
              <mc:AlternateContent>
                <mc:Choice Requires="wpg">
                  <w:drawing>
                    <wp:anchor distT="0" distB="0" distL="114300" distR="114300" simplePos="0" relativeHeight="255723520" behindDoc="0" locked="0" layoutInCell="1" allowOverlap="1">
                      <wp:simplePos x="0" y="0"/>
                      <wp:positionH relativeFrom="column">
                        <wp:posOffset>-41910</wp:posOffset>
                      </wp:positionH>
                      <wp:positionV relativeFrom="paragraph">
                        <wp:posOffset>252730</wp:posOffset>
                      </wp:positionV>
                      <wp:extent cx="5323205" cy="4528185"/>
                      <wp:effectExtent l="4445" t="4445" r="6350" b="20320"/>
                      <wp:wrapNone/>
                      <wp:docPr id="27" name="组合 27"/>
                      <wp:cNvGraphicFramePr/>
                      <a:graphic xmlns:a="http://schemas.openxmlformats.org/drawingml/2006/main">
                        <a:graphicData uri="http://schemas.microsoft.com/office/word/2010/wordprocessingGroup">
                          <wpg:wgp>
                            <wpg:cNvGrpSpPr/>
                            <wpg:grpSpPr>
                              <a:xfrm>
                                <a:off x="0" y="0"/>
                                <a:ext cx="5323205" cy="4528185"/>
                                <a:chOff x="2918" y="589897"/>
                                <a:chExt cx="8383" cy="7131"/>
                              </a:xfrm>
                            </wpg:grpSpPr>
                            <wps:wsp>
                              <wps:cNvPr id="119" name="文本框 119"/>
                              <wps:cNvSpPr txBox="1"/>
                              <wps:spPr>
                                <a:xfrm>
                                  <a:off x="2918" y="594457"/>
                                  <a:ext cx="1274" cy="8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eastAsia="宋体"/>
                                        <w:lang w:val="en-US" w:eastAsia="zh-CN"/>
                                      </w:rPr>
                                    </w:pPr>
                                    <w:r>
                                      <w:rPr>
                                        <w:rFonts w:hint="eastAsia"/>
                                      </w:rPr>
                                      <w:t>塑粉</w:t>
                                    </w:r>
                                    <w:r>
                                      <w:rPr>
                                        <w:rFonts w:hint="eastAsia"/>
                                        <w:lang w:val="en-US" w:eastAsia="zh-CN"/>
                                      </w:rPr>
                                      <w:t>5</w:t>
                                    </w:r>
                                  </w:p>
                                  <w:p>
                                    <w:pPr>
                                      <w:jc w:val="center"/>
                                      <w:rPr>
                                        <w:rFonts w:hint="default" w:eastAsia="宋体"/>
                                        <w:lang w:val="en-US" w:eastAsia="zh-CN"/>
                                      </w:rPr>
                                    </w:pPr>
                                    <w:r>
                                      <w:rPr>
                                        <w:rFonts w:hint="eastAsia"/>
                                      </w:rPr>
                                      <w:t>回用</w:t>
                                    </w:r>
                                    <w:r>
                                      <w:rPr>
                                        <w:rFonts w:hint="eastAsia"/>
                                        <w:lang w:val="en-US" w:eastAsia="zh-CN"/>
                                      </w:rPr>
                                      <w:t>1.6</w:t>
                                    </w:r>
                                  </w:p>
                                </w:txbxContent>
                              </wps:txbx>
                              <wps:bodyPr upright="1"/>
                            </wps:wsp>
                            <wps:wsp>
                              <wps:cNvPr id="112" name="文本框 112"/>
                              <wps:cNvSpPr txBox="1"/>
                              <wps:spPr>
                                <a:xfrm>
                                  <a:off x="5198" y="591406"/>
                                  <a:ext cx="1663" cy="4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eastAsia="宋体"/>
                                        <w:lang w:val="en-US" w:eastAsia="zh-CN"/>
                                      </w:rPr>
                                    </w:pPr>
                                    <w:r>
                                      <w:rPr>
                                        <w:rFonts w:hint="eastAsia"/>
                                      </w:rPr>
                                      <w:t>70%附着</w:t>
                                    </w:r>
                                    <w:r>
                                      <w:rPr>
                                        <w:rFonts w:hint="eastAsia"/>
                                        <w:lang w:val="en-US" w:eastAsia="zh-CN"/>
                                      </w:rPr>
                                      <w:t>4.62</w:t>
                                    </w:r>
                                  </w:p>
                                </w:txbxContent>
                              </wps:txbx>
                              <wps:bodyPr upright="1"/>
                            </wps:wsp>
                            <wps:wsp>
                              <wps:cNvPr id="114" name="文本框 114"/>
                              <wps:cNvSpPr txBox="1"/>
                              <wps:spPr>
                                <a:xfrm>
                                  <a:off x="5468" y="596578"/>
                                  <a:ext cx="1620" cy="4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eastAsia="宋体"/>
                                        <w:lang w:val="en-US" w:eastAsia="zh-CN"/>
                                      </w:rPr>
                                    </w:pPr>
                                    <w:r>
                                      <w:rPr>
                                        <w:rFonts w:hint="eastAsia"/>
                                      </w:rPr>
                                      <w:t>5%废塑粉</w:t>
                                    </w:r>
                                    <w:r>
                                      <w:rPr>
                                        <w:rFonts w:hint="eastAsia"/>
                                        <w:lang w:val="en-US" w:eastAsia="zh-CN"/>
                                      </w:rPr>
                                      <w:t>0.33</w:t>
                                    </w:r>
                                  </w:p>
                                </w:txbxContent>
                              </wps:txbx>
                              <wps:bodyPr upright="1"/>
                            </wps:wsp>
                            <wps:wsp>
                              <wps:cNvPr id="120" name="文本框 120"/>
                              <wps:cNvSpPr txBox="1"/>
                              <wps:spPr>
                                <a:xfrm>
                                  <a:off x="5364" y="594682"/>
                                  <a:ext cx="1693" cy="4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eastAsia="宋体"/>
                                        <w:lang w:val="en-US" w:eastAsia="zh-CN"/>
                                      </w:rPr>
                                    </w:pPr>
                                    <w:r>
                                      <w:rPr>
                                        <w:rFonts w:hint="eastAsia"/>
                                      </w:rPr>
                                      <w:t>25%逸散</w:t>
                                    </w:r>
                                    <w:r>
                                      <w:rPr>
                                        <w:rFonts w:hint="eastAsia"/>
                                        <w:lang w:val="en-US" w:eastAsia="zh-CN"/>
                                      </w:rPr>
                                      <w:t>1.65</w:t>
                                    </w:r>
                                  </w:p>
                                </w:txbxContent>
                              </wps:txbx>
                              <wps:bodyPr upright="1"/>
                            </wps:wsp>
                            <wps:wsp>
                              <wps:cNvPr id="123" name="肘形连接符 123"/>
                              <wps:cNvCnPr>
                                <a:stCxn id="112" idx="1"/>
                                <a:endCxn id="114" idx="1"/>
                              </wps:cNvCnPr>
                              <wps:spPr>
                                <a:xfrm rot="10800000" flipH="1" flipV="1">
                                  <a:off x="5198" y="591631"/>
                                  <a:ext cx="270" cy="5172"/>
                                </a:xfrm>
                                <a:prstGeom prst="bentConnector3">
                                  <a:avLst>
                                    <a:gd name="adj1" fmla="val -138889"/>
                                  </a:avLst>
                                </a:prstGeom>
                                <a:ln>
                                  <a:solidFill>
                                    <a:schemeClr val="tx1"/>
                                  </a:solidFill>
                                  <a:headEnd type="triangle" w="med" len="med"/>
                                  <a:tailEnd type="triangle" w="med" len="med"/>
                                </a:ln>
                              </wps:spPr>
                              <wps:style>
                                <a:lnRef idx="1">
                                  <a:schemeClr val="accent1"/>
                                </a:lnRef>
                                <a:fillRef idx="0">
                                  <a:schemeClr val="accent1"/>
                                </a:fillRef>
                                <a:effectRef idx="0">
                                  <a:schemeClr val="accent1"/>
                                </a:effectRef>
                                <a:fontRef idx="minor">
                                  <a:schemeClr val="tx1"/>
                                </a:fontRef>
                              </wps:style>
                              <wps:bodyPr/>
                            </wps:wsp>
                            <wps:wsp>
                              <wps:cNvPr id="122" name="文本框 122"/>
                              <wps:cNvSpPr txBox="1"/>
                              <wps:spPr>
                                <a:xfrm>
                                  <a:off x="8483" y="593662"/>
                                  <a:ext cx="2218" cy="4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eastAsia="宋体"/>
                                        <w:lang w:val="en-US" w:eastAsia="zh-CN"/>
                                      </w:rPr>
                                    </w:pPr>
                                    <w:r>
                                      <w:rPr>
                                        <w:rFonts w:hint="eastAsia"/>
                                      </w:rPr>
                                      <w:t>滤芯处理回用</w:t>
                                    </w:r>
                                    <w:r>
                                      <w:rPr>
                                        <w:rFonts w:hint="eastAsia"/>
                                        <w:lang w:val="en-US" w:eastAsia="zh-CN"/>
                                      </w:rPr>
                                      <w:t>1.6</w:t>
                                    </w:r>
                                  </w:p>
                                </w:txbxContent>
                              </wps:txbx>
                              <wps:bodyPr upright="1"/>
                            </wps:wsp>
                            <wps:wsp>
                              <wps:cNvPr id="118" name="文本框 118"/>
                              <wps:cNvSpPr txBox="1"/>
                              <wps:spPr>
                                <a:xfrm>
                                  <a:off x="8483" y="594652"/>
                                  <a:ext cx="2263" cy="4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eastAsia="宋体"/>
                                        <w:lang w:val="en-US" w:eastAsia="zh-CN"/>
                                      </w:rPr>
                                    </w:pPr>
                                    <w:r>
                                      <w:rPr>
                                        <w:rFonts w:hint="eastAsia"/>
                                      </w:rPr>
                                      <w:t>有组织排放粉尘0.</w:t>
                                    </w:r>
                                    <w:r>
                                      <w:rPr>
                                        <w:rFonts w:hint="eastAsia"/>
                                        <w:lang w:val="en-US" w:eastAsia="zh-CN"/>
                                      </w:rPr>
                                      <w:t>02</w:t>
                                    </w:r>
                                  </w:p>
                                </w:txbxContent>
                              </wps:txbx>
                              <wps:bodyPr upright="1"/>
                            </wps:wsp>
                            <wps:wsp>
                              <wps:cNvPr id="115" name="文本框 115"/>
                              <wps:cNvSpPr txBox="1"/>
                              <wps:spPr>
                                <a:xfrm>
                                  <a:off x="8498" y="595627"/>
                                  <a:ext cx="2233" cy="4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eastAsia="宋体"/>
                                        <w:lang w:val="en-US" w:eastAsia="zh-CN"/>
                                      </w:rPr>
                                    </w:pPr>
                                    <w:r>
                                      <w:rPr>
                                        <w:rFonts w:hint="eastAsia"/>
                                      </w:rPr>
                                      <w:t>无组织排放粉尘</w:t>
                                    </w:r>
                                    <w:r>
                                      <w:rPr>
                                        <w:rFonts w:hint="eastAsia"/>
                                        <w:lang w:val="en-US" w:eastAsia="zh-CN"/>
                                      </w:rPr>
                                      <w:t>0.03</w:t>
                                    </w:r>
                                  </w:p>
                                </w:txbxContent>
                              </wps:txbx>
                              <wps:bodyPr upright="1"/>
                            </wps:wsp>
                            <wps:wsp>
                              <wps:cNvPr id="110" name="文本框 110"/>
                              <wps:cNvSpPr txBox="1"/>
                              <wps:spPr>
                                <a:xfrm>
                                  <a:off x="8468" y="590926"/>
                                  <a:ext cx="2832" cy="7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lang w:val="en-US" w:eastAsia="zh-CN"/>
                                      </w:rPr>
                                    </w:pPr>
                                    <w:r>
                                      <w:rPr>
                                        <w:rFonts w:hint="eastAsia"/>
                                      </w:rPr>
                                      <w:t>有组织排放非甲烷总烃0.</w:t>
                                    </w:r>
                                    <w:r>
                                      <w:rPr>
                                        <w:rFonts w:hint="eastAsia"/>
                                        <w:lang w:val="en-US" w:eastAsia="zh-CN"/>
                                      </w:rPr>
                                      <w:t>003</w:t>
                                    </w:r>
                                  </w:p>
                                </w:txbxContent>
                              </wps:txbx>
                              <wps:bodyPr upright="1"/>
                            </wps:wsp>
                            <wps:wsp>
                              <wps:cNvPr id="106" name="文本框 106"/>
                              <wps:cNvSpPr txBox="1"/>
                              <wps:spPr>
                                <a:xfrm>
                                  <a:off x="8468" y="591931"/>
                                  <a:ext cx="2833" cy="72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default" w:eastAsia="宋体"/>
                                        <w:lang w:val="en-US" w:eastAsia="zh-CN"/>
                                      </w:rPr>
                                    </w:pPr>
                                    <w:r>
                                      <w:rPr>
                                        <w:rFonts w:hint="eastAsia"/>
                                      </w:rPr>
                                      <w:t>无组织排放非甲烷总烃</w:t>
                                    </w:r>
                                    <w:r>
                                      <w:rPr>
                                        <w:rFonts w:hint="eastAsia"/>
                                        <w:lang w:val="en-US" w:eastAsia="zh-CN"/>
                                      </w:rPr>
                                      <w:t>0.0005</w:t>
                                    </w:r>
                                  </w:p>
                                </w:txbxContent>
                              </wps:txbx>
                              <wps:bodyPr upright="1"/>
                            </wps:wsp>
                            <wps:wsp>
                              <wps:cNvPr id="105" name="文本框 105"/>
                              <wps:cNvSpPr txBox="1"/>
                              <wps:spPr>
                                <a:xfrm>
                                  <a:off x="8453" y="592906"/>
                                  <a:ext cx="2787" cy="4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eastAsia="宋体"/>
                                        <w:lang w:val="en-US" w:eastAsia="zh-CN"/>
                                      </w:rPr>
                                    </w:pPr>
                                    <w:r>
                                      <w:rPr>
                                        <w:rFonts w:hint="eastAsia"/>
                                      </w:rPr>
                                      <w:t>进入</w:t>
                                    </w:r>
                                    <w:r>
                                      <w:rPr>
                                        <w:rFonts w:hint="eastAsia"/>
                                        <w:lang w:eastAsia="zh-CN"/>
                                      </w:rPr>
                                      <w:t>二级</w:t>
                                    </w:r>
                                    <w:r>
                                      <w:rPr>
                                        <w:rFonts w:hint="eastAsia"/>
                                      </w:rPr>
                                      <w:t>活性炭</w:t>
                                    </w:r>
                                    <w:r>
                                      <w:rPr>
                                        <w:rFonts w:hint="eastAsia"/>
                                        <w:lang w:val="en-US" w:eastAsia="zh-CN"/>
                                      </w:rPr>
                                      <w:t>0.026</w:t>
                                    </w:r>
                                  </w:p>
                                </w:txbxContent>
                              </wps:txbx>
                              <wps:bodyPr upright="1"/>
                            </wps:wsp>
                            <wps:wsp>
                              <wps:cNvPr id="108" name="直接连接符 108"/>
                              <wps:cNvCnPr/>
                              <wps:spPr>
                                <a:xfrm flipV="1">
                                  <a:off x="6893" y="591596"/>
                                  <a:ext cx="780" cy="14"/>
                                </a:xfrm>
                                <a:prstGeom prst="line">
                                  <a:avLst/>
                                </a:prstGeom>
                                <a:ln w="9525" cap="flat" cmpd="sng">
                                  <a:solidFill>
                                    <a:srgbClr val="000000"/>
                                  </a:solidFill>
                                  <a:prstDash val="solid"/>
                                  <a:headEnd type="none" w="med" len="med"/>
                                  <a:tailEnd type="triangle" w="med" len="med"/>
                                </a:ln>
                              </wps:spPr>
                              <wps:bodyPr upright="1"/>
                            </wps:wsp>
                            <wps:wsp>
                              <wps:cNvPr id="113" name="直接连接符 113"/>
                              <wps:cNvCnPr/>
                              <wps:spPr>
                                <a:xfrm flipV="1">
                                  <a:off x="7703" y="591146"/>
                                  <a:ext cx="780" cy="14"/>
                                </a:xfrm>
                                <a:prstGeom prst="line">
                                  <a:avLst/>
                                </a:prstGeom>
                                <a:ln w="9525" cap="flat" cmpd="sng">
                                  <a:solidFill>
                                    <a:srgbClr val="000000"/>
                                  </a:solidFill>
                                  <a:prstDash val="solid"/>
                                  <a:headEnd type="none" w="med" len="med"/>
                                  <a:tailEnd type="triangle" w="med" len="med"/>
                                </a:ln>
                              </wps:spPr>
                              <wps:bodyPr upright="1"/>
                            </wps:wsp>
                            <wps:wsp>
                              <wps:cNvPr id="107" name="直接连接符 107"/>
                              <wps:cNvCnPr/>
                              <wps:spPr>
                                <a:xfrm flipV="1">
                                  <a:off x="7703" y="592166"/>
                                  <a:ext cx="780" cy="14"/>
                                </a:xfrm>
                                <a:prstGeom prst="line">
                                  <a:avLst/>
                                </a:prstGeom>
                                <a:ln w="9525" cap="flat" cmpd="sng">
                                  <a:solidFill>
                                    <a:srgbClr val="000000"/>
                                  </a:solidFill>
                                  <a:prstDash val="solid"/>
                                  <a:headEnd type="none" w="med" len="med"/>
                                  <a:tailEnd type="triangle" w="med" len="med"/>
                                </a:ln>
                              </wps:spPr>
                              <wps:bodyPr upright="1"/>
                            </wps:wsp>
                            <wps:wsp>
                              <wps:cNvPr id="121" name="肘形连接符 121"/>
                              <wps:cNvCnPr/>
                              <wps:spPr>
                                <a:xfrm rot="-10800000" flipV="1">
                                  <a:off x="8468" y="593917"/>
                                  <a:ext cx="15" cy="1965"/>
                                </a:xfrm>
                                <a:prstGeom prst="bentConnector3">
                                  <a:avLst>
                                    <a:gd name="adj1" fmla="val 5400000"/>
                                  </a:avLst>
                                </a:prstGeom>
                                <a:ln w="9525" cap="flat" cmpd="sng">
                                  <a:solidFill>
                                    <a:srgbClr val="000000"/>
                                  </a:solidFill>
                                  <a:prstDash val="solid"/>
                                  <a:miter/>
                                  <a:headEnd type="triangle" w="med" len="med"/>
                                  <a:tailEnd type="triangle" w="med" len="med"/>
                                </a:ln>
                              </wps:spPr>
                              <wps:bodyPr/>
                            </wps:wsp>
                            <wps:wsp>
                              <wps:cNvPr id="116" name="直接连接符 116"/>
                              <wps:cNvCnPr/>
                              <wps:spPr>
                                <a:xfrm flipV="1">
                                  <a:off x="4178" y="594910"/>
                                  <a:ext cx="1229" cy="1"/>
                                </a:xfrm>
                                <a:prstGeom prst="line">
                                  <a:avLst/>
                                </a:prstGeom>
                                <a:ln w="9525" cap="flat" cmpd="sng">
                                  <a:solidFill>
                                    <a:srgbClr val="000000"/>
                                  </a:solidFill>
                                  <a:prstDash val="solid"/>
                                  <a:headEnd type="none" w="med" len="med"/>
                                  <a:tailEnd type="triangle" w="med" len="med"/>
                                </a:ln>
                              </wps:spPr>
                              <wps:bodyPr upright="1"/>
                            </wps:wsp>
                            <wps:wsp>
                              <wps:cNvPr id="104" name="文本框 104"/>
                              <wps:cNvSpPr txBox="1"/>
                              <wps:spPr>
                                <a:xfrm>
                                  <a:off x="8483" y="589897"/>
                                  <a:ext cx="1903" cy="4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default" w:eastAsia="宋体"/>
                                        <w:lang w:val="en-US" w:eastAsia="zh-CN"/>
                                      </w:rPr>
                                    </w:pPr>
                                    <w:r>
                                      <w:rPr>
                                        <w:rFonts w:hint="eastAsia"/>
                                      </w:rPr>
                                      <w:t>进入产品</w:t>
                                    </w:r>
                                    <w:r>
                                      <w:rPr>
                                        <w:rFonts w:hint="eastAsia"/>
                                        <w:lang w:val="en-US" w:eastAsia="zh-CN"/>
                                      </w:rPr>
                                      <w:t>4.5905</w:t>
                                    </w:r>
                                  </w:p>
                                </w:txbxContent>
                              </wps:txbx>
                              <wps:bodyPr upright="1"/>
                            </wps:wsp>
                          </wpg:wgp>
                        </a:graphicData>
                      </a:graphic>
                    </wp:anchor>
                  </w:drawing>
                </mc:Choice>
                <mc:Fallback>
                  <w:pict>
                    <v:group id="_x0000_s1026" o:spid="_x0000_s1026" o:spt="203" style="position:absolute;left:0pt;margin-left:-3.3pt;margin-top:19.9pt;height:356.55pt;width:419.15pt;z-index:255723520;mso-width-relative:page;mso-height-relative:page;" coordorigin="2918,589897" coordsize="8383,7131" o:gfxdata="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">
                      <o:lock v:ext="edit" aspectratio="f"/>
                      <v:shape id="_x0000_s1026" o:spid="_x0000_s1026" o:spt="202" type="#_x0000_t202" style="position:absolute;left:2918;top:594457;height:810;width:1274;" fillcolor="#FFFFFF" filled="t" stroked="t" coordsize="21600,21600" o:gfxdata="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ttBOu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eastAsia" w:eastAsia="宋体"/>
                                  <w:lang w:val="en-US" w:eastAsia="zh-CN"/>
                                </w:rPr>
                              </w:pPr>
                              <w:r>
                                <w:rPr>
                                  <w:rFonts w:hint="eastAsia"/>
                                </w:rPr>
                                <w:t>塑粉</w:t>
                              </w:r>
                              <w:r>
                                <w:rPr>
                                  <w:rFonts w:hint="eastAsia"/>
                                  <w:lang w:val="en-US" w:eastAsia="zh-CN"/>
                                </w:rPr>
                                <w:t>5</w:t>
                              </w:r>
                            </w:p>
                            <w:p>
                              <w:pPr>
                                <w:jc w:val="center"/>
                                <w:rPr>
                                  <w:rFonts w:hint="default" w:eastAsia="宋体"/>
                                  <w:lang w:val="en-US" w:eastAsia="zh-CN"/>
                                </w:rPr>
                              </w:pPr>
                              <w:r>
                                <w:rPr>
                                  <w:rFonts w:hint="eastAsia"/>
                                </w:rPr>
                                <w:t>回用</w:t>
                              </w:r>
                              <w:r>
                                <w:rPr>
                                  <w:rFonts w:hint="eastAsia"/>
                                  <w:lang w:val="en-US" w:eastAsia="zh-CN"/>
                                </w:rPr>
                                <w:t>1.6</w:t>
                              </w:r>
                            </w:p>
                          </w:txbxContent>
                        </v:textbox>
                      </v:shape>
                      <v:shape id="_x0000_s1026" o:spid="_x0000_s1026" o:spt="202" type="#_x0000_t202" style="position:absolute;left:5198;top:591406;height:450;width:1663;" fillcolor="#FFFFFF" filled="t" stroked="t" coordsize="21600,21600" o:gfxdata="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1yZaa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rPr>
                                  <w:rFonts w:hint="default" w:eastAsia="宋体"/>
                                  <w:lang w:val="en-US" w:eastAsia="zh-CN"/>
                                </w:rPr>
                              </w:pPr>
                              <w:r>
                                <w:rPr>
                                  <w:rFonts w:hint="eastAsia"/>
                                </w:rPr>
                                <w:t>70%附着</w:t>
                              </w:r>
                              <w:r>
                                <w:rPr>
                                  <w:rFonts w:hint="eastAsia"/>
                                  <w:lang w:val="en-US" w:eastAsia="zh-CN"/>
                                </w:rPr>
                                <w:t>4.62</w:t>
                              </w:r>
                            </w:p>
                          </w:txbxContent>
                        </v:textbox>
                      </v:shape>
                      <v:shape id="_x0000_s1026" o:spid="_x0000_s1026" o:spt="202" type="#_x0000_t202" style="position:absolute;left:5468;top:596578;height:450;width:1620;" fillcolor="#FFFFFF" filled="t" stroked="t" coordsize="21600,21600" o:gfxdata="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Vsq3W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rPr>
                                  <w:rFonts w:hint="default" w:eastAsia="宋体"/>
                                  <w:lang w:val="en-US" w:eastAsia="zh-CN"/>
                                </w:rPr>
                              </w:pPr>
                              <w:r>
                                <w:rPr>
                                  <w:rFonts w:hint="eastAsia"/>
                                </w:rPr>
                                <w:t>5%废塑粉</w:t>
                              </w:r>
                              <w:r>
                                <w:rPr>
                                  <w:rFonts w:hint="eastAsia"/>
                                  <w:lang w:val="en-US" w:eastAsia="zh-CN"/>
                                </w:rPr>
                                <w:t>0.33</w:t>
                              </w:r>
                            </w:p>
                          </w:txbxContent>
                        </v:textbox>
                      </v:shape>
                      <v:shape id="_x0000_s1026" o:spid="_x0000_s1026" o:spt="202" type="#_x0000_t202" style="position:absolute;left:5364;top:594682;height:450;width:1693;" fillcolor="#FFFFFF" filled="t" stroked="t" coordsize="21600,21600" o:gfxdata="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Q7Z8u/&#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rPr>
                                  <w:rFonts w:hint="default" w:eastAsia="宋体"/>
                                  <w:lang w:val="en-US" w:eastAsia="zh-CN"/>
                                </w:rPr>
                              </w:pPr>
                              <w:r>
                                <w:rPr>
                                  <w:rFonts w:hint="eastAsia"/>
                                </w:rPr>
                                <w:t>25%逸散</w:t>
                              </w:r>
                              <w:r>
                                <w:rPr>
                                  <w:rFonts w:hint="eastAsia"/>
                                  <w:lang w:val="en-US" w:eastAsia="zh-CN"/>
                                </w:rPr>
                                <w:t>1.65</w:t>
                              </w:r>
                            </w:p>
                          </w:txbxContent>
                        </v:textbox>
                      </v:shape>
                      <v:shape id="_x0000_s1026" o:spid="_x0000_s1026" o:spt="34" type="#_x0000_t34" style="position:absolute;left:5198;top:591631;flip:x y;height:5172;width:270;rotation:11796480f;" filled="f" stroked="t" coordsize="21600,21600" o:gfxdata="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fTIErsAAADc&#10;AAAADwAAAAAAAAABACAAAAAiAAAAZHJzL2Rvd25yZXYueG1sUEsBAhQAFAAAAAgAh07iQDMvBZ47&#10;AAAAOQAAABAAAAAAAAAAAQAgAAAACgEAAGRycy9zaGFwZXhtbC54bWxQSwUGAAAAAAYABgBbAQAA&#10;tAMAAAAA&#10;" adj="-30000">
                        <v:fill on="f" focussize="0,0"/>
                        <v:stroke weight="0.5pt" color="#000000 [3213]" miterlimit="8" joinstyle="miter" startarrow="block" endarrow="block"/>
                        <v:imagedata o:title=""/>
                        <o:lock v:ext="edit" aspectratio="f"/>
                      </v:shape>
                      <v:shape id="_x0000_s1026" o:spid="_x0000_s1026" o:spt="202" type="#_x0000_t202" style="position:absolute;left:8483;top:593662;height:450;width:2218;" fillcolor="#FFFFFF" filled="t" stroked="t" coordsize="21600,21600" o:gfxdata="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7pVwn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rPr>
                                  <w:rFonts w:hint="default" w:eastAsia="宋体"/>
                                  <w:lang w:val="en-US" w:eastAsia="zh-CN"/>
                                </w:rPr>
                              </w:pPr>
                              <w:r>
                                <w:rPr>
                                  <w:rFonts w:hint="eastAsia"/>
                                </w:rPr>
                                <w:t>滤芯处理回用</w:t>
                              </w:r>
                              <w:r>
                                <w:rPr>
                                  <w:rFonts w:hint="eastAsia"/>
                                  <w:lang w:val="en-US" w:eastAsia="zh-CN"/>
                                </w:rPr>
                                <w:t>1.6</w:t>
                              </w:r>
                            </w:p>
                          </w:txbxContent>
                        </v:textbox>
                      </v:shape>
                      <v:shape id="_x0000_s1026" o:spid="_x0000_s1026" o:spt="202" type="#_x0000_t202" style="position:absolute;left:8483;top:594652;height:450;width:2263;" fillcolor="#FFFFFF" filled="t" stroked="t" coordsize="21600,21600" o:gfxdata="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QhoXC/&#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rPr>
                                  <w:rFonts w:hint="default" w:eastAsia="宋体"/>
                                  <w:lang w:val="en-US" w:eastAsia="zh-CN"/>
                                </w:rPr>
                              </w:pPr>
                              <w:r>
                                <w:rPr>
                                  <w:rFonts w:hint="eastAsia"/>
                                </w:rPr>
                                <w:t>有组织排放粉尘0.</w:t>
                              </w:r>
                              <w:r>
                                <w:rPr>
                                  <w:rFonts w:hint="eastAsia"/>
                                  <w:lang w:val="en-US" w:eastAsia="zh-CN"/>
                                </w:rPr>
                                <w:t>02</w:t>
                              </w:r>
                            </w:p>
                          </w:txbxContent>
                        </v:textbox>
                      </v:shape>
                      <v:shape id="_x0000_s1026" o:spid="_x0000_s1026" o:spt="202" type="#_x0000_t202" style="position:absolute;left:8498;top:595627;height:450;width:2233;" fillcolor="#FFFFFF" filled="t" stroked="t" coordsize="21600,21600" o:gfxdata="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ogDu6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rPr>
                                  <w:rFonts w:hint="default" w:eastAsia="宋体"/>
                                  <w:lang w:val="en-US" w:eastAsia="zh-CN"/>
                                </w:rPr>
                              </w:pPr>
                              <w:r>
                                <w:rPr>
                                  <w:rFonts w:hint="eastAsia"/>
                                </w:rPr>
                                <w:t>无组织排放粉尘</w:t>
                              </w:r>
                              <w:r>
                                <w:rPr>
                                  <w:rFonts w:hint="eastAsia"/>
                                  <w:lang w:val="en-US" w:eastAsia="zh-CN"/>
                                </w:rPr>
                                <w:t>0.03</w:t>
                              </w:r>
                            </w:p>
                          </w:txbxContent>
                        </v:textbox>
                      </v:shape>
                      <v:shape id="_x0000_s1026" o:spid="_x0000_s1026" o:spt="202" type="#_x0000_t202" style="position:absolute;left:8468;top:590926;height:780;width:2832;" fillcolor="#FFFFFF" filled="t" stroked="t" coordsize="21600,21600" o:gfxdata="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pXrXa/&#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pPr>
                                <w:jc w:val="center"/>
                                <w:rPr>
                                  <w:rFonts w:hint="default" w:eastAsia="宋体"/>
                                  <w:lang w:val="en-US" w:eastAsia="zh-CN"/>
                                </w:rPr>
                              </w:pPr>
                              <w:r>
                                <w:rPr>
                                  <w:rFonts w:hint="eastAsia"/>
                                </w:rPr>
                                <w:t>有组织排放非甲烷总烃0.</w:t>
                              </w:r>
                              <w:r>
                                <w:rPr>
                                  <w:rFonts w:hint="eastAsia"/>
                                  <w:lang w:val="en-US" w:eastAsia="zh-CN"/>
                                </w:rPr>
                                <w:t>003</w:t>
                              </w:r>
                            </w:p>
                          </w:txbxContent>
                        </v:textbox>
                      </v:shape>
                      <v:shape id="_x0000_s1026" o:spid="_x0000_s1026" o:spt="202" type="#_x0000_t202" style="position:absolute;left:8468;top:591931;height:720;width:2833;" fillcolor="#FFFFFF" filled="t" stroked="t" coordsize="21600,21600" o:gfxdata="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8rBkS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jc w:val="center"/>
                                <w:rPr>
                                  <w:rFonts w:hint="default" w:eastAsia="宋体"/>
                                  <w:lang w:val="en-US" w:eastAsia="zh-CN"/>
                                </w:rPr>
                              </w:pPr>
                              <w:r>
                                <w:rPr>
                                  <w:rFonts w:hint="eastAsia"/>
                                </w:rPr>
                                <w:t>无组织排放非甲烷总烃</w:t>
                              </w:r>
                              <w:r>
                                <w:rPr>
                                  <w:rFonts w:hint="eastAsia"/>
                                  <w:lang w:val="en-US" w:eastAsia="zh-CN"/>
                                </w:rPr>
                                <w:t>0.0005</w:t>
                              </w:r>
                            </w:p>
                          </w:txbxContent>
                        </v:textbox>
                      </v:shape>
                      <v:shape id="_x0000_s1026" o:spid="_x0000_s1026" o:spt="202" type="#_x0000_t202" style="position:absolute;left:8453;top:592906;height:450;width:2787;" fillcolor="#FFFFFF" filled="t" stroked="t" coordsize="21600,21600" o:gfxdata="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5mDO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rPr>
                                  <w:rFonts w:hint="default" w:eastAsia="宋体"/>
                                  <w:lang w:val="en-US" w:eastAsia="zh-CN"/>
                                </w:rPr>
                              </w:pPr>
                              <w:r>
                                <w:rPr>
                                  <w:rFonts w:hint="eastAsia"/>
                                </w:rPr>
                                <w:t>进入</w:t>
                              </w:r>
                              <w:r>
                                <w:rPr>
                                  <w:rFonts w:hint="eastAsia"/>
                                  <w:lang w:eastAsia="zh-CN"/>
                                </w:rPr>
                                <w:t>二级</w:t>
                              </w:r>
                              <w:r>
                                <w:rPr>
                                  <w:rFonts w:hint="eastAsia"/>
                                </w:rPr>
                                <w:t>活性炭</w:t>
                              </w:r>
                              <w:r>
                                <w:rPr>
                                  <w:rFonts w:hint="eastAsia"/>
                                  <w:lang w:val="en-US" w:eastAsia="zh-CN"/>
                                </w:rPr>
                                <w:t>0.026</w:t>
                              </w:r>
                            </w:p>
                          </w:txbxContent>
                        </v:textbox>
                      </v:shape>
                      <v:line id="_x0000_s1026" o:spid="_x0000_s1026" o:spt="20" style="position:absolute;left:6893;top:591596;flip:y;height:14;width:780;" filled="f" stroked="t" coordsize="21600,21600" o:gfxdata="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F1/gC/&#10;AAAA3AAAAA8AAAAAAAAAAQAgAAAAIgAAAGRycy9kb3ducmV2LnhtbFBLAQIUABQAAAAIAIdO4kAz&#10;LwWeOwAAADkAAAAQAAAAAAAAAAEAIAAAAA4BAABkcnMvc2hhcGV4bWwueG1sUEsFBgAAAAAGAAYA&#10;WwEAALgDAAAAAA==&#10;">
                        <v:fill on="f" focussize="0,0"/>
                        <v:stroke color="#000000" joinstyle="round" endarrow="block"/>
                        <v:imagedata o:title=""/>
                        <o:lock v:ext="edit" aspectratio="f"/>
                      </v:line>
                      <v:line id="_x0000_s1026" o:spid="_x0000_s1026" o:spt="20" style="position:absolute;left:7703;top:591146;flip:y;height:14;width:780;" filled="f" stroked="t" coordsize="21600,21600" o:gfxdata="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qCPqs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line id="_x0000_s1026" o:spid="_x0000_s1026" o:spt="20" style="position:absolute;left:7703;top:592166;flip:y;height:14;width:780;" filled="f" stroked="t" coordsize="21600,21600" o:gfxdata="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6mpy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_x0000_s1026" o:spid="_x0000_s1026" o:spt="34" type="#_x0000_t34" style="position:absolute;left:8468;top:593917;flip:y;height:1965;width:15;rotation:11796480f;" filled="f" stroked="t" coordsize="21600,21600" o:gfxdata="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pgOiO8AAAA&#10;3AAAAA8AAAAAAAAAAQAgAAAAIgAAAGRycy9kb3ducmV2LnhtbFBLAQIUABQAAAAIAIdO4kAzLwWe&#10;OwAAADkAAAAQAAAAAAAAAAEAIAAAAAsBAABkcnMvc2hhcGV4bWwueG1sUEsFBgAAAAAGAAYAWwEA&#10;ALUDAAAAAA==&#10;" adj="1166400">
                        <v:fill on="f" focussize="0,0"/>
                        <v:stroke color="#000000" joinstyle="miter" startarrow="block" endarrow="block"/>
                        <v:imagedata o:title=""/>
                        <o:lock v:ext="edit" aspectratio="f"/>
                      </v:shape>
                      <v:line id="_x0000_s1026" o:spid="_x0000_s1026" o:spt="20" style="position:absolute;left:4178;top:594910;flip:y;height:1;width:1229;" filled="f" stroked="t" coordsize="21600,21600" o:gfxdata="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6f1k0vQAA&#10;ANwAAAAPAAAAAAAAAAEAIAAAACIAAABkcnMvZG93bnJldi54bWxQSwECFAAUAAAACACHTuJAMy8F&#10;njsAAAA5AAAAEAAAAAAAAAABACAAAAAMAQAAZHJzL3NoYXBleG1sLnhtbFBLBQYAAAAABgAGAFsB&#10;AAC2AwAAAAA=&#10;">
                        <v:fill on="f" focussize="0,0"/>
                        <v:stroke color="#000000" joinstyle="round" endarrow="block"/>
                        <v:imagedata o:title=""/>
                        <o:lock v:ext="edit" aspectratio="f"/>
                      </v:line>
                      <v:shape id="_x0000_s1026" o:spid="_x0000_s1026" o:spt="202" type="#_x0000_t202" style="position:absolute;left:8483;top:589897;height:450;width:1903;" fillcolor="#FFFFFF" filled="t" stroked="t" coordsize="21600,21600" o:gfxdata="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C1Pai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pPr>
                                <w:rPr>
                                  <w:rFonts w:hint="default" w:eastAsia="宋体"/>
                                  <w:lang w:val="en-US" w:eastAsia="zh-CN"/>
                                </w:rPr>
                              </w:pPr>
                              <w:r>
                                <w:rPr>
                                  <w:rFonts w:hint="eastAsia"/>
                                </w:rPr>
                                <w:t>进入产品</w:t>
                              </w:r>
                              <w:r>
                                <w:rPr>
                                  <w:rFonts w:hint="eastAsia"/>
                                  <w:lang w:val="en-US" w:eastAsia="zh-CN"/>
                                </w:rPr>
                                <w:t>4.5905</w:t>
                              </w:r>
                            </w:p>
                          </w:txbxContent>
                        </v:textbox>
                      </v:shape>
                    </v:group>
                  </w:pict>
                </mc:Fallback>
              </mc:AlternateContent>
            </w:r>
            <w:r>
              <w:rPr>
                <w:rFonts w:hint="eastAsia"/>
                <w:b/>
                <w:color w:val="auto"/>
                <w:sz w:val="24"/>
                <w:szCs w:val="24"/>
              </w:rPr>
              <w:t>塑粉</w:t>
            </w:r>
            <w:r>
              <w:rPr>
                <w:b/>
                <w:color w:val="auto"/>
                <w:sz w:val="24"/>
                <w:szCs w:val="24"/>
              </w:rPr>
              <w:t>物料平衡</w:t>
            </w:r>
            <w:r>
              <w:rPr>
                <w:rFonts w:hint="eastAsia"/>
                <w:b/>
                <w:color w:val="auto"/>
                <w:sz w:val="24"/>
                <w:szCs w:val="24"/>
              </w:rPr>
              <w:t>见下图</w:t>
            </w:r>
            <w:r>
              <w:rPr>
                <w:b/>
                <w:color w:val="auto"/>
                <w:sz w:val="24"/>
                <w:szCs w:val="24"/>
              </w:rPr>
              <w:t>：</w:t>
            </w:r>
          </w:p>
          <w:p>
            <w:pPr>
              <w:spacing w:line="360" w:lineRule="auto"/>
              <w:outlineLvl w:val="0"/>
              <w:rPr>
                <w:color w:val="auto"/>
                <w:sz w:val="24"/>
                <w:szCs w:val="24"/>
              </w:rPr>
            </w:pPr>
            <w:r>
              <w:rPr>
                <w:color w:val="auto"/>
                <w:sz w:val="24"/>
              </w:rPr>
              <mc:AlternateContent>
                <mc:Choice Requires="wps">
                  <w:drawing>
                    <wp:anchor distT="0" distB="0" distL="114300" distR="114300" simplePos="0" relativeHeight="255716352" behindDoc="0" locked="0" layoutInCell="1" allowOverlap="1">
                      <wp:simplePos x="0" y="0"/>
                      <wp:positionH relativeFrom="column">
                        <wp:posOffset>3491865</wp:posOffset>
                      </wp:positionH>
                      <wp:positionV relativeFrom="paragraph">
                        <wp:posOffset>134620</wp:posOffset>
                      </wp:positionV>
                      <wp:extent cx="19050" cy="1905000"/>
                      <wp:effectExtent l="489585" t="38100" r="5715" b="38100"/>
                      <wp:wrapNone/>
                      <wp:docPr id="111" name="肘形连接符 111"/>
                      <wp:cNvGraphicFramePr/>
                      <a:graphic xmlns:a="http://schemas.openxmlformats.org/drawingml/2006/main">
                        <a:graphicData uri="http://schemas.microsoft.com/office/word/2010/wordprocessingShape">
                          <wps:wsp>
                            <wps:cNvCnPr/>
                            <wps:spPr>
                              <a:xfrm rot="10800000" flipH="1" flipV="1">
                                <a:off x="0" y="0"/>
                                <a:ext cx="19050" cy="1905000"/>
                              </a:xfrm>
                              <a:prstGeom prst="bentConnector3">
                                <a:avLst>
                                  <a:gd name="adj1" fmla="val -2546662"/>
                                </a:avLst>
                              </a:prstGeom>
                              <a:ln w="9525" cap="flat" cmpd="sng">
                                <a:solidFill>
                                  <a:srgbClr val="000000"/>
                                </a:solidFill>
                                <a:prstDash val="solid"/>
                                <a:miter/>
                                <a:headEnd type="triangle" w="med" len="med"/>
                                <a:tailEnd type="triangle" w="med" len="med"/>
                              </a:ln>
                            </wps:spPr>
                            <wps:bodyPr/>
                          </wps:wsp>
                        </a:graphicData>
                      </a:graphic>
                    </wp:anchor>
                  </w:drawing>
                </mc:Choice>
                <mc:Fallback>
                  <w:pict>
                    <v:shape id="_x0000_s1026" o:spid="_x0000_s1026" o:spt="34" type="#_x0000_t34" style="position:absolute;left:0pt;flip:x y;margin-left:274.95pt;margin-top:10.6pt;height:150pt;width:1.5pt;rotation:11796480f;z-index:255716352;mso-width-relative:page;mso-height-relative:page;" filled="f" stroked="t" coordsize="21600,21600" o:gfxdata="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yBDUg2AAAAAoBAAAPAAAA&#10;AAAAAAEAIAAAACIAAABkcnMvZG93bnJldi54bWxQSwECFAAUAAAACACHTuJAislFBhUCAAABBAAA&#10;DgAAAAAAAAABACAAAAAnAQAAZHJzL2Uyb0RvYy54bWxQSwUGAAAAAAYABgBZAQAArgUAAAAA&#10;" adj="-550079">
                      <v:fill on="f" focussize="0,0"/>
                      <v:stroke color="#000000" joinstyle="miter" startarrow="block" endarrow="block"/>
                      <v:imagedata o:title=""/>
                      <o:lock v:ext="edit" aspectratio="f"/>
                    </v:shape>
                  </w:pict>
                </mc:Fallback>
              </mc:AlternateContent>
            </w:r>
          </w:p>
          <w:p>
            <w:pPr>
              <w:spacing w:line="360" w:lineRule="auto"/>
              <w:outlineLvl w:val="0"/>
              <w:rPr>
                <w:color w:val="auto"/>
                <w:sz w:val="24"/>
                <w:szCs w:val="24"/>
              </w:rPr>
            </w:pPr>
          </w:p>
          <w:p>
            <w:pPr>
              <w:spacing w:line="360" w:lineRule="auto"/>
              <w:outlineLvl w:val="0"/>
              <w:rPr>
                <w:color w:val="auto"/>
                <w:sz w:val="24"/>
                <w:szCs w:val="24"/>
              </w:rPr>
            </w:pPr>
          </w:p>
          <w:p>
            <w:pPr>
              <w:spacing w:line="360" w:lineRule="auto"/>
              <w:ind w:firstLine="480" w:firstLineChars="200"/>
              <w:outlineLvl w:val="0"/>
              <w:rPr>
                <w:color w:val="auto"/>
                <w:sz w:val="24"/>
                <w:szCs w:val="24"/>
              </w:rPr>
            </w:pPr>
          </w:p>
          <w:p>
            <w:pPr>
              <w:spacing w:line="360" w:lineRule="auto"/>
              <w:ind w:firstLine="480" w:firstLineChars="200"/>
              <w:outlineLvl w:val="0"/>
              <w:rPr>
                <w:color w:val="auto"/>
                <w:sz w:val="24"/>
                <w:szCs w:val="24"/>
              </w:rPr>
            </w:pPr>
          </w:p>
          <w:p>
            <w:pPr>
              <w:spacing w:line="360" w:lineRule="auto"/>
              <w:ind w:firstLine="480" w:firstLineChars="200"/>
              <w:outlineLvl w:val="0"/>
              <w:rPr>
                <w:color w:val="auto"/>
                <w:sz w:val="24"/>
                <w:szCs w:val="24"/>
              </w:rPr>
            </w:pPr>
          </w:p>
          <w:p>
            <w:pPr>
              <w:spacing w:line="360" w:lineRule="auto"/>
              <w:ind w:firstLine="480" w:firstLineChars="200"/>
              <w:outlineLvl w:val="0"/>
              <w:rPr>
                <w:color w:val="auto"/>
                <w:sz w:val="24"/>
              </w:rPr>
            </w:pPr>
          </w:p>
          <w:p>
            <w:pPr>
              <w:spacing w:line="360" w:lineRule="auto"/>
              <w:ind w:firstLine="480" w:firstLineChars="200"/>
              <w:outlineLvl w:val="0"/>
              <w:rPr>
                <w:color w:val="auto"/>
                <w:sz w:val="24"/>
              </w:rPr>
            </w:pPr>
          </w:p>
          <w:p>
            <w:pPr>
              <w:spacing w:line="360" w:lineRule="auto"/>
              <w:ind w:firstLine="480" w:firstLineChars="200"/>
              <w:outlineLvl w:val="0"/>
              <w:rPr>
                <w:color w:val="auto"/>
                <w:sz w:val="24"/>
                <w:szCs w:val="24"/>
              </w:rPr>
            </w:pPr>
          </w:p>
          <w:p>
            <w:pPr>
              <w:spacing w:line="360" w:lineRule="auto"/>
              <w:ind w:firstLine="480" w:firstLineChars="200"/>
              <w:outlineLvl w:val="0"/>
              <w:rPr>
                <w:color w:val="auto"/>
                <w:sz w:val="24"/>
                <w:szCs w:val="24"/>
              </w:rPr>
            </w:pPr>
          </w:p>
          <w:p>
            <w:pPr>
              <w:spacing w:line="360" w:lineRule="auto"/>
              <w:ind w:firstLine="480" w:firstLineChars="200"/>
              <w:outlineLvl w:val="0"/>
              <w:rPr>
                <w:color w:val="auto"/>
                <w:sz w:val="24"/>
                <w:szCs w:val="24"/>
              </w:rPr>
            </w:pPr>
            <w:r>
              <w:rPr>
                <w:color w:val="auto"/>
                <w:sz w:val="24"/>
              </w:rPr>
              <mc:AlternateContent>
                <mc:Choice Requires="wps">
                  <w:drawing>
                    <wp:anchor distT="0" distB="0" distL="114300" distR="114300" simplePos="0" relativeHeight="255722496" behindDoc="0" locked="0" layoutInCell="1" allowOverlap="1">
                      <wp:simplePos x="0" y="0"/>
                      <wp:positionH relativeFrom="column">
                        <wp:posOffset>2606040</wp:posOffset>
                      </wp:positionH>
                      <wp:positionV relativeFrom="paragraph">
                        <wp:posOffset>186690</wp:posOffset>
                      </wp:positionV>
                      <wp:extent cx="904875" cy="8890"/>
                      <wp:effectExtent l="0" t="29845" r="9525" b="37465"/>
                      <wp:wrapNone/>
                      <wp:docPr id="117" name="直接连接符 117"/>
                      <wp:cNvGraphicFramePr/>
                      <a:graphic xmlns:a="http://schemas.openxmlformats.org/drawingml/2006/main">
                        <a:graphicData uri="http://schemas.microsoft.com/office/word/2010/wordprocessingShape">
                          <wps:wsp>
                            <wps:cNvCnPr/>
                            <wps:spPr>
                              <a:xfrm>
                                <a:off x="0" y="0"/>
                                <a:ext cx="904875" cy="889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5.2pt;margin-top:14.7pt;height:0.7pt;width:71.25pt;z-index:255722496;mso-width-relative:page;mso-height-relative:page;" filled="f" stroked="t" coordsize="21600,21600" o:gfxdata="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DW9Gxra&#10;AAAACQEAAA8AAAAAAAAAAQAgAAAAIgAAAGRycy9kb3ducmV2LnhtbFBLAQIUABQAAAAIAIdO4kA7&#10;N4yf5QEAAKADAAAOAAAAAAAAAAEAIAAAACkBAABkcnMvZTJvRG9jLnhtbFBLBQYAAAAABgAGAFkB&#10;AACABQAAAAA=&#10;">
                      <v:fill on="f" focussize="0,0"/>
                      <v:stroke color="#000000" joinstyle="round" endarrow="block"/>
                      <v:imagedata o:title=""/>
                      <o:lock v:ext="edit" aspectratio="f"/>
                    </v:line>
                  </w:pict>
                </mc:Fallback>
              </mc:AlternateContent>
            </w:r>
          </w:p>
          <w:p>
            <w:pPr>
              <w:spacing w:line="360" w:lineRule="auto"/>
              <w:ind w:firstLine="480" w:firstLineChars="200"/>
              <w:outlineLvl w:val="0"/>
              <w:rPr>
                <w:color w:val="auto"/>
                <w:sz w:val="24"/>
                <w:szCs w:val="24"/>
              </w:rPr>
            </w:pPr>
          </w:p>
          <w:p>
            <w:pPr>
              <w:spacing w:line="360" w:lineRule="auto"/>
              <w:ind w:firstLine="480" w:firstLineChars="200"/>
              <w:outlineLvl w:val="0"/>
              <w:rPr>
                <w:color w:val="auto"/>
                <w:sz w:val="24"/>
                <w:szCs w:val="24"/>
              </w:rPr>
            </w:pPr>
          </w:p>
          <w:p>
            <w:pPr>
              <w:pStyle w:val="2"/>
              <w:rPr>
                <w:color w:val="auto"/>
                <w:sz w:val="24"/>
                <w:szCs w:val="24"/>
              </w:rPr>
            </w:pPr>
          </w:p>
          <w:p>
            <w:pPr>
              <w:pStyle w:val="2"/>
              <w:rPr>
                <w:rFonts w:hint="eastAsia" w:eastAsia="宋体"/>
                <w:color w:val="auto"/>
                <w:sz w:val="24"/>
                <w:szCs w:val="24"/>
                <w:lang w:val="en-US" w:eastAsia="zh-CN"/>
              </w:rPr>
            </w:pPr>
          </w:p>
          <w:p>
            <w:pPr>
              <w:spacing w:line="360" w:lineRule="auto"/>
              <w:ind w:firstLine="480" w:firstLineChars="200"/>
              <w:outlineLvl w:val="0"/>
              <w:rPr>
                <w:color w:val="auto"/>
                <w:sz w:val="24"/>
                <w:szCs w:val="24"/>
              </w:rPr>
            </w:pPr>
          </w:p>
          <w:p>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outlineLvl w:val="0"/>
              <w:rPr>
                <w:color w:val="auto"/>
                <w:sz w:val="24"/>
                <w:szCs w:val="24"/>
              </w:rPr>
            </w:pPr>
            <w:r>
              <w:rPr>
                <w:rFonts w:hint="eastAsia"/>
                <w:b/>
                <w:bCs/>
                <w:color w:val="auto"/>
                <w:sz w:val="24"/>
                <w:szCs w:val="24"/>
              </w:rPr>
              <w:t>图5-1 塑粉物料平衡图  单位：t/a</w:t>
            </w:r>
          </w:p>
          <w:p>
            <w:pPr>
              <w:spacing w:line="360" w:lineRule="auto"/>
              <w:ind w:firstLine="480" w:firstLineChars="200"/>
              <w:outlineLvl w:val="0"/>
              <w:rPr>
                <w:b/>
                <w:sz w:val="24"/>
              </w:rPr>
            </w:pPr>
            <w:r>
              <w:rPr>
                <w:rFonts w:hint="eastAsia"/>
                <w:sz w:val="24"/>
              </w:rPr>
              <w:t>综上，则项目有组织废气产生以及排放情况详见表5</w:t>
            </w:r>
            <w:r>
              <w:rPr>
                <w:sz w:val="24"/>
              </w:rPr>
              <w:t>-</w:t>
            </w:r>
            <w:r>
              <w:rPr>
                <w:rFonts w:hint="eastAsia"/>
                <w:sz w:val="24"/>
                <w:lang w:val="en-US" w:eastAsia="zh-CN"/>
              </w:rPr>
              <w:t>2</w:t>
            </w:r>
            <w:r>
              <w:rPr>
                <w:rFonts w:hint="eastAsia"/>
                <w:sz w:val="24"/>
              </w:rPr>
              <w:t>，</w:t>
            </w:r>
            <w:r>
              <w:rPr>
                <w:sz w:val="24"/>
              </w:rPr>
              <w:t>无组织废气产生以及</w:t>
            </w:r>
            <w:r>
              <w:rPr>
                <w:rFonts w:hint="eastAsia"/>
                <w:sz w:val="24"/>
              </w:rPr>
              <w:t>排放</w:t>
            </w:r>
            <w:r>
              <w:rPr>
                <w:sz w:val="24"/>
              </w:rPr>
              <w:t>情况详见表</w:t>
            </w:r>
            <w:r>
              <w:rPr>
                <w:rFonts w:hint="eastAsia"/>
                <w:sz w:val="24"/>
              </w:rPr>
              <w:t>5</w:t>
            </w:r>
            <w:r>
              <w:rPr>
                <w:sz w:val="24"/>
              </w:rPr>
              <w:t>-</w:t>
            </w:r>
            <w:r>
              <w:rPr>
                <w:rFonts w:hint="eastAsia"/>
                <w:sz w:val="24"/>
                <w:lang w:val="en-US" w:eastAsia="zh-CN"/>
              </w:rPr>
              <w:t>3</w:t>
            </w:r>
            <w:r>
              <w:rPr>
                <w:rFonts w:hint="eastAsia"/>
                <w:sz w:val="24"/>
              </w:rPr>
              <w:t>。</w:t>
            </w:r>
          </w:p>
          <w:p>
            <w:pPr>
              <w:adjustRightInd w:val="0"/>
              <w:snapToGrid w:val="0"/>
              <w:jc w:val="center"/>
              <w:rPr>
                <w:b/>
                <w:sz w:val="24"/>
              </w:rPr>
            </w:pPr>
            <w:r>
              <w:rPr>
                <w:b/>
                <w:sz w:val="24"/>
              </w:rPr>
              <w:t>表5-</w:t>
            </w:r>
            <w:r>
              <w:rPr>
                <w:rFonts w:hint="eastAsia"/>
                <w:b/>
                <w:sz w:val="24"/>
                <w:lang w:val="en-US" w:eastAsia="zh-CN"/>
              </w:rPr>
              <w:t>2</w:t>
            </w:r>
            <w:r>
              <w:rPr>
                <w:b/>
                <w:sz w:val="24"/>
              </w:rPr>
              <w:t xml:space="preserve">  有组织废气产生及排放情况一览表</w:t>
            </w:r>
          </w:p>
          <w:tbl>
            <w:tblPr>
              <w:tblStyle w:val="17"/>
              <w:tblW w:w="0" w:type="auto"/>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1" w:type="dxa"/>
                <w:bottom w:w="0" w:type="dxa"/>
                <w:right w:w="11" w:type="dxa"/>
              </w:tblCellMar>
            </w:tblPr>
            <w:tblGrid>
              <w:gridCol w:w="429"/>
              <w:gridCol w:w="528"/>
              <w:gridCol w:w="581"/>
              <w:gridCol w:w="585"/>
              <w:gridCol w:w="657"/>
              <w:gridCol w:w="653"/>
              <w:gridCol w:w="674"/>
              <w:gridCol w:w="908"/>
              <w:gridCol w:w="477"/>
              <w:gridCol w:w="624"/>
              <w:gridCol w:w="627"/>
              <w:gridCol w:w="663"/>
              <w:gridCol w:w="267"/>
              <w:gridCol w:w="372"/>
              <w:gridCol w:w="267"/>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1" w:type="dxa"/>
                  <w:bottom w:w="0" w:type="dxa"/>
                  <w:right w:w="11" w:type="dxa"/>
                </w:tblCellMar>
              </w:tblPrEx>
              <w:trPr>
                <w:trHeight w:val="340" w:hRule="atLeast"/>
                <w:jc w:val="center"/>
              </w:trPr>
              <w:tc>
                <w:tcPr>
                  <w:tcW w:w="429" w:type="dxa"/>
                  <w:vMerge w:val="restart"/>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szCs w:val="21"/>
                    </w:rPr>
                  </w:pPr>
                  <w:r>
                    <w:rPr>
                      <w:b/>
                      <w:snapToGrid w:val="0"/>
                      <w:kern w:val="18"/>
                      <w:szCs w:val="21"/>
                    </w:rPr>
                    <w:t>排气筒编号</w:t>
                  </w:r>
                </w:p>
              </w:tc>
              <w:tc>
                <w:tcPr>
                  <w:tcW w:w="528" w:type="dxa"/>
                  <w:vMerge w:val="restart"/>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r>
                    <w:rPr>
                      <w:b/>
                      <w:snapToGrid w:val="0"/>
                      <w:kern w:val="18"/>
                      <w:szCs w:val="21"/>
                    </w:rPr>
                    <w:t>污染源</w:t>
                  </w:r>
                </w:p>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r>
                    <w:rPr>
                      <w:b/>
                      <w:snapToGrid w:val="0"/>
                      <w:kern w:val="18"/>
                      <w:szCs w:val="21"/>
                    </w:rPr>
                    <w:t>名称</w:t>
                  </w:r>
                </w:p>
              </w:tc>
              <w:tc>
                <w:tcPr>
                  <w:tcW w:w="581" w:type="dxa"/>
                  <w:vMerge w:val="restart"/>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r>
                    <w:rPr>
                      <w:b/>
                      <w:snapToGrid w:val="0"/>
                      <w:kern w:val="18"/>
                      <w:szCs w:val="21"/>
                    </w:rPr>
                    <w:t>排气量</w:t>
                  </w:r>
                </w:p>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r>
                    <w:rPr>
                      <w:b/>
                      <w:snapToGrid w:val="0"/>
                      <w:kern w:val="18"/>
                      <w:szCs w:val="21"/>
                    </w:rPr>
                    <w:t>m</w:t>
                  </w:r>
                  <w:r>
                    <w:rPr>
                      <w:b/>
                      <w:snapToGrid w:val="0"/>
                      <w:kern w:val="18"/>
                      <w:szCs w:val="21"/>
                      <w:vertAlign w:val="superscript"/>
                    </w:rPr>
                    <w:t>3</w:t>
                  </w:r>
                  <w:r>
                    <w:rPr>
                      <w:b/>
                      <w:snapToGrid w:val="0"/>
                      <w:kern w:val="18"/>
                      <w:szCs w:val="21"/>
                    </w:rPr>
                    <w:t>/h</w:t>
                  </w:r>
                </w:p>
              </w:tc>
              <w:tc>
                <w:tcPr>
                  <w:tcW w:w="585" w:type="dxa"/>
                  <w:vMerge w:val="restart"/>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r>
                    <w:rPr>
                      <w:b/>
                      <w:snapToGrid w:val="0"/>
                      <w:kern w:val="18"/>
                      <w:szCs w:val="21"/>
                    </w:rPr>
                    <w:t>污染物名称</w:t>
                  </w:r>
                </w:p>
              </w:tc>
              <w:tc>
                <w:tcPr>
                  <w:tcW w:w="1984" w:type="dxa"/>
                  <w:gridSpan w:val="3"/>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r>
                    <w:rPr>
                      <w:b/>
                      <w:snapToGrid w:val="0"/>
                      <w:kern w:val="18"/>
                      <w:szCs w:val="21"/>
                    </w:rPr>
                    <w:t>产生情况</w:t>
                  </w:r>
                </w:p>
              </w:tc>
              <w:tc>
                <w:tcPr>
                  <w:tcW w:w="908" w:type="dxa"/>
                  <w:vMerge w:val="restart"/>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r>
                    <w:rPr>
                      <w:b/>
                      <w:snapToGrid w:val="0"/>
                      <w:kern w:val="18"/>
                      <w:szCs w:val="21"/>
                    </w:rPr>
                    <w:t>治理</w:t>
                  </w:r>
                </w:p>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r>
                    <w:rPr>
                      <w:b/>
                      <w:snapToGrid w:val="0"/>
                      <w:kern w:val="18"/>
                      <w:szCs w:val="21"/>
                    </w:rPr>
                    <w:t>措施</w:t>
                  </w:r>
                </w:p>
              </w:tc>
              <w:tc>
                <w:tcPr>
                  <w:tcW w:w="477" w:type="dxa"/>
                  <w:vMerge w:val="restart"/>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r>
                    <w:rPr>
                      <w:b/>
                      <w:snapToGrid w:val="0"/>
                      <w:kern w:val="18"/>
                      <w:szCs w:val="21"/>
                    </w:rPr>
                    <w:t>去除率%</w:t>
                  </w:r>
                </w:p>
              </w:tc>
              <w:tc>
                <w:tcPr>
                  <w:tcW w:w="1914" w:type="dxa"/>
                  <w:gridSpan w:val="3"/>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r>
                    <w:rPr>
                      <w:b/>
                      <w:snapToGrid w:val="0"/>
                      <w:kern w:val="18"/>
                      <w:szCs w:val="21"/>
                    </w:rPr>
                    <w:t>排放情况</w:t>
                  </w:r>
                </w:p>
              </w:tc>
              <w:tc>
                <w:tcPr>
                  <w:tcW w:w="906" w:type="dxa"/>
                  <w:gridSpan w:val="3"/>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r>
                    <w:rPr>
                      <w:b/>
                      <w:snapToGrid w:val="0"/>
                      <w:kern w:val="18"/>
                      <w:szCs w:val="21"/>
                    </w:rPr>
                    <w:t>排放源参数</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1" w:type="dxa"/>
                  <w:bottom w:w="0" w:type="dxa"/>
                  <w:right w:w="11" w:type="dxa"/>
                </w:tblCellMar>
              </w:tblPrEx>
              <w:trPr>
                <w:trHeight w:val="340" w:hRule="atLeast"/>
                <w:jc w:val="center"/>
              </w:trPr>
              <w:tc>
                <w:tcPr>
                  <w:tcW w:w="42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ind w:left="0" w:leftChars="0" w:right="0" w:rightChars="0"/>
                    <w:jc w:val="left"/>
                    <w:textAlignment w:val="auto"/>
                    <w:rPr>
                      <w:szCs w:val="21"/>
                    </w:rPr>
                  </w:pPr>
                </w:p>
              </w:tc>
              <w:tc>
                <w:tcPr>
                  <w:tcW w:w="528"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p>
              </w:tc>
              <w:tc>
                <w:tcPr>
                  <w:tcW w:w="581"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p>
              </w:tc>
              <w:tc>
                <w:tcPr>
                  <w:tcW w:w="585"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p>
              </w:tc>
              <w:tc>
                <w:tcPr>
                  <w:tcW w:w="657" w:type="dxa"/>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r>
                    <w:rPr>
                      <w:b/>
                      <w:snapToGrid w:val="0"/>
                      <w:kern w:val="18"/>
                      <w:szCs w:val="21"/>
                    </w:rPr>
                    <w:t>产生量t/a</w:t>
                  </w:r>
                </w:p>
              </w:tc>
              <w:tc>
                <w:tcPr>
                  <w:tcW w:w="653" w:type="dxa"/>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r>
                    <w:rPr>
                      <w:b/>
                      <w:snapToGrid w:val="0"/>
                      <w:kern w:val="18"/>
                      <w:szCs w:val="21"/>
                    </w:rPr>
                    <w:t>速率</w:t>
                  </w:r>
                </w:p>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r>
                    <w:rPr>
                      <w:b/>
                      <w:snapToGrid w:val="0"/>
                      <w:kern w:val="18"/>
                      <w:szCs w:val="21"/>
                    </w:rPr>
                    <w:t>kg/h</w:t>
                  </w:r>
                </w:p>
              </w:tc>
              <w:tc>
                <w:tcPr>
                  <w:tcW w:w="674" w:type="dxa"/>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r>
                    <w:rPr>
                      <w:b/>
                      <w:snapToGrid w:val="0"/>
                      <w:kern w:val="18"/>
                      <w:szCs w:val="21"/>
                    </w:rPr>
                    <w:t>浓度</w:t>
                  </w:r>
                </w:p>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r>
                    <w:rPr>
                      <w:b/>
                      <w:snapToGrid w:val="0"/>
                      <w:kern w:val="18"/>
                      <w:szCs w:val="21"/>
                    </w:rPr>
                    <w:t>mg/m</w:t>
                  </w:r>
                  <w:r>
                    <w:rPr>
                      <w:b/>
                      <w:snapToGrid w:val="0"/>
                      <w:kern w:val="18"/>
                      <w:szCs w:val="21"/>
                      <w:vertAlign w:val="superscript"/>
                    </w:rPr>
                    <w:t>3</w:t>
                  </w:r>
                </w:p>
              </w:tc>
              <w:tc>
                <w:tcPr>
                  <w:tcW w:w="908"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p>
              </w:tc>
              <w:tc>
                <w:tcPr>
                  <w:tcW w:w="477"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p>
              </w:tc>
              <w:tc>
                <w:tcPr>
                  <w:tcW w:w="624" w:type="dxa"/>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r>
                    <w:rPr>
                      <w:b/>
                      <w:snapToGrid w:val="0"/>
                      <w:kern w:val="18"/>
                      <w:szCs w:val="21"/>
                    </w:rPr>
                    <w:t>排放量t/a</w:t>
                  </w:r>
                </w:p>
              </w:tc>
              <w:tc>
                <w:tcPr>
                  <w:tcW w:w="627" w:type="dxa"/>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r>
                    <w:rPr>
                      <w:b/>
                      <w:snapToGrid w:val="0"/>
                      <w:kern w:val="18"/>
                      <w:szCs w:val="21"/>
                    </w:rPr>
                    <w:t>速率</w:t>
                  </w:r>
                </w:p>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r>
                    <w:rPr>
                      <w:b/>
                      <w:snapToGrid w:val="0"/>
                      <w:kern w:val="18"/>
                      <w:szCs w:val="21"/>
                    </w:rPr>
                    <w:t>kg/h</w:t>
                  </w:r>
                </w:p>
              </w:tc>
              <w:tc>
                <w:tcPr>
                  <w:tcW w:w="663" w:type="dxa"/>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r>
                    <w:rPr>
                      <w:b/>
                      <w:snapToGrid w:val="0"/>
                      <w:kern w:val="18"/>
                      <w:szCs w:val="21"/>
                    </w:rPr>
                    <w:t>浓度</w:t>
                  </w:r>
                </w:p>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r>
                    <w:rPr>
                      <w:b/>
                      <w:snapToGrid w:val="0"/>
                      <w:kern w:val="18"/>
                      <w:szCs w:val="21"/>
                    </w:rPr>
                    <w:t>mg/m</w:t>
                  </w:r>
                  <w:r>
                    <w:rPr>
                      <w:b/>
                      <w:snapToGrid w:val="0"/>
                      <w:kern w:val="18"/>
                      <w:szCs w:val="21"/>
                      <w:vertAlign w:val="superscript"/>
                    </w:rPr>
                    <w:t>3</w:t>
                  </w:r>
                </w:p>
              </w:tc>
              <w:tc>
                <w:tcPr>
                  <w:tcW w:w="267" w:type="dxa"/>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r>
                    <w:rPr>
                      <w:b/>
                      <w:snapToGrid w:val="0"/>
                      <w:kern w:val="18"/>
                      <w:szCs w:val="21"/>
                    </w:rPr>
                    <w:t>高度</w:t>
                  </w:r>
                </w:p>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r>
                    <w:rPr>
                      <w:b/>
                      <w:snapToGrid w:val="0"/>
                      <w:kern w:val="18"/>
                      <w:szCs w:val="21"/>
                    </w:rPr>
                    <w:t>m</w:t>
                  </w:r>
                </w:p>
              </w:tc>
              <w:tc>
                <w:tcPr>
                  <w:tcW w:w="372" w:type="dxa"/>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r>
                    <w:rPr>
                      <w:b/>
                      <w:snapToGrid w:val="0"/>
                      <w:kern w:val="18"/>
                      <w:szCs w:val="21"/>
                    </w:rPr>
                    <w:t>内径</w:t>
                  </w:r>
                </w:p>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r>
                    <w:rPr>
                      <w:b/>
                      <w:snapToGrid w:val="0"/>
                      <w:kern w:val="18"/>
                      <w:szCs w:val="21"/>
                    </w:rPr>
                    <w:t>m</w:t>
                  </w:r>
                </w:p>
              </w:tc>
              <w:tc>
                <w:tcPr>
                  <w:tcW w:w="267" w:type="dxa"/>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b/>
                      <w:snapToGrid w:val="0"/>
                      <w:kern w:val="18"/>
                      <w:szCs w:val="21"/>
                    </w:rPr>
                  </w:pPr>
                  <w:r>
                    <w:rPr>
                      <w:b/>
                      <w:snapToGrid w:val="0"/>
                      <w:kern w:val="18"/>
                      <w:szCs w:val="21"/>
                    </w:rPr>
                    <w:t>温度</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1" w:type="dxa"/>
                  <w:bottom w:w="0" w:type="dxa"/>
                  <w:right w:w="11" w:type="dxa"/>
                </w:tblCellMar>
              </w:tblPrEx>
              <w:trPr>
                <w:trHeight w:val="480" w:hRule="atLeast"/>
                <w:jc w:val="center"/>
              </w:trPr>
              <w:tc>
                <w:tcPr>
                  <w:tcW w:w="429" w:type="dxa"/>
                  <w:vMerge w:val="restart"/>
                  <w:tcBorders>
                    <w:tl2br w:val="nil"/>
                    <w:tr2bl w:val="nil"/>
                  </w:tcBorders>
                  <w:vAlign w:val="center"/>
                </w:tcPr>
                <w:p>
                  <w:pPr>
                    <w:keepNext w:val="0"/>
                    <w:keepLines w:val="0"/>
                    <w:pageBreakBefore w:val="0"/>
                    <w:widowControl/>
                    <w:kinsoku/>
                    <w:wordWrap/>
                    <w:overflowPunct/>
                    <w:topLinePunct w:val="0"/>
                    <w:autoSpaceDE/>
                    <w:autoSpaceDN/>
                    <w:bidi w:val="0"/>
                    <w:ind w:left="0" w:leftChars="0" w:right="0" w:rightChars="0"/>
                    <w:jc w:val="center"/>
                    <w:textAlignment w:val="auto"/>
                    <w:rPr>
                      <w:kern w:val="0"/>
                      <w:szCs w:val="21"/>
                    </w:rPr>
                  </w:pPr>
                  <w:r>
                    <w:rPr>
                      <w:rFonts w:hint="eastAsia"/>
                      <w:kern w:val="0"/>
                      <w:szCs w:val="21"/>
                      <w:lang w:val="en-US" w:eastAsia="zh-CN"/>
                    </w:rPr>
                    <w:t>1#</w:t>
                  </w:r>
                </w:p>
              </w:tc>
              <w:tc>
                <w:tcPr>
                  <w:tcW w:w="528" w:type="dxa"/>
                  <w:vMerge w:val="restart"/>
                  <w:tcBorders>
                    <w:tl2br w:val="nil"/>
                    <w:tr2bl w:val="nil"/>
                  </w:tcBorders>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ind w:left="0" w:leftChars="0" w:right="0" w:rightChars="0"/>
                    <w:jc w:val="center"/>
                    <w:textAlignment w:val="auto"/>
                    <w:rPr>
                      <w:rFonts w:hint="eastAsia" w:eastAsia="宋体"/>
                      <w:kern w:val="0"/>
                      <w:szCs w:val="21"/>
                      <w:lang w:eastAsia="zh-CN"/>
                    </w:rPr>
                  </w:pPr>
                  <w:r>
                    <w:rPr>
                      <w:rFonts w:hint="eastAsia"/>
                      <w:kern w:val="0"/>
                      <w:szCs w:val="21"/>
                      <w:lang w:eastAsia="zh-CN"/>
                    </w:rPr>
                    <w:t>天然气燃烧</w:t>
                  </w:r>
                </w:p>
              </w:tc>
              <w:tc>
                <w:tcPr>
                  <w:tcW w:w="581" w:type="dxa"/>
                  <w:vMerge w:val="restart"/>
                  <w:tcBorders>
                    <w:tl2br w:val="nil"/>
                    <w:tr2bl w:val="nil"/>
                  </w:tcBorders>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ind w:left="0" w:leftChars="0" w:right="0" w:rightChars="0"/>
                    <w:jc w:val="center"/>
                    <w:textAlignment w:val="auto"/>
                    <w:rPr>
                      <w:kern w:val="0"/>
                      <w:szCs w:val="21"/>
                    </w:rPr>
                  </w:pPr>
                  <w:r>
                    <w:rPr>
                      <w:rFonts w:hint="eastAsia"/>
                      <w:kern w:val="0"/>
                      <w:szCs w:val="21"/>
                      <w:lang w:val="en-US" w:eastAsia="zh-CN"/>
                    </w:rPr>
                    <w:t>4</w:t>
                  </w:r>
                  <w:r>
                    <w:rPr>
                      <w:rFonts w:hint="eastAsia"/>
                      <w:kern w:val="0"/>
                      <w:szCs w:val="21"/>
                    </w:rPr>
                    <w:t>00</w:t>
                  </w:r>
                </w:p>
              </w:tc>
              <w:tc>
                <w:tcPr>
                  <w:tcW w:w="585" w:type="dxa"/>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rFonts w:hint="eastAsia" w:eastAsia="宋体"/>
                      <w:kern w:val="0"/>
                      <w:szCs w:val="21"/>
                      <w:lang w:eastAsia="zh-CN"/>
                    </w:rPr>
                  </w:pPr>
                  <w:r>
                    <w:rPr>
                      <w:rFonts w:hint="eastAsia"/>
                      <w:szCs w:val="21"/>
                      <w:lang w:val="en-US" w:eastAsia="zh-CN"/>
                    </w:rPr>
                    <w:t>SO</w:t>
                  </w:r>
                  <w:r>
                    <w:rPr>
                      <w:rFonts w:hint="eastAsia"/>
                      <w:szCs w:val="21"/>
                      <w:vertAlign w:val="subscript"/>
                      <w:lang w:val="en-US" w:eastAsia="zh-CN"/>
                    </w:rPr>
                    <w:t>2</w:t>
                  </w:r>
                </w:p>
              </w:tc>
              <w:tc>
                <w:tcPr>
                  <w:tcW w:w="657" w:type="dxa"/>
                  <w:tcBorders>
                    <w:tl2br w:val="nil"/>
                    <w:tr2bl w:val="nil"/>
                  </w:tcBorders>
                  <w:tcMar>
                    <w:top w:w="28" w:type="dxa"/>
                    <w:left w:w="28" w:type="dxa"/>
                    <w:bottom w:w="28" w:type="dxa"/>
                    <w:right w:w="28" w:type="dxa"/>
                  </w:tcMar>
                  <w:vAlign w:val="center"/>
                </w:tcPr>
                <w:p>
                  <w:pPr>
                    <w:keepNext w:val="0"/>
                    <w:keepLines w:val="0"/>
                    <w:widowControl/>
                    <w:suppressLineNumbers w:val="0"/>
                    <w:jc w:val="center"/>
                    <w:textAlignment w:val="center"/>
                    <w:rPr>
                      <w:rFonts w:hint="default" w:ascii="Times New Roman" w:hAnsi="Times New Roman" w:eastAsia="宋体" w:cs="Times New Roman"/>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0.012</w:t>
                  </w:r>
                </w:p>
              </w:tc>
              <w:tc>
                <w:tcPr>
                  <w:tcW w:w="653" w:type="dxa"/>
                  <w:tcBorders>
                    <w:tl2br w:val="nil"/>
                    <w:tr2bl w:val="nil"/>
                  </w:tcBorders>
                  <w:tcMar>
                    <w:top w:w="28" w:type="dxa"/>
                    <w:left w:w="28" w:type="dxa"/>
                    <w:bottom w:w="28" w:type="dxa"/>
                    <w:right w:w="28" w:type="dxa"/>
                  </w:tcMar>
                  <w:vAlign w:val="center"/>
                </w:tcPr>
                <w:p>
                  <w:pPr>
                    <w:keepNext w:val="0"/>
                    <w:keepLines w:val="0"/>
                    <w:widowControl/>
                    <w:suppressLineNumbers w:val="0"/>
                    <w:jc w:val="center"/>
                    <w:textAlignment w:val="center"/>
                    <w:rPr>
                      <w:rFonts w:hint="default" w:ascii="Times New Roman" w:hAnsi="Times New Roman" w:cs="Times New Roman"/>
                      <w:szCs w:val="21"/>
                    </w:rPr>
                  </w:pPr>
                  <w:r>
                    <w:rPr>
                      <w:rFonts w:hint="default" w:ascii="Times New Roman" w:hAnsi="Times New Roman" w:eastAsia="宋体" w:cs="Times New Roman"/>
                      <w:i w:val="0"/>
                      <w:color w:val="000000"/>
                      <w:kern w:val="0"/>
                      <w:sz w:val="21"/>
                      <w:szCs w:val="21"/>
                      <w:u w:val="none"/>
                      <w:lang w:val="en-US" w:eastAsia="zh-CN" w:bidi="ar"/>
                    </w:rPr>
                    <w:t xml:space="preserve">0.01 </w:t>
                  </w:r>
                </w:p>
              </w:tc>
              <w:tc>
                <w:tcPr>
                  <w:tcW w:w="674" w:type="dxa"/>
                  <w:tcBorders>
                    <w:tl2br w:val="nil"/>
                    <w:tr2bl w:val="nil"/>
                  </w:tcBorders>
                  <w:tcMar>
                    <w:top w:w="28" w:type="dxa"/>
                    <w:left w:w="28" w:type="dxa"/>
                    <w:bottom w:w="28" w:type="dxa"/>
                    <w:right w:w="28" w:type="dxa"/>
                  </w:tcMar>
                  <w:vAlign w:val="center"/>
                </w:tcPr>
                <w:p>
                  <w:pPr>
                    <w:keepNext w:val="0"/>
                    <w:keepLines w:val="0"/>
                    <w:widowControl/>
                    <w:suppressLineNumbers w:val="0"/>
                    <w:jc w:val="center"/>
                    <w:textAlignment w:val="center"/>
                    <w:rPr>
                      <w:rFonts w:hint="default" w:ascii="Times New Roman" w:hAnsi="Times New Roman" w:cs="Times New Roman"/>
                      <w:szCs w:val="21"/>
                    </w:rPr>
                  </w:pPr>
                  <w:r>
                    <w:rPr>
                      <w:rFonts w:hint="default" w:ascii="Times New Roman" w:hAnsi="Times New Roman" w:eastAsia="宋体" w:cs="Times New Roman"/>
                      <w:i w:val="0"/>
                      <w:color w:val="000000"/>
                      <w:kern w:val="0"/>
                      <w:sz w:val="21"/>
                      <w:szCs w:val="21"/>
                      <w:u w:val="none"/>
                      <w:lang w:val="en-US" w:eastAsia="zh-CN" w:bidi="ar"/>
                    </w:rPr>
                    <w:t xml:space="preserve">29.27 </w:t>
                  </w:r>
                </w:p>
              </w:tc>
              <w:tc>
                <w:tcPr>
                  <w:tcW w:w="908" w:type="dxa"/>
                  <w:vMerge w:val="restart"/>
                  <w:tcBorders>
                    <w:tl2br w:val="nil"/>
                    <w:tr2bl w:val="nil"/>
                  </w:tcBorders>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ind w:left="0" w:leftChars="0" w:right="0" w:rightChars="0"/>
                    <w:jc w:val="center"/>
                    <w:textAlignment w:val="auto"/>
                    <w:rPr>
                      <w:rFonts w:hint="default" w:eastAsia="宋体"/>
                      <w:kern w:val="0"/>
                      <w:szCs w:val="21"/>
                      <w:lang w:val="en-US" w:eastAsia="zh-CN"/>
                    </w:rPr>
                  </w:pPr>
                  <w:r>
                    <w:rPr>
                      <w:rFonts w:hint="eastAsia"/>
                      <w:kern w:val="0"/>
                      <w:szCs w:val="21"/>
                      <w:lang w:val="en-US" w:eastAsia="zh-CN"/>
                    </w:rPr>
                    <w:t>低氮燃烧装置</w:t>
                  </w:r>
                </w:p>
              </w:tc>
              <w:tc>
                <w:tcPr>
                  <w:tcW w:w="477" w:type="dxa"/>
                  <w:tcBorders>
                    <w:tl2br w:val="nil"/>
                    <w:tr2bl w:val="nil"/>
                  </w:tcBorders>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ind w:left="0" w:leftChars="0" w:right="0" w:rightChars="0"/>
                    <w:jc w:val="center"/>
                    <w:textAlignment w:val="auto"/>
                    <w:rPr>
                      <w:rFonts w:hint="eastAsia" w:eastAsia="宋体"/>
                      <w:kern w:val="0"/>
                      <w:szCs w:val="21"/>
                      <w:lang w:val="en-US" w:eastAsia="zh-CN"/>
                    </w:rPr>
                  </w:pPr>
                  <w:r>
                    <w:rPr>
                      <w:rFonts w:hint="eastAsia"/>
                      <w:kern w:val="0"/>
                      <w:szCs w:val="21"/>
                      <w:lang w:val="en-US" w:eastAsia="zh-CN"/>
                    </w:rPr>
                    <w:t>/</w:t>
                  </w:r>
                </w:p>
              </w:tc>
              <w:tc>
                <w:tcPr>
                  <w:tcW w:w="624"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Cs w:val="21"/>
                    </w:rPr>
                  </w:pPr>
                  <w:r>
                    <w:rPr>
                      <w:rFonts w:hint="default" w:ascii="Times New Roman" w:hAnsi="Times New Roman" w:eastAsia="宋体" w:cs="Times New Roman"/>
                      <w:i w:val="0"/>
                      <w:color w:val="000000"/>
                      <w:kern w:val="0"/>
                      <w:sz w:val="21"/>
                      <w:szCs w:val="21"/>
                      <w:u w:val="none"/>
                      <w:lang w:val="en-US" w:eastAsia="zh-CN" w:bidi="ar"/>
                    </w:rPr>
                    <w:t>0.012</w:t>
                  </w:r>
                </w:p>
              </w:tc>
              <w:tc>
                <w:tcPr>
                  <w:tcW w:w="627"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Cs w:val="21"/>
                    </w:rPr>
                  </w:pPr>
                  <w:r>
                    <w:rPr>
                      <w:rFonts w:hint="default" w:ascii="Times New Roman" w:hAnsi="Times New Roman" w:eastAsia="宋体" w:cs="Times New Roman"/>
                      <w:i w:val="0"/>
                      <w:color w:val="000000"/>
                      <w:kern w:val="0"/>
                      <w:sz w:val="21"/>
                      <w:szCs w:val="21"/>
                      <w:u w:val="none"/>
                      <w:lang w:val="en-US" w:eastAsia="zh-CN" w:bidi="ar"/>
                    </w:rPr>
                    <w:t xml:space="preserve">0.01 </w:t>
                  </w:r>
                </w:p>
              </w:tc>
              <w:tc>
                <w:tcPr>
                  <w:tcW w:w="66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Cs w:val="21"/>
                    </w:rPr>
                  </w:pPr>
                  <w:r>
                    <w:rPr>
                      <w:rFonts w:hint="default" w:ascii="Times New Roman" w:hAnsi="Times New Roman" w:eastAsia="宋体" w:cs="Times New Roman"/>
                      <w:i w:val="0"/>
                      <w:color w:val="000000"/>
                      <w:kern w:val="0"/>
                      <w:sz w:val="21"/>
                      <w:szCs w:val="21"/>
                      <w:u w:val="none"/>
                      <w:lang w:val="en-US" w:eastAsia="zh-CN" w:bidi="ar"/>
                    </w:rPr>
                    <w:t xml:space="preserve">0.65 </w:t>
                  </w:r>
                </w:p>
              </w:tc>
              <w:tc>
                <w:tcPr>
                  <w:tcW w:w="267" w:type="dxa"/>
                  <w:vMerge w:val="restart"/>
                  <w:tcBorders>
                    <w:tl2br w:val="nil"/>
                    <w:tr2bl w:val="nil"/>
                  </w:tcBorders>
                  <w:vAlign w:val="center"/>
                </w:tcPr>
                <w:p>
                  <w:pPr>
                    <w:keepNext w:val="0"/>
                    <w:keepLines w:val="0"/>
                    <w:pageBreakBefore w:val="0"/>
                    <w:widowControl/>
                    <w:kinsoku/>
                    <w:wordWrap/>
                    <w:overflowPunct/>
                    <w:topLinePunct w:val="0"/>
                    <w:autoSpaceDE/>
                    <w:autoSpaceDN/>
                    <w:bidi w:val="0"/>
                    <w:ind w:left="0" w:leftChars="0" w:right="0" w:rightChars="0"/>
                    <w:jc w:val="left"/>
                    <w:textAlignment w:val="auto"/>
                    <w:rPr>
                      <w:rFonts w:hint="default" w:eastAsia="宋体"/>
                      <w:kern w:val="0"/>
                      <w:szCs w:val="21"/>
                      <w:lang w:val="en-US" w:eastAsia="zh-CN"/>
                    </w:rPr>
                  </w:pPr>
                  <w:r>
                    <w:rPr>
                      <w:rFonts w:hint="eastAsia"/>
                      <w:kern w:val="0"/>
                      <w:szCs w:val="21"/>
                      <w:lang w:val="en-US" w:eastAsia="zh-CN"/>
                    </w:rPr>
                    <w:t>15</w:t>
                  </w:r>
                </w:p>
              </w:tc>
              <w:tc>
                <w:tcPr>
                  <w:tcW w:w="372" w:type="dxa"/>
                  <w:vMerge w:val="restart"/>
                  <w:tcBorders>
                    <w:tl2br w:val="nil"/>
                    <w:tr2bl w:val="nil"/>
                  </w:tcBorders>
                  <w:vAlign w:val="center"/>
                </w:tcPr>
                <w:p>
                  <w:pPr>
                    <w:keepNext w:val="0"/>
                    <w:keepLines w:val="0"/>
                    <w:pageBreakBefore w:val="0"/>
                    <w:widowControl/>
                    <w:kinsoku/>
                    <w:wordWrap/>
                    <w:overflowPunct/>
                    <w:topLinePunct w:val="0"/>
                    <w:autoSpaceDE/>
                    <w:autoSpaceDN/>
                    <w:bidi w:val="0"/>
                    <w:ind w:left="0" w:leftChars="0" w:right="0" w:rightChars="0"/>
                    <w:jc w:val="left"/>
                    <w:textAlignment w:val="auto"/>
                    <w:rPr>
                      <w:rFonts w:hint="default" w:eastAsia="宋体"/>
                      <w:kern w:val="0"/>
                      <w:szCs w:val="21"/>
                      <w:lang w:val="en-US" w:eastAsia="zh-CN"/>
                    </w:rPr>
                  </w:pPr>
                  <w:r>
                    <w:rPr>
                      <w:rFonts w:hint="eastAsia"/>
                      <w:kern w:val="0"/>
                      <w:szCs w:val="21"/>
                      <w:lang w:val="en-US" w:eastAsia="zh-CN"/>
                    </w:rPr>
                    <w:t>0.6</w:t>
                  </w:r>
                </w:p>
              </w:tc>
              <w:tc>
                <w:tcPr>
                  <w:tcW w:w="267" w:type="dxa"/>
                  <w:vMerge w:val="restart"/>
                  <w:tcBorders>
                    <w:tl2br w:val="nil"/>
                    <w:tr2bl w:val="nil"/>
                  </w:tcBorders>
                  <w:vAlign w:val="center"/>
                </w:tcPr>
                <w:p>
                  <w:pPr>
                    <w:keepNext w:val="0"/>
                    <w:keepLines w:val="0"/>
                    <w:pageBreakBefore w:val="0"/>
                    <w:widowControl/>
                    <w:kinsoku/>
                    <w:wordWrap/>
                    <w:overflowPunct/>
                    <w:topLinePunct w:val="0"/>
                    <w:autoSpaceDE/>
                    <w:autoSpaceDN/>
                    <w:bidi w:val="0"/>
                    <w:ind w:left="0" w:leftChars="0" w:right="0" w:rightChars="0"/>
                    <w:jc w:val="left"/>
                    <w:textAlignment w:val="auto"/>
                    <w:rPr>
                      <w:rFonts w:hint="default" w:eastAsia="宋体"/>
                      <w:kern w:val="0"/>
                      <w:szCs w:val="21"/>
                      <w:lang w:val="en-US" w:eastAsia="zh-CN"/>
                    </w:rPr>
                  </w:pPr>
                  <w:r>
                    <w:rPr>
                      <w:rFonts w:hint="eastAsia"/>
                      <w:kern w:val="0"/>
                      <w:szCs w:val="21"/>
                      <w:lang w:val="en-US" w:eastAsia="zh-CN"/>
                    </w:rPr>
                    <w:t>30</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1" w:type="dxa"/>
                  <w:bottom w:w="0" w:type="dxa"/>
                  <w:right w:w="11" w:type="dxa"/>
                </w:tblCellMar>
              </w:tblPrEx>
              <w:trPr>
                <w:trHeight w:val="572" w:hRule="atLeast"/>
                <w:jc w:val="center"/>
              </w:trPr>
              <w:tc>
                <w:tcPr>
                  <w:tcW w:w="429"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pPr>
                </w:p>
              </w:tc>
              <w:tc>
                <w:tcPr>
                  <w:tcW w:w="528" w:type="dxa"/>
                  <w:vMerge w:val="continue"/>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pPr>
                </w:p>
              </w:tc>
              <w:tc>
                <w:tcPr>
                  <w:tcW w:w="581" w:type="dxa"/>
                  <w:vMerge w:val="continue"/>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pPr>
                </w:p>
              </w:tc>
              <w:tc>
                <w:tcPr>
                  <w:tcW w:w="585" w:type="dxa"/>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rFonts w:hint="default" w:eastAsia="宋体"/>
                      <w:szCs w:val="21"/>
                      <w:lang w:val="en-US" w:eastAsia="zh-CN"/>
                    </w:rPr>
                  </w:pPr>
                  <w:r>
                    <w:rPr>
                      <w:rFonts w:hint="eastAsia"/>
                      <w:szCs w:val="21"/>
                      <w:lang w:val="en-US" w:eastAsia="zh-CN"/>
                    </w:rPr>
                    <w:t>NOx</w:t>
                  </w:r>
                </w:p>
              </w:tc>
              <w:tc>
                <w:tcPr>
                  <w:tcW w:w="657" w:type="dxa"/>
                  <w:tcBorders>
                    <w:tl2br w:val="nil"/>
                    <w:tr2bl w:val="nil"/>
                  </w:tcBorders>
                  <w:tcMar>
                    <w:top w:w="28" w:type="dxa"/>
                    <w:left w:w="28" w:type="dxa"/>
                    <w:bottom w:w="28" w:type="dxa"/>
                    <w:right w:w="28" w:type="dxa"/>
                  </w:tcMar>
                  <w:vAlign w:val="center"/>
                </w:tcPr>
                <w:p>
                  <w:pPr>
                    <w:keepNext w:val="0"/>
                    <w:keepLines w:val="0"/>
                    <w:widowControl/>
                    <w:suppressLineNumbers w:val="0"/>
                    <w:jc w:val="center"/>
                    <w:textAlignment w:val="center"/>
                    <w:rPr>
                      <w:rFonts w:hint="default" w:ascii="Times New Roman" w:hAnsi="Times New Roman" w:eastAsia="宋体" w:cs="Times New Roman"/>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0.02</w:t>
                  </w:r>
                </w:p>
              </w:tc>
              <w:tc>
                <w:tcPr>
                  <w:tcW w:w="653" w:type="dxa"/>
                  <w:tcBorders>
                    <w:tl2br w:val="nil"/>
                    <w:tr2bl w:val="nil"/>
                  </w:tcBorders>
                  <w:tcMar>
                    <w:top w:w="28" w:type="dxa"/>
                    <w:left w:w="28" w:type="dxa"/>
                    <w:bottom w:w="28" w:type="dxa"/>
                    <w:right w:w="28" w:type="dxa"/>
                  </w:tcMar>
                  <w:vAlign w:val="center"/>
                </w:tcPr>
                <w:p>
                  <w:pPr>
                    <w:keepNext w:val="0"/>
                    <w:keepLines w:val="0"/>
                    <w:widowControl/>
                    <w:suppressLineNumbers w:val="0"/>
                    <w:jc w:val="center"/>
                    <w:textAlignment w:val="center"/>
                    <w:rPr>
                      <w:rFonts w:hint="default" w:ascii="Times New Roman" w:hAnsi="Times New Roman" w:cs="Times New Roman"/>
                      <w:szCs w:val="21"/>
                    </w:rPr>
                  </w:pPr>
                  <w:r>
                    <w:rPr>
                      <w:rFonts w:hint="default" w:ascii="Times New Roman" w:hAnsi="Times New Roman" w:eastAsia="宋体" w:cs="Times New Roman"/>
                      <w:i w:val="0"/>
                      <w:color w:val="000000"/>
                      <w:kern w:val="0"/>
                      <w:sz w:val="21"/>
                      <w:szCs w:val="21"/>
                      <w:u w:val="none"/>
                      <w:lang w:val="en-US" w:eastAsia="zh-CN" w:bidi="ar"/>
                    </w:rPr>
                    <w:t xml:space="preserve">0.017 </w:t>
                  </w:r>
                </w:p>
              </w:tc>
              <w:tc>
                <w:tcPr>
                  <w:tcW w:w="674" w:type="dxa"/>
                  <w:tcBorders>
                    <w:tl2br w:val="nil"/>
                    <w:tr2bl w:val="nil"/>
                  </w:tcBorders>
                  <w:tcMar>
                    <w:top w:w="28" w:type="dxa"/>
                    <w:left w:w="28" w:type="dxa"/>
                    <w:bottom w:w="28" w:type="dxa"/>
                    <w:right w:w="28" w:type="dxa"/>
                  </w:tcMar>
                  <w:vAlign w:val="center"/>
                </w:tcPr>
                <w:p>
                  <w:pPr>
                    <w:keepNext w:val="0"/>
                    <w:keepLines w:val="0"/>
                    <w:widowControl/>
                    <w:suppressLineNumbers w:val="0"/>
                    <w:jc w:val="center"/>
                    <w:textAlignment w:val="center"/>
                    <w:rPr>
                      <w:rFonts w:hint="default" w:ascii="Times New Roman" w:hAnsi="Times New Roman" w:eastAsia="宋体" w:cs="Times New Roman"/>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 xml:space="preserve">48.78 </w:t>
                  </w:r>
                </w:p>
              </w:tc>
              <w:tc>
                <w:tcPr>
                  <w:tcW w:w="908" w:type="dxa"/>
                  <w:vMerge w:val="continue"/>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szCs w:val="21"/>
                    </w:rPr>
                  </w:pPr>
                </w:p>
              </w:tc>
              <w:tc>
                <w:tcPr>
                  <w:tcW w:w="477" w:type="dxa"/>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rFonts w:hint="eastAsia" w:eastAsia="宋体"/>
                      <w:szCs w:val="21"/>
                      <w:lang w:val="en-US" w:eastAsia="zh-CN"/>
                    </w:rPr>
                  </w:pPr>
                  <w:r>
                    <w:rPr>
                      <w:rFonts w:hint="eastAsia"/>
                      <w:szCs w:val="21"/>
                      <w:lang w:val="en-US" w:eastAsia="zh-CN"/>
                    </w:rPr>
                    <w:t>/</w:t>
                  </w:r>
                </w:p>
              </w:tc>
              <w:tc>
                <w:tcPr>
                  <w:tcW w:w="624"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Cs w:val="21"/>
                    </w:rPr>
                  </w:pPr>
                  <w:r>
                    <w:rPr>
                      <w:rFonts w:hint="default" w:ascii="Times New Roman" w:hAnsi="Times New Roman" w:eastAsia="宋体" w:cs="Times New Roman"/>
                      <w:i w:val="0"/>
                      <w:color w:val="000000"/>
                      <w:kern w:val="0"/>
                      <w:sz w:val="21"/>
                      <w:szCs w:val="21"/>
                      <w:u w:val="none"/>
                      <w:lang w:val="en-US" w:eastAsia="zh-CN" w:bidi="ar"/>
                    </w:rPr>
                    <w:t>0.02</w:t>
                  </w:r>
                </w:p>
              </w:tc>
              <w:tc>
                <w:tcPr>
                  <w:tcW w:w="627"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Cs w:val="21"/>
                    </w:rPr>
                  </w:pPr>
                  <w:r>
                    <w:rPr>
                      <w:rFonts w:hint="default" w:ascii="Times New Roman" w:hAnsi="Times New Roman" w:eastAsia="宋体" w:cs="Times New Roman"/>
                      <w:i w:val="0"/>
                      <w:color w:val="000000"/>
                      <w:kern w:val="0"/>
                      <w:sz w:val="21"/>
                      <w:szCs w:val="21"/>
                      <w:u w:val="none"/>
                      <w:lang w:val="en-US" w:eastAsia="zh-CN" w:bidi="ar"/>
                    </w:rPr>
                    <w:t xml:space="preserve">0.017 </w:t>
                  </w:r>
                </w:p>
              </w:tc>
              <w:tc>
                <w:tcPr>
                  <w:tcW w:w="66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Cs w:val="21"/>
                    </w:rPr>
                  </w:pPr>
                  <w:r>
                    <w:rPr>
                      <w:rFonts w:hint="default" w:ascii="Times New Roman" w:hAnsi="Times New Roman" w:eastAsia="宋体" w:cs="Times New Roman"/>
                      <w:i w:val="0"/>
                      <w:color w:val="000000"/>
                      <w:kern w:val="0"/>
                      <w:sz w:val="21"/>
                      <w:szCs w:val="21"/>
                      <w:u w:val="none"/>
                      <w:lang w:val="en-US" w:eastAsia="zh-CN" w:bidi="ar"/>
                    </w:rPr>
                    <w:t xml:space="preserve">1.08 </w:t>
                  </w:r>
                </w:p>
              </w:tc>
              <w:tc>
                <w:tcPr>
                  <w:tcW w:w="267"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szCs w:val="21"/>
                    </w:rPr>
                  </w:pPr>
                </w:p>
              </w:tc>
              <w:tc>
                <w:tcPr>
                  <w:tcW w:w="3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szCs w:val="21"/>
                    </w:rPr>
                  </w:pPr>
                </w:p>
              </w:tc>
              <w:tc>
                <w:tcPr>
                  <w:tcW w:w="267"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1" w:type="dxa"/>
                  <w:bottom w:w="0" w:type="dxa"/>
                  <w:right w:w="11" w:type="dxa"/>
                </w:tblCellMar>
              </w:tblPrEx>
              <w:trPr>
                <w:trHeight w:val="537" w:hRule="atLeast"/>
                <w:jc w:val="center"/>
              </w:trPr>
              <w:tc>
                <w:tcPr>
                  <w:tcW w:w="429"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szCs w:val="21"/>
                    </w:rPr>
                  </w:pPr>
                </w:p>
              </w:tc>
              <w:tc>
                <w:tcPr>
                  <w:tcW w:w="528" w:type="dxa"/>
                  <w:vMerge w:val="continue"/>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szCs w:val="21"/>
                    </w:rPr>
                  </w:pPr>
                </w:p>
              </w:tc>
              <w:tc>
                <w:tcPr>
                  <w:tcW w:w="581" w:type="dxa"/>
                  <w:vMerge w:val="continue"/>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szCs w:val="21"/>
                    </w:rPr>
                  </w:pPr>
                </w:p>
              </w:tc>
              <w:tc>
                <w:tcPr>
                  <w:tcW w:w="585" w:type="dxa"/>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rFonts w:hint="default" w:eastAsia="宋体"/>
                      <w:szCs w:val="21"/>
                      <w:lang w:val="en-US" w:eastAsia="zh-CN"/>
                    </w:rPr>
                  </w:pPr>
                  <w:r>
                    <w:rPr>
                      <w:rFonts w:hint="eastAsia"/>
                      <w:szCs w:val="21"/>
                      <w:lang w:val="en-US" w:eastAsia="zh-CN"/>
                    </w:rPr>
                    <w:t>颗粒物</w:t>
                  </w:r>
                </w:p>
              </w:tc>
              <w:tc>
                <w:tcPr>
                  <w:tcW w:w="657" w:type="dxa"/>
                  <w:tcBorders>
                    <w:tl2br w:val="nil"/>
                    <w:tr2bl w:val="nil"/>
                  </w:tcBorders>
                  <w:tcMar>
                    <w:top w:w="28" w:type="dxa"/>
                    <w:left w:w="28" w:type="dxa"/>
                    <w:bottom w:w="28" w:type="dxa"/>
                    <w:right w:w="28" w:type="dxa"/>
                  </w:tcMar>
                  <w:vAlign w:val="center"/>
                </w:tcPr>
                <w:p>
                  <w:pPr>
                    <w:keepNext w:val="0"/>
                    <w:keepLines w:val="0"/>
                    <w:widowControl/>
                    <w:suppressLineNumbers w:val="0"/>
                    <w:jc w:val="center"/>
                    <w:textAlignment w:val="center"/>
                    <w:rPr>
                      <w:rFonts w:hint="default" w:ascii="Times New Roman" w:hAnsi="Times New Roman" w:eastAsia="宋体" w:cs="Times New Roman"/>
                      <w:szCs w:val="21"/>
                      <w:lang w:val="en-US" w:eastAsia="zh-CN"/>
                    </w:rPr>
                  </w:pPr>
                  <w:r>
                    <w:rPr>
                      <w:rFonts w:hint="default" w:ascii="Times New Roman" w:hAnsi="Times New Roman" w:eastAsia="宋体" w:cs="Times New Roman"/>
                      <w:i w:val="0"/>
                      <w:color w:val="000000"/>
                      <w:kern w:val="0"/>
                      <w:sz w:val="21"/>
                      <w:szCs w:val="21"/>
                      <w:u w:val="none"/>
                      <w:lang w:val="en-US" w:eastAsia="zh-CN" w:bidi="ar"/>
                    </w:rPr>
                    <w:t>0.007</w:t>
                  </w:r>
                </w:p>
              </w:tc>
              <w:tc>
                <w:tcPr>
                  <w:tcW w:w="653" w:type="dxa"/>
                  <w:tcBorders>
                    <w:tl2br w:val="nil"/>
                    <w:tr2bl w:val="nil"/>
                  </w:tcBorders>
                  <w:tcMar>
                    <w:top w:w="28" w:type="dxa"/>
                    <w:left w:w="28" w:type="dxa"/>
                    <w:bottom w:w="28" w:type="dxa"/>
                    <w:right w:w="28" w:type="dxa"/>
                  </w:tcMar>
                  <w:vAlign w:val="center"/>
                </w:tcPr>
                <w:p>
                  <w:pPr>
                    <w:keepNext w:val="0"/>
                    <w:keepLines w:val="0"/>
                    <w:widowControl/>
                    <w:suppressLineNumbers w:val="0"/>
                    <w:jc w:val="center"/>
                    <w:textAlignment w:val="center"/>
                    <w:rPr>
                      <w:rFonts w:hint="default" w:ascii="Times New Roman" w:hAnsi="Times New Roman" w:cs="Times New Roman"/>
                      <w:szCs w:val="21"/>
                    </w:rPr>
                  </w:pPr>
                  <w:r>
                    <w:rPr>
                      <w:rFonts w:hint="default" w:ascii="Times New Roman" w:hAnsi="Times New Roman" w:eastAsia="宋体" w:cs="Times New Roman"/>
                      <w:i w:val="0"/>
                      <w:color w:val="000000"/>
                      <w:kern w:val="0"/>
                      <w:sz w:val="21"/>
                      <w:szCs w:val="21"/>
                      <w:u w:val="none"/>
                      <w:lang w:val="en-US" w:eastAsia="zh-CN" w:bidi="ar"/>
                    </w:rPr>
                    <w:t xml:space="preserve">0.006 </w:t>
                  </w:r>
                </w:p>
              </w:tc>
              <w:tc>
                <w:tcPr>
                  <w:tcW w:w="674" w:type="dxa"/>
                  <w:tcBorders>
                    <w:tl2br w:val="nil"/>
                    <w:tr2bl w:val="nil"/>
                  </w:tcBorders>
                  <w:tcMar>
                    <w:top w:w="28" w:type="dxa"/>
                    <w:left w:w="28" w:type="dxa"/>
                    <w:bottom w:w="28" w:type="dxa"/>
                    <w:right w:w="28" w:type="dxa"/>
                  </w:tcMar>
                  <w:vAlign w:val="center"/>
                </w:tcPr>
                <w:p>
                  <w:pPr>
                    <w:keepNext w:val="0"/>
                    <w:keepLines w:val="0"/>
                    <w:widowControl/>
                    <w:suppressLineNumbers w:val="0"/>
                    <w:jc w:val="center"/>
                    <w:textAlignment w:val="center"/>
                    <w:rPr>
                      <w:rFonts w:hint="default" w:ascii="Times New Roman" w:hAnsi="Times New Roman" w:cs="Times New Roman"/>
                      <w:szCs w:val="21"/>
                    </w:rPr>
                  </w:pPr>
                  <w:r>
                    <w:rPr>
                      <w:rFonts w:hint="default" w:ascii="Times New Roman" w:hAnsi="Times New Roman" w:eastAsia="宋体" w:cs="Times New Roman"/>
                      <w:i w:val="0"/>
                      <w:color w:val="000000"/>
                      <w:kern w:val="0"/>
                      <w:sz w:val="21"/>
                      <w:szCs w:val="21"/>
                      <w:u w:val="none"/>
                      <w:lang w:val="en-US" w:eastAsia="zh-CN" w:bidi="ar"/>
                    </w:rPr>
                    <w:t xml:space="preserve">17.07 </w:t>
                  </w:r>
                </w:p>
              </w:tc>
              <w:tc>
                <w:tcPr>
                  <w:tcW w:w="908" w:type="dxa"/>
                  <w:vMerge w:val="continue"/>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szCs w:val="21"/>
                    </w:rPr>
                  </w:pPr>
                </w:p>
              </w:tc>
              <w:tc>
                <w:tcPr>
                  <w:tcW w:w="477" w:type="dxa"/>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rFonts w:hint="eastAsia" w:eastAsia="宋体"/>
                      <w:szCs w:val="21"/>
                      <w:lang w:val="en-US" w:eastAsia="zh-CN"/>
                    </w:rPr>
                  </w:pPr>
                  <w:r>
                    <w:rPr>
                      <w:rFonts w:hint="eastAsia"/>
                      <w:szCs w:val="21"/>
                      <w:lang w:val="en-US" w:eastAsia="zh-CN"/>
                    </w:rPr>
                    <w:t>/</w:t>
                  </w:r>
                </w:p>
              </w:tc>
              <w:tc>
                <w:tcPr>
                  <w:tcW w:w="624" w:type="dxa"/>
                  <w:vMerge w:val="restar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Cs w:val="21"/>
                    </w:rPr>
                  </w:pPr>
                  <w:r>
                    <w:rPr>
                      <w:rFonts w:hint="default" w:ascii="Times New Roman" w:hAnsi="Times New Roman" w:eastAsia="宋体" w:cs="Times New Roman"/>
                      <w:i w:val="0"/>
                      <w:color w:val="000000"/>
                      <w:kern w:val="0"/>
                      <w:sz w:val="21"/>
                      <w:szCs w:val="21"/>
                      <w:u w:val="none"/>
                      <w:lang w:val="en-US" w:eastAsia="zh-CN" w:bidi="ar"/>
                    </w:rPr>
                    <w:t>0.027</w:t>
                  </w:r>
                </w:p>
              </w:tc>
              <w:tc>
                <w:tcPr>
                  <w:tcW w:w="627" w:type="dxa"/>
                  <w:vMerge w:val="restar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Cs w:val="21"/>
                    </w:rPr>
                  </w:pPr>
                  <w:r>
                    <w:rPr>
                      <w:rFonts w:hint="default" w:ascii="Times New Roman" w:hAnsi="Times New Roman" w:eastAsia="宋体" w:cs="Times New Roman"/>
                      <w:i w:val="0"/>
                      <w:color w:val="000000"/>
                      <w:kern w:val="0"/>
                      <w:sz w:val="21"/>
                      <w:szCs w:val="21"/>
                      <w:u w:val="none"/>
                      <w:lang w:val="en-US" w:eastAsia="zh-CN" w:bidi="ar"/>
                    </w:rPr>
                    <w:t xml:space="preserve">0.023 </w:t>
                  </w:r>
                </w:p>
              </w:tc>
              <w:tc>
                <w:tcPr>
                  <w:tcW w:w="663" w:type="dxa"/>
                  <w:vMerge w:val="restart"/>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szCs w:val="21"/>
                    </w:rPr>
                  </w:pPr>
                  <w:r>
                    <w:rPr>
                      <w:rFonts w:hint="default" w:ascii="Times New Roman" w:hAnsi="Times New Roman" w:eastAsia="宋体" w:cs="Times New Roman"/>
                      <w:i w:val="0"/>
                      <w:color w:val="000000"/>
                      <w:kern w:val="0"/>
                      <w:sz w:val="21"/>
                      <w:szCs w:val="21"/>
                      <w:u w:val="none"/>
                      <w:lang w:val="en-US" w:eastAsia="zh-CN" w:bidi="ar"/>
                    </w:rPr>
                    <w:t xml:space="preserve">1.46 </w:t>
                  </w:r>
                </w:p>
              </w:tc>
              <w:tc>
                <w:tcPr>
                  <w:tcW w:w="267"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szCs w:val="21"/>
                    </w:rPr>
                  </w:pPr>
                </w:p>
              </w:tc>
              <w:tc>
                <w:tcPr>
                  <w:tcW w:w="3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szCs w:val="21"/>
                    </w:rPr>
                  </w:pPr>
                </w:p>
              </w:tc>
              <w:tc>
                <w:tcPr>
                  <w:tcW w:w="267"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1" w:type="dxa"/>
                  <w:bottom w:w="0" w:type="dxa"/>
                  <w:right w:w="11" w:type="dxa"/>
                </w:tblCellMar>
              </w:tblPrEx>
              <w:trPr>
                <w:trHeight w:val="537" w:hRule="atLeast"/>
                <w:jc w:val="center"/>
              </w:trPr>
              <w:tc>
                <w:tcPr>
                  <w:tcW w:w="429"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rFonts w:hint="default" w:eastAsia="宋体"/>
                      <w:szCs w:val="21"/>
                      <w:lang w:val="en-US" w:eastAsia="zh-CN"/>
                    </w:rPr>
                  </w:pPr>
                </w:p>
              </w:tc>
              <w:tc>
                <w:tcPr>
                  <w:tcW w:w="528" w:type="dxa"/>
                  <w:tcBorders>
                    <w:tl2br w:val="nil"/>
                    <w:tr2bl w:val="nil"/>
                  </w:tcBorders>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ind w:left="0" w:leftChars="0" w:right="0" w:rightChars="0"/>
                    <w:jc w:val="center"/>
                    <w:textAlignment w:val="auto"/>
                    <w:rPr>
                      <w:rFonts w:hint="eastAsia" w:ascii="Times New Roman" w:hAnsi="Times New Roman" w:eastAsia="宋体" w:cs="Times New Roman"/>
                      <w:kern w:val="0"/>
                      <w:sz w:val="21"/>
                      <w:szCs w:val="21"/>
                      <w:lang w:val="en-US" w:eastAsia="zh-CN" w:bidi="ar-SA"/>
                    </w:rPr>
                  </w:pPr>
                  <w:r>
                    <w:rPr>
                      <w:rFonts w:hint="eastAsia"/>
                      <w:kern w:val="0"/>
                      <w:szCs w:val="21"/>
                      <w:lang w:eastAsia="zh-CN"/>
                    </w:rPr>
                    <w:t>喷塑粉尘</w:t>
                  </w:r>
                </w:p>
              </w:tc>
              <w:tc>
                <w:tcPr>
                  <w:tcW w:w="581" w:type="dxa"/>
                  <w:tcBorders>
                    <w:tl2br w:val="nil"/>
                    <w:tr2bl w:val="nil"/>
                  </w:tcBorders>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ind w:left="0" w:leftChars="0" w:right="0" w:rightChars="0"/>
                    <w:jc w:val="center"/>
                    <w:textAlignment w:val="auto"/>
                    <w:rPr>
                      <w:rFonts w:hint="default" w:ascii="Times New Roman" w:hAnsi="Times New Roman" w:eastAsia="宋体" w:cs="Times New Roman"/>
                      <w:kern w:val="0"/>
                      <w:sz w:val="21"/>
                      <w:szCs w:val="21"/>
                      <w:lang w:val="en-US" w:eastAsia="zh-CN" w:bidi="ar-SA"/>
                    </w:rPr>
                  </w:pPr>
                  <w:r>
                    <w:rPr>
                      <w:rFonts w:hint="eastAsia"/>
                      <w:kern w:val="0"/>
                      <w:szCs w:val="21"/>
                      <w:lang w:val="en-US" w:eastAsia="zh-CN"/>
                    </w:rPr>
                    <w:t>10000</w:t>
                  </w:r>
                </w:p>
              </w:tc>
              <w:tc>
                <w:tcPr>
                  <w:tcW w:w="585" w:type="dxa"/>
                  <w:tcBorders>
                    <w:tl2br w:val="nil"/>
                    <w:tr2bl w:val="nil"/>
                  </w:tcBorders>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ind w:left="0" w:leftChars="0" w:right="0" w:rightChars="0"/>
                    <w:jc w:val="center"/>
                    <w:textAlignment w:val="auto"/>
                    <w:rPr>
                      <w:rFonts w:ascii="Times New Roman" w:hAnsi="Times New Roman" w:eastAsia="宋体" w:cs="Times New Roman"/>
                      <w:kern w:val="0"/>
                      <w:sz w:val="21"/>
                      <w:szCs w:val="21"/>
                      <w:lang w:val="en-US" w:eastAsia="zh-CN" w:bidi="ar-SA"/>
                    </w:rPr>
                  </w:pPr>
                  <w:r>
                    <w:rPr>
                      <w:rFonts w:hint="eastAsia" w:cs="Times New Roman"/>
                      <w:kern w:val="0"/>
                      <w:sz w:val="21"/>
                      <w:szCs w:val="21"/>
                      <w:lang w:val="en-US" w:eastAsia="zh-CN" w:bidi="ar-SA"/>
                    </w:rPr>
                    <w:t>颗粒物</w:t>
                  </w:r>
                </w:p>
              </w:tc>
              <w:tc>
                <w:tcPr>
                  <w:tcW w:w="657" w:type="dxa"/>
                  <w:tcBorders>
                    <w:tl2br w:val="nil"/>
                    <w:tr2bl w:val="nil"/>
                  </w:tcBorders>
                  <w:tcMar>
                    <w:top w:w="28" w:type="dxa"/>
                    <w:left w:w="28" w:type="dxa"/>
                    <w:bottom w:w="28" w:type="dxa"/>
                    <w:right w:w="28" w:type="dxa"/>
                  </w:tcMar>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color w:val="000000"/>
                      <w:kern w:val="0"/>
                      <w:sz w:val="21"/>
                      <w:szCs w:val="21"/>
                      <w:u w:val="none"/>
                      <w:lang w:val="en-US" w:eastAsia="zh-CN" w:bidi="ar"/>
                    </w:rPr>
                    <w:t>1.62</w:t>
                  </w:r>
                </w:p>
              </w:tc>
              <w:tc>
                <w:tcPr>
                  <w:tcW w:w="653" w:type="dxa"/>
                  <w:tcBorders>
                    <w:tl2br w:val="nil"/>
                    <w:tr2bl w:val="nil"/>
                  </w:tcBorders>
                  <w:tcMar>
                    <w:top w:w="28" w:type="dxa"/>
                    <w:left w:w="28" w:type="dxa"/>
                    <w:bottom w:w="28" w:type="dxa"/>
                    <w:right w:w="28" w:type="dxa"/>
                  </w:tcMar>
                  <w:vAlign w:val="center"/>
                </w:tcPr>
                <w:p>
                  <w:pPr>
                    <w:keepNext w:val="0"/>
                    <w:keepLines w:val="0"/>
                    <w:widowControl/>
                    <w:suppressLineNumbers w:val="0"/>
                    <w:jc w:val="center"/>
                    <w:textAlignment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i w:val="0"/>
                      <w:color w:val="000000"/>
                      <w:kern w:val="0"/>
                      <w:sz w:val="21"/>
                      <w:szCs w:val="21"/>
                      <w:u w:val="none"/>
                      <w:lang w:val="en-US" w:eastAsia="zh-CN" w:bidi="ar"/>
                    </w:rPr>
                    <w:t xml:space="preserve">1.35 </w:t>
                  </w:r>
                </w:p>
              </w:tc>
              <w:tc>
                <w:tcPr>
                  <w:tcW w:w="674" w:type="dxa"/>
                  <w:tcBorders>
                    <w:tl2br w:val="nil"/>
                    <w:tr2bl w:val="nil"/>
                  </w:tcBorders>
                  <w:tcMar>
                    <w:top w:w="28" w:type="dxa"/>
                    <w:left w:w="28" w:type="dxa"/>
                    <w:bottom w:w="28" w:type="dxa"/>
                    <w:right w:w="28" w:type="dxa"/>
                  </w:tcMar>
                  <w:vAlign w:val="center"/>
                </w:tcPr>
                <w:p>
                  <w:pPr>
                    <w:keepNext w:val="0"/>
                    <w:keepLines w:val="0"/>
                    <w:widowControl/>
                    <w:suppressLineNumbers w:val="0"/>
                    <w:jc w:val="center"/>
                    <w:textAlignment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i w:val="0"/>
                      <w:color w:val="000000"/>
                      <w:kern w:val="0"/>
                      <w:sz w:val="21"/>
                      <w:szCs w:val="21"/>
                      <w:u w:val="none"/>
                      <w:lang w:val="en-US" w:eastAsia="zh-CN" w:bidi="ar"/>
                    </w:rPr>
                    <w:t>135</w:t>
                  </w:r>
                </w:p>
              </w:tc>
              <w:tc>
                <w:tcPr>
                  <w:tcW w:w="908" w:type="dxa"/>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rFonts w:hint="eastAsia" w:eastAsia="宋体"/>
                      <w:szCs w:val="21"/>
                      <w:lang w:eastAsia="zh-CN"/>
                    </w:rPr>
                  </w:pPr>
                  <w:r>
                    <w:rPr>
                      <w:rFonts w:hint="eastAsia"/>
                      <w:szCs w:val="21"/>
                      <w:lang w:eastAsia="zh-CN"/>
                    </w:rPr>
                    <w:t>滤芯除尘器</w:t>
                  </w:r>
                </w:p>
              </w:tc>
              <w:tc>
                <w:tcPr>
                  <w:tcW w:w="477" w:type="dxa"/>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rFonts w:hint="default" w:eastAsia="宋体"/>
                      <w:szCs w:val="21"/>
                      <w:lang w:val="en-US" w:eastAsia="zh-CN"/>
                    </w:rPr>
                  </w:pPr>
                  <w:r>
                    <w:rPr>
                      <w:rFonts w:hint="eastAsia"/>
                      <w:szCs w:val="21"/>
                      <w:lang w:val="en-US" w:eastAsia="zh-CN"/>
                    </w:rPr>
                    <w:t>99</w:t>
                  </w:r>
                </w:p>
              </w:tc>
              <w:tc>
                <w:tcPr>
                  <w:tcW w:w="624" w:type="dxa"/>
                  <w:vMerge w:val="continue"/>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kern w:val="0"/>
                      <w:szCs w:val="21"/>
                      <w:lang w:val="en-US" w:eastAsia="zh-CN" w:bidi="ar"/>
                    </w:rPr>
                  </w:pPr>
                </w:p>
              </w:tc>
              <w:tc>
                <w:tcPr>
                  <w:tcW w:w="627" w:type="dxa"/>
                  <w:vMerge w:val="continue"/>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kern w:val="0"/>
                      <w:szCs w:val="21"/>
                      <w:lang w:bidi="ar"/>
                    </w:rPr>
                  </w:pPr>
                </w:p>
              </w:tc>
              <w:tc>
                <w:tcPr>
                  <w:tcW w:w="663" w:type="dxa"/>
                  <w:vMerge w:val="continue"/>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FF0000"/>
                      <w:kern w:val="0"/>
                      <w:sz w:val="21"/>
                      <w:szCs w:val="21"/>
                      <w:u w:val="none"/>
                      <w:lang w:val="en-US" w:eastAsia="zh-CN" w:bidi="ar"/>
                    </w:rPr>
                  </w:pPr>
                </w:p>
              </w:tc>
              <w:tc>
                <w:tcPr>
                  <w:tcW w:w="267"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szCs w:val="21"/>
                    </w:rPr>
                  </w:pPr>
                </w:p>
              </w:tc>
              <w:tc>
                <w:tcPr>
                  <w:tcW w:w="3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szCs w:val="21"/>
                    </w:rPr>
                  </w:pPr>
                </w:p>
              </w:tc>
              <w:tc>
                <w:tcPr>
                  <w:tcW w:w="267"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1" w:type="dxa"/>
                  <w:bottom w:w="0" w:type="dxa"/>
                  <w:right w:w="11" w:type="dxa"/>
                </w:tblCellMar>
              </w:tblPrEx>
              <w:trPr>
                <w:trHeight w:val="537" w:hRule="atLeast"/>
                <w:jc w:val="center"/>
              </w:trPr>
              <w:tc>
                <w:tcPr>
                  <w:tcW w:w="429"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szCs w:val="21"/>
                    </w:rPr>
                  </w:pPr>
                </w:p>
              </w:tc>
              <w:tc>
                <w:tcPr>
                  <w:tcW w:w="528" w:type="dxa"/>
                  <w:tcBorders>
                    <w:tl2br w:val="nil"/>
                    <w:tr2bl w:val="nil"/>
                  </w:tcBorders>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ind w:left="0" w:leftChars="0" w:right="0" w:rightChars="0"/>
                    <w:jc w:val="center"/>
                    <w:textAlignment w:val="auto"/>
                    <w:rPr>
                      <w:rFonts w:hint="eastAsia" w:ascii="Times New Roman" w:hAnsi="Times New Roman" w:eastAsia="宋体" w:cs="Times New Roman"/>
                      <w:kern w:val="0"/>
                      <w:sz w:val="21"/>
                      <w:szCs w:val="21"/>
                      <w:lang w:val="en-US" w:eastAsia="zh-CN" w:bidi="ar-SA"/>
                    </w:rPr>
                  </w:pPr>
                  <w:r>
                    <w:rPr>
                      <w:rFonts w:hint="eastAsia"/>
                      <w:kern w:val="0"/>
                      <w:szCs w:val="21"/>
                      <w:lang w:eastAsia="zh-CN"/>
                    </w:rPr>
                    <w:t>固化废气</w:t>
                  </w:r>
                </w:p>
              </w:tc>
              <w:tc>
                <w:tcPr>
                  <w:tcW w:w="581" w:type="dxa"/>
                  <w:tcBorders>
                    <w:tl2br w:val="nil"/>
                    <w:tr2bl w:val="nil"/>
                  </w:tcBorders>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ind w:left="0" w:leftChars="0" w:right="0" w:rightChars="0"/>
                    <w:jc w:val="center"/>
                    <w:textAlignment w:val="auto"/>
                    <w:rPr>
                      <w:rFonts w:hint="default" w:ascii="Times New Roman" w:hAnsi="Times New Roman" w:eastAsia="宋体" w:cs="Times New Roman"/>
                      <w:kern w:val="0"/>
                      <w:sz w:val="21"/>
                      <w:szCs w:val="21"/>
                      <w:lang w:val="en-US" w:eastAsia="zh-CN" w:bidi="ar-SA"/>
                    </w:rPr>
                  </w:pPr>
                  <w:r>
                    <w:rPr>
                      <w:rFonts w:hint="eastAsia"/>
                      <w:kern w:val="0"/>
                      <w:szCs w:val="21"/>
                      <w:lang w:val="en-US" w:eastAsia="zh-CN"/>
                    </w:rPr>
                    <w:t>5000</w:t>
                  </w:r>
                </w:p>
              </w:tc>
              <w:tc>
                <w:tcPr>
                  <w:tcW w:w="585" w:type="dxa"/>
                  <w:tcBorders>
                    <w:tl2br w:val="nil"/>
                    <w:tr2bl w:val="nil"/>
                  </w:tcBorders>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ind w:left="0" w:leftChars="0" w:right="0" w:rightChars="0"/>
                    <w:jc w:val="center"/>
                    <w:textAlignment w:val="auto"/>
                    <w:rPr>
                      <w:rFonts w:ascii="Times New Roman" w:hAnsi="Times New Roman" w:eastAsia="宋体" w:cs="Times New Roman"/>
                      <w:kern w:val="0"/>
                      <w:sz w:val="21"/>
                      <w:szCs w:val="21"/>
                      <w:lang w:val="en-US" w:eastAsia="zh-CN" w:bidi="ar-SA"/>
                    </w:rPr>
                  </w:pPr>
                  <w:r>
                    <w:rPr>
                      <w:rFonts w:hint="eastAsia" w:cs="Times New Roman"/>
                      <w:kern w:val="0"/>
                      <w:sz w:val="21"/>
                      <w:szCs w:val="21"/>
                      <w:lang w:val="en-US" w:eastAsia="zh-CN" w:bidi="ar-SA"/>
                    </w:rPr>
                    <w:t>非甲烷总烃</w:t>
                  </w:r>
                </w:p>
              </w:tc>
              <w:tc>
                <w:tcPr>
                  <w:tcW w:w="657" w:type="dxa"/>
                  <w:tcBorders>
                    <w:tl2br w:val="nil"/>
                    <w:tr2bl w:val="nil"/>
                  </w:tcBorders>
                  <w:tcMar>
                    <w:top w:w="28" w:type="dxa"/>
                    <w:left w:w="28" w:type="dxa"/>
                    <w:bottom w:w="28" w:type="dxa"/>
                    <w:right w:w="28" w:type="dxa"/>
                  </w:tcMar>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i w:val="0"/>
                      <w:color w:val="000000"/>
                      <w:kern w:val="0"/>
                      <w:sz w:val="21"/>
                      <w:szCs w:val="21"/>
                      <w:u w:val="none"/>
                      <w:lang w:val="en-US" w:eastAsia="zh-CN" w:bidi="ar"/>
                    </w:rPr>
                    <w:t>0.029</w:t>
                  </w:r>
                </w:p>
              </w:tc>
              <w:tc>
                <w:tcPr>
                  <w:tcW w:w="653" w:type="dxa"/>
                  <w:tcBorders>
                    <w:tl2br w:val="nil"/>
                    <w:tr2bl w:val="nil"/>
                  </w:tcBorders>
                  <w:tcMar>
                    <w:top w:w="28" w:type="dxa"/>
                    <w:left w:w="28" w:type="dxa"/>
                    <w:bottom w:w="28" w:type="dxa"/>
                    <w:right w:w="28" w:type="dxa"/>
                  </w:tcMar>
                  <w:vAlign w:val="center"/>
                </w:tcPr>
                <w:p>
                  <w:pPr>
                    <w:keepNext w:val="0"/>
                    <w:keepLines w:val="0"/>
                    <w:widowControl/>
                    <w:suppressLineNumbers w:val="0"/>
                    <w:jc w:val="center"/>
                    <w:textAlignment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i w:val="0"/>
                      <w:color w:val="000000"/>
                      <w:kern w:val="0"/>
                      <w:sz w:val="21"/>
                      <w:szCs w:val="21"/>
                      <w:u w:val="none"/>
                      <w:lang w:val="en-US" w:eastAsia="zh-CN" w:bidi="ar"/>
                    </w:rPr>
                    <w:t xml:space="preserve">0.024 </w:t>
                  </w:r>
                </w:p>
              </w:tc>
              <w:tc>
                <w:tcPr>
                  <w:tcW w:w="674" w:type="dxa"/>
                  <w:tcBorders>
                    <w:tl2br w:val="nil"/>
                    <w:tr2bl w:val="nil"/>
                  </w:tcBorders>
                  <w:tcMar>
                    <w:top w:w="28" w:type="dxa"/>
                    <w:left w:w="28" w:type="dxa"/>
                    <w:bottom w:w="28" w:type="dxa"/>
                    <w:right w:w="28" w:type="dxa"/>
                  </w:tcMar>
                  <w:vAlign w:val="center"/>
                </w:tcPr>
                <w:p>
                  <w:pPr>
                    <w:keepNext w:val="0"/>
                    <w:keepLines w:val="0"/>
                    <w:widowControl/>
                    <w:suppressLineNumbers w:val="0"/>
                    <w:jc w:val="center"/>
                    <w:textAlignment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i w:val="0"/>
                      <w:color w:val="000000"/>
                      <w:kern w:val="0"/>
                      <w:sz w:val="21"/>
                      <w:szCs w:val="21"/>
                      <w:u w:val="none"/>
                      <w:lang w:val="en-US" w:eastAsia="zh-CN" w:bidi="ar"/>
                    </w:rPr>
                    <w:t>2.9</w:t>
                  </w:r>
                </w:p>
              </w:tc>
              <w:tc>
                <w:tcPr>
                  <w:tcW w:w="908" w:type="dxa"/>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rFonts w:hint="eastAsia" w:eastAsia="宋体"/>
                      <w:szCs w:val="21"/>
                      <w:lang w:eastAsia="zh-CN"/>
                    </w:rPr>
                  </w:pPr>
                  <w:r>
                    <w:rPr>
                      <w:rFonts w:hint="eastAsia"/>
                      <w:szCs w:val="21"/>
                      <w:lang w:eastAsia="zh-CN"/>
                    </w:rPr>
                    <w:t>冷却器</w:t>
                  </w:r>
                  <w:r>
                    <w:rPr>
                      <w:rFonts w:hint="eastAsia"/>
                      <w:szCs w:val="21"/>
                      <w:lang w:val="en-US" w:eastAsia="zh-CN"/>
                    </w:rPr>
                    <w:t>+</w:t>
                  </w:r>
                  <w:r>
                    <w:rPr>
                      <w:rFonts w:hint="eastAsia"/>
                      <w:szCs w:val="21"/>
                      <w:lang w:eastAsia="zh-CN"/>
                    </w:rPr>
                    <w:t>二级活性炭吸附装置</w:t>
                  </w:r>
                </w:p>
              </w:tc>
              <w:tc>
                <w:tcPr>
                  <w:tcW w:w="477" w:type="dxa"/>
                  <w:tcBorders>
                    <w:tl2br w:val="nil"/>
                    <w:tr2bl w:val="nil"/>
                  </w:tcBorders>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rFonts w:hint="default" w:eastAsia="宋体"/>
                      <w:szCs w:val="21"/>
                      <w:lang w:val="en-US" w:eastAsia="zh-CN"/>
                    </w:rPr>
                  </w:pPr>
                  <w:r>
                    <w:rPr>
                      <w:rFonts w:hint="eastAsia"/>
                      <w:szCs w:val="21"/>
                      <w:lang w:val="en-US" w:eastAsia="zh-CN"/>
                    </w:rPr>
                    <w:t>90</w:t>
                  </w:r>
                </w:p>
              </w:tc>
              <w:tc>
                <w:tcPr>
                  <w:tcW w:w="624"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i w:val="0"/>
                      <w:color w:val="000000"/>
                      <w:kern w:val="0"/>
                      <w:sz w:val="21"/>
                      <w:szCs w:val="21"/>
                      <w:u w:val="none"/>
                      <w:lang w:val="en-US" w:eastAsia="zh-CN" w:bidi="ar"/>
                    </w:rPr>
                    <w:t>0.003</w:t>
                  </w:r>
                </w:p>
              </w:tc>
              <w:tc>
                <w:tcPr>
                  <w:tcW w:w="627"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kern w:val="0"/>
                      <w:sz w:val="21"/>
                      <w:szCs w:val="21"/>
                      <w:lang w:val="en-US" w:eastAsia="zh-CN" w:bidi="ar"/>
                    </w:rPr>
                  </w:pPr>
                  <w:r>
                    <w:rPr>
                      <w:rFonts w:hint="default" w:ascii="Times New Roman" w:hAnsi="Times New Roman" w:eastAsia="宋体" w:cs="Times New Roman"/>
                      <w:i w:val="0"/>
                      <w:color w:val="000000"/>
                      <w:kern w:val="0"/>
                      <w:sz w:val="21"/>
                      <w:szCs w:val="21"/>
                      <w:u w:val="none"/>
                      <w:lang w:val="en-US" w:eastAsia="zh-CN" w:bidi="ar"/>
                    </w:rPr>
                    <w:t xml:space="preserve">0.003 </w:t>
                  </w:r>
                </w:p>
              </w:tc>
              <w:tc>
                <w:tcPr>
                  <w:tcW w:w="663"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eastAsia="宋体" w:cs="Times New Roman"/>
                      <w:i w:val="0"/>
                      <w:color w:val="FF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 xml:space="preserve">0.1 </w:t>
                  </w:r>
                </w:p>
              </w:tc>
              <w:tc>
                <w:tcPr>
                  <w:tcW w:w="267"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szCs w:val="21"/>
                    </w:rPr>
                  </w:pPr>
                </w:p>
              </w:tc>
              <w:tc>
                <w:tcPr>
                  <w:tcW w:w="372"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szCs w:val="21"/>
                    </w:rPr>
                  </w:pPr>
                </w:p>
              </w:tc>
              <w:tc>
                <w:tcPr>
                  <w:tcW w:w="267" w:type="dxa"/>
                  <w:vMerge w:val="continue"/>
                  <w:tcBorders>
                    <w:tl2br w:val="nil"/>
                    <w:tr2bl w:val="nil"/>
                  </w:tcBorders>
                  <w:vAlign w:val="center"/>
                </w:tcPr>
                <w:p>
                  <w:pPr>
                    <w:keepNext w:val="0"/>
                    <w:keepLines w:val="0"/>
                    <w:pageBreakBefore w:val="0"/>
                    <w:kinsoku/>
                    <w:wordWrap/>
                    <w:overflowPunct/>
                    <w:topLinePunct w:val="0"/>
                    <w:autoSpaceDE/>
                    <w:autoSpaceDN/>
                    <w:bidi w:val="0"/>
                    <w:adjustRightInd w:val="0"/>
                    <w:snapToGrid w:val="0"/>
                    <w:ind w:left="0" w:leftChars="0" w:right="0" w:rightChars="0"/>
                    <w:jc w:val="center"/>
                    <w:textAlignment w:val="auto"/>
                    <w:rPr>
                      <w:szCs w:val="21"/>
                    </w:rPr>
                  </w:pPr>
                </w:p>
              </w:tc>
            </w:tr>
          </w:tbl>
          <w:p>
            <w:pPr>
              <w:keepNext w:val="0"/>
              <w:keepLines w:val="0"/>
              <w:pageBreakBefore w:val="0"/>
              <w:widowControl w:val="0"/>
              <w:kinsoku/>
              <w:wordWrap/>
              <w:overflowPunct/>
              <w:topLinePunct w:val="0"/>
              <w:autoSpaceDE/>
              <w:autoSpaceDN/>
              <w:bidi w:val="0"/>
              <w:adjustRightInd w:val="0"/>
              <w:snapToGrid w:val="0"/>
              <w:spacing w:before="157" w:beforeLines="50"/>
              <w:jc w:val="center"/>
              <w:textAlignment w:val="auto"/>
              <w:rPr>
                <w:b/>
                <w:sz w:val="24"/>
              </w:rPr>
            </w:pPr>
            <w:r>
              <w:rPr>
                <w:b/>
                <w:sz w:val="24"/>
              </w:rPr>
              <w:t>表5-</w:t>
            </w:r>
            <w:r>
              <w:rPr>
                <w:rFonts w:hint="eastAsia"/>
                <w:b/>
                <w:sz w:val="24"/>
                <w:lang w:val="en-US" w:eastAsia="zh-CN"/>
              </w:rPr>
              <w:t>3</w:t>
            </w:r>
            <w:r>
              <w:rPr>
                <w:b/>
                <w:sz w:val="24"/>
              </w:rPr>
              <w:t xml:space="preserve">  无组织废气产生及排放情况一览表</w:t>
            </w:r>
          </w:p>
          <w:tbl>
            <w:tblPr>
              <w:tblStyle w:val="1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09"/>
              <w:gridCol w:w="742"/>
              <w:gridCol w:w="819"/>
              <w:gridCol w:w="964"/>
              <w:gridCol w:w="867"/>
              <w:gridCol w:w="894"/>
              <w:gridCol w:w="896"/>
              <w:gridCol w:w="928"/>
              <w:gridCol w:w="70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dxa"/>
                  <w:vAlign w:val="center"/>
                </w:tcPr>
                <w:p>
                  <w:pPr>
                    <w:pStyle w:val="39"/>
                    <w:rPr>
                      <w:b/>
                    </w:rPr>
                  </w:pPr>
                  <w:r>
                    <w:rPr>
                      <w:b/>
                    </w:rPr>
                    <w:t>位置</w:t>
                  </w:r>
                </w:p>
              </w:tc>
              <w:tc>
                <w:tcPr>
                  <w:tcW w:w="709" w:type="dxa"/>
                  <w:vAlign w:val="center"/>
                </w:tcPr>
                <w:p>
                  <w:pPr>
                    <w:pStyle w:val="39"/>
                    <w:rPr>
                      <w:b/>
                    </w:rPr>
                  </w:pPr>
                  <w:r>
                    <w:rPr>
                      <w:b/>
                    </w:rPr>
                    <w:t>污染源</w:t>
                  </w:r>
                </w:p>
              </w:tc>
              <w:tc>
                <w:tcPr>
                  <w:tcW w:w="742" w:type="dxa"/>
                  <w:vAlign w:val="center"/>
                </w:tcPr>
                <w:p>
                  <w:pPr>
                    <w:pStyle w:val="39"/>
                    <w:rPr>
                      <w:b/>
                    </w:rPr>
                  </w:pPr>
                  <w:r>
                    <w:rPr>
                      <w:b/>
                    </w:rPr>
                    <w:t>污染物名称</w:t>
                  </w:r>
                </w:p>
              </w:tc>
              <w:tc>
                <w:tcPr>
                  <w:tcW w:w="819" w:type="dxa"/>
                  <w:vAlign w:val="center"/>
                </w:tcPr>
                <w:p>
                  <w:pPr>
                    <w:pStyle w:val="39"/>
                    <w:rPr>
                      <w:b/>
                    </w:rPr>
                  </w:pPr>
                  <w:r>
                    <w:rPr>
                      <w:b/>
                    </w:rPr>
                    <w:t>产生量t/a</w:t>
                  </w:r>
                </w:p>
              </w:tc>
              <w:tc>
                <w:tcPr>
                  <w:tcW w:w="964" w:type="dxa"/>
                  <w:vAlign w:val="center"/>
                </w:tcPr>
                <w:p>
                  <w:pPr>
                    <w:pStyle w:val="39"/>
                    <w:rPr>
                      <w:b/>
                    </w:rPr>
                  </w:pPr>
                  <w:r>
                    <w:rPr>
                      <w:b/>
                    </w:rPr>
                    <w:t>产生速率</w:t>
                  </w:r>
                </w:p>
                <w:p>
                  <w:pPr>
                    <w:pStyle w:val="39"/>
                    <w:rPr>
                      <w:b/>
                    </w:rPr>
                  </w:pPr>
                  <w:r>
                    <w:rPr>
                      <w:b/>
                    </w:rPr>
                    <w:t>kg/h</w:t>
                  </w:r>
                </w:p>
              </w:tc>
              <w:tc>
                <w:tcPr>
                  <w:tcW w:w="867" w:type="dxa"/>
                  <w:vAlign w:val="center"/>
                </w:tcPr>
                <w:p>
                  <w:pPr>
                    <w:pStyle w:val="39"/>
                    <w:rPr>
                      <w:b/>
                    </w:rPr>
                  </w:pPr>
                  <w:r>
                    <w:rPr>
                      <w:b/>
                    </w:rPr>
                    <w:t>处置措施/效率</w:t>
                  </w:r>
                </w:p>
              </w:tc>
              <w:tc>
                <w:tcPr>
                  <w:tcW w:w="894" w:type="dxa"/>
                  <w:vAlign w:val="center"/>
                </w:tcPr>
                <w:p>
                  <w:pPr>
                    <w:pStyle w:val="39"/>
                    <w:rPr>
                      <w:b/>
                    </w:rPr>
                  </w:pPr>
                  <w:r>
                    <w:rPr>
                      <w:b/>
                    </w:rPr>
                    <w:t>排放量</w:t>
                  </w:r>
                </w:p>
                <w:p>
                  <w:pPr>
                    <w:pStyle w:val="39"/>
                    <w:rPr>
                      <w:b/>
                    </w:rPr>
                  </w:pPr>
                  <w:r>
                    <w:rPr>
                      <w:b/>
                    </w:rPr>
                    <w:t>t/a</w:t>
                  </w:r>
                </w:p>
              </w:tc>
              <w:tc>
                <w:tcPr>
                  <w:tcW w:w="896" w:type="dxa"/>
                  <w:vAlign w:val="center"/>
                </w:tcPr>
                <w:p>
                  <w:pPr>
                    <w:pStyle w:val="39"/>
                    <w:rPr>
                      <w:b/>
                    </w:rPr>
                  </w:pPr>
                  <w:r>
                    <w:rPr>
                      <w:b/>
                    </w:rPr>
                    <w:t>排放速率kg/h</w:t>
                  </w:r>
                </w:p>
              </w:tc>
              <w:tc>
                <w:tcPr>
                  <w:tcW w:w="928" w:type="dxa"/>
                  <w:vAlign w:val="center"/>
                </w:tcPr>
                <w:p>
                  <w:pPr>
                    <w:pStyle w:val="39"/>
                    <w:rPr>
                      <w:b/>
                    </w:rPr>
                  </w:pPr>
                  <w:r>
                    <w:rPr>
                      <w:b/>
                    </w:rPr>
                    <w:t>面源面积m</w:t>
                  </w:r>
                  <w:r>
                    <w:rPr>
                      <w:b/>
                      <w:vertAlign w:val="superscript"/>
                    </w:rPr>
                    <w:t>2</w:t>
                  </w:r>
                </w:p>
              </w:tc>
              <w:tc>
                <w:tcPr>
                  <w:tcW w:w="708" w:type="dxa"/>
                  <w:vAlign w:val="center"/>
                </w:tcPr>
                <w:p>
                  <w:pPr>
                    <w:pStyle w:val="39"/>
                    <w:rPr>
                      <w:b/>
                    </w:rPr>
                  </w:pPr>
                  <w:r>
                    <w:rPr>
                      <w:b/>
                    </w:rPr>
                    <w:t>面源高度m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9" w:type="dxa"/>
                  <w:vMerge w:val="restart"/>
                  <w:vAlign w:val="center"/>
                </w:tcPr>
                <w:p>
                  <w:pPr>
                    <w:pStyle w:val="40"/>
                    <w:ind w:right="0" w:rightChars="0"/>
                    <w:rPr>
                      <w:rFonts w:hint="eastAsia" w:ascii="Times New Roman" w:eastAsia="宋体"/>
                      <w:sz w:val="21"/>
                      <w:szCs w:val="21"/>
                      <w:lang w:eastAsia="zh-CN"/>
                    </w:rPr>
                  </w:pPr>
                  <w:r>
                    <w:rPr>
                      <w:rFonts w:ascii="Times New Roman"/>
                      <w:sz w:val="21"/>
                      <w:szCs w:val="21"/>
                    </w:rPr>
                    <w:t>生产车间</w:t>
                  </w:r>
                  <w:r>
                    <w:rPr>
                      <w:rFonts w:hint="eastAsia" w:ascii="Times New Roman"/>
                      <w:sz w:val="21"/>
                      <w:szCs w:val="21"/>
                      <w:lang w:eastAsia="zh-CN"/>
                    </w:rPr>
                    <w:t>二</w:t>
                  </w:r>
                </w:p>
              </w:tc>
              <w:tc>
                <w:tcPr>
                  <w:tcW w:w="709" w:type="dxa"/>
                  <w:vAlign w:val="center"/>
                </w:tcPr>
                <w:p>
                  <w:pPr>
                    <w:widowControl/>
                    <w:ind w:left="-21" w:leftChars="-10" w:right="-21" w:rightChars="-10"/>
                    <w:jc w:val="center"/>
                    <w:textAlignment w:val="center"/>
                    <w:rPr>
                      <w:rFonts w:hint="eastAsia" w:ascii="Times New Roman" w:hAnsi="Times New Roman" w:eastAsia="宋体" w:cs="Times New Roman"/>
                      <w:kern w:val="0"/>
                      <w:sz w:val="21"/>
                      <w:szCs w:val="21"/>
                      <w:lang w:val="en-US" w:eastAsia="zh-CN" w:bidi="ar-SA"/>
                    </w:rPr>
                  </w:pPr>
                  <w:r>
                    <w:rPr>
                      <w:rFonts w:hint="eastAsia"/>
                      <w:kern w:val="0"/>
                      <w:szCs w:val="21"/>
                      <w:lang w:eastAsia="zh-CN"/>
                    </w:rPr>
                    <w:t>喷塑粉尘</w:t>
                  </w:r>
                </w:p>
              </w:tc>
              <w:tc>
                <w:tcPr>
                  <w:tcW w:w="742" w:type="dxa"/>
                  <w:vAlign w:val="center"/>
                </w:tcPr>
                <w:p>
                  <w:pPr>
                    <w:pStyle w:val="40"/>
                    <w:ind w:right="0" w:rightChars="0"/>
                    <w:rPr>
                      <w:rFonts w:ascii="Times New Roman"/>
                      <w:color w:val="auto"/>
                      <w:sz w:val="21"/>
                      <w:szCs w:val="21"/>
                    </w:rPr>
                  </w:pPr>
                  <w:r>
                    <w:rPr>
                      <w:rFonts w:ascii="Times New Roman"/>
                      <w:color w:val="auto"/>
                      <w:sz w:val="21"/>
                      <w:szCs w:val="21"/>
                    </w:rPr>
                    <w:t>颗粒物</w:t>
                  </w:r>
                </w:p>
              </w:tc>
              <w:tc>
                <w:tcPr>
                  <w:tcW w:w="819" w:type="dxa"/>
                  <w:vAlign w:val="center"/>
                </w:tcPr>
                <w:p>
                  <w:pPr>
                    <w:widowControl/>
                    <w:jc w:val="center"/>
                    <w:textAlignment w:val="center"/>
                    <w:rPr>
                      <w:rFonts w:hint="default" w:eastAsia="宋体"/>
                      <w:color w:val="auto"/>
                      <w:kern w:val="0"/>
                      <w:szCs w:val="21"/>
                      <w:lang w:val="en-US" w:eastAsia="zh-CN"/>
                    </w:rPr>
                  </w:pPr>
                  <w:r>
                    <w:rPr>
                      <w:rFonts w:hint="eastAsia"/>
                      <w:color w:val="auto"/>
                      <w:kern w:val="0"/>
                      <w:szCs w:val="21"/>
                      <w:lang w:val="en-US" w:eastAsia="zh-CN" w:bidi="ar"/>
                    </w:rPr>
                    <w:t>0.03</w:t>
                  </w:r>
                </w:p>
              </w:tc>
              <w:tc>
                <w:tcPr>
                  <w:tcW w:w="964" w:type="dxa"/>
                  <w:vAlign w:val="center"/>
                </w:tcPr>
                <w:p>
                  <w:pPr>
                    <w:widowControl/>
                    <w:jc w:val="center"/>
                    <w:textAlignment w:val="center"/>
                    <w:rPr>
                      <w:rFonts w:hint="default" w:eastAsia="宋体"/>
                      <w:color w:val="auto"/>
                      <w:szCs w:val="21"/>
                      <w:lang w:val="en-US" w:eastAsia="zh-CN"/>
                    </w:rPr>
                  </w:pPr>
                  <w:r>
                    <w:rPr>
                      <w:rFonts w:hint="eastAsia"/>
                      <w:color w:val="auto"/>
                      <w:szCs w:val="21"/>
                      <w:lang w:val="en-US" w:eastAsia="zh-CN"/>
                    </w:rPr>
                    <w:t>0.025</w:t>
                  </w:r>
                </w:p>
              </w:tc>
              <w:tc>
                <w:tcPr>
                  <w:tcW w:w="867" w:type="dxa"/>
                  <w:vAlign w:val="center"/>
                </w:tcPr>
                <w:p>
                  <w:pPr>
                    <w:pStyle w:val="40"/>
                    <w:ind w:right="0" w:rightChars="0"/>
                    <w:rPr>
                      <w:rFonts w:ascii="Times New Roman"/>
                      <w:color w:val="auto"/>
                      <w:sz w:val="21"/>
                      <w:szCs w:val="21"/>
                    </w:rPr>
                  </w:pPr>
                  <w:r>
                    <w:rPr>
                      <w:rFonts w:ascii="Times New Roman"/>
                      <w:color w:val="auto"/>
                      <w:sz w:val="21"/>
                      <w:szCs w:val="21"/>
                    </w:rPr>
                    <w:t>/</w:t>
                  </w:r>
                </w:p>
              </w:tc>
              <w:tc>
                <w:tcPr>
                  <w:tcW w:w="894" w:type="dxa"/>
                  <w:vAlign w:val="center"/>
                </w:tcPr>
                <w:p>
                  <w:pPr>
                    <w:widowControl/>
                    <w:jc w:val="center"/>
                    <w:textAlignment w:val="center"/>
                    <w:rPr>
                      <w:rFonts w:hint="eastAsia" w:eastAsia="宋体"/>
                      <w:color w:val="auto"/>
                      <w:kern w:val="0"/>
                      <w:szCs w:val="21"/>
                      <w:lang w:eastAsia="zh-CN"/>
                    </w:rPr>
                  </w:pPr>
                  <w:r>
                    <w:rPr>
                      <w:rFonts w:hint="eastAsia"/>
                      <w:color w:val="auto"/>
                      <w:kern w:val="0"/>
                      <w:szCs w:val="21"/>
                      <w:lang w:val="en-US" w:eastAsia="zh-CN" w:bidi="ar"/>
                    </w:rPr>
                    <w:t>0.03</w:t>
                  </w:r>
                </w:p>
              </w:tc>
              <w:tc>
                <w:tcPr>
                  <w:tcW w:w="896" w:type="dxa"/>
                  <w:vAlign w:val="center"/>
                </w:tcPr>
                <w:p>
                  <w:pPr>
                    <w:widowControl/>
                    <w:jc w:val="center"/>
                    <w:textAlignment w:val="center"/>
                    <w:rPr>
                      <w:rFonts w:hint="default" w:eastAsia="宋体"/>
                      <w:color w:val="auto"/>
                      <w:szCs w:val="21"/>
                      <w:lang w:val="en-US" w:eastAsia="zh-CN"/>
                    </w:rPr>
                  </w:pPr>
                  <w:r>
                    <w:rPr>
                      <w:rFonts w:hint="eastAsia"/>
                      <w:color w:val="auto"/>
                      <w:szCs w:val="21"/>
                      <w:lang w:val="en-US" w:eastAsia="zh-CN"/>
                    </w:rPr>
                    <w:t>0.025</w:t>
                  </w:r>
                </w:p>
              </w:tc>
              <w:tc>
                <w:tcPr>
                  <w:tcW w:w="928" w:type="dxa"/>
                  <w:vMerge w:val="restart"/>
                  <w:vAlign w:val="center"/>
                </w:tcPr>
                <w:p>
                  <w:pPr>
                    <w:pStyle w:val="39"/>
                    <w:rPr>
                      <w:rFonts w:hint="default" w:eastAsia="宋体"/>
                      <w:lang w:val="en-US" w:eastAsia="zh-CN"/>
                    </w:rPr>
                  </w:pPr>
                  <w:r>
                    <w:rPr>
                      <w:rFonts w:hint="eastAsia"/>
                      <w:lang w:val="en-US" w:eastAsia="zh-CN"/>
                    </w:rPr>
                    <w:t>864</w:t>
                  </w:r>
                </w:p>
              </w:tc>
              <w:tc>
                <w:tcPr>
                  <w:tcW w:w="708" w:type="dxa"/>
                  <w:vMerge w:val="restart"/>
                  <w:vAlign w:val="center"/>
                </w:tcPr>
                <w:p>
                  <w:pPr>
                    <w:pStyle w:val="39"/>
                    <w:rPr>
                      <w:rFonts w:hint="eastAsia" w:eastAsia="宋体"/>
                      <w:lang w:eastAsia="zh-CN"/>
                    </w:rPr>
                  </w:pPr>
                  <w:r>
                    <w:rPr>
                      <w:rFonts w:hint="eastAsia"/>
                      <w:lang w:val="en-US" w:eastAsia="zh-CN"/>
                    </w:rPr>
                    <w:t>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709" w:type="dxa"/>
                  <w:vMerge w:val="continue"/>
                  <w:vAlign w:val="center"/>
                </w:tcPr>
                <w:p>
                  <w:pPr>
                    <w:pStyle w:val="40"/>
                    <w:ind w:right="0" w:rightChars="0"/>
                    <w:rPr>
                      <w:rFonts w:ascii="Times New Roman"/>
                      <w:sz w:val="21"/>
                      <w:szCs w:val="21"/>
                    </w:rPr>
                  </w:pPr>
                </w:p>
              </w:tc>
              <w:tc>
                <w:tcPr>
                  <w:tcW w:w="709" w:type="dxa"/>
                  <w:vAlign w:val="center"/>
                </w:tcPr>
                <w:p>
                  <w:pPr>
                    <w:widowControl/>
                    <w:ind w:left="-21" w:leftChars="-10" w:right="-21" w:rightChars="-10"/>
                    <w:jc w:val="center"/>
                    <w:textAlignment w:val="center"/>
                    <w:rPr>
                      <w:rFonts w:hint="eastAsia" w:ascii="Times New Roman" w:hAnsi="Times New Roman" w:eastAsia="宋体" w:cs="Times New Roman"/>
                      <w:kern w:val="0"/>
                      <w:sz w:val="21"/>
                      <w:szCs w:val="21"/>
                      <w:lang w:val="en-US" w:eastAsia="zh-CN" w:bidi="ar-SA"/>
                    </w:rPr>
                  </w:pPr>
                  <w:r>
                    <w:rPr>
                      <w:rFonts w:hint="eastAsia"/>
                      <w:kern w:val="0"/>
                      <w:szCs w:val="21"/>
                      <w:lang w:eastAsia="zh-CN"/>
                    </w:rPr>
                    <w:t>固化废气</w:t>
                  </w:r>
                </w:p>
              </w:tc>
              <w:tc>
                <w:tcPr>
                  <w:tcW w:w="742" w:type="dxa"/>
                  <w:vAlign w:val="center"/>
                </w:tcPr>
                <w:p>
                  <w:pPr>
                    <w:widowControl/>
                    <w:jc w:val="center"/>
                    <w:textAlignment w:val="center"/>
                    <w:rPr>
                      <w:rFonts w:hint="eastAsia" w:eastAsia="宋体"/>
                      <w:szCs w:val="21"/>
                      <w:lang w:eastAsia="zh-CN"/>
                    </w:rPr>
                  </w:pPr>
                  <w:r>
                    <w:rPr>
                      <w:rFonts w:hint="eastAsia"/>
                      <w:szCs w:val="21"/>
                      <w:lang w:eastAsia="zh-CN"/>
                    </w:rPr>
                    <w:t>非甲烷总烃</w:t>
                  </w:r>
                </w:p>
              </w:tc>
              <w:tc>
                <w:tcPr>
                  <w:tcW w:w="819" w:type="dxa"/>
                  <w:vAlign w:val="center"/>
                </w:tcPr>
                <w:p>
                  <w:pPr>
                    <w:widowControl/>
                    <w:jc w:val="center"/>
                    <w:textAlignment w:val="center"/>
                    <w:rPr>
                      <w:rFonts w:hint="default" w:eastAsia="宋体"/>
                      <w:szCs w:val="21"/>
                      <w:lang w:val="en-US" w:eastAsia="zh-CN"/>
                    </w:rPr>
                  </w:pPr>
                  <w:r>
                    <w:rPr>
                      <w:rFonts w:hint="eastAsia"/>
                      <w:szCs w:val="21"/>
                      <w:lang w:val="en-US" w:eastAsia="zh-CN"/>
                    </w:rPr>
                    <w:t>0.001</w:t>
                  </w:r>
                </w:p>
              </w:tc>
              <w:tc>
                <w:tcPr>
                  <w:tcW w:w="964" w:type="dxa"/>
                  <w:vAlign w:val="center"/>
                </w:tcPr>
                <w:p>
                  <w:pPr>
                    <w:widowControl/>
                    <w:jc w:val="center"/>
                    <w:textAlignment w:val="center"/>
                    <w:rPr>
                      <w:rFonts w:hint="default" w:eastAsia="宋体"/>
                      <w:szCs w:val="21"/>
                      <w:lang w:val="en-US" w:eastAsia="zh-CN"/>
                    </w:rPr>
                  </w:pPr>
                  <w:r>
                    <w:rPr>
                      <w:rFonts w:hint="eastAsia"/>
                      <w:szCs w:val="21"/>
                      <w:lang w:val="en-US" w:eastAsia="zh-CN"/>
                    </w:rPr>
                    <w:t>0.0005</w:t>
                  </w:r>
                </w:p>
              </w:tc>
              <w:tc>
                <w:tcPr>
                  <w:tcW w:w="867" w:type="dxa"/>
                  <w:vAlign w:val="center"/>
                </w:tcPr>
                <w:p>
                  <w:pPr>
                    <w:pStyle w:val="40"/>
                    <w:ind w:right="0" w:rightChars="0"/>
                    <w:rPr>
                      <w:rFonts w:ascii="Times New Roman"/>
                      <w:sz w:val="21"/>
                      <w:szCs w:val="21"/>
                    </w:rPr>
                  </w:pPr>
                  <w:r>
                    <w:rPr>
                      <w:rFonts w:ascii="Times New Roman"/>
                      <w:sz w:val="21"/>
                      <w:szCs w:val="21"/>
                    </w:rPr>
                    <w:t>/</w:t>
                  </w:r>
                </w:p>
              </w:tc>
              <w:tc>
                <w:tcPr>
                  <w:tcW w:w="894" w:type="dxa"/>
                  <w:vAlign w:val="center"/>
                </w:tcPr>
                <w:p>
                  <w:pPr>
                    <w:widowControl/>
                    <w:jc w:val="center"/>
                    <w:textAlignment w:val="center"/>
                    <w:rPr>
                      <w:szCs w:val="21"/>
                    </w:rPr>
                  </w:pPr>
                  <w:r>
                    <w:rPr>
                      <w:rFonts w:hint="eastAsia"/>
                      <w:szCs w:val="21"/>
                      <w:lang w:val="en-US" w:eastAsia="zh-CN"/>
                    </w:rPr>
                    <w:t>0.001</w:t>
                  </w:r>
                </w:p>
              </w:tc>
              <w:tc>
                <w:tcPr>
                  <w:tcW w:w="896" w:type="dxa"/>
                  <w:vAlign w:val="center"/>
                </w:tcPr>
                <w:p>
                  <w:pPr>
                    <w:widowControl/>
                    <w:jc w:val="center"/>
                    <w:textAlignment w:val="center"/>
                    <w:rPr>
                      <w:szCs w:val="21"/>
                    </w:rPr>
                  </w:pPr>
                  <w:r>
                    <w:rPr>
                      <w:rFonts w:hint="eastAsia"/>
                      <w:szCs w:val="21"/>
                      <w:lang w:val="en-US" w:eastAsia="zh-CN"/>
                    </w:rPr>
                    <w:t>0.0005</w:t>
                  </w:r>
                </w:p>
              </w:tc>
              <w:tc>
                <w:tcPr>
                  <w:tcW w:w="928" w:type="dxa"/>
                  <w:vMerge w:val="continue"/>
                  <w:vAlign w:val="center"/>
                </w:tcPr>
                <w:p>
                  <w:pPr>
                    <w:pStyle w:val="39"/>
                  </w:pPr>
                </w:p>
              </w:tc>
              <w:tc>
                <w:tcPr>
                  <w:tcW w:w="708" w:type="dxa"/>
                  <w:vMerge w:val="continue"/>
                  <w:vAlign w:val="center"/>
                </w:tcPr>
                <w:p>
                  <w:pPr>
                    <w:pStyle w:val="39"/>
                  </w:pPr>
                </w:p>
              </w:tc>
            </w:tr>
          </w:tbl>
          <w:p>
            <w:pPr>
              <w:adjustRightInd w:val="0"/>
              <w:snapToGrid w:val="0"/>
              <w:jc w:val="center"/>
              <w:rPr>
                <w:b/>
                <w:color w:val="000000" w:themeColor="text1"/>
                <w:szCs w:val="21"/>
                <w14:textFill>
                  <w14:solidFill>
                    <w14:schemeClr w14:val="tx1"/>
                  </w14:solidFill>
                </w14:textFill>
              </w:rPr>
            </w:pPr>
          </w:p>
          <w:p>
            <w:pPr>
              <w:spacing w:line="360" w:lineRule="auto"/>
              <w:ind w:firstLine="480" w:firstLineChars="200"/>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（2）废水</w:t>
            </w:r>
          </w:p>
          <w:p>
            <w:pPr>
              <w:spacing w:line="360" w:lineRule="auto"/>
              <w:ind w:firstLine="465"/>
              <w:rPr>
                <w:b/>
                <w:sz w:val="24"/>
                <w:szCs w:val="24"/>
              </w:rPr>
            </w:pPr>
            <w:r>
              <w:rPr>
                <w:rFonts w:hint="eastAsia"/>
                <w:b/>
                <w:color w:val="000000" w:themeColor="text1"/>
                <w:sz w:val="24"/>
                <w:szCs w:val="24"/>
                <w14:textFill>
                  <w14:solidFill>
                    <w14:schemeClr w14:val="tx1"/>
                  </w14:solidFill>
                </w14:textFill>
              </w:rPr>
              <w:t>①给水：</w:t>
            </w:r>
          </w:p>
          <w:p>
            <w:pPr>
              <w:spacing w:line="360" w:lineRule="auto"/>
              <w:ind w:firstLine="465"/>
              <w:rPr>
                <w:bCs/>
                <w:sz w:val="24"/>
                <w:szCs w:val="24"/>
              </w:rPr>
            </w:pPr>
            <w:r>
              <w:rPr>
                <w:rFonts w:hint="eastAsia"/>
                <w:bCs/>
                <w:sz w:val="24"/>
                <w:szCs w:val="24"/>
              </w:rPr>
              <w:t>本项目用</w:t>
            </w:r>
            <w:r>
              <w:rPr>
                <w:rFonts w:hint="eastAsia"/>
                <w:bCs/>
                <w:sz w:val="24"/>
                <w:szCs w:val="24"/>
                <w:lang w:eastAsia="zh-CN"/>
              </w:rPr>
              <w:t>水仅</w:t>
            </w:r>
            <w:r>
              <w:rPr>
                <w:rFonts w:hint="eastAsia"/>
                <w:bCs/>
                <w:sz w:val="24"/>
                <w:szCs w:val="24"/>
              </w:rPr>
              <w:t>为生活用水。</w:t>
            </w:r>
          </w:p>
          <w:p>
            <w:pPr>
              <w:spacing w:line="360" w:lineRule="auto"/>
              <w:ind w:firstLine="465"/>
              <w:rPr>
                <w:sz w:val="24"/>
                <w:szCs w:val="24"/>
              </w:rPr>
            </w:pPr>
            <w:r>
              <w:rPr>
                <w:rFonts w:hint="eastAsia"/>
                <w:sz w:val="24"/>
                <w:szCs w:val="24"/>
              </w:rPr>
              <w:t>生活用水：</w:t>
            </w:r>
            <w:r>
              <w:rPr>
                <w:sz w:val="24"/>
                <w:szCs w:val="24"/>
              </w:rPr>
              <w:t>本项目员工</w:t>
            </w:r>
            <w:r>
              <w:rPr>
                <w:rFonts w:hint="eastAsia"/>
                <w:sz w:val="24"/>
                <w:szCs w:val="24"/>
                <w:lang w:val="en-US" w:eastAsia="zh-CN"/>
              </w:rPr>
              <w:t>50</w:t>
            </w:r>
            <w:r>
              <w:rPr>
                <w:sz w:val="24"/>
                <w:szCs w:val="24"/>
              </w:rPr>
              <w:t>人，年工作</w:t>
            </w:r>
            <w:r>
              <w:rPr>
                <w:rFonts w:hint="eastAsia"/>
                <w:sz w:val="24"/>
                <w:szCs w:val="24"/>
              </w:rPr>
              <w:t>300</w:t>
            </w:r>
            <w:r>
              <w:rPr>
                <w:sz w:val="24"/>
                <w:szCs w:val="24"/>
              </w:rPr>
              <w:t>天，</w:t>
            </w:r>
            <w:r>
              <w:rPr>
                <w:rFonts w:hint="eastAsia"/>
                <w:sz w:val="24"/>
                <w:szCs w:val="24"/>
              </w:rPr>
              <w:t>本项目不设置食堂、宿舍。</w:t>
            </w:r>
            <w:r>
              <w:rPr>
                <w:sz w:val="24"/>
                <w:szCs w:val="24"/>
              </w:rPr>
              <w:t>根据《给水排水标准规范实施手册》中有关用水指标计算，员工生活用水以</w:t>
            </w:r>
            <w:r>
              <w:rPr>
                <w:rFonts w:hint="eastAsia"/>
                <w:sz w:val="24"/>
                <w:szCs w:val="24"/>
              </w:rPr>
              <w:t>50</w:t>
            </w:r>
            <w:r>
              <w:rPr>
                <w:sz w:val="24"/>
                <w:szCs w:val="24"/>
              </w:rPr>
              <w:t>L/d•人计算，则用水量为</w:t>
            </w:r>
            <w:r>
              <w:rPr>
                <w:rFonts w:hint="eastAsia"/>
                <w:sz w:val="24"/>
                <w:szCs w:val="24"/>
                <w:lang w:val="en-US" w:eastAsia="zh-CN"/>
              </w:rPr>
              <w:t>750</w:t>
            </w:r>
            <w:r>
              <w:rPr>
                <w:sz w:val="24"/>
                <w:szCs w:val="24"/>
              </w:rPr>
              <w:t>m</w:t>
            </w:r>
            <w:r>
              <w:rPr>
                <w:sz w:val="24"/>
                <w:szCs w:val="24"/>
                <w:vertAlign w:val="superscript"/>
              </w:rPr>
              <w:t>3</w:t>
            </w:r>
            <w:r>
              <w:rPr>
                <w:sz w:val="24"/>
                <w:szCs w:val="24"/>
              </w:rPr>
              <w:t>/a</w:t>
            </w:r>
            <w:r>
              <w:rPr>
                <w:rFonts w:hint="eastAsia"/>
                <w:sz w:val="24"/>
                <w:szCs w:val="24"/>
              </w:rPr>
              <w:t>。</w:t>
            </w:r>
          </w:p>
          <w:p>
            <w:pPr>
              <w:spacing w:line="360" w:lineRule="auto"/>
              <w:ind w:firstLine="480" w:firstLineChars="200"/>
              <w:rPr>
                <w:b/>
                <w:sz w:val="24"/>
                <w:szCs w:val="24"/>
              </w:rPr>
            </w:pPr>
            <w:r>
              <w:rPr>
                <w:rFonts w:hint="eastAsia" w:ascii="宋体"/>
                <w:b/>
                <w:sz w:val="24"/>
                <w:szCs w:val="24"/>
              </w:rPr>
              <w:t>②</w:t>
            </w:r>
            <w:r>
              <w:rPr>
                <w:rFonts w:hint="eastAsia"/>
                <w:b/>
                <w:sz w:val="24"/>
                <w:szCs w:val="24"/>
              </w:rPr>
              <w:t>排水：</w:t>
            </w:r>
          </w:p>
          <w:p>
            <w:pPr>
              <w:spacing w:line="360" w:lineRule="auto"/>
              <w:ind w:firstLine="480" w:firstLineChars="200"/>
              <w:rPr>
                <w:rFonts w:ascii="宋体"/>
                <w:bCs/>
                <w:sz w:val="24"/>
              </w:rPr>
            </w:pPr>
            <w:r>
              <w:rPr>
                <w:rFonts w:hint="eastAsia" w:ascii="宋体"/>
                <w:bCs/>
                <w:sz w:val="24"/>
              </w:rPr>
              <w:t>本项目排水仅为员工生活污水。</w:t>
            </w:r>
          </w:p>
          <w:p>
            <w:pPr>
              <w:spacing w:line="360" w:lineRule="auto"/>
              <w:ind w:firstLine="465"/>
              <w:rPr>
                <w:sz w:val="24"/>
                <w:szCs w:val="24"/>
              </w:rPr>
            </w:pPr>
            <w:r>
              <w:rPr>
                <w:rFonts w:hint="eastAsia"/>
                <w:b/>
                <w:bCs/>
                <w:sz w:val="24"/>
              </w:rPr>
              <w:t>生活污水：</w:t>
            </w:r>
            <w:r>
              <w:rPr>
                <w:rFonts w:hint="eastAsia"/>
                <w:bCs/>
                <w:sz w:val="24"/>
              </w:rPr>
              <w:t>生活用水排放系数以0</w:t>
            </w:r>
            <w:r>
              <w:rPr>
                <w:bCs/>
                <w:sz w:val="24"/>
              </w:rPr>
              <w:t>.8</w:t>
            </w:r>
            <w:r>
              <w:rPr>
                <w:rFonts w:hint="eastAsia"/>
                <w:bCs/>
                <w:sz w:val="24"/>
              </w:rPr>
              <w:t>计，则生活</w:t>
            </w:r>
            <w:r>
              <w:rPr>
                <w:bCs/>
                <w:sz w:val="24"/>
              </w:rPr>
              <w:t>污水排放量</w:t>
            </w:r>
            <w:r>
              <w:rPr>
                <w:rFonts w:hint="eastAsia"/>
                <w:bCs/>
                <w:sz w:val="24"/>
              </w:rPr>
              <w:t>为</w:t>
            </w:r>
            <w:r>
              <w:rPr>
                <w:rFonts w:hint="eastAsia"/>
                <w:bCs/>
                <w:sz w:val="24"/>
                <w:lang w:val="en-US" w:eastAsia="zh-CN"/>
              </w:rPr>
              <w:t>600</w:t>
            </w:r>
            <w:r>
              <w:rPr>
                <w:bCs/>
                <w:sz w:val="24"/>
              </w:rPr>
              <w:t>m</w:t>
            </w:r>
            <w:r>
              <w:rPr>
                <w:bCs/>
                <w:sz w:val="24"/>
                <w:vertAlign w:val="superscript"/>
              </w:rPr>
              <w:t>3</w:t>
            </w:r>
            <w:r>
              <w:rPr>
                <w:bCs/>
                <w:sz w:val="24"/>
              </w:rPr>
              <w:t>/a，生活污水水质较为简单，其中COD浓度400mg/L， NH</w:t>
            </w:r>
            <w:r>
              <w:rPr>
                <w:bCs/>
                <w:sz w:val="24"/>
                <w:vertAlign w:val="subscript"/>
              </w:rPr>
              <w:t>3</w:t>
            </w:r>
            <w:r>
              <w:rPr>
                <w:bCs/>
                <w:sz w:val="24"/>
              </w:rPr>
              <w:t>-N浓度25mg/L，SS浓度200mg/L，TP约3mg/L</w:t>
            </w:r>
            <w:r>
              <w:rPr>
                <w:rFonts w:hint="eastAsia"/>
                <w:bCs/>
                <w:sz w:val="24"/>
              </w:rPr>
              <w:t>，TN浓度约35</w:t>
            </w:r>
            <w:r>
              <w:rPr>
                <w:bCs/>
                <w:sz w:val="24"/>
              </w:rPr>
              <w:t>mg/L。</w:t>
            </w:r>
            <w:r>
              <w:rPr>
                <w:rFonts w:hint="eastAsia"/>
                <w:bCs/>
                <w:sz w:val="24"/>
              </w:rPr>
              <w:t>经化粪池处理后接管至常州市金坛区直溪鑫鑫污水处理厂。</w:t>
            </w:r>
            <w:r>
              <w:rPr>
                <w:sz w:val="24"/>
                <w:szCs w:val="24"/>
              </w:rPr>
              <w:t>本项目水平衡图如下图所示。</w:t>
            </w:r>
          </w:p>
          <w:p>
            <w:pPr>
              <w:spacing w:line="360" w:lineRule="auto"/>
              <w:ind w:firstLine="465"/>
              <w:rPr>
                <w:sz w:val="24"/>
                <w:szCs w:val="24"/>
              </w:rPr>
            </w:pPr>
            <w:r>
              <w:rPr>
                <w:sz w:val="24"/>
                <w:szCs w:val="24"/>
              </w:rPr>
              <w:t>本项目水平衡图如下图所示。</w:t>
            </w:r>
          </w:p>
          <w:p>
            <w:pPr>
              <w:jc w:val="both"/>
              <w:rPr>
                <w:b/>
                <w:kern w:val="21"/>
                <w:szCs w:val="21"/>
                <w:lang w:val="zh-CN"/>
              </w:rPr>
            </w:pPr>
            <w:r>
              <mc:AlternateContent>
                <mc:Choice Requires="wps">
                  <w:drawing>
                    <wp:anchor distT="0" distB="0" distL="114300" distR="114300" simplePos="0" relativeHeight="251718656" behindDoc="0" locked="0" layoutInCell="1" allowOverlap="1">
                      <wp:simplePos x="0" y="0"/>
                      <wp:positionH relativeFrom="column">
                        <wp:posOffset>1703705</wp:posOffset>
                      </wp:positionH>
                      <wp:positionV relativeFrom="paragraph">
                        <wp:posOffset>64770</wp:posOffset>
                      </wp:positionV>
                      <wp:extent cx="500380" cy="266700"/>
                      <wp:effectExtent l="0" t="0" r="0" b="0"/>
                      <wp:wrapNone/>
                      <wp:docPr id="63" name="文本框 63"/>
                      <wp:cNvGraphicFramePr/>
                      <a:graphic xmlns:a="http://schemas.openxmlformats.org/drawingml/2006/main">
                        <a:graphicData uri="http://schemas.microsoft.com/office/word/2010/wordprocessingShape">
                          <wps:wsp>
                            <wps:cNvSpPr txBox="1"/>
                            <wps:spPr>
                              <a:xfrm>
                                <a:off x="0" y="0"/>
                                <a:ext cx="500380" cy="2667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150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4.15pt;margin-top:5.1pt;height:21pt;width:39.4pt;z-index:251718656;mso-width-relative:page;mso-height-relative:page;" filled="f" stroked="f" coordsize="21600,21600" o:gfxdata="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AGM2l&#10;2gAAAAkBAAAPAAAAAAAAAAEAIAAAACIAAABkcnMvZG93bnJldi54bWxQSwECFAAUAAAACACHTuJA&#10;e6IjXR8CAAAZBAAADgAAAAAAAAABACAAAAApAQAAZHJzL2Uyb0RvYy54bWxQSwUGAAAAAAYABgBZ&#10;AQAAugUAAAAA&#10;">
                      <v:fill on="f" focussize="0,0"/>
                      <v:stroke on="f" weight="0.5pt"/>
                      <v:imagedata o:title=""/>
                      <o:lock v:ext="edit" aspectratio="f"/>
                      <v:textbox>
                        <w:txbxContent>
                          <w:p>
                            <w:pPr>
                              <w:rPr>
                                <w:rFonts w:hint="default" w:eastAsia="宋体"/>
                                <w:lang w:val="en-US" w:eastAsia="zh-CN"/>
                              </w:rPr>
                            </w:pPr>
                            <w:r>
                              <w:rPr>
                                <w:rFonts w:hint="eastAsia"/>
                                <w:lang w:val="en-US" w:eastAsia="zh-CN"/>
                              </w:rPr>
                              <w:t>150</w:t>
                            </w:r>
                          </w:p>
                        </w:txbxContent>
                      </v:textbox>
                    </v:shape>
                  </w:pict>
                </mc:Fallback>
              </mc:AlternateContent>
            </w:r>
          </w:p>
          <w:p>
            <w:pPr>
              <w:rPr>
                <w:b/>
                <w:kern w:val="21"/>
                <w:szCs w:val="21"/>
                <w:lang w:val="zh-CN"/>
              </w:rPr>
            </w:pPr>
            <w:r>
              <w:rPr>
                <w:sz w:val="21"/>
              </w:rPr>
              <mc:AlternateContent>
                <mc:Choice Requires="wps">
                  <w:drawing>
                    <wp:anchor distT="0" distB="0" distL="114300" distR="114300" simplePos="0" relativeHeight="255626240" behindDoc="0" locked="0" layoutInCell="1" allowOverlap="1">
                      <wp:simplePos x="0" y="0"/>
                      <wp:positionH relativeFrom="column">
                        <wp:posOffset>941070</wp:posOffset>
                      </wp:positionH>
                      <wp:positionV relativeFrom="paragraph">
                        <wp:posOffset>163195</wp:posOffset>
                      </wp:positionV>
                      <wp:extent cx="549910" cy="267970"/>
                      <wp:effectExtent l="0" t="0" r="0" b="0"/>
                      <wp:wrapNone/>
                      <wp:docPr id="84" name="文本框 84"/>
                      <wp:cNvGraphicFramePr/>
                      <a:graphic xmlns:a="http://schemas.openxmlformats.org/drawingml/2006/main">
                        <a:graphicData uri="http://schemas.microsoft.com/office/word/2010/wordprocessingShape">
                          <wps:wsp>
                            <wps:cNvSpPr txBox="1"/>
                            <wps:spPr>
                              <a:xfrm>
                                <a:off x="0" y="0"/>
                                <a:ext cx="549910" cy="26797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750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4.1pt;margin-top:12.85pt;height:21.1pt;width:43.3pt;z-index:255626240;mso-width-relative:page;mso-height-relative:page;" filled="f" stroked="f" coordsize="21600,21600" o:gfxdata="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Zy4j&#10;X9oAAAAJAQAADwAAAAAAAAABACAAAAAiAAAAZHJzL2Rvd25yZXYueG1sUEsBAhQAFAAAAAgAh07i&#10;QE4XERkgAgAAGQQAAA4AAAAAAAAAAQAgAAAAKQEAAGRycy9lMm9Eb2MueG1sUEsFBgAAAAAGAAYA&#10;WQEAALsFAAAAAA==&#10;">
                      <v:fill on="f" focussize="0,0"/>
                      <v:stroke on="f" weight="0.5pt"/>
                      <v:imagedata o:title=""/>
                      <o:lock v:ext="edit" aspectratio="f"/>
                      <v:textbox>
                        <w:txbxContent>
                          <w:p>
                            <w:pPr>
                              <w:rPr>
                                <w:rFonts w:hint="default" w:eastAsia="宋体"/>
                                <w:lang w:val="en-US" w:eastAsia="zh-CN"/>
                              </w:rPr>
                            </w:pPr>
                            <w:r>
                              <w:rPr>
                                <w:rFonts w:hint="eastAsia"/>
                                <w:lang w:val="en-US" w:eastAsia="zh-CN"/>
                              </w:rPr>
                              <w:t>750</w:t>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2435860</wp:posOffset>
                      </wp:positionH>
                      <wp:positionV relativeFrom="paragraph">
                        <wp:posOffset>155575</wp:posOffset>
                      </wp:positionV>
                      <wp:extent cx="540385" cy="454025"/>
                      <wp:effectExtent l="0" t="0" r="0" b="0"/>
                      <wp:wrapNone/>
                      <wp:docPr id="46" name="文本框 46"/>
                      <wp:cNvGraphicFramePr/>
                      <a:graphic xmlns:a="http://schemas.openxmlformats.org/drawingml/2006/main">
                        <a:graphicData uri="http://schemas.microsoft.com/office/word/2010/wordprocessingShape">
                          <wps:wsp>
                            <wps:cNvSpPr txBox="1"/>
                            <wps:spPr>
                              <a:xfrm>
                                <a:off x="3576955" y="5562600"/>
                                <a:ext cx="540385" cy="45402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600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1.8pt;margin-top:12.25pt;height:35.75pt;width:42.55pt;z-index:251672576;mso-width-relative:page;mso-height-relative:page;" filled="f" stroked="f" coordsize="21600,21600" o:gfxdata="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UovBK2wAAAAkBAAAPAAAAAAAAAAEAIAAAACIAAABkcnMvZG93bnJldi54bWxQSwEC&#10;FAAUAAAACACHTuJA+fe2RCoCAAAlBAAADgAAAAAAAAABACAAAAAqAQAAZHJzL2Uyb0RvYy54bWxQ&#10;SwUGAAAAAAYABgBZAQAAxgUAAAAA&#10;">
                      <v:fill on="f" focussize="0,0"/>
                      <v:stroke on="f" weight="0.5pt"/>
                      <v:imagedata o:title=""/>
                      <o:lock v:ext="edit" aspectratio="f"/>
                      <v:textbox>
                        <w:txbxContent>
                          <w:p>
                            <w:pPr>
                              <w:rPr>
                                <w:rFonts w:hint="default" w:eastAsia="宋体"/>
                                <w:lang w:val="en-US" w:eastAsia="zh-CN"/>
                              </w:rPr>
                            </w:pPr>
                            <w:r>
                              <w:rPr>
                                <w:rFonts w:hint="eastAsia"/>
                                <w:lang w:val="en-US" w:eastAsia="zh-CN"/>
                              </w:rPr>
                              <w:t>600</w:t>
                            </w:r>
                          </w:p>
                        </w:txbxContent>
                      </v:textbox>
                    </v:shape>
                  </w:pict>
                </mc:Fallback>
              </mc:AlternateContent>
            </w:r>
            <w:r>
              <mc:AlternateContent>
                <mc:Choice Requires="wps">
                  <w:drawing>
                    <wp:anchor distT="0" distB="0" distL="114300" distR="114300" simplePos="0" relativeHeight="251673600" behindDoc="0" locked="0" layoutInCell="1" allowOverlap="1">
                      <wp:simplePos x="0" y="0"/>
                      <wp:positionH relativeFrom="column">
                        <wp:posOffset>3616960</wp:posOffset>
                      </wp:positionH>
                      <wp:positionV relativeFrom="paragraph">
                        <wp:posOffset>156845</wp:posOffset>
                      </wp:positionV>
                      <wp:extent cx="540385" cy="297180"/>
                      <wp:effectExtent l="0" t="0" r="0" b="0"/>
                      <wp:wrapNone/>
                      <wp:docPr id="47" name="文本框 47"/>
                      <wp:cNvGraphicFramePr/>
                      <a:graphic xmlns:a="http://schemas.openxmlformats.org/drawingml/2006/main">
                        <a:graphicData uri="http://schemas.microsoft.com/office/word/2010/wordprocessingShape">
                          <wps:wsp>
                            <wps:cNvSpPr txBox="1"/>
                            <wps:spPr>
                              <a:xfrm>
                                <a:off x="4758055" y="5528310"/>
                                <a:ext cx="540385" cy="2971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eastAsia="宋体"/>
                                      <w:lang w:val="en-US" w:eastAsia="zh-CN"/>
                                    </w:rPr>
                                  </w:pPr>
                                  <w:r>
                                    <w:rPr>
                                      <w:rFonts w:hint="eastAsia"/>
                                      <w:lang w:val="en-US" w:eastAsia="zh-CN"/>
                                    </w:rPr>
                                    <w:t>600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8pt;margin-top:12.35pt;height:23.4pt;width:42.55pt;z-index:251673600;mso-width-relative:page;mso-height-relative:page;" filled="f" stroked="f" coordsize="21600,21600" o:gfxdata="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1i5m3toAAAAJAQAADwAAAAAAAAABACAAAAAiAAAAZHJzL2Rvd25yZXYueG1sUEsB&#10;AhQAFAAAAAgAh07iQOlBBXgsAgAAJQQAAA4AAAAAAAAAAQAgAAAAKQEAAGRycy9lMm9Eb2MueG1s&#10;UEsFBgAAAAAGAAYAWQEAAMcFAAAAAA==&#10;">
                      <v:fill on="f" focussize="0,0"/>
                      <v:stroke on="f" weight="0.5pt"/>
                      <v:imagedata o:title=""/>
                      <o:lock v:ext="edit" aspectratio="f"/>
                      <v:textbox>
                        <w:txbxContent>
                          <w:p>
                            <w:pPr>
                              <w:rPr>
                                <w:rFonts w:hint="default" w:eastAsia="宋体"/>
                                <w:lang w:val="en-US" w:eastAsia="zh-CN"/>
                              </w:rPr>
                            </w:pPr>
                            <w:r>
                              <w:rPr>
                                <w:rFonts w:hint="eastAsia"/>
                                <w:lang w:val="en-US" w:eastAsia="zh-CN"/>
                              </w:rPr>
                              <w:t>600</w:t>
                            </w:r>
                          </w:p>
                        </w:txbxContent>
                      </v:textbox>
                    </v:shap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1929765</wp:posOffset>
                      </wp:positionH>
                      <wp:positionV relativeFrom="paragraph">
                        <wp:posOffset>117475</wp:posOffset>
                      </wp:positionV>
                      <wp:extent cx="4445" cy="123825"/>
                      <wp:effectExtent l="35560" t="0" r="36195" b="3175"/>
                      <wp:wrapNone/>
                      <wp:docPr id="44" name="直接箭头连接符 44"/>
                      <wp:cNvGraphicFramePr/>
                      <a:graphic xmlns:a="http://schemas.openxmlformats.org/drawingml/2006/main">
                        <a:graphicData uri="http://schemas.microsoft.com/office/word/2010/wordprocessingShape">
                          <wps:wsp>
                            <wps:cNvCnPr/>
                            <wps:spPr>
                              <a:xfrm flipH="1" flipV="1">
                                <a:off x="3070860" y="2277745"/>
                                <a:ext cx="4445" cy="123825"/>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 y;margin-left:151.95pt;margin-top:9.25pt;height:9.75pt;width:0.35pt;z-index:251675648;mso-width-relative:page;mso-height-relative:page;" filled="f" stroked="t" coordsize="21600,21600" o:gfxdata="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D5vU4l2AAAAAkB&#10;AAAPAAAAAAAAAAEAIAAAACIAAABkcnMvZG93bnJldi54bWxQSwECFAAUAAAACACHTuJAhd0IhBsC&#10;AADhAwAADgAAAAAAAAABACAAAAAnAQAAZHJzL2Uyb0RvYy54bWxQSwUGAAAAAAYABgBZAQAAtAUA&#10;AAAA&#10;">
                      <v:fill on="f" focussize="0,0"/>
                      <v:stroke weight="0.5pt" color="#000000 [3213]" miterlimit="8" joinstyle="miter" endarrow="block"/>
                      <v:imagedata o:title=""/>
                      <o:lock v:ext="edit" aspectratio="f"/>
                    </v:shape>
                  </w:pict>
                </mc:Fallback>
              </mc:AlternateContent>
            </w:r>
          </w:p>
          <w:p>
            <w:pPr>
              <w:pStyle w:val="9"/>
              <w:ind w:left="10" w:right="-449" w:firstLine="560"/>
            </w:pPr>
            <w:r>
              <mc:AlternateContent>
                <mc:Choice Requires="wps">
                  <w:drawing>
                    <wp:anchor distT="0" distB="0" distL="114300" distR="114300" simplePos="0" relativeHeight="251667456" behindDoc="0" locked="0" layoutInCell="1" allowOverlap="1">
                      <wp:simplePos x="0" y="0"/>
                      <wp:positionH relativeFrom="column">
                        <wp:posOffset>280035</wp:posOffset>
                      </wp:positionH>
                      <wp:positionV relativeFrom="paragraph">
                        <wp:posOffset>50800</wp:posOffset>
                      </wp:positionV>
                      <wp:extent cx="656590" cy="283210"/>
                      <wp:effectExtent l="4445" t="4445" r="12065" b="17145"/>
                      <wp:wrapNone/>
                      <wp:docPr id="1" name="文本框 1"/>
                      <wp:cNvGraphicFramePr/>
                      <a:graphic xmlns:a="http://schemas.openxmlformats.org/drawingml/2006/main">
                        <a:graphicData uri="http://schemas.microsoft.com/office/word/2010/wordprocessingShape">
                          <wps:wsp>
                            <wps:cNvSpPr txBox="1"/>
                            <wps:spPr>
                              <a:xfrm>
                                <a:off x="1432560" y="6082030"/>
                                <a:ext cx="656590" cy="28321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pPr>
                                  <w:r>
                                    <w:rPr>
                                      <w:rFonts w:hint="eastAsia"/>
                                    </w:rPr>
                                    <w:t>新鲜水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05pt;margin-top:4pt;height:22.3pt;width:51.7pt;z-index:251667456;mso-width-relative:page;mso-height-relative:page;" fillcolor="#FFFFFF [3201]" filled="t" stroked="t" coordsize="21600,21600" o:gfxdata="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6WWDqtQAAAAHAQAADwAAAAAAAAABACAAAAAi&#10;AAAAZHJzL2Rvd25yZXYueG1sUEsBAhQAFAAAAAgAh07iQIM8QeVHAgAAdAQAAA4AAAAAAAAAAQAg&#10;AAAAIwEAAGRycy9lMm9Eb2MueG1sUEsFBgAAAAAGAAYAWQEAANwFAAAAAA==&#10;">
                      <v:fill on="t" focussize="0,0"/>
                      <v:stroke weight="0.5pt" color="#000000 [3204]" joinstyle="round"/>
                      <v:imagedata o:title=""/>
                      <o:lock v:ext="edit" aspectratio="f"/>
                      <v:textbox>
                        <w:txbxContent>
                          <w:p>
                            <w:pPr>
                              <w:jc w:val="center"/>
                            </w:pPr>
                            <w:r>
                              <w:rPr>
                                <w:rFonts w:hint="eastAsia"/>
                              </w:rPr>
                              <w:t>新鲜水</w:t>
                            </w:r>
                          </w:p>
                        </w:txbxContent>
                      </v:textbox>
                    </v:shape>
                  </w:pict>
                </mc:Fallback>
              </mc:AlternateContent>
            </w:r>
            <w:r>
              <mc:AlternateContent>
                <mc:Choice Requires="wps">
                  <w:drawing>
                    <wp:anchor distT="0" distB="0" distL="114300" distR="114300" simplePos="0" relativeHeight="251674624" behindDoc="0" locked="0" layoutInCell="1" allowOverlap="1">
                      <wp:simplePos x="0" y="0"/>
                      <wp:positionH relativeFrom="column">
                        <wp:posOffset>950595</wp:posOffset>
                      </wp:positionH>
                      <wp:positionV relativeFrom="paragraph">
                        <wp:posOffset>221615</wp:posOffset>
                      </wp:positionV>
                      <wp:extent cx="564515" cy="2540"/>
                      <wp:effectExtent l="0" t="36195" r="6985" b="37465"/>
                      <wp:wrapNone/>
                      <wp:docPr id="4" name="直接箭头连接符 4"/>
                      <wp:cNvGraphicFramePr/>
                      <a:graphic xmlns:a="http://schemas.openxmlformats.org/drawingml/2006/main">
                        <a:graphicData uri="http://schemas.microsoft.com/office/word/2010/wordprocessingShape">
                          <wps:wsp>
                            <wps:cNvCnPr/>
                            <wps:spPr>
                              <a:xfrm>
                                <a:off x="2127885" y="2496820"/>
                                <a:ext cx="564515" cy="254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74.85pt;margin-top:17.45pt;height:0.2pt;width:44.45pt;z-index:251674624;mso-width-relative:page;mso-height-relative:page;" filled="f" stroked="t" coordsize="21600,21600" o:gfxdata="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SdmNm1gAAAAkBAAAPAAAAAAAAAAEAIAAAACIA&#10;AABkcnMvZG93bnJldi54bWxQSwECFAAUAAAACACHTuJAqsa+HwsCAADLAwAADgAAAAAAAAABACAA&#10;AAAlAQAAZHJzL2Uyb0RvYy54bWxQSwUGAAAAAAYABgBZAQAAogUAAAAA&#10;">
                      <v:fill on="f" focussize="0,0"/>
                      <v:stroke weight="0.5pt" color="#000000 [3213]" miterlimit="8" joinstyle="miter" endarrow="block"/>
                      <v:imagedata o:title=""/>
                      <o:lock v:ext="edit" aspectratio="f"/>
                    </v:shape>
                  </w:pict>
                </mc:Fallback>
              </mc:AlternateContent>
            </w:r>
            <w:r>
              <mc:AlternateContent>
                <mc:Choice Requires="wps">
                  <w:drawing>
                    <wp:anchor distT="0" distB="0" distL="114300" distR="114300" simplePos="0" relativeHeight="251670528" behindDoc="0" locked="0" layoutInCell="1" allowOverlap="1">
                      <wp:simplePos x="0" y="0"/>
                      <wp:positionH relativeFrom="column">
                        <wp:posOffset>4082415</wp:posOffset>
                      </wp:positionH>
                      <wp:positionV relativeFrom="paragraph">
                        <wp:posOffset>33655</wp:posOffset>
                      </wp:positionV>
                      <wp:extent cx="913130" cy="290195"/>
                      <wp:effectExtent l="4445" t="4445" r="9525" b="10160"/>
                      <wp:wrapNone/>
                      <wp:docPr id="42" name="文本框 42"/>
                      <wp:cNvGraphicFramePr/>
                      <a:graphic xmlns:a="http://schemas.openxmlformats.org/drawingml/2006/main">
                        <a:graphicData uri="http://schemas.microsoft.com/office/word/2010/wordprocessingShape">
                          <wps:wsp>
                            <wps:cNvSpPr txBox="1"/>
                            <wps:spPr>
                              <a:xfrm>
                                <a:off x="5223510" y="5666740"/>
                                <a:ext cx="913130" cy="29019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pPr>
                                  <w:r>
                                    <w:rPr>
                                      <w:rFonts w:hint="eastAsia"/>
                                    </w:rPr>
                                    <w:t>污水处理厂</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21.45pt;margin-top:2.65pt;height:22.85pt;width:71.9pt;z-index:251670528;mso-width-relative:page;mso-height-relative:page;" fillcolor="#FFFFFF [3201]" filled="t" stroked="t" coordsize="21600,21600" o:gfxdata="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AJ9acn1QAAAAgBAAAPAAAAAAAAAAEAIAAA&#10;ACIAAABkcnMvZG93bnJldi54bWxQSwECFAAUAAAACACHTuJAXCDOCEgCAAB2BAAADgAAAAAAAAAB&#10;ACAAAAAkAQAAZHJzL2Uyb0RvYy54bWxQSwUGAAAAAAYABgBZAQAA3gUAAAAA&#10;">
                      <v:fill on="t" focussize="0,0"/>
                      <v:stroke weight="0.5pt" color="#000000 [3204]" joinstyle="round"/>
                      <v:imagedata o:title=""/>
                      <o:lock v:ext="edit" aspectratio="f"/>
                      <v:textbox>
                        <w:txbxContent>
                          <w:p>
                            <w:pPr>
                              <w:jc w:val="center"/>
                            </w:pPr>
                            <w:r>
                              <w:rPr>
                                <w:rFonts w:hint="eastAsia"/>
                              </w:rPr>
                              <w:t>污水处理厂</w:t>
                            </w:r>
                          </w:p>
                        </w:txbxContent>
                      </v:textbox>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2872740</wp:posOffset>
                      </wp:positionH>
                      <wp:positionV relativeFrom="paragraph">
                        <wp:posOffset>97155</wp:posOffset>
                      </wp:positionV>
                      <wp:extent cx="675640" cy="313055"/>
                      <wp:effectExtent l="4445" t="4445" r="5715" b="12700"/>
                      <wp:wrapNone/>
                      <wp:docPr id="40" name="文本框 40"/>
                      <wp:cNvGraphicFramePr/>
                      <a:graphic xmlns:a="http://schemas.openxmlformats.org/drawingml/2006/main">
                        <a:graphicData uri="http://schemas.microsoft.com/office/word/2010/wordprocessingShape">
                          <wps:wsp>
                            <wps:cNvSpPr txBox="1"/>
                            <wps:spPr>
                              <a:xfrm>
                                <a:off x="4013835" y="5666740"/>
                                <a:ext cx="675640" cy="31305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pPr>
                                  <w:r>
                                    <w:rPr>
                                      <w:rFonts w:hint="eastAsia"/>
                                    </w:rPr>
                                    <w:t>化粪池</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26.2pt;margin-top:7.65pt;height:24.65pt;width:53.2pt;z-index:251669504;mso-width-relative:page;mso-height-relative:page;" fillcolor="#FFFFFF [3201]" filled="t" stroked="t" coordsize="21600,21600" o:gfxdata="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D4P5fc1QAAAAkBAAAPAAAAAAAAAAEAIAAA&#10;ACIAAABkcnMvZG93bnJldi54bWxQSwECFAAUAAAACACHTuJA2hK9KEgCAAB2BAAADgAAAAAAAAAB&#10;ACAAAAAkAQAAZHJzL2Uyb0RvYy54bWxQSwUGAAAAAAYABgBZAQAA3gUAAAAA&#10;">
                      <v:fill on="t" focussize="0,0"/>
                      <v:stroke weight="0.5pt" color="#000000 [3204]" joinstyle="round"/>
                      <v:imagedata o:title=""/>
                      <o:lock v:ext="edit" aspectratio="f"/>
                      <v:textbox>
                        <w:txbxContent>
                          <w:p>
                            <w:pPr>
                              <w:jc w:val="center"/>
                            </w:pPr>
                            <w:r>
                              <w:rPr>
                                <w:rFonts w:hint="eastAsia"/>
                              </w:rPr>
                              <w:t>化粪池</w:t>
                            </w:r>
                          </w:p>
                        </w:txbxContent>
                      </v:textbox>
                    </v:shape>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1501140</wp:posOffset>
                      </wp:positionH>
                      <wp:positionV relativeFrom="paragraph">
                        <wp:posOffset>67945</wp:posOffset>
                      </wp:positionV>
                      <wp:extent cx="847090" cy="292735"/>
                      <wp:effectExtent l="4445" t="5080" r="12065" b="6985"/>
                      <wp:wrapNone/>
                      <wp:docPr id="38" name="文本框 38"/>
                      <wp:cNvGraphicFramePr/>
                      <a:graphic xmlns:a="http://schemas.openxmlformats.org/drawingml/2006/main">
                        <a:graphicData uri="http://schemas.microsoft.com/office/word/2010/wordprocessingShape">
                          <wps:wsp>
                            <wps:cNvSpPr txBox="1"/>
                            <wps:spPr>
                              <a:xfrm>
                                <a:off x="2642235" y="5637530"/>
                                <a:ext cx="847090" cy="29273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pPr>
                                  <w:r>
                                    <w:rPr>
                                      <w:rFonts w:hint="eastAsia"/>
                                    </w:rPr>
                                    <w:t>生活用水</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18.2pt;margin-top:5.35pt;height:23.05pt;width:66.7pt;z-index:251668480;mso-width-relative:page;mso-height-relative:page;" fillcolor="#FFFFFF [3201]" filled="t" stroked="t" coordsize="21600,21600" o:gfxdata="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sNFeltUAAAAJAQAADwAAAAAAAAABACAA&#10;AAAiAAAAZHJzL2Rvd25yZXYueG1sUEsBAhQAFAAAAAgAh07iQJ9e98JJAgAAdgQAAA4AAAAAAAAA&#10;AQAgAAAAJAEAAGRycy9lMm9Eb2MueG1sUEsFBgAAAAAGAAYAWQEAAN8FAAAAAA==&#10;">
                      <v:fill on="t" focussize="0,0"/>
                      <v:stroke weight="0.5pt" color="#000000 [3204]" joinstyle="round"/>
                      <v:imagedata o:title=""/>
                      <o:lock v:ext="edit" aspectratio="f"/>
                      <v:textbox>
                        <w:txbxContent>
                          <w:p>
                            <w:pPr>
                              <w:jc w:val="center"/>
                            </w:pPr>
                            <w:r>
                              <w:rPr>
                                <w:rFonts w:hint="eastAsia"/>
                              </w:rPr>
                              <w:t>生活用水</w:t>
                            </w:r>
                          </w:p>
                        </w:txbxContent>
                      </v:textbox>
                    </v:shape>
                  </w:pict>
                </mc:Fallback>
              </mc:AlternateContent>
            </w:r>
            <w:r>
              <mc:AlternateContent>
                <mc:Choice Requires="wps">
                  <w:drawing>
                    <wp:anchor distT="0" distB="0" distL="114300" distR="114300" simplePos="0" relativeHeight="251676672" behindDoc="0" locked="0" layoutInCell="1" allowOverlap="1">
                      <wp:simplePos x="0" y="0"/>
                      <wp:positionH relativeFrom="column">
                        <wp:posOffset>3568065</wp:posOffset>
                      </wp:positionH>
                      <wp:positionV relativeFrom="paragraph">
                        <wp:posOffset>176530</wp:posOffset>
                      </wp:positionV>
                      <wp:extent cx="514350" cy="0"/>
                      <wp:effectExtent l="0" t="38100" r="6350" b="38100"/>
                      <wp:wrapNone/>
                      <wp:docPr id="41" name="直接箭头连接符 41"/>
                      <wp:cNvGraphicFramePr/>
                      <a:graphic xmlns:a="http://schemas.openxmlformats.org/drawingml/2006/main">
                        <a:graphicData uri="http://schemas.microsoft.com/office/word/2010/wordprocessingShape">
                          <wps:wsp>
                            <wps:cNvCnPr/>
                            <wps:spPr>
                              <a:xfrm>
                                <a:off x="0" y="0"/>
                                <a:ext cx="514350" cy="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80.95pt;margin-top:13.9pt;height:0pt;width:40.5pt;z-index:251676672;mso-width-relative:page;mso-height-relative:page;" filled="f" stroked="t" coordsize="21600,21600" o:gfxdata="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EQTy3VAAAACQEAAA8AAAAAAAAAAQAgAAAAIgAAAGRycy9kb3ducmV2Lnht&#10;bFBLAQIUABQAAAAIAIdO4kB5SBWM/AEAAL4DAAAOAAAAAAAAAAEAIAAAACQBAABkcnMvZTJvRG9j&#10;LnhtbFBLBQYAAAAABgAGAFkBAACSBQAAAAA=&#10;">
                      <v:fill on="f" focussize="0,0"/>
                      <v:stroke weight="0.5pt" color="#000000 [3213]" miterlimit="8" joinstyle="miter" endarrow="block"/>
                      <v:imagedata o:title=""/>
                      <o:lock v:ext="edit" aspectratio="f"/>
                    </v:shap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2377440</wp:posOffset>
                      </wp:positionH>
                      <wp:positionV relativeFrom="paragraph">
                        <wp:posOffset>176530</wp:posOffset>
                      </wp:positionV>
                      <wp:extent cx="514350" cy="0"/>
                      <wp:effectExtent l="0" t="38100" r="6350" b="38100"/>
                      <wp:wrapNone/>
                      <wp:docPr id="39" name="直接箭头连接符 39"/>
                      <wp:cNvGraphicFramePr/>
                      <a:graphic xmlns:a="http://schemas.openxmlformats.org/drawingml/2006/main">
                        <a:graphicData uri="http://schemas.microsoft.com/office/word/2010/wordprocessingShape">
                          <wps:wsp>
                            <wps:cNvCnPr/>
                            <wps:spPr>
                              <a:xfrm>
                                <a:off x="0" y="0"/>
                                <a:ext cx="514350" cy="0"/>
                              </a:xfrm>
                              <a:prstGeom prst="straightConnector1">
                                <a:avLst/>
                              </a:prstGeom>
                              <a:ln>
                                <a:solidFill>
                                  <a:schemeClr val="tx1"/>
                                </a:solidFill>
                                <a:headEnd type="none"/>
                                <a:tailEnd type="triangle"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87.2pt;margin-top:13.9pt;height:0pt;width:40.5pt;z-index:251677696;mso-width-relative:page;mso-height-relative:page;" filled="f" stroked="t" coordsize="21600,21600" o:gfxdata="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BjhGTVAAAACQEAAA8AAAAAAAAAAQAgAAAAIgAAAGRycy9kb3ducmV2Lnht&#10;bFBLAQIUABQAAAAIAIdO4kDlt4om/AEAAL4DAAAOAAAAAAAAAAEAIAAAACQBAABkcnMvZTJvRG9j&#10;LnhtbFBLBQYAAAAABgAGAFkBAACSBQAAAAA=&#10;">
                      <v:fill on="f" focussize="0,0"/>
                      <v:stroke weight="0.5pt" color="#000000 [3213]" miterlimit="8" joinstyle="miter" endarrow="block"/>
                      <v:imagedata o:title=""/>
                      <o:lock v:ext="edit" aspectratio="f"/>
                    </v:shape>
                  </w:pict>
                </mc:Fallback>
              </mc:AlternateContent>
            </w:r>
          </w:p>
          <w:p>
            <w:pPr>
              <w:pStyle w:val="9"/>
              <w:ind w:left="10" w:right="-449" w:firstLine="560"/>
              <w:rPr>
                <w:lang w:val="zh-CN"/>
              </w:rPr>
            </w:pPr>
          </w:p>
          <w:p>
            <w:pPr>
              <w:spacing w:line="360" w:lineRule="auto"/>
              <w:jc w:val="center"/>
              <w:rPr>
                <w:b/>
                <w:bCs/>
                <w:sz w:val="24"/>
                <w:szCs w:val="24"/>
                <w:lang w:val="zh-CN"/>
              </w:rPr>
            </w:pPr>
            <w:r>
              <w:rPr>
                <w:rFonts w:hint="eastAsia"/>
                <w:b/>
                <w:bCs/>
                <w:sz w:val="24"/>
                <w:szCs w:val="24"/>
                <w:lang w:val="zh-CN"/>
              </w:rPr>
              <w:t>图</w:t>
            </w:r>
            <w:r>
              <w:rPr>
                <w:rFonts w:hint="eastAsia"/>
                <w:b/>
                <w:bCs/>
                <w:sz w:val="24"/>
                <w:szCs w:val="24"/>
                <w:lang w:val="en-US" w:eastAsia="zh-CN"/>
              </w:rPr>
              <w:t xml:space="preserve">5-2 </w:t>
            </w:r>
            <w:r>
              <w:rPr>
                <w:rFonts w:hint="eastAsia"/>
                <w:b/>
                <w:bCs/>
                <w:sz w:val="24"/>
                <w:szCs w:val="24"/>
                <w:lang w:val="zh-CN"/>
              </w:rPr>
              <w:t>水平衡图（</w:t>
            </w:r>
            <w:r>
              <w:rPr>
                <w:rFonts w:hint="eastAsia"/>
                <w:b/>
                <w:bCs/>
                <w:sz w:val="24"/>
                <w:szCs w:val="24"/>
              </w:rPr>
              <w:t>m</w:t>
            </w:r>
            <w:r>
              <w:rPr>
                <w:rFonts w:hint="eastAsia"/>
                <w:b/>
                <w:bCs/>
                <w:sz w:val="24"/>
                <w:szCs w:val="24"/>
                <w:vertAlign w:val="superscript"/>
              </w:rPr>
              <w:t>3</w:t>
            </w:r>
            <w:r>
              <w:rPr>
                <w:rFonts w:hint="eastAsia"/>
                <w:b/>
                <w:bCs/>
                <w:sz w:val="24"/>
                <w:szCs w:val="24"/>
                <w:lang w:val="zh-CN"/>
              </w:rPr>
              <w:t>/</w:t>
            </w:r>
            <w:r>
              <w:rPr>
                <w:rFonts w:hint="eastAsia"/>
                <w:b/>
                <w:bCs/>
                <w:sz w:val="24"/>
                <w:szCs w:val="24"/>
              </w:rPr>
              <w:t>a</w:t>
            </w:r>
            <w:r>
              <w:rPr>
                <w:rFonts w:hint="eastAsia"/>
                <w:b/>
                <w:bCs/>
                <w:sz w:val="24"/>
                <w:szCs w:val="24"/>
                <w:lang w:val="zh-CN"/>
              </w:rPr>
              <w:t>）</w:t>
            </w:r>
          </w:p>
          <w:p>
            <w:pPr>
              <w:spacing w:line="360" w:lineRule="auto"/>
              <w:ind w:firstLine="480" w:firstLineChars="200"/>
              <w:rPr>
                <w:b/>
                <w:color w:val="000000" w:themeColor="text1"/>
                <w:kern w:val="21"/>
                <w:szCs w:val="21"/>
                <w:lang w:val="zh-CN"/>
                <w14:textFill>
                  <w14:solidFill>
                    <w14:schemeClr w14:val="tx1"/>
                  </w14:solidFill>
                </w14:textFill>
              </w:rPr>
            </w:pPr>
            <w:r>
              <w:rPr>
                <w:rFonts w:hint="eastAsia"/>
                <w:color w:val="000000" w:themeColor="text1"/>
                <w:sz w:val="24"/>
                <w:szCs w:val="24"/>
                <w:lang w:val="zh-CN"/>
                <w14:textFill>
                  <w14:solidFill>
                    <w14:schemeClr w14:val="tx1"/>
                  </w14:solidFill>
                </w14:textFill>
              </w:rPr>
              <w:t>本项目水污染物排放情况见下表。</w:t>
            </w:r>
          </w:p>
          <w:p>
            <w:pPr>
              <w:jc w:val="center"/>
              <w:rPr>
                <w:b/>
                <w:color w:val="000000" w:themeColor="text1"/>
                <w:kern w:val="21"/>
                <w:sz w:val="24"/>
                <w:szCs w:val="24"/>
                <w:lang w:val="zh-CN"/>
                <w14:textFill>
                  <w14:solidFill>
                    <w14:schemeClr w14:val="tx1"/>
                  </w14:solidFill>
                </w14:textFill>
              </w:rPr>
            </w:pPr>
          </w:p>
          <w:p>
            <w:pPr>
              <w:jc w:val="center"/>
              <w:rPr>
                <w:b/>
                <w:color w:val="000000" w:themeColor="text1"/>
                <w:kern w:val="21"/>
                <w:sz w:val="24"/>
                <w:szCs w:val="24"/>
                <w:lang w:val="zh-CN"/>
                <w14:textFill>
                  <w14:solidFill>
                    <w14:schemeClr w14:val="tx1"/>
                  </w14:solidFill>
                </w14:textFill>
              </w:rPr>
            </w:pPr>
          </w:p>
          <w:p>
            <w:pPr>
              <w:jc w:val="center"/>
              <w:rPr>
                <w:b/>
                <w:color w:val="000000" w:themeColor="text1"/>
                <w:kern w:val="21"/>
                <w:sz w:val="24"/>
                <w:szCs w:val="24"/>
                <w14:textFill>
                  <w14:solidFill>
                    <w14:schemeClr w14:val="tx1"/>
                  </w14:solidFill>
                </w14:textFill>
              </w:rPr>
            </w:pPr>
            <w:r>
              <w:rPr>
                <w:b/>
                <w:color w:val="000000" w:themeColor="text1"/>
                <w:kern w:val="21"/>
                <w:sz w:val="24"/>
                <w:szCs w:val="24"/>
                <w:lang w:val="zh-CN"/>
                <w14:textFill>
                  <w14:solidFill>
                    <w14:schemeClr w14:val="tx1"/>
                  </w14:solidFill>
                </w14:textFill>
              </w:rPr>
              <w:t>表</w:t>
            </w:r>
            <w:r>
              <w:rPr>
                <w:rFonts w:hint="eastAsia"/>
                <w:b/>
                <w:color w:val="000000" w:themeColor="text1"/>
                <w:kern w:val="21"/>
                <w:sz w:val="24"/>
                <w:szCs w:val="24"/>
                <w:lang w:val="zh-CN"/>
                <w14:textFill>
                  <w14:solidFill>
                    <w14:schemeClr w14:val="tx1"/>
                  </w14:solidFill>
                </w14:textFill>
              </w:rPr>
              <w:t>5-</w:t>
            </w:r>
            <w:r>
              <w:rPr>
                <w:rFonts w:hint="eastAsia"/>
                <w:b/>
                <w:color w:val="000000" w:themeColor="text1"/>
                <w:kern w:val="21"/>
                <w:sz w:val="24"/>
                <w:szCs w:val="24"/>
                <w:lang w:val="en-US" w:eastAsia="zh-CN"/>
                <w14:textFill>
                  <w14:solidFill>
                    <w14:schemeClr w14:val="tx1"/>
                  </w14:solidFill>
                </w14:textFill>
              </w:rPr>
              <w:t xml:space="preserve">4 </w:t>
            </w:r>
            <w:r>
              <w:rPr>
                <w:b/>
                <w:color w:val="000000" w:themeColor="text1"/>
                <w:kern w:val="21"/>
                <w:sz w:val="24"/>
                <w:szCs w:val="24"/>
                <w:lang w:val="zh-CN"/>
                <w14:textFill>
                  <w14:solidFill>
                    <w14:schemeClr w14:val="tx1"/>
                  </w14:solidFill>
                </w14:textFill>
              </w:rPr>
              <w:t>建设项目水污染物产生和排放情况表</w:t>
            </w:r>
            <w:r>
              <w:rPr>
                <w:rFonts w:hint="eastAsia"/>
                <w:b/>
                <w:color w:val="000000" w:themeColor="text1"/>
                <w:kern w:val="21"/>
                <w:sz w:val="24"/>
                <w:szCs w:val="24"/>
                <w14:textFill>
                  <w14:solidFill>
                    <w14:schemeClr w14:val="tx1"/>
                  </w14:solidFill>
                </w14:textFill>
              </w:rPr>
              <w:t xml:space="preserve">    </w:t>
            </w:r>
            <w:r>
              <w:rPr>
                <w:rFonts w:hint="eastAsia"/>
                <w:b/>
                <w:color w:val="000000" w:themeColor="text1"/>
                <w:sz w:val="24"/>
                <w:szCs w:val="24"/>
                <w14:textFill>
                  <w14:solidFill>
                    <w14:schemeClr w14:val="tx1"/>
                  </w14:solidFill>
                </w14:textFill>
              </w:rPr>
              <w:t>pH无量纲</w:t>
            </w:r>
            <w:r>
              <w:rPr>
                <w:rFonts w:hint="eastAsia"/>
                <w:bCs/>
                <w:color w:val="000000" w:themeColor="text1"/>
                <w:sz w:val="24"/>
                <w:szCs w:val="24"/>
                <w14:textFill>
                  <w14:solidFill>
                    <w14:schemeClr w14:val="tx1"/>
                  </w14:solidFill>
                </w14:textFill>
              </w:rPr>
              <w:t xml:space="preserve"> </w:t>
            </w:r>
          </w:p>
          <w:tbl>
            <w:tblPr>
              <w:tblStyle w:val="17"/>
              <w:tblW w:w="8312"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939"/>
              <w:gridCol w:w="1032"/>
              <w:gridCol w:w="884"/>
              <w:gridCol w:w="903"/>
              <w:gridCol w:w="903"/>
              <w:gridCol w:w="968"/>
              <w:gridCol w:w="826"/>
              <w:gridCol w:w="848"/>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1009" w:type="dxa"/>
                  <w:vMerge w:val="restart"/>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废水名称</w:t>
                  </w:r>
                </w:p>
              </w:tc>
              <w:tc>
                <w:tcPr>
                  <w:tcW w:w="939" w:type="dxa"/>
                  <w:vMerge w:val="restart"/>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污染物</w:t>
                  </w:r>
                </w:p>
              </w:tc>
              <w:tc>
                <w:tcPr>
                  <w:tcW w:w="1916" w:type="dxa"/>
                  <w:gridSpan w:val="2"/>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进水</w:t>
                  </w:r>
                </w:p>
              </w:tc>
              <w:tc>
                <w:tcPr>
                  <w:tcW w:w="903" w:type="dxa"/>
                  <w:vMerge w:val="restart"/>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处理措施</w:t>
                  </w:r>
                </w:p>
              </w:tc>
              <w:tc>
                <w:tcPr>
                  <w:tcW w:w="903" w:type="dxa"/>
                  <w:vMerge w:val="restart"/>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去除率（%）</w:t>
                  </w:r>
                </w:p>
              </w:tc>
              <w:tc>
                <w:tcPr>
                  <w:tcW w:w="1794" w:type="dxa"/>
                  <w:gridSpan w:val="2"/>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出水</w:t>
                  </w:r>
                </w:p>
              </w:tc>
              <w:tc>
                <w:tcPr>
                  <w:tcW w:w="848" w:type="dxa"/>
                  <w:vMerge w:val="restart"/>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接管标准</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576" w:hRule="atLeast"/>
                <w:jc w:val="center"/>
              </w:trPr>
              <w:tc>
                <w:tcPr>
                  <w:tcW w:w="1009" w:type="dxa"/>
                  <w:vMerge w:val="continue"/>
                  <w:vAlign w:val="center"/>
                </w:tcPr>
                <w:p>
                  <w:pPr>
                    <w:keepNext w:val="0"/>
                    <w:keepLines w:val="0"/>
                    <w:pageBreakBefore w:val="0"/>
                    <w:kinsoku/>
                    <w:wordWrap/>
                    <w:overflowPunct/>
                    <w:topLinePunct w:val="0"/>
                    <w:autoSpaceDE/>
                    <w:autoSpaceDN/>
                    <w:bidi w:val="0"/>
                    <w:adjustRightInd/>
                    <w:snapToGrid/>
                    <w:spacing w:before="63" w:beforeLines="20" w:after="63" w:afterLines="20"/>
                    <w:textAlignment w:val="auto"/>
                    <w:rPr>
                      <w:color w:val="000000" w:themeColor="text1"/>
                      <w:szCs w:val="21"/>
                      <w14:textFill>
                        <w14:solidFill>
                          <w14:schemeClr w14:val="tx1"/>
                        </w14:solidFill>
                      </w14:textFill>
                    </w:rPr>
                  </w:pPr>
                </w:p>
              </w:tc>
              <w:tc>
                <w:tcPr>
                  <w:tcW w:w="939" w:type="dxa"/>
                  <w:vMerge w:val="continue"/>
                  <w:vAlign w:val="center"/>
                </w:tcPr>
                <w:p>
                  <w:pPr>
                    <w:keepNext w:val="0"/>
                    <w:keepLines w:val="0"/>
                    <w:pageBreakBefore w:val="0"/>
                    <w:kinsoku/>
                    <w:wordWrap/>
                    <w:overflowPunct/>
                    <w:topLinePunct w:val="0"/>
                    <w:autoSpaceDE/>
                    <w:autoSpaceDN/>
                    <w:bidi w:val="0"/>
                    <w:adjustRightInd/>
                    <w:snapToGrid/>
                    <w:spacing w:before="63" w:beforeLines="20" w:after="63" w:afterLines="20"/>
                    <w:textAlignment w:val="auto"/>
                    <w:rPr>
                      <w:color w:val="000000" w:themeColor="text1"/>
                      <w:szCs w:val="21"/>
                      <w14:textFill>
                        <w14:solidFill>
                          <w14:schemeClr w14:val="tx1"/>
                        </w14:solidFill>
                      </w14:textFill>
                    </w:rPr>
                  </w:pPr>
                </w:p>
              </w:tc>
              <w:tc>
                <w:tcPr>
                  <w:tcW w:w="1032"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进水浓度mg/L</w:t>
                  </w:r>
                </w:p>
              </w:tc>
              <w:tc>
                <w:tcPr>
                  <w:tcW w:w="884"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进水量</w:t>
                  </w:r>
                </w:p>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t/a</w:t>
                  </w:r>
                </w:p>
              </w:tc>
              <w:tc>
                <w:tcPr>
                  <w:tcW w:w="903" w:type="dxa"/>
                  <w:vMerge w:val="continue"/>
                </w:tcPr>
                <w:p>
                  <w:pPr>
                    <w:keepNext w:val="0"/>
                    <w:keepLines w:val="0"/>
                    <w:pageBreakBefore w:val="0"/>
                    <w:kinsoku/>
                    <w:wordWrap/>
                    <w:overflowPunct/>
                    <w:topLinePunct w:val="0"/>
                    <w:autoSpaceDE/>
                    <w:autoSpaceDN/>
                    <w:bidi w:val="0"/>
                    <w:adjustRightInd/>
                    <w:snapToGrid/>
                    <w:spacing w:before="63" w:beforeLines="20" w:after="63" w:afterLines="20"/>
                    <w:textAlignment w:val="auto"/>
                    <w:rPr>
                      <w:color w:val="000000" w:themeColor="text1"/>
                      <w:szCs w:val="21"/>
                      <w14:textFill>
                        <w14:solidFill>
                          <w14:schemeClr w14:val="tx1"/>
                        </w14:solidFill>
                      </w14:textFill>
                    </w:rPr>
                  </w:pPr>
                </w:p>
              </w:tc>
              <w:tc>
                <w:tcPr>
                  <w:tcW w:w="903" w:type="dxa"/>
                  <w:vMerge w:val="continue"/>
                </w:tcPr>
                <w:p>
                  <w:pPr>
                    <w:keepNext w:val="0"/>
                    <w:keepLines w:val="0"/>
                    <w:pageBreakBefore w:val="0"/>
                    <w:kinsoku/>
                    <w:wordWrap/>
                    <w:overflowPunct/>
                    <w:topLinePunct w:val="0"/>
                    <w:autoSpaceDE/>
                    <w:autoSpaceDN/>
                    <w:bidi w:val="0"/>
                    <w:adjustRightInd/>
                    <w:snapToGrid/>
                    <w:spacing w:before="63" w:beforeLines="20" w:after="63" w:afterLines="20"/>
                    <w:textAlignment w:val="auto"/>
                    <w:rPr>
                      <w:color w:val="000000" w:themeColor="text1"/>
                      <w:szCs w:val="21"/>
                      <w14:textFill>
                        <w14:solidFill>
                          <w14:schemeClr w14:val="tx1"/>
                        </w14:solidFill>
                      </w14:textFill>
                    </w:rPr>
                  </w:pPr>
                </w:p>
              </w:tc>
              <w:tc>
                <w:tcPr>
                  <w:tcW w:w="968"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出水浓度mg/L</w:t>
                  </w:r>
                </w:p>
              </w:tc>
              <w:tc>
                <w:tcPr>
                  <w:tcW w:w="826"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出水量t/a</w:t>
                  </w:r>
                </w:p>
              </w:tc>
              <w:tc>
                <w:tcPr>
                  <w:tcW w:w="848" w:type="dxa"/>
                  <w:vMerge w:val="continue"/>
                  <w:vAlign w:val="center"/>
                </w:tcPr>
                <w:p>
                  <w:pPr>
                    <w:keepNext w:val="0"/>
                    <w:keepLines w:val="0"/>
                    <w:pageBreakBefore w:val="0"/>
                    <w:kinsoku/>
                    <w:wordWrap/>
                    <w:overflowPunct/>
                    <w:topLinePunct w:val="0"/>
                    <w:autoSpaceDE/>
                    <w:autoSpaceDN/>
                    <w:bidi w:val="0"/>
                    <w:adjustRightInd/>
                    <w:snapToGrid/>
                    <w:spacing w:before="63" w:beforeLines="20" w:after="63" w:afterLines="20"/>
                    <w:textAlignment w:val="auto"/>
                    <w:rPr>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90" w:hRule="atLeast"/>
                <w:jc w:val="center"/>
              </w:trPr>
              <w:tc>
                <w:tcPr>
                  <w:tcW w:w="1009" w:type="dxa"/>
                  <w:vMerge w:val="restart"/>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rFonts w:hint="default" w:eastAsia="宋体"/>
                      <w:color w:val="000000" w:themeColor="text1"/>
                      <w:szCs w:val="21"/>
                      <w:lang w:val="en-US" w:eastAsia="zh-CN"/>
                      <w14:textFill>
                        <w14:solidFill>
                          <w14:schemeClr w14:val="tx1"/>
                        </w14:solidFill>
                      </w14:textFill>
                    </w:rPr>
                  </w:pPr>
                  <w:r>
                    <w:rPr>
                      <w:color w:val="000000" w:themeColor="text1"/>
                      <w:szCs w:val="21"/>
                      <w14:textFill>
                        <w14:solidFill>
                          <w14:schemeClr w14:val="tx1"/>
                        </w14:solidFill>
                      </w14:textFill>
                    </w:rPr>
                    <w:t>生活污水</w:t>
                  </w:r>
                  <w:r>
                    <w:rPr>
                      <w:rFonts w:hint="eastAsia"/>
                      <w:color w:val="000000" w:themeColor="text1"/>
                      <w:szCs w:val="21"/>
                      <w:lang w:val="en-US" w:eastAsia="zh-CN"/>
                      <w14:textFill>
                        <w14:solidFill>
                          <w14:schemeClr w14:val="tx1"/>
                        </w14:solidFill>
                      </w14:textFill>
                    </w:rPr>
                    <w:t>600</w:t>
                  </w:r>
                </w:p>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bCs/>
                      <w:color w:val="000000" w:themeColor="text1"/>
                      <w:szCs w:val="21"/>
                      <w14:textFill>
                        <w14:solidFill>
                          <w14:schemeClr w14:val="tx1"/>
                        </w14:solidFill>
                      </w14:textFill>
                    </w:rPr>
                    <w:t>m</w:t>
                  </w:r>
                  <w:r>
                    <w:rPr>
                      <w:bCs/>
                      <w:color w:val="000000" w:themeColor="text1"/>
                      <w:szCs w:val="21"/>
                      <w:vertAlign w:val="superscript"/>
                      <w14:textFill>
                        <w14:solidFill>
                          <w14:schemeClr w14:val="tx1"/>
                        </w14:solidFill>
                      </w14:textFill>
                    </w:rPr>
                    <w:t>3</w:t>
                  </w:r>
                  <w:r>
                    <w:rPr>
                      <w:bCs/>
                      <w:color w:val="000000" w:themeColor="text1"/>
                      <w:szCs w:val="21"/>
                      <w14:textFill>
                        <w14:solidFill>
                          <w14:schemeClr w14:val="tx1"/>
                        </w14:solidFill>
                      </w14:textFill>
                    </w:rPr>
                    <w:t>/a</w:t>
                  </w:r>
                </w:p>
              </w:tc>
              <w:tc>
                <w:tcPr>
                  <w:tcW w:w="939"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COD</w:t>
                  </w:r>
                </w:p>
              </w:tc>
              <w:tc>
                <w:tcPr>
                  <w:tcW w:w="1032" w:type="dxa"/>
                  <w:vAlign w:val="center"/>
                </w:tcPr>
                <w:p>
                  <w:pPr>
                    <w:keepNext w:val="0"/>
                    <w:keepLines w:val="0"/>
                    <w:pageBreakBefore w:val="0"/>
                    <w:widowControl/>
                    <w:kinsoku/>
                    <w:wordWrap/>
                    <w:overflowPunct/>
                    <w:topLinePunct w:val="0"/>
                    <w:autoSpaceDE/>
                    <w:autoSpaceDN/>
                    <w:bidi w:val="0"/>
                    <w:adjustRightInd/>
                    <w:snapToGrid/>
                    <w:spacing w:before="63" w:beforeLines="20" w:after="63" w:afterLines="20"/>
                    <w:jc w:val="center"/>
                    <w:textAlignment w:val="auto"/>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400</w:t>
                  </w:r>
                </w:p>
              </w:tc>
              <w:tc>
                <w:tcPr>
                  <w:tcW w:w="884" w:type="dxa"/>
                  <w:vAlign w:val="center"/>
                </w:tcPr>
                <w:p>
                  <w:pPr>
                    <w:keepNext w:val="0"/>
                    <w:keepLines w:val="0"/>
                    <w:pageBreakBefore w:val="0"/>
                    <w:widowControl/>
                    <w:suppressLineNumbers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0.2400 </w:t>
                  </w:r>
                </w:p>
              </w:tc>
              <w:tc>
                <w:tcPr>
                  <w:tcW w:w="903" w:type="dxa"/>
                  <w:vMerge w:val="restart"/>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化粪池</w:t>
                  </w:r>
                </w:p>
              </w:tc>
              <w:tc>
                <w:tcPr>
                  <w:tcW w:w="903" w:type="dxa"/>
                  <w:vAlign w:val="center"/>
                </w:tcPr>
                <w:p>
                  <w:pPr>
                    <w:keepNext w:val="0"/>
                    <w:keepLines w:val="0"/>
                    <w:pageBreakBefore w:val="0"/>
                    <w:widowControl/>
                    <w:kinsoku/>
                    <w:wordWrap/>
                    <w:overflowPunct/>
                    <w:topLinePunct w:val="0"/>
                    <w:autoSpaceDE/>
                    <w:autoSpaceDN/>
                    <w:bidi w:val="0"/>
                    <w:adjustRightInd/>
                    <w:snapToGrid/>
                    <w:spacing w:before="63" w:beforeLines="20" w:after="63" w:afterLines="20"/>
                    <w:jc w:val="center"/>
                    <w:textAlignment w:val="auto"/>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15</w:t>
                  </w:r>
                </w:p>
              </w:tc>
              <w:tc>
                <w:tcPr>
                  <w:tcW w:w="968"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340</w:t>
                  </w:r>
                </w:p>
              </w:tc>
              <w:tc>
                <w:tcPr>
                  <w:tcW w:w="826" w:type="dxa"/>
                  <w:vAlign w:val="center"/>
                </w:tcPr>
                <w:p>
                  <w:pPr>
                    <w:keepNext w:val="0"/>
                    <w:keepLines w:val="0"/>
                    <w:pageBreakBefore w:val="0"/>
                    <w:widowControl/>
                    <w:suppressLineNumbers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0.2040 </w:t>
                  </w:r>
                </w:p>
              </w:tc>
              <w:tc>
                <w:tcPr>
                  <w:tcW w:w="848"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480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12" w:hRule="atLeast"/>
                <w:jc w:val="center"/>
              </w:trPr>
              <w:tc>
                <w:tcPr>
                  <w:tcW w:w="1009" w:type="dxa"/>
                  <w:vMerge w:val="continue"/>
                  <w:vAlign w:val="center"/>
                </w:tcPr>
                <w:p>
                  <w:pPr>
                    <w:keepNext w:val="0"/>
                    <w:keepLines w:val="0"/>
                    <w:pageBreakBefore w:val="0"/>
                    <w:kinsoku/>
                    <w:wordWrap/>
                    <w:overflowPunct/>
                    <w:topLinePunct w:val="0"/>
                    <w:autoSpaceDE/>
                    <w:autoSpaceDN/>
                    <w:bidi w:val="0"/>
                    <w:adjustRightInd/>
                    <w:snapToGrid/>
                    <w:spacing w:before="63" w:beforeLines="20" w:after="63" w:afterLines="20"/>
                    <w:textAlignment w:val="auto"/>
                    <w:rPr>
                      <w:color w:val="000000" w:themeColor="text1"/>
                      <w:szCs w:val="21"/>
                      <w14:textFill>
                        <w14:solidFill>
                          <w14:schemeClr w14:val="tx1"/>
                        </w14:solidFill>
                      </w14:textFill>
                    </w:rPr>
                  </w:pPr>
                </w:p>
              </w:tc>
              <w:tc>
                <w:tcPr>
                  <w:tcW w:w="939"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SS</w:t>
                  </w:r>
                </w:p>
              </w:tc>
              <w:tc>
                <w:tcPr>
                  <w:tcW w:w="1032"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200</w:t>
                  </w:r>
                </w:p>
              </w:tc>
              <w:tc>
                <w:tcPr>
                  <w:tcW w:w="884" w:type="dxa"/>
                  <w:vAlign w:val="center"/>
                </w:tcPr>
                <w:p>
                  <w:pPr>
                    <w:keepNext w:val="0"/>
                    <w:keepLines w:val="0"/>
                    <w:pageBreakBefore w:val="0"/>
                    <w:widowControl/>
                    <w:suppressLineNumbers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0.1200 </w:t>
                  </w:r>
                </w:p>
              </w:tc>
              <w:tc>
                <w:tcPr>
                  <w:tcW w:w="903" w:type="dxa"/>
                  <w:vMerge w:val="continue"/>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p>
              </w:tc>
              <w:tc>
                <w:tcPr>
                  <w:tcW w:w="903"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20</w:t>
                  </w:r>
                </w:p>
              </w:tc>
              <w:tc>
                <w:tcPr>
                  <w:tcW w:w="968"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160</w:t>
                  </w:r>
                </w:p>
              </w:tc>
              <w:tc>
                <w:tcPr>
                  <w:tcW w:w="826" w:type="dxa"/>
                  <w:vAlign w:val="center"/>
                </w:tcPr>
                <w:p>
                  <w:pPr>
                    <w:keepNext w:val="0"/>
                    <w:keepLines w:val="0"/>
                    <w:pageBreakBefore w:val="0"/>
                    <w:widowControl/>
                    <w:suppressLineNumbers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0.0960 </w:t>
                  </w:r>
                </w:p>
              </w:tc>
              <w:tc>
                <w:tcPr>
                  <w:tcW w:w="848"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250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357" w:hRule="atLeast"/>
                <w:jc w:val="center"/>
              </w:trPr>
              <w:tc>
                <w:tcPr>
                  <w:tcW w:w="1009" w:type="dxa"/>
                  <w:vMerge w:val="continue"/>
                  <w:vAlign w:val="center"/>
                </w:tcPr>
                <w:p>
                  <w:pPr>
                    <w:keepNext w:val="0"/>
                    <w:keepLines w:val="0"/>
                    <w:pageBreakBefore w:val="0"/>
                    <w:kinsoku/>
                    <w:wordWrap/>
                    <w:overflowPunct/>
                    <w:topLinePunct w:val="0"/>
                    <w:autoSpaceDE/>
                    <w:autoSpaceDN/>
                    <w:bidi w:val="0"/>
                    <w:adjustRightInd/>
                    <w:snapToGrid/>
                    <w:spacing w:before="63" w:beforeLines="20" w:after="63" w:afterLines="20"/>
                    <w:textAlignment w:val="auto"/>
                    <w:rPr>
                      <w:color w:val="000000" w:themeColor="text1"/>
                      <w:szCs w:val="21"/>
                      <w14:textFill>
                        <w14:solidFill>
                          <w14:schemeClr w14:val="tx1"/>
                        </w14:solidFill>
                      </w14:textFill>
                    </w:rPr>
                  </w:pPr>
                </w:p>
              </w:tc>
              <w:tc>
                <w:tcPr>
                  <w:tcW w:w="939"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bCs/>
                      <w:color w:val="000000" w:themeColor="text1"/>
                      <w:szCs w:val="21"/>
                      <w14:textFill>
                        <w14:solidFill>
                          <w14:schemeClr w14:val="tx1"/>
                        </w14:solidFill>
                      </w14:textFill>
                    </w:rPr>
                    <w:t>NH</w:t>
                  </w:r>
                  <w:r>
                    <w:rPr>
                      <w:bCs/>
                      <w:color w:val="000000" w:themeColor="text1"/>
                      <w:szCs w:val="21"/>
                      <w:vertAlign w:val="subscript"/>
                      <w14:textFill>
                        <w14:solidFill>
                          <w14:schemeClr w14:val="tx1"/>
                        </w14:solidFill>
                      </w14:textFill>
                    </w:rPr>
                    <w:t>3</w:t>
                  </w:r>
                  <w:r>
                    <w:rPr>
                      <w:bCs/>
                      <w:color w:val="000000" w:themeColor="text1"/>
                      <w:szCs w:val="21"/>
                      <w14:textFill>
                        <w14:solidFill>
                          <w14:schemeClr w14:val="tx1"/>
                        </w14:solidFill>
                      </w14:textFill>
                    </w:rPr>
                    <w:t>-N</w:t>
                  </w:r>
                </w:p>
              </w:tc>
              <w:tc>
                <w:tcPr>
                  <w:tcW w:w="1032"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25</w:t>
                  </w:r>
                </w:p>
              </w:tc>
              <w:tc>
                <w:tcPr>
                  <w:tcW w:w="884" w:type="dxa"/>
                  <w:vAlign w:val="center"/>
                </w:tcPr>
                <w:p>
                  <w:pPr>
                    <w:keepNext w:val="0"/>
                    <w:keepLines w:val="0"/>
                    <w:pageBreakBefore w:val="0"/>
                    <w:widowControl/>
                    <w:suppressLineNumbers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0.0150 </w:t>
                  </w:r>
                </w:p>
              </w:tc>
              <w:tc>
                <w:tcPr>
                  <w:tcW w:w="903" w:type="dxa"/>
                  <w:vMerge w:val="continue"/>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p>
              </w:tc>
              <w:tc>
                <w:tcPr>
                  <w:tcW w:w="903"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p>
              </w:tc>
              <w:tc>
                <w:tcPr>
                  <w:tcW w:w="968"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25</w:t>
                  </w:r>
                </w:p>
              </w:tc>
              <w:tc>
                <w:tcPr>
                  <w:tcW w:w="826" w:type="dxa"/>
                  <w:vAlign w:val="center"/>
                </w:tcPr>
                <w:p>
                  <w:pPr>
                    <w:keepNext w:val="0"/>
                    <w:keepLines w:val="0"/>
                    <w:pageBreakBefore w:val="0"/>
                    <w:widowControl/>
                    <w:suppressLineNumbers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0.0150 </w:t>
                  </w:r>
                </w:p>
              </w:tc>
              <w:tc>
                <w:tcPr>
                  <w:tcW w:w="848"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30</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1009" w:type="dxa"/>
                  <w:vMerge w:val="continue"/>
                  <w:vAlign w:val="center"/>
                </w:tcPr>
                <w:p>
                  <w:pPr>
                    <w:keepNext w:val="0"/>
                    <w:keepLines w:val="0"/>
                    <w:pageBreakBefore w:val="0"/>
                    <w:kinsoku/>
                    <w:wordWrap/>
                    <w:overflowPunct/>
                    <w:topLinePunct w:val="0"/>
                    <w:autoSpaceDE/>
                    <w:autoSpaceDN/>
                    <w:bidi w:val="0"/>
                    <w:adjustRightInd/>
                    <w:snapToGrid/>
                    <w:spacing w:before="63" w:beforeLines="20" w:after="63" w:afterLines="20"/>
                    <w:textAlignment w:val="auto"/>
                    <w:rPr>
                      <w:color w:val="000000" w:themeColor="text1"/>
                      <w:szCs w:val="21"/>
                      <w14:textFill>
                        <w14:solidFill>
                          <w14:schemeClr w14:val="tx1"/>
                        </w14:solidFill>
                      </w14:textFill>
                    </w:rPr>
                  </w:pPr>
                </w:p>
              </w:tc>
              <w:tc>
                <w:tcPr>
                  <w:tcW w:w="939"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TP</w:t>
                  </w:r>
                </w:p>
              </w:tc>
              <w:tc>
                <w:tcPr>
                  <w:tcW w:w="1032"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w:t>
                  </w:r>
                </w:p>
              </w:tc>
              <w:tc>
                <w:tcPr>
                  <w:tcW w:w="884" w:type="dxa"/>
                  <w:vAlign w:val="center"/>
                </w:tcPr>
                <w:p>
                  <w:pPr>
                    <w:keepNext w:val="0"/>
                    <w:keepLines w:val="0"/>
                    <w:pageBreakBefore w:val="0"/>
                    <w:widowControl/>
                    <w:suppressLineNumbers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0.0018 </w:t>
                  </w:r>
                </w:p>
              </w:tc>
              <w:tc>
                <w:tcPr>
                  <w:tcW w:w="903" w:type="dxa"/>
                  <w:vMerge w:val="continue"/>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p>
              </w:tc>
              <w:tc>
                <w:tcPr>
                  <w:tcW w:w="903"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p>
              </w:tc>
              <w:tc>
                <w:tcPr>
                  <w:tcW w:w="968"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w:t>
                  </w:r>
                </w:p>
              </w:tc>
              <w:tc>
                <w:tcPr>
                  <w:tcW w:w="826" w:type="dxa"/>
                  <w:vAlign w:val="center"/>
                </w:tcPr>
                <w:p>
                  <w:pPr>
                    <w:keepNext w:val="0"/>
                    <w:keepLines w:val="0"/>
                    <w:pageBreakBefore w:val="0"/>
                    <w:widowControl/>
                    <w:suppressLineNumbers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0.0018 </w:t>
                  </w:r>
                </w:p>
              </w:tc>
              <w:tc>
                <w:tcPr>
                  <w:tcW w:w="848"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cantSplit/>
                <w:trHeight w:val="284" w:hRule="atLeast"/>
                <w:jc w:val="center"/>
              </w:trPr>
              <w:tc>
                <w:tcPr>
                  <w:tcW w:w="1009" w:type="dxa"/>
                  <w:vMerge w:val="continue"/>
                  <w:vAlign w:val="center"/>
                </w:tcPr>
                <w:p>
                  <w:pPr>
                    <w:keepNext w:val="0"/>
                    <w:keepLines w:val="0"/>
                    <w:pageBreakBefore w:val="0"/>
                    <w:kinsoku/>
                    <w:wordWrap/>
                    <w:overflowPunct/>
                    <w:topLinePunct w:val="0"/>
                    <w:autoSpaceDE/>
                    <w:autoSpaceDN/>
                    <w:bidi w:val="0"/>
                    <w:adjustRightInd/>
                    <w:snapToGrid/>
                    <w:spacing w:before="63" w:beforeLines="20" w:after="63" w:afterLines="20"/>
                    <w:textAlignment w:val="auto"/>
                    <w:rPr>
                      <w:color w:val="000000" w:themeColor="text1"/>
                      <w:szCs w:val="21"/>
                      <w14:textFill>
                        <w14:solidFill>
                          <w14:schemeClr w14:val="tx1"/>
                        </w14:solidFill>
                      </w14:textFill>
                    </w:rPr>
                  </w:pPr>
                </w:p>
              </w:tc>
              <w:tc>
                <w:tcPr>
                  <w:tcW w:w="939"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TN</w:t>
                  </w:r>
                </w:p>
              </w:tc>
              <w:tc>
                <w:tcPr>
                  <w:tcW w:w="1032"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35</w:t>
                  </w:r>
                </w:p>
              </w:tc>
              <w:tc>
                <w:tcPr>
                  <w:tcW w:w="884" w:type="dxa"/>
                  <w:vAlign w:val="center"/>
                </w:tcPr>
                <w:p>
                  <w:pPr>
                    <w:keepNext w:val="0"/>
                    <w:keepLines w:val="0"/>
                    <w:pageBreakBefore w:val="0"/>
                    <w:widowControl/>
                    <w:suppressLineNumbers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0.0210 </w:t>
                  </w:r>
                </w:p>
              </w:tc>
              <w:tc>
                <w:tcPr>
                  <w:tcW w:w="903" w:type="dxa"/>
                  <w:vMerge w:val="continue"/>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p>
              </w:tc>
              <w:tc>
                <w:tcPr>
                  <w:tcW w:w="903"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0</w:t>
                  </w:r>
                </w:p>
              </w:tc>
              <w:tc>
                <w:tcPr>
                  <w:tcW w:w="968"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35</w:t>
                  </w:r>
                </w:p>
              </w:tc>
              <w:tc>
                <w:tcPr>
                  <w:tcW w:w="826" w:type="dxa"/>
                  <w:vAlign w:val="center"/>
                </w:tcPr>
                <w:p>
                  <w:pPr>
                    <w:keepNext w:val="0"/>
                    <w:keepLines w:val="0"/>
                    <w:pageBreakBefore w:val="0"/>
                    <w:widowControl/>
                    <w:suppressLineNumbers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0.0210 </w:t>
                  </w:r>
                </w:p>
              </w:tc>
              <w:tc>
                <w:tcPr>
                  <w:tcW w:w="848"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45</w:t>
                  </w:r>
                </w:p>
              </w:tc>
            </w:tr>
          </w:tbl>
          <w:p>
            <w:pPr>
              <w:spacing w:line="360" w:lineRule="auto"/>
              <w:ind w:firstLine="465"/>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由</w:t>
            </w:r>
            <w:r>
              <w:rPr>
                <w:rFonts w:hint="eastAsia"/>
                <w:color w:val="000000" w:themeColor="text1"/>
                <w:sz w:val="24"/>
                <w:szCs w:val="24"/>
                <w14:textFill>
                  <w14:solidFill>
                    <w14:schemeClr w14:val="tx1"/>
                  </w14:solidFill>
                </w14:textFill>
              </w:rPr>
              <w:t>上</w:t>
            </w:r>
            <w:r>
              <w:rPr>
                <w:color w:val="000000" w:themeColor="text1"/>
                <w:sz w:val="24"/>
                <w:szCs w:val="24"/>
                <w14:textFill>
                  <w14:solidFill>
                    <w14:schemeClr w14:val="tx1"/>
                  </w14:solidFill>
                </w14:textFill>
              </w:rPr>
              <w:t>表可见，本项目的</w:t>
            </w:r>
            <w:r>
              <w:rPr>
                <w:rFonts w:hint="eastAsia"/>
                <w:color w:val="000000" w:themeColor="text1"/>
                <w:sz w:val="24"/>
                <w:szCs w:val="24"/>
                <w14:textFill>
                  <w14:solidFill>
                    <w14:schemeClr w14:val="tx1"/>
                  </w14:solidFill>
                </w14:textFill>
              </w:rPr>
              <w:t>生活污水</w:t>
            </w:r>
            <w:r>
              <w:rPr>
                <w:color w:val="000000" w:themeColor="text1"/>
                <w:sz w:val="24"/>
                <w:szCs w:val="24"/>
                <w14:textFill>
                  <w14:solidFill>
                    <w14:schemeClr w14:val="tx1"/>
                  </w14:solidFill>
                </w14:textFill>
              </w:rPr>
              <w:t>经过</w:t>
            </w:r>
            <w:r>
              <w:rPr>
                <w:rFonts w:hint="eastAsia"/>
                <w:color w:val="000000" w:themeColor="text1"/>
                <w:sz w:val="24"/>
                <w:szCs w:val="24"/>
                <w14:textFill>
                  <w14:solidFill>
                    <w14:schemeClr w14:val="tx1"/>
                  </w14:solidFill>
                </w14:textFill>
              </w:rPr>
              <w:t>化粪池</w:t>
            </w:r>
            <w:r>
              <w:rPr>
                <w:color w:val="000000" w:themeColor="text1"/>
                <w:sz w:val="24"/>
                <w:szCs w:val="24"/>
                <w14:textFill>
                  <w14:solidFill>
                    <w14:schemeClr w14:val="tx1"/>
                  </w14:solidFill>
                </w14:textFill>
              </w:rPr>
              <w:t>处理后水质可满足</w:t>
            </w:r>
            <w:r>
              <w:rPr>
                <w:rFonts w:hint="eastAsia"/>
                <w:color w:val="000000" w:themeColor="text1"/>
                <w:sz w:val="24"/>
                <w14:textFill>
                  <w14:solidFill>
                    <w14:schemeClr w14:val="tx1"/>
                  </w14:solidFill>
                </w14:textFill>
              </w:rPr>
              <w:t>常州市金坛区直溪鑫鑫污水处理厂</w:t>
            </w:r>
            <w:r>
              <w:rPr>
                <w:color w:val="000000" w:themeColor="text1"/>
                <w:sz w:val="24"/>
                <w14:textFill>
                  <w14:solidFill>
                    <w14:schemeClr w14:val="tx1"/>
                  </w14:solidFill>
                </w14:textFill>
              </w:rPr>
              <w:t>和《污水排入城镇下水道水质标准》（GB/T31962-2015）表1中B等级标准</w:t>
            </w:r>
            <w:r>
              <w:rPr>
                <w:color w:val="000000" w:themeColor="text1"/>
                <w:sz w:val="24"/>
                <w:szCs w:val="24"/>
                <w14:textFill>
                  <w14:solidFill>
                    <w14:schemeClr w14:val="tx1"/>
                  </w14:solidFill>
                </w14:textFill>
              </w:rPr>
              <w:t>要求，可以纳入</w:t>
            </w:r>
            <w:r>
              <w:rPr>
                <w:rFonts w:hint="eastAsia"/>
                <w:color w:val="000000" w:themeColor="text1"/>
                <w:sz w:val="24"/>
                <w14:textFill>
                  <w14:solidFill>
                    <w14:schemeClr w14:val="tx1"/>
                  </w14:solidFill>
                </w14:textFill>
              </w:rPr>
              <w:t>常州市金坛区直溪鑫鑫污水处理</w:t>
            </w:r>
            <w:r>
              <w:rPr>
                <w:color w:val="000000" w:themeColor="text1"/>
                <w:sz w:val="24"/>
                <w:szCs w:val="24"/>
                <w14:textFill>
                  <w14:solidFill>
                    <w14:schemeClr w14:val="tx1"/>
                  </w14:solidFill>
                </w14:textFill>
              </w:rPr>
              <w:t>进行处理。</w:t>
            </w:r>
          </w:p>
          <w:p>
            <w:pPr>
              <w:spacing w:line="360" w:lineRule="auto"/>
              <w:ind w:firstLine="480" w:firstLineChars="200"/>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（3）</w:t>
            </w:r>
            <w:r>
              <w:rPr>
                <w:b/>
                <w:color w:val="000000" w:themeColor="text1"/>
                <w:sz w:val="24"/>
                <w:szCs w:val="24"/>
                <w14:textFill>
                  <w14:solidFill>
                    <w14:schemeClr w14:val="tx1"/>
                  </w14:solidFill>
                </w14:textFill>
              </w:rPr>
              <w:t>噪声</w:t>
            </w:r>
          </w:p>
          <w:p>
            <w:pPr>
              <w:spacing w:line="360" w:lineRule="auto"/>
              <w:ind w:firstLine="465"/>
              <w:jc w:val="left"/>
              <w:rPr>
                <w:color w:val="auto"/>
                <w:sz w:val="24"/>
                <w:szCs w:val="24"/>
              </w:rPr>
            </w:pPr>
            <w:r>
              <w:rPr>
                <w:color w:val="auto"/>
                <w:sz w:val="24"/>
                <w:szCs w:val="24"/>
              </w:rPr>
              <w:t>本项目噪声源主要为</w:t>
            </w:r>
            <w:r>
              <w:rPr>
                <w:rFonts w:hint="eastAsia"/>
                <w:color w:val="auto"/>
                <w:sz w:val="24"/>
                <w:lang w:eastAsia="zh-CN"/>
              </w:rPr>
              <w:t>喷枪、风机</w:t>
            </w:r>
            <w:r>
              <w:rPr>
                <w:rFonts w:hint="eastAsia"/>
                <w:color w:val="auto"/>
                <w:sz w:val="24"/>
                <w:szCs w:val="24"/>
              </w:rPr>
              <w:t>等设备</w:t>
            </w:r>
            <w:r>
              <w:rPr>
                <w:color w:val="auto"/>
                <w:sz w:val="24"/>
                <w:szCs w:val="24"/>
              </w:rPr>
              <w:t>运行噪声，</w:t>
            </w:r>
            <w:r>
              <w:rPr>
                <w:rFonts w:hint="eastAsia"/>
                <w:color w:val="auto"/>
                <w:sz w:val="24"/>
                <w:szCs w:val="24"/>
              </w:rPr>
              <w:t>产生情况详见下表。</w:t>
            </w:r>
          </w:p>
          <w:p>
            <w:pPr>
              <w:jc w:val="center"/>
              <w:rPr>
                <w:color w:val="auto"/>
                <w:sz w:val="24"/>
                <w:szCs w:val="24"/>
              </w:rPr>
            </w:pPr>
            <w:r>
              <w:rPr>
                <w:b/>
                <w:color w:val="auto"/>
                <w:kern w:val="21"/>
                <w:sz w:val="24"/>
                <w:szCs w:val="24"/>
                <w:lang w:val="zh-CN"/>
              </w:rPr>
              <w:t>表</w:t>
            </w:r>
            <w:r>
              <w:rPr>
                <w:rFonts w:hint="eastAsia"/>
                <w:b/>
                <w:color w:val="auto"/>
                <w:kern w:val="21"/>
                <w:sz w:val="24"/>
                <w:szCs w:val="24"/>
                <w:lang w:val="zh-CN"/>
              </w:rPr>
              <w:t>5-</w:t>
            </w:r>
            <w:r>
              <w:rPr>
                <w:rFonts w:hint="eastAsia"/>
                <w:b/>
                <w:color w:val="auto"/>
                <w:kern w:val="21"/>
                <w:sz w:val="24"/>
                <w:szCs w:val="24"/>
                <w:lang w:val="en-US" w:eastAsia="zh-CN"/>
              </w:rPr>
              <w:t>5</w:t>
            </w:r>
            <w:r>
              <w:rPr>
                <w:b/>
                <w:color w:val="auto"/>
                <w:kern w:val="21"/>
                <w:sz w:val="24"/>
                <w:szCs w:val="24"/>
                <w:lang w:val="zh-CN"/>
              </w:rPr>
              <w:t xml:space="preserve">  噪声源情况一览表</w:t>
            </w:r>
          </w:p>
          <w:tbl>
            <w:tblPr>
              <w:tblStyle w:val="17"/>
              <w:tblW w:w="8312"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2448"/>
              <w:gridCol w:w="1380"/>
              <w:gridCol w:w="1379"/>
              <w:gridCol w:w="1351"/>
              <w:gridCol w:w="1754"/>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2448" w:type="dxa"/>
                  <w:tcBorders>
                    <w:tl2br w:val="nil"/>
                    <w:tr2bl w:val="nil"/>
                  </w:tcBorders>
                  <w:vAlign w:val="center"/>
                </w:tcPr>
                <w:p>
                  <w:pPr>
                    <w:pStyle w:val="25"/>
                    <w:keepNext w:val="0"/>
                    <w:keepLines w:val="0"/>
                    <w:pageBreakBefore w:val="0"/>
                    <w:kinsoku/>
                    <w:wordWrap/>
                    <w:overflowPunct/>
                    <w:topLinePunct w:val="0"/>
                    <w:autoSpaceDE/>
                    <w:autoSpaceDN/>
                    <w:bidi w:val="0"/>
                    <w:snapToGrid/>
                    <w:spacing w:before="63" w:beforeLines="20" w:after="63" w:afterLines="20" w:line="240" w:lineRule="auto"/>
                    <w:jc w:val="center"/>
                    <w:rPr>
                      <w:rFonts w:eastAsia="宋体"/>
                      <w:b/>
                      <w:bCs/>
                      <w:color w:val="auto"/>
                      <w:szCs w:val="21"/>
                    </w:rPr>
                  </w:pPr>
                  <w:r>
                    <w:rPr>
                      <w:rFonts w:eastAsia="宋体"/>
                      <w:b/>
                      <w:bCs/>
                      <w:color w:val="auto"/>
                      <w:szCs w:val="21"/>
                    </w:rPr>
                    <w:t>设备名称</w:t>
                  </w:r>
                </w:p>
              </w:tc>
              <w:tc>
                <w:tcPr>
                  <w:tcW w:w="1380" w:type="dxa"/>
                  <w:tcBorders>
                    <w:tl2br w:val="nil"/>
                    <w:tr2bl w:val="nil"/>
                  </w:tcBorders>
                  <w:vAlign w:val="center"/>
                </w:tcPr>
                <w:p>
                  <w:pPr>
                    <w:pStyle w:val="25"/>
                    <w:keepNext w:val="0"/>
                    <w:keepLines w:val="0"/>
                    <w:pageBreakBefore w:val="0"/>
                    <w:kinsoku/>
                    <w:wordWrap/>
                    <w:overflowPunct/>
                    <w:topLinePunct w:val="0"/>
                    <w:autoSpaceDE/>
                    <w:autoSpaceDN/>
                    <w:bidi w:val="0"/>
                    <w:snapToGrid/>
                    <w:spacing w:before="63" w:beforeLines="20" w:after="63" w:afterLines="20" w:line="240" w:lineRule="auto"/>
                    <w:jc w:val="center"/>
                    <w:rPr>
                      <w:rFonts w:eastAsia="宋体"/>
                      <w:b/>
                      <w:bCs/>
                      <w:color w:val="auto"/>
                      <w:szCs w:val="21"/>
                    </w:rPr>
                  </w:pPr>
                  <w:r>
                    <w:rPr>
                      <w:rFonts w:hint="eastAsia" w:eastAsia="宋体"/>
                      <w:b/>
                      <w:bCs/>
                      <w:color w:val="auto"/>
                      <w:szCs w:val="21"/>
                    </w:rPr>
                    <w:t>所在位置</w:t>
                  </w:r>
                </w:p>
              </w:tc>
              <w:tc>
                <w:tcPr>
                  <w:tcW w:w="1379" w:type="dxa"/>
                  <w:tcBorders>
                    <w:tl2br w:val="nil"/>
                    <w:tr2bl w:val="nil"/>
                  </w:tcBorders>
                  <w:vAlign w:val="center"/>
                </w:tcPr>
                <w:p>
                  <w:pPr>
                    <w:pStyle w:val="25"/>
                    <w:keepNext w:val="0"/>
                    <w:keepLines w:val="0"/>
                    <w:pageBreakBefore w:val="0"/>
                    <w:kinsoku/>
                    <w:wordWrap/>
                    <w:overflowPunct/>
                    <w:topLinePunct w:val="0"/>
                    <w:autoSpaceDE/>
                    <w:autoSpaceDN/>
                    <w:bidi w:val="0"/>
                    <w:snapToGrid/>
                    <w:spacing w:before="63" w:beforeLines="20" w:after="63" w:afterLines="20" w:line="240" w:lineRule="auto"/>
                    <w:jc w:val="center"/>
                    <w:rPr>
                      <w:b/>
                      <w:bCs/>
                      <w:color w:val="auto"/>
                      <w:szCs w:val="21"/>
                    </w:rPr>
                  </w:pPr>
                  <w:r>
                    <w:rPr>
                      <w:rFonts w:hint="eastAsia" w:eastAsia="宋体"/>
                      <w:b/>
                      <w:bCs/>
                      <w:color w:val="auto"/>
                      <w:szCs w:val="21"/>
                    </w:rPr>
                    <w:t>源强dB（A）</w:t>
                  </w:r>
                </w:p>
              </w:tc>
              <w:tc>
                <w:tcPr>
                  <w:tcW w:w="1351" w:type="dxa"/>
                  <w:tcBorders>
                    <w:tl2br w:val="nil"/>
                    <w:tr2bl w:val="nil"/>
                  </w:tcBorders>
                  <w:vAlign w:val="center"/>
                </w:tcPr>
                <w:p>
                  <w:pPr>
                    <w:keepNext w:val="0"/>
                    <w:keepLines w:val="0"/>
                    <w:pageBreakBefore w:val="0"/>
                    <w:kinsoku/>
                    <w:wordWrap/>
                    <w:overflowPunct/>
                    <w:topLinePunct w:val="0"/>
                    <w:autoSpaceDE/>
                    <w:autoSpaceDN/>
                    <w:bidi w:val="0"/>
                    <w:snapToGrid/>
                    <w:spacing w:before="63" w:beforeLines="20" w:after="63" w:afterLines="20"/>
                    <w:jc w:val="center"/>
                    <w:rPr>
                      <w:b/>
                      <w:bCs/>
                      <w:color w:val="auto"/>
                      <w:kern w:val="0"/>
                      <w:szCs w:val="21"/>
                    </w:rPr>
                  </w:pPr>
                  <w:r>
                    <w:rPr>
                      <w:b/>
                      <w:bCs/>
                      <w:color w:val="auto"/>
                      <w:kern w:val="0"/>
                      <w:szCs w:val="21"/>
                    </w:rPr>
                    <w:t>数量</w:t>
                  </w:r>
                  <w:r>
                    <w:rPr>
                      <w:rFonts w:hint="eastAsia"/>
                      <w:b/>
                      <w:bCs/>
                      <w:color w:val="auto"/>
                      <w:kern w:val="0"/>
                      <w:szCs w:val="21"/>
                    </w:rPr>
                    <w:t>（台/套）</w:t>
                  </w:r>
                </w:p>
              </w:tc>
              <w:tc>
                <w:tcPr>
                  <w:tcW w:w="1754" w:type="dxa"/>
                  <w:vAlign w:val="center"/>
                </w:tcPr>
                <w:p>
                  <w:pPr>
                    <w:keepNext w:val="0"/>
                    <w:keepLines w:val="0"/>
                    <w:pageBreakBefore w:val="0"/>
                    <w:kinsoku/>
                    <w:wordWrap/>
                    <w:overflowPunct/>
                    <w:topLinePunct w:val="0"/>
                    <w:autoSpaceDE/>
                    <w:autoSpaceDN/>
                    <w:bidi w:val="0"/>
                    <w:adjustRightInd w:val="0"/>
                    <w:snapToGrid/>
                    <w:spacing w:before="63" w:beforeLines="20" w:after="63" w:afterLines="20"/>
                    <w:jc w:val="center"/>
                    <w:rPr>
                      <w:color w:val="auto"/>
                    </w:rPr>
                  </w:pPr>
                  <w:r>
                    <w:rPr>
                      <w:b/>
                      <w:bCs/>
                      <w:color w:val="auto"/>
                      <w:szCs w:val="21"/>
                    </w:rPr>
                    <w:t>降噪措施</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2448" w:type="dxa"/>
                  <w:tcBorders>
                    <w:tl2br w:val="nil"/>
                    <w:tr2bl w:val="nil"/>
                  </w:tcBorders>
                  <w:vAlign w:val="center"/>
                </w:tcPr>
                <w:p>
                  <w:pPr>
                    <w:keepNext w:val="0"/>
                    <w:keepLines w:val="0"/>
                    <w:pageBreakBefore w:val="0"/>
                    <w:kinsoku/>
                    <w:wordWrap/>
                    <w:overflowPunct/>
                    <w:topLinePunct w:val="0"/>
                    <w:autoSpaceDE/>
                    <w:autoSpaceDN/>
                    <w:bidi w:val="0"/>
                    <w:snapToGrid/>
                    <w:spacing w:before="63" w:beforeLines="20" w:after="63" w:afterLines="20"/>
                    <w:jc w:val="center"/>
                    <w:rPr>
                      <w:rFonts w:hint="eastAsia" w:eastAsia="宋体"/>
                      <w:color w:val="auto"/>
                      <w:kern w:val="0"/>
                      <w:szCs w:val="21"/>
                      <w:lang w:eastAsia="zh-CN"/>
                    </w:rPr>
                  </w:pPr>
                  <w:r>
                    <w:rPr>
                      <w:rFonts w:hint="eastAsia"/>
                      <w:color w:val="auto"/>
                      <w:szCs w:val="21"/>
                      <w:lang w:eastAsia="zh-CN"/>
                    </w:rPr>
                    <w:t>喷枪</w:t>
                  </w:r>
                </w:p>
              </w:tc>
              <w:tc>
                <w:tcPr>
                  <w:tcW w:w="1380" w:type="dxa"/>
                  <w:vMerge w:val="restart"/>
                  <w:tcBorders>
                    <w:tl2br w:val="nil"/>
                    <w:tr2bl w:val="nil"/>
                  </w:tcBorders>
                  <w:vAlign w:val="center"/>
                </w:tcPr>
                <w:p>
                  <w:pPr>
                    <w:pStyle w:val="25"/>
                    <w:keepNext w:val="0"/>
                    <w:keepLines w:val="0"/>
                    <w:pageBreakBefore w:val="0"/>
                    <w:kinsoku/>
                    <w:wordWrap/>
                    <w:overflowPunct/>
                    <w:topLinePunct w:val="0"/>
                    <w:autoSpaceDE/>
                    <w:autoSpaceDN/>
                    <w:bidi w:val="0"/>
                    <w:snapToGrid/>
                    <w:spacing w:before="63" w:beforeLines="20" w:after="63" w:afterLines="20" w:line="240" w:lineRule="auto"/>
                    <w:jc w:val="center"/>
                    <w:rPr>
                      <w:rFonts w:eastAsia="宋体"/>
                      <w:color w:val="auto"/>
                      <w:szCs w:val="21"/>
                    </w:rPr>
                  </w:pPr>
                  <w:r>
                    <w:rPr>
                      <w:rFonts w:hint="eastAsia" w:eastAsia="宋体"/>
                      <w:color w:val="auto"/>
                      <w:szCs w:val="21"/>
                    </w:rPr>
                    <w:t>生产车间</w:t>
                  </w:r>
                </w:p>
              </w:tc>
              <w:tc>
                <w:tcPr>
                  <w:tcW w:w="1379" w:type="dxa"/>
                  <w:tcBorders>
                    <w:tl2br w:val="nil"/>
                    <w:tr2bl w:val="nil"/>
                  </w:tcBorders>
                  <w:vAlign w:val="center"/>
                </w:tcPr>
                <w:p>
                  <w:pPr>
                    <w:pStyle w:val="25"/>
                    <w:keepNext w:val="0"/>
                    <w:keepLines w:val="0"/>
                    <w:pageBreakBefore w:val="0"/>
                    <w:kinsoku/>
                    <w:wordWrap/>
                    <w:overflowPunct/>
                    <w:topLinePunct w:val="0"/>
                    <w:autoSpaceDE/>
                    <w:autoSpaceDN/>
                    <w:bidi w:val="0"/>
                    <w:snapToGrid/>
                    <w:spacing w:before="63" w:beforeLines="20" w:after="63" w:afterLines="20" w:line="240" w:lineRule="auto"/>
                    <w:jc w:val="center"/>
                    <w:rPr>
                      <w:rFonts w:eastAsia="宋体"/>
                      <w:color w:val="auto"/>
                      <w:szCs w:val="21"/>
                    </w:rPr>
                  </w:pPr>
                  <w:r>
                    <w:rPr>
                      <w:rFonts w:hint="eastAsia" w:eastAsia="宋体"/>
                      <w:color w:val="auto"/>
                      <w:szCs w:val="21"/>
                    </w:rPr>
                    <w:t>75</w:t>
                  </w:r>
                </w:p>
              </w:tc>
              <w:tc>
                <w:tcPr>
                  <w:tcW w:w="1351" w:type="dxa"/>
                  <w:tcBorders>
                    <w:tl2br w:val="nil"/>
                    <w:tr2bl w:val="nil"/>
                  </w:tcBorders>
                  <w:vAlign w:val="center"/>
                </w:tcPr>
                <w:p>
                  <w:pPr>
                    <w:keepNext w:val="0"/>
                    <w:keepLines w:val="0"/>
                    <w:pageBreakBefore w:val="0"/>
                    <w:widowControl/>
                    <w:kinsoku/>
                    <w:wordWrap/>
                    <w:overflowPunct/>
                    <w:topLinePunct w:val="0"/>
                    <w:autoSpaceDE/>
                    <w:autoSpaceDN/>
                    <w:bidi w:val="0"/>
                    <w:snapToGrid/>
                    <w:spacing w:before="63" w:beforeLines="20" w:after="63" w:afterLines="20"/>
                    <w:jc w:val="center"/>
                    <w:textAlignment w:val="center"/>
                    <w:rPr>
                      <w:rFonts w:hint="eastAsia" w:eastAsia="宋体"/>
                      <w:color w:val="auto"/>
                      <w:kern w:val="0"/>
                      <w:szCs w:val="21"/>
                      <w:lang w:eastAsia="zh-CN"/>
                    </w:rPr>
                  </w:pPr>
                  <w:r>
                    <w:rPr>
                      <w:rFonts w:hint="eastAsia"/>
                      <w:color w:val="auto"/>
                      <w:kern w:val="0"/>
                      <w:szCs w:val="21"/>
                      <w:lang w:val="en-US" w:eastAsia="zh-CN"/>
                    </w:rPr>
                    <w:t>4</w:t>
                  </w:r>
                </w:p>
              </w:tc>
              <w:tc>
                <w:tcPr>
                  <w:tcW w:w="1754" w:type="dxa"/>
                  <w:vAlign w:val="center"/>
                </w:tcPr>
                <w:p>
                  <w:pPr>
                    <w:keepNext w:val="0"/>
                    <w:keepLines w:val="0"/>
                    <w:pageBreakBefore w:val="0"/>
                    <w:kinsoku/>
                    <w:wordWrap/>
                    <w:overflowPunct/>
                    <w:topLinePunct w:val="0"/>
                    <w:autoSpaceDE/>
                    <w:autoSpaceDN/>
                    <w:bidi w:val="0"/>
                    <w:snapToGrid/>
                    <w:spacing w:before="63" w:beforeLines="20" w:after="63" w:afterLines="20"/>
                    <w:jc w:val="center"/>
                    <w:rPr>
                      <w:color w:val="auto"/>
                      <w:szCs w:val="21"/>
                    </w:rPr>
                  </w:pPr>
                  <w:r>
                    <w:rPr>
                      <w:color w:val="auto"/>
                      <w:szCs w:val="21"/>
                    </w:rPr>
                    <w:t>隔声、减振</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2448" w:type="dxa"/>
                  <w:vAlign w:val="center"/>
                </w:tcPr>
                <w:p>
                  <w:pPr>
                    <w:keepNext w:val="0"/>
                    <w:keepLines w:val="0"/>
                    <w:pageBreakBefore w:val="0"/>
                    <w:kinsoku/>
                    <w:wordWrap/>
                    <w:overflowPunct/>
                    <w:topLinePunct w:val="0"/>
                    <w:autoSpaceDE/>
                    <w:autoSpaceDN/>
                    <w:bidi w:val="0"/>
                    <w:snapToGrid/>
                    <w:spacing w:before="63" w:beforeLines="20" w:after="63" w:afterLines="20"/>
                    <w:jc w:val="center"/>
                    <w:rPr>
                      <w:rStyle w:val="27"/>
                      <w:rFonts w:hint="default"/>
                      <w:color w:val="auto"/>
                      <w:sz w:val="21"/>
                      <w:szCs w:val="21"/>
                      <w:lang w:bidi="ar"/>
                    </w:rPr>
                  </w:pPr>
                  <w:r>
                    <w:rPr>
                      <w:rStyle w:val="27"/>
                      <w:rFonts w:hint="default"/>
                      <w:color w:val="auto"/>
                      <w:sz w:val="21"/>
                      <w:szCs w:val="21"/>
                      <w:lang w:bidi="ar"/>
                    </w:rPr>
                    <w:t>风机</w:t>
                  </w:r>
                </w:p>
              </w:tc>
              <w:tc>
                <w:tcPr>
                  <w:tcW w:w="1380" w:type="dxa"/>
                  <w:vMerge w:val="continue"/>
                  <w:vAlign w:val="center"/>
                </w:tcPr>
                <w:p>
                  <w:pPr>
                    <w:pStyle w:val="25"/>
                    <w:keepNext w:val="0"/>
                    <w:keepLines w:val="0"/>
                    <w:pageBreakBefore w:val="0"/>
                    <w:kinsoku/>
                    <w:wordWrap/>
                    <w:overflowPunct/>
                    <w:topLinePunct w:val="0"/>
                    <w:autoSpaceDE/>
                    <w:autoSpaceDN/>
                    <w:bidi w:val="0"/>
                    <w:snapToGrid/>
                    <w:spacing w:before="63" w:beforeLines="20" w:after="63" w:afterLines="20" w:line="240" w:lineRule="auto"/>
                    <w:jc w:val="center"/>
                    <w:rPr>
                      <w:rFonts w:eastAsia="宋体"/>
                      <w:color w:val="auto"/>
                      <w:szCs w:val="21"/>
                    </w:rPr>
                  </w:pPr>
                </w:p>
              </w:tc>
              <w:tc>
                <w:tcPr>
                  <w:tcW w:w="1379" w:type="dxa"/>
                  <w:vAlign w:val="center"/>
                </w:tcPr>
                <w:p>
                  <w:pPr>
                    <w:pStyle w:val="25"/>
                    <w:keepNext w:val="0"/>
                    <w:keepLines w:val="0"/>
                    <w:pageBreakBefore w:val="0"/>
                    <w:kinsoku/>
                    <w:wordWrap/>
                    <w:overflowPunct/>
                    <w:topLinePunct w:val="0"/>
                    <w:autoSpaceDE/>
                    <w:autoSpaceDN/>
                    <w:bidi w:val="0"/>
                    <w:snapToGrid/>
                    <w:spacing w:before="63" w:beforeLines="20" w:after="63" w:afterLines="20" w:line="240" w:lineRule="auto"/>
                    <w:jc w:val="center"/>
                    <w:rPr>
                      <w:rFonts w:eastAsia="宋体"/>
                      <w:color w:val="auto"/>
                      <w:szCs w:val="21"/>
                    </w:rPr>
                  </w:pPr>
                  <w:r>
                    <w:rPr>
                      <w:rFonts w:hint="eastAsia" w:eastAsia="宋体"/>
                      <w:color w:val="auto"/>
                      <w:szCs w:val="21"/>
                    </w:rPr>
                    <w:t>90</w:t>
                  </w:r>
                </w:p>
              </w:tc>
              <w:tc>
                <w:tcPr>
                  <w:tcW w:w="1351" w:type="dxa"/>
                  <w:vAlign w:val="center"/>
                </w:tcPr>
                <w:p>
                  <w:pPr>
                    <w:keepNext w:val="0"/>
                    <w:keepLines w:val="0"/>
                    <w:pageBreakBefore w:val="0"/>
                    <w:widowControl/>
                    <w:kinsoku/>
                    <w:wordWrap/>
                    <w:overflowPunct/>
                    <w:topLinePunct w:val="0"/>
                    <w:autoSpaceDE/>
                    <w:autoSpaceDN/>
                    <w:bidi w:val="0"/>
                    <w:snapToGrid/>
                    <w:spacing w:before="63" w:beforeLines="20" w:after="63" w:afterLines="20"/>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3</w:t>
                  </w:r>
                </w:p>
              </w:tc>
              <w:tc>
                <w:tcPr>
                  <w:tcW w:w="1754" w:type="dxa"/>
                  <w:vAlign w:val="center"/>
                </w:tcPr>
                <w:p>
                  <w:pPr>
                    <w:keepNext w:val="0"/>
                    <w:keepLines w:val="0"/>
                    <w:pageBreakBefore w:val="0"/>
                    <w:kinsoku/>
                    <w:wordWrap/>
                    <w:overflowPunct/>
                    <w:topLinePunct w:val="0"/>
                    <w:autoSpaceDE/>
                    <w:autoSpaceDN/>
                    <w:bidi w:val="0"/>
                    <w:snapToGrid/>
                    <w:spacing w:before="63" w:beforeLines="20" w:after="63" w:afterLines="20"/>
                    <w:jc w:val="center"/>
                    <w:rPr>
                      <w:color w:val="auto"/>
                      <w:szCs w:val="21"/>
                    </w:rPr>
                  </w:pPr>
                  <w:r>
                    <w:rPr>
                      <w:color w:val="auto"/>
                      <w:szCs w:val="21"/>
                    </w:rPr>
                    <w:t>隔声</w:t>
                  </w:r>
                </w:p>
              </w:tc>
            </w:tr>
          </w:tbl>
          <w:p>
            <w:pPr>
              <w:spacing w:line="360" w:lineRule="auto"/>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以上设备噪声值较大，若处理不当，将会对周围声环境造成一定影响。建议项目建设单位采取一定方式对噪声污染进行防治：</w:t>
            </w:r>
          </w:p>
          <w:p>
            <w:pPr>
              <w:spacing w:line="360" w:lineRule="auto"/>
              <w:ind w:firstLine="480" w:firstLineChars="200"/>
              <w:rPr>
                <w:color w:val="000000" w:themeColor="text1"/>
                <w:sz w:val="24"/>
                <w:szCs w:val="24"/>
                <w14:textFill>
                  <w14:solidFill>
                    <w14:schemeClr w14:val="tx1"/>
                  </w14:solidFill>
                </w14:textFill>
              </w:rPr>
            </w:pPr>
            <w:r>
              <w:rPr>
                <w:rFonts w:hint="eastAsia" w:ascii="宋体" w:cs="宋体"/>
                <w:color w:val="000000" w:themeColor="text1"/>
                <w:sz w:val="24"/>
                <w:szCs w:val="24"/>
                <w14:textFill>
                  <w14:solidFill>
                    <w14:schemeClr w14:val="tx1"/>
                  </w14:solidFill>
                </w14:textFill>
              </w:rPr>
              <w:t>①</w:t>
            </w:r>
            <w:r>
              <w:rPr>
                <w:color w:val="000000" w:themeColor="text1"/>
                <w:sz w:val="24"/>
                <w:szCs w:val="24"/>
                <w14:textFill>
                  <w14:solidFill>
                    <w14:schemeClr w14:val="tx1"/>
                  </w14:solidFill>
                </w14:textFill>
              </w:rPr>
              <w:t>尽量选择低噪声和符合国家噪声标准的生产设备，并进行定期检修维护，使其处于良好运行状态；在设备的基础与地面之间安装减振垫，减少机械振动产生的噪声污染。</w:t>
            </w:r>
          </w:p>
          <w:p>
            <w:pPr>
              <w:spacing w:line="360" w:lineRule="auto"/>
              <w:ind w:firstLine="480" w:firstLineChars="200"/>
              <w:rPr>
                <w:color w:val="000000" w:themeColor="text1"/>
                <w:sz w:val="24"/>
                <w:szCs w:val="24"/>
                <w14:textFill>
                  <w14:solidFill>
                    <w14:schemeClr w14:val="tx1"/>
                  </w14:solidFill>
                </w14:textFill>
              </w:rPr>
            </w:pPr>
            <w:r>
              <w:rPr>
                <w:rFonts w:hint="eastAsia" w:ascii="宋体" w:cs="宋体"/>
                <w:color w:val="000000" w:themeColor="text1"/>
                <w:sz w:val="24"/>
                <w:szCs w:val="24"/>
                <w14:textFill>
                  <w14:solidFill>
                    <w14:schemeClr w14:val="tx1"/>
                  </w14:solidFill>
                </w14:textFill>
              </w:rPr>
              <w:t>②</w:t>
            </w:r>
            <w:r>
              <w:rPr>
                <w:color w:val="000000" w:themeColor="text1"/>
                <w:sz w:val="24"/>
                <w:szCs w:val="24"/>
                <w14:textFill>
                  <w14:solidFill>
                    <w14:schemeClr w14:val="tx1"/>
                  </w14:solidFill>
                </w14:textFill>
              </w:rPr>
              <w:t>加强车间的隔音措施，如适当增加车间墙壁厚度，并安装隔声门窗。尽量少开启门窗。对工人采取适当的劳动保护措施，减小职业伤害。</w:t>
            </w:r>
          </w:p>
          <w:p>
            <w:pPr>
              <w:spacing w:line="360" w:lineRule="auto"/>
              <w:ind w:firstLine="480" w:firstLineChars="200"/>
              <w:rPr>
                <w:color w:val="000000" w:themeColor="text1"/>
                <w:sz w:val="24"/>
                <w:szCs w:val="24"/>
                <w14:textFill>
                  <w14:solidFill>
                    <w14:schemeClr w14:val="tx1"/>
                  </w14:solidFill>
                </w14:textFill>
              </w:rPr>
            </w:pPr>
            <w:r>
              <w:rPr>
                <w:rFonts w:hint="eastAsia" w:ascii="宋体" w:cs="宋体"/>
                <w:color w:val="000000" w:themeColor="text1"/>
                <w:sz w:val="24"/>
                <w:szCs w:val="24"/>
                <w14:textFill>
                  <w14:solidFill>
                    <w14:schemeClr w14:val="tx1"/>
                  </w14:solidFill>
                </w14:textFill>
              </w:rPr>
              <w:t>③</w:t>
            </w:r>
            <w:r>
              <w:rPr>
                <w:color w:val="000000" w:themeColor="text1"/>
                <w:sz w:val="24"/>
                <w:szCs w:val="24"/>
                <w14:textFill>
                  <w14:solidFill>
                    <w14:schemeClr w14:val="tx1"/>
                  </w14:solidFill>
                </w14:textFill>
              </w:rPr>
              <w:t>合理布局，合理布置厂内各功能区的位置及车间内部设备的位置，将高噪声设备尽量安置在厂区中间位置以增加其距离衰减量，减少对周围环境的影响。</w:t>
            </w:r>
          </w:p>
          <w:p>
            <w:pPr>
              <w:spacing w:line="360" w:lineRule="auto"/>
              <w:ind w:firstLine="480" w:firstLineChars="200"/>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（4）固废</w:t>
            </w:r>
          </w:p>
          <w:p>
            <w:pPr>
              <w:spacing w:line="360" w:lineRule="auto"/>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建设项目</w:t>
            </w:r>
            <w:r>
              <w:rPr>
                <w:rFonts w:hint="eastAsia"/>
                <w:color w:val="000000" w:themeColor="text1"/>
                <w:sz w:val="24"/>
                <w:szCs w:val="24"/>
                <w14:textFill>
                  <w14:solidFill>
                    <w14:schemeClr w14:val="tx1"/>
                  </w14:solidFill>
                </w14:textFill>
              </w:rPr>
              <w:t>固废包括</w:t>
            </w:r>
            <w:r>
              <w:rPr>
                <w:rFonts w:hint="eastAsia"/>
                <w:bCs/>
                <w:color w:val="000000" w:themeColor="text1"/>
                <w:sz w:val="24"/>
                <w:szCs w:val="24"/>
                <w14:textFill>
                  <w14:solidFill>
                    <w14:schemeClr w14:val="tx1"/>
                  </w14:solidFill>
                </w14:textFill>
              </w:rPr>
              <w:t>废塑粉S1、废包装桶S2、含油抹布和手套S3、</w:t>
            </w:r>
            <w:r>
              <w:rPr>
                <w:rFonts w:hint="eastAsia"/>
                <w:bCs/>
                <w:color w:val="000000" w:themeColor="text1"/>
                <w:sz w:val="24"/>
                <w:szCs w:val="24"/>
                <w:lang w:eastAsia="zh-CN"/>
                <w14:textFill>
                  <w14:solidFill>
                    <w14:schemeClr w14:val="tx1"/>
                  </w14:solidFill>
                </w14:textFill>
              </w:rPr>
              <w:t>废包装材料</w:t>
            </w:r>
            <w:r>
              <w:rPr>
                <w:rFonts w:hint="eastAsia"/>
                <w:bCs/>
                <w:color w:val="000000" w:themeColor="text1"/>
                <w:sz w:val="24"/>
                <w:szCs w:val="24"/>
                <w14:textFill>
                  <w14:solidFill>
                    <w14:schemeClr w14:val="tx1"/>
                  </w14:solidFill>
                </w14:textFill>
              </w:rPr>
              <w:t>、废活性炭</w:t>
            </w:r>
            <w:r>
              <w:rPr>
                <w:rFonts w:hint="eastAsia"/>
                <w:bCs/>
                <w:color w:val="000000" w:themeColor="text1"/>
                <w:sz w:val="24"/>
                <w:szCs w:val="24"/>
                <w:lang w:eastAsia="zh-CN"/>
                <w14:textFill>
                  <w14:solidFill>
                    <w14:schemeClr w14:val="tx1"/>
                  </w14:solidFill>
                </w14:textFill>
              </w:rPr>
              <w:t>和员工生活垃圾</w:t>
            </w:r>
            <w:r>
              <w:rPr>
                <w:rFonts w:hint="eastAsia"/>
                <w:color w:val="000000" w:themeColor="text1"/>
                <w:sz w:val="24"/>
                <w14:textFill>
                  <w14:solidFill>
                    <w14:schemeClr w14:val="tx1"/>
                  </w14:solidFill>
                </w14:textFill>
              </w:rPr>
              <w:t>。（本项目</w:t>
            </w:r>
            <w:r>
              <w:rPr>
                <w:rFonts w:hint="eastAsia"/>
                <w:color w:val="000000" w:themeColor="text1"/>
                <w:sz w:val="24"/>
                <w:lang w:eastAsia="zh-CN"/>
                <w14:textFill>
                  <w14:solidFill>
                    <w14:schemeClr w14:val="tx1"/>
                  </w14:solidFill>
                </w14:textFill>
              </w:rPr>
              <w:t>滤芯</w:t>
            </w:r>
            <w:r>
              <w:rPr>
                <w:rFonts w:hint="eastAsia"/>
                <w:color w:val="000000" w:themeColor="text1"/>
                <w:sz w:val="24"/>
                <w14:textFill>
                  <w14:solidFill>
                    <w14:schemeClr w14:val="tx1"/>
                  </w14:solidFill>
                </w14:textFill>
              </w:rPr>
              <w:t>除尘器收集粉尘回用于生产，因此不定义为固废）</w:t>
            </w:r>
          </w:p>
          <w:p>
            <w:pPr>
              <w:spacing w:line="360" w:lineRule="auto"/>
              <w:ind w:left="465"/>
              <w:rPr>
                <w:b/>
                <w:color w:val="000000" w:themeColor="text1"/>
                <w:sz w:val="22"/>
                <w:szCs w:val="24"/>
                <w14:textFill>
                  <w14:solidFill>
                    <w14:schemeClr w14:val="tx1"/>
                  </w14:solidFill>
                </w14:textFill>
              </w:rPr>
            </w:pPr>
            <w:r>
              <w:rPr>
                <w:rFonts w:hint="eastAsia" w:ascii="宋体" w:hAnsi="宋体" w:cs="宋体"/>
                <w:b/>
                <w:color w:val="000000" w:themeColor="text1"/>
                <w:sz w:val="22"/>
                <w:szCs w:val="24"/>
                <w14:textFill>
                  <w14:solidFill>
                    <w14:schemeClr w14:val="tx1"/>
                  </w14:solidFill>
                </w14:textFill>
              </w:rPr>
              <w:t>①</w:t>
            </w:r>
            <w:r>
              <w:rPr>
                <w:rFonts w:hint="eastAsia"/>
                <w:b/>
                <w:color w:val="000000" w:themeColor="text1"/>
                <w:sz w:val="24"/>
                <w:szCs w:val="24"/>
                <w14:textFill>
                  <w14:solidFill>
                    <w14:schemeClr w14:val="tx1"/>
                  </w14:solidFill>
                </w14:textFill>
              </w:rPr>
              <w:t>废</w:t>
            </w:r>
            <w:r>
              <w:rPr>
                <w:rFonts w:hint="eastAsia"/>
                <w:b/>
                <w:color w:val="000000" w:themeColor="text1"/>
                <w:sz w:val="24"/>
                <w:szCs w:val="24"/>
                <w:lang w:eastAsia="zh-CN"/>
                <w14:textFill>
                  <w14:solidFill>
                    <w14:schemeClr w14:val="tx1"/>
                  </w14:solidFill>
                </w14:textFill>
              </w:rPr>
              <w:t>塑粉</w:t>
            </w:r>
          </w:p>
          <w:p>
            <w:pPr>
              <w:spacing w:line="360" w:lineRule="auto"/>
              <w:ind w:firstLine="465"/>
              <w:rPr>
                <w:color w:val="000000" w:themeColor="text1"/>
                <w:sz w:val="24"/>
                <w:szCs w:val="24"/>
                <w14:textFill>
                  <w14:solidFill>
                    <w14:schemeClr w14:val="tx1"/>
                  </w14:solidFill>
                </w14:textFill>
              </w:rPr>
            </w:pPr>
            <w:r>
              <w:rPr>
                <w:rFonts w:hint="eastAsia"/>
                <w:color w:val="000000" w:themeColor="text1"/>
                <w:sz w:val="24"/>
                <w:szCs w:val="24"/>
                <w:lang w:eastAsia="zh-CN"/>
                <w14:textFill>
                  <w14:solidFill>
                    <w14:schemeClr w14:val="tx1"/>
                  </w14:solidFill>
                </w14:textFill>
              </w:rPr>
              <w:t>根据塑粉物料平衡，</w:t>
            </w:r>
            <w:r>
              <w:rPr>
                <w:rFonts w:hint="eastAsia"/>
                <w:color w:val="000000" w:themeColor="text1"/>
                <w:sz w:val="24"/>
                <w:szCs w:val="24"/>
                <w14:textFill>
                  <w14:solidFill>
                    <w14:schemeClr w14:val="tx1"/>
                  </w14:solidFill>
                </w14:textFill>
              </w:rPr>
              <w:t>本项目废</w:t>
            </w:r>
            <w:r>
              <w:rPr>
                <w:rFonts w:hint="eastAsia"/>
                <w:color w:val="000000" w:themeColor="text1"/>
                <w:sz w:val="24"/>
                <w:szCs w:val="24"/>
                <w:lang w:eastAsia="zh-CN"/>
                <w14:textFill>
                  <w14:solidFill>
                    <w14:schemeClr w14:val="tx1"/>
                  </w14:solidFill>
                </w14:textFill>
              </w:rPr>
              <w:t>塑粉产生量约为</w:t>
            </w:r>
            <w:r>
              <w:rPr>
                <w:rFonts w:hint="eastAsia"/>
                <w:color w:val="000000" w:themeColor="text1"/>
                <w:sz w:val="24"/>
                <w:szCs w:val="24"/>
                <w:lang w:val="en-US" w:eastAsia="zh-CN"/>
                <w14:textFill>
                  <w14:solidFill>
                    <w14:schemeClr w14:val="tx1"/>
                  </w14:solidFill>
                </w14:textFill>
              </w:rPr>
              <w:t>0.33t/a</w:t>
            </w:r>
            <w:r>
              <w:rPr>
                <w:rFonts w:hint="eastAsia"/>
                <w:color w:val="000000" w:themeColor="text1"/>
                <w:sz w:val="24"/>
                <w:szCs w:val="24"/>
                <w14:textFill>
                  <w14:solidFill>
                    <w14:schemeClr w14:val="tx1"/>
                  </w14:solidFill>
                </w14:textFill>
              </w:rPr>
              <w:t>，外售</w:t>
            </w:r>
            <w:r>
              <w:rPr>
                <w:rFonts w:hint="eastAsia"/>
                <w:color w:val="000000" w:themeColor="text1"/>
                <w:sz w:val="24"/>
                <w:szCs w:val="24"/>
                <w:lang w:eastAsia="zh-CN"/>
                <w14:textFill>
                  <w14:solidFill>
                    <w14:schemeClr w14:val="tx1"/>
                  </w14:solidFill>
                </w14:textFill>
              </w:rPr>
              <w:t>塑粉厂家</w:t>
            </w:r>
            <w:r>
              <w:rPr>
                <w:rFonts w:hint="eastAsia"/>
                <w:color w:val="000000" w:themeColor="text1"/>
                <w:sz w:val="24"/>
                <w:szCs w:val="24"/>
                <w14:textFill>
                  <w14:solidFill>
                    <w14:schemeClr w14:val="tx1"/>
                  </w14:solidFill>
                </w14:textFill>
              </w:rPr>
              <w:t>。</w:t>
            </w:r>
          </w:p>
          <w:p>
            <w:pPr>
              <w:spacing w:line="360" w:lineRule="auto"/>
              <w:ind w:firstLine="465"/>
              <w:rPr>
                <w:b/>
                <w:color w:val="000000" w:themeColor="text1"/>
                <w:sz w:val="24"/>
                <w:szCs w:val="24"/>
                <w14:textFill>
                  <w14:solidFill>
                    <w14:schemeClr w14:val="tx1"/>
                  </w14:solidFill>
                </w14:textFill>
              </w:rPr>
            </w:pPr>
            <w:r>
              <w:rPr>
                <w:rFonts w:hint="eastAsia" w:ascii="宋体" w:hAnsi="宋体" w:cs="宋体"/>
                <w:b/>
                <w:color w:val="000000" w:themeColor="text1"/>
                <w:sz w:val="24"/>
                <w:szCs w:val="24"/>
                <w14:textFill>
                  <w14:solidFill>
                    <w14:schemeClr w14:val="tx1"/>
                  </w14:solidFill>
                </w14:textFill>
              </w:rPr>
              <w:t>②</w:t>
            </w:r>
            <w:r>
              <w:rPr>
                <w:rFonts w:hint="eastAsia" w:ascii="宋体" w:hAnsi="宋体" w:cs="宋体"/>
                <w:b/>
                <w:color w:val="000000" w:themeColor="text1"/>
                <w:sz w:val="24"/>
                <w:szCs w:val="24"/>
                <w:lang w:eastAsia="zh-CN"/>
                <w14:textFill>
                  <w14:solidFill>
                    <w14:schemeClr w14:val="tx1"/>
                  </w14:solidFill>
                </w14:textFill>
              </w:rPr>
              <w:t>废包装材料</w:t>
            </w:r>
          </w:p>
          <w:p>
            <w:pPr>
              <w:spacing w:line="360" w:lineRule="auto"/>
              <w:ind w:firstLine="465"/>
              <w:rPr>
                <w:color w:val="000000" w:themeColor="text1"/>
                <w:spacing w:val="-2"/>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本项目</w:t>
            </w:r>
            <w:r>
              <w:rPr>
                <w:rFonts w:hint="eastAsia"/>
                <w:color w:val="000000" w:themeColor="text1"/>
                <w:sz w:val="24"/>
                <w:szCs w:val="24"/>
                <w:lang w:eastAsia="zh-CN"/>
                <w14:textFill>
                  <w14:solidFill>
                    <w14:schemeClr w14:val="tx1"/>
                  </w14:solidFill>
                </w14:textFill>
              </w:rPr>
              <w:t>原料为袋装或纸箱装，原料拆包过程会产生废包装材料，</w:t>
            </w:r>
            <w:r>
              <w:rPr>
                <w:rFonts w:hint="eastAsia"/>
                <w:color w:val="000000" w:themeColor="text1"/>
                <w:sz w:val="24"/>
                <w:szCs w:val="24"/>
                <w14:textFill>
                  <w14:solidFill>
                    <w14:schemeClr w14:val="tx1"/>
                  </w14:solidFill>
                </w14:textFill>
              </w:rPr>
              <w:t>产生量约为</w:t>
            </w:r>
            <w:r>
              <w:rPr>
                <w:rFonts w:hint="eastAsia"/>
                <w:color w:val="000000" w:themeColor="text1"/>
                <w:sz w:val="24"/>
                <w:szCs w:val="24"/>
                <w:lang w:val="en-US" w:eastAsia="zh-CN"/>
                <w14:textFill>
                  <w14:solidFill>
                    <w14:schemeClr w14:val="tx1"/>
                  </w14:solidFill>
                </w14:textFill>
              </w:rPr>
              <w:t>0.1</w:t>
            </w:r>
            <w:r>
              <w:rPr>
                <w:rFonts w:hint="eastAsia"/>
                <w:color w:val="000000" w:themeColor="text1"/>
                <w:sz w:val="24"/>
                <w:szCs w:val="24"/>
                <w14:textFill>
                  <w14:solidFill>
                    <w14:schemeClr w14:val="tx1"/>
                  </w14:solidFill>
                </w14:textFill>
              </w:rPr>
              <w:t>t/a，外售废品回收站。</w:t>
            </w:r>
          </w:p>
          <w:p>
            <w:pPr>
              <w:spacing w:line="360" w:lineRule="auto"/>
              <w:ind w:firstLine="472" w:firstLineChars="200"/>
              <w:rPr>
                <w:rFonts w:hint="eastAsia" w:ascii="宋体" w:hAnsi="宋体" w:cs="宋体"/>
                <w:b/>
                <w:bCs/>
                <w:color w:val="000000" w:themeColor="text1"/>
                <w:spacing w:val="-2"/>
                <w:sz w:val="24"/>
                <w:szCs w:val="24"/>
                <w14:textFill>
                  <w14:solidFill>
                    <w14:schemeClr w14:val="tx1"/>
                  </w14:solidFill>
                </w14:textFill>
              </w:rPr>
            </w:pPr>
            <w:r>
              <w:rPr>
                <w:rFonts w:hint="eastAsia" w:ascii="宋体" w:hAnsi="宋体" w:cs="宋体"/>
                <w:b/>
                <w:bCs/>
                <w:color w:val="000000" w:themeColor="text1"/>
                <w:spacing w:val="-2"/>
                <w:sz w:val="24"/>
                <w:szCs w:val="24"/>
                <w14:textFill>
                  <w14:solidFill>
                    <w14:schemeClr w14:val="tx1"/>
                  </w14:solidFill>
                </w14:textFill>
              </w:rPr>
              <w:t>③</w:t>
            </w:r>
            <w:r>
              <w:rPr>
                <w:rFonts w:hint="eastAsia"/>
                <w:b/>
                <w:bCs w:val="0"/>
                <w:color w:val="000000" w:themeColor="text1"/>
                <w:sz w:val="24"/>
                <w:szCs w:val="24"/>
                <w14:textFill>
                  <w14:solidFill>
                    <w14:schemeClr w14:val="tx1"/>
                  </w14:solidFill>
                </w14:textFill>
              </w:rPr>
              <w:t>含油抹布和手套</w:t>
            </w:r>
          </w:p>
          <w:p>
            <w:pPr>
              <w:spacing w:line="360" w:lineRule="auto"/>
              <w:ind w:firstLine="465"/>
              <w:rPr>
                <w:color w:val="auto"/>
                <w:sz w:val="24"/>
                <w:szCs w:val="24"/>
              </w:rPr>
            </w:pPr>
            <w:r>
              <w:rPr>
                <w:color w:val="auto"/>
                <w:sz w:val="24"/>
                <w:szCs w:val="24"/>
              </w:rPr>
              <w:t>本项目</w:t>
            </w:r>
            <w:r>
              <w:rPr>
                <w:rFonts w:hint="eastAsia"/>
                <w:color w:val="auto"/>
                <w:sz w:val="24"/>
                <w:szCs w:val="24"/>
                <w:lang w:eastAsia="zh-CN"/>
              </w:rPr>
              <w:t>设备中加入润滑脂</w:t>
            </w:r>
            <w:r>
              <w:rPr>
                <w:color w:val="auto"/>
                <w:sz w:val="24"/>
                <w:szCs w:val="24"/>
              </w:rPr>
              <w:t>时，会产生少量的含油抹布和手套，每年按2kg/人计，则废抹布的产生量约为0.1t/a。</w:t>
            </w:r>
          </w:p>
          <w:p>
            <w:pPr>
              <w:spacing w:line="360" w:lineRule="auto"/>
              <w:ind w:firstLine="465"/>
              <w:rPr>
                <w:rFonts w:hint="eastAsia" w:ascii="宋体" w:hAnsi="宋体" w:cs="宋体"/>
                <w:b/>
                <w:bCs/>
                <w:color w:val="000000" w:themeColor="text1"/>
                <w:spacing w:val="-2"/>
                <w:sz w:val="24"/>
                <w:szCs w:val="24"/>
                <w14:textFill>
                  <w14:solidFill>
                    <w14:schemeClr w14:val="tx1"/>
                  </w14:solidFill>
                </w14:textFill>
              </w:rPr>
            </w:pPr>
            <w:r>
              <w:rPr>
                <w:color w:val="auto"/>
                <w:sz w:val="24"/>
                <w:szCs w:val="24"/>
              </w:rPr>
              <w:t>根据《国家危险废物名录》（2016年8月1号）中的</w:t>
            </w:r>
            <w:r>
              <w:rPr>
                <w:rFonts w:hint="eastAsia"/>
                <w:color w:val="auto"/>
                <w:sz w:val="24"/>
                <w:szCs w:val="24"/>
                <w:lang w:eastAsia="zh-CN"/>
              </w:rPr>
              <w:t>“</w:t>
            </w:r>
            <w:r>
              <w:rPr>
                <w:color w:val="auto"/>
                <w:sz w:val="24"/>
                <w:szCs w:val="24"/>
              </w:rPr>
              <w:t>危险废物豁免管理清单</w:t>
            </w:r>
            <w:r>
              <w:rPr>
                <w:rFonts w:hint="eastAsia"/>
                <w:color w:val="auto"/>
                <w:sz w:val="24"/>
                <w:szCs w:val="24"/>
                <w:lang w:eastAsia="zh-CN"/>
              </w:rPr>
              <w:t>”</w:t>
            </w:r>
            <w:r>
              <w:rPr>
                <w:color w:val="auto"/>
                <w:sz w:val="24"/>
                <w:szCs w:val="24"/>
              </w:rPr>
              <w:t>中第9条，废弃的含油抹布、劳保用品（危废代码为HW49 900-041-49）全过程不按照危险废物管理，混入生活垃圾处理，委托环卫部门清运。</w:t>
            </w:r>
          </w:p>
          <w:p>
            <w:pPr>
              <w:spacing w:line="360" w:lineRule="auto"/>
              <w:ind w:firstLine="465"/>
              <w:rPr>
                <w:rFonts w:ascii="宋体" w:hAnsi="宋体" w:cs="宋体"/>
                <w:b/>
                <w:bCs/>
                <w:color w:val="000000" w:themeColor="text1"/>
                <w:spacing w:val="-2"/>
                <w:sz w:val="24"/>
                <w:szCs w:val="24"/>
                <w14:textFill>
                  <w14:solidFill>
                    <w14:schemeClr w14:val="tx1"/>
                  </w14:solidFill>
                </w14:textFill>
              </w:rPr>
            </w:pPr>
            <w:r>
              <w:rPr>
                <w:rFonts w:hint="eastAsia" w:ascii="宋体" w:hAnsi="宋体" w:cs="宋体"/>
                <w:b/>
                <w:bCs/>
                <w:color w:val="000000" w:themeColor="text1"/>
                <w:spacing w:val="-2"/>
                <w:sz w:val="24"/>
                <w:szCs w:val="24"/>
                <w14:textFill>
                  <w14:solidFill>
                    <w14:schemeClr w14:val="tx1"/>
                  </w14:solidFill>
                </w14:textFill>
              </w:rPr>
              <w:t>④废包装桶</w:t>
            </w:r>
          </w:p>
          <w:p>
            <w:pPr>
              <w:spacing w:line="360" w:lineRule="auto"/>
              <w:ind w:firstLine="465"/>
              <w:rPr>
                <w:rFonts w:ascii="宋体" w:hAnsi="宋体" w:cs="宋体"/>
                <w:b/>
                <w:bCs/>
                <w:color w:val="000000" w:themeColor="text1"/>
                <w:spacing w:val="-2"/>
                <w:sz w:val="24"/>
                <w:szCs w:val="24"/>
                <w14:textFill>
                  <w14:solidFill>
                    <w14:schemeClr w14:val="tx1"/>
                  </w14:solidFill>
                </w14:textFill>
              </w:rPr>
            </w:pPr>
            <w:r>
              <w:rPr>
                <w:rFonts w:hint="eastAsia"/>
                <w:sz w:val="24"/>
                <w:szCs w:val="24"/>
              </w:rPr>
              <w:t>本项目</w:t>
            </w:r>
            <w:r>
              <w:rPr>
                <w:rFonts w:hint="eastAsia"/>
                <w:sz w:val="24"/>
                <w:szCs w:val="24"/>
                <w:lang w:eastAsia="zh-CN"/>
              </w:rPr>
              <w:t>润滑脂</w:t>
            </w:r>
            <w:r>
              <w:rPr>
                <w:rFonts w:hint="eastAsia"/>
                <w:sz w:val="24"/>
                <w:szCs w:val="24"/>
              </w:rPr>
              <w:t>为桶装</w:t>
            </w:r>
            <w:r>
              <w:rPr>
                <w:rFonts w:hint="eastAsia"/>
                <w:sz w:val="24"/>
                <w:szCs w:val="24"/>
                <w:lang w:eastAsia="zh-CN"/>
              </w:rPr>
              <w:t>，</w:t>
            </w:r>
            <w:r>
              <w:rPr>
                <w:rFonts w:hint="eastAsia"/>
                <w:sz w:val="24"/>
                <w:szCs w:val="24"/>
              </w:rPr>
              <w:t>使用量为</w:t>
            </w:r>
            <w:r>
              <w:rPr>
                <w:rFonts w:hint="eastAsia"/>
                <w:sz w:val="24"/>
                <w:szCs w:val="24"/>
                <w:lang w:val="en-US" w:eastAsia="zh-CN"/>
              </w:rPr>
              <w:t>200kg</w:t>
            </w:r>
            <w:r>
              <w:rPr>
                <w:rFonts w:hint="eastAsia"/>
                <w:sz w:val="24"/>
                <w:szCs w:val="24"/>
              </w:rPr>
              <w:t>/a，规格为20kg/桶，废包装桶产生量为</w:t>
            </w:r>
            <w:r>
              <w:rPr>
                <w:rFonts w:hint="eastAsia"/>
                <w:sz w:val="24"/>
                <w:szCs w:val="24"/>
                <w:lang w:val="en-US" w:eastAsia="zh-CN"/>
              </w:rPr>
              <w:t>10</w:t>
            </w:r>
            <w:r>
              <w:rPr>
                <w:rFonts w:hint="eastAsia"/>
                <w:sz w:val="24"/>
                <w:szCs w:val="24"/>
              </w:rPr>
              <w:t>只/a，</w:t>
            </w:r>
            <w:r>
              <w:rPr>
                <w:rFonts w:hint="eastAsia"/>
                <w:color w:val="000000" w:themeColor="text1"/>
                <w:sz w:val="24"/>
                <w:szCs w:val="24"/>
                <w14:textFill>
                  <w14:solidFill>
                    <w14:schemeClr w14:val="tx1"/>
                  </w14:solidFill>
                </w14:textFill>
              </w:rPr>
              <w:t>为</w:t>
            </w:r>
            <w:r>
              <w:rPr>
                <w:rFonts w:hint="eastAsia" w:ascii="宋体" w:hAnsi="宋体" w:cs="宋体"/>
                <w:bCs/>
                <w:color w:val="000000" w:themeColor="text1"/>
                <w:sz w:val="24"/>
                <w14:textFill>
                  <w14:solidFill>
                    <w14:schemeClr w14:val="tx1"/>
                  </w14:solidFill>
                </w14:textFill>
              </w:rPr>
              <w:t>危险废物，</w:t>
            </w:r>
            <w:r>
              <w:rPr>
                <w:rFonts w:hint="default" w:ascii="Times New Roman" w:hAnsi="Times New Roman" w:cs="Times New Roman"/>
                <w:color w:val="000000" w:themeColor="text1"/>
                <w:sz w:val="24"/>
                <w14:textFill>
                  <w14:solidFill>
                    <w14:schemeClr w14:val="tx1"/>
                  </w14:solidFill>
                </w14:textFill>
              </w:rPr>
              <w:t>废活性炭</w:t>
            </w:r>
            <w:r>
              <w:rPr>
                <w:rFonts w:hint="default" w:ascii="Times New Roman" w:hAnsi="Times New Roman" w:cs="Times New Roman"/>
                <w:color w:val="000000" w:themeColor="text1"/>
                <w:sz w:val="24"/>
                <w:szCs w:val="24"/>
                <w14:textFill>
                  <w14:solidFill>
                    <w14:schemeClr w14:val="tx1"/>
                  </w14:solidFill>
                </w14:textFill>
              </w:rPr>
              <w:t>危险废物类别为HW49，危险废物代码为</w:t>
            </w:r>
            <w:r>
              <w:rPr>
                <w:rFonts w:hint="default" w:ascii="Times New Roman" w:hAnsi="Times New Roman" w:eastAsia="TimesNewRomanPSMT" w:cs="Times New Roman"/>
                <w:color w:val="000000" w:themeColor="text1"/>
                <w:kern w:val="0"/>
                <w:sz w:val="24"/>
                <w:szCs w:val="24"/>
                <w14:textFill>
                  <w14:solidFill>
                    <w14:schemeClr w14:val="tx1"/>
                  </w14:solidFill>
                </w14:textFill>
              </w:rPr>
              <w:t>900-041-49</w:t>
            </w:r>
            <w:r>
              <w:rPr>
                <w:rFonts w:hint="default" w:ascii="Times New Roman" w:hAnsi="Times New Roman" w:cs="Times New Roman"/>
                <w:color w:val="000000" w:themeColor="text1"/>
                <w:kern w:val="0"/>
                <w:sz w:val="24"/>
                <w:szCs w:val="24"/>
                <w14:textFill>
                  <w14:solidFill>
                    <w14:schemeClr w14:val="tx1"/>
                  </w14:solidFill>
                </w14:textFill>
              </w:rPr>
              <w:t>，危险废物特性为</w:t>
            </w:r>
            <w:r>
              <w:rPr>
                <w:rFonts w:hint="eastAsia" w:cs="Times New Roman"/>
                <w:color w:val="000000" w:themeColor="text1"/>
                <w:kern w:val="0"/>
                <w:sz w:val="24"/>
                <w:szCs w:val="24"/>
                <w:lang w:eastAsia="zh-CN"/>
                <w14:textFill>
                  <w14:solidFill>
                    <w14:schemeClr w14:val="tx1"/>
                  </w14:solidFill>
                </w14:textFill>
              </w:rPr>
              <w:t>“</w:t>
            </w:r>
            <w:r>
              <w:rPr>
                <w:rFonts w:hint="default" w:ascii="Times New Roman" w:hAnsi="Times New Roman" w:eastAsia="TimesNewRomanPSMT" w:cs="Times New Roman"/>
                <w:color w:val="000000" w:themeColor="text1"/>
                <w:kern w:val="0"/>
                <w:sz w:val="24"/>
                <w:szCs w:val="24"/>
                <w14:textFill>
                  <w14:solidFill>
                    <w14:schemeClr w14:val="tx1"/>
                  </w14:solidFill>
                </w14:textFill>
              </w:rPr>
              <w:t>T/In</w:t>
            </w:r>
            <w:r>
              <w:rPr>
                <w:rFonts w:hint="eastAsia"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24"/>
                <w14:textFill>
                  <w14:solidFill>
                    <w14:schemeClr w14:val="tx1"/>
                  </w14:solidFill>
                </w14:textFill>
              </w:rPr>
              <w:t>。</w:t>
            </w:r>
            <w:r>
              <w:rPr>
                <w:rFonts w:hint="eastAsia"/>
                <w:sz w:val="24"/>
                <w:szCs w:val="24"/>
              </w:rPr>
              <w:t>委托有资质单位处置</w:t>
            </w:r>
            <w:r>
              <w:rPr>
                <w:rFonts w:hint="eastAsia" w:ascii="宋体" w:cs="宋体"/>
                <w:kern w:val="0"/>
                <w:sz w:val="24"/>
                <w:szCs w:val="24"/>
              </w:rPr>
              <w:t>。</w:t>
            </w:r>
          </w:p>
          <w:p>
            <w:pPr>
              <w:spacing w:line="360" w:lineRule="auto"/>
              <w:ind w:firstLine="465"/>
              <w:rPr>
                <w:b/>
                <w:color w:val="000000" w:themeColor="text1"/>
                <w:sz w:val="24"/>
                <w14:textFill>
                  <w14:solidFill>
                    <w14:schemeClr w14:val="tx1"/>
                  </w14:solidFill>
                </w14:textFill>
              </w:rPr>
            </w:pPr>
            <w:r>
              <w:rPr>
                <w:rFonts w:hint="eastAsia" w:ascii="宋体" w:hAnsi="宋体" w:cs="宋体"/>
                <w:b/>
                <w:sz w:val="24"/>
              </w:rPr>
              <w:t>⑤</w:t>
            </w:r>
            <w:r>
              <w:rPr>
                <w:rFonts w:hint="eastAsia"/>
                <w:b/>
                <w:color w:val="000000" w:themeColor="text1"/>
                <w:sz w:val="24"/>
                <w14:textFill>
                  <w14:solidFill>
                    <w14:schemeClr w14:val="tx1"/>
                  </w14:solidFill>
                </w14:textFill>
              </w:rPr>
              <w:t>废活性炭</w:t>
            </w:r>
          </w:p>
          <w:p>
            <w:pPr>
              <w:spacing w:line="360" w:lineRule="auto"/>
              <w:ind w:firstLine="465"/>
              <w:rPr>
                <w:rFonts w:hint="default" w:ascii="Times New Roman" w:hAnsi="Times New Roman" w:cs="Times New Roman"/>
                <w:color w:val="000000" w:themeColor="text1"/>
                <w:kern w:val="0"/>
                <w:sz w:val="24"/>
                <w:szCs w:val="24"/>
                <w14:textFill>
                  <w14:solidFill>
                    <w14:schemeClr w14:val="tx1"/>
                  </w14:solidFill>
                </w14:textFill>
              </w:rPr>
            </w:pPr>
            <w:r>
              <w:rPr>
                <w:sz w:val="24"/>
              </w:rPr>
              <w:t>本项目采用</w:t>
            </w:r>
            <w:r>
              <w:rPr>
                <w:rFonts w:hint="eastAsia"/>
                <w:sz w:val="24"/>
                <w:lang w:eastAsia="zh-CN"/>
              </w:rPr>
              <w:t>“</w:t>
            </w:r>
            <w:r>
              <w:rPr>
                <w:sz w:val="24"/>
              </w:rPr>
              <w:t>二级活性炭吸附装置</w:t>
            </w:r>
            <w:r>
              <w:rPr>
                <w:rFonts w:hint="eastAsia"/>
                <w:sz w:val="24"/>
                <w:lang w:eastAsia="zh-CN"/>
              </w:rPr>
              <w:t>”</w:t>
            </w:r>
            <w:r>
              <w:rPr>
                <w:sz w:val="24"/>
              </w:rPr>
              <w:t>处理有机废气，处理效率约为90%。活性炭吸附有机废气量：</w:t>
            </w:r>
            <w:r>
              <w:rPr>
                <w:rFonts w:hint="eastAsia"/>
                <w:sz w:val="24"/>
              </w:rPr>
              <w:t>0.</w:t>
            </w:r>
            <w:r>
              <w:rPr>
                <w:rFonts w:hint="eastAsia"/>
                <w:sz w:val="24"/>
                <w:lang w:val="en-US" w:eastAsia="zh-CN"/>
              </w:rPr>
              <w:t>029</w:t>
            </w:r>
            <w:r>
              <w:rPr>
                <w:rFonts w:hint="eastAsia"/>
                <w:sz w:val="24"/>
              </w:rPr>
              <w:t>-0.0</w:t>
            </w:r>
            <w:r>
              <w:rPr>
                <w:rFonts w:hint="eastAsia"/>
                <w:sz w:val="24"/>
                <w:lang w:val="en-US" w:eastAsia="zh-CN"/>
              </w:rPr>
              <w:t>03</w:t>
            </w:r>
            <w:r>
              <w:rPr>
                <w:rFonts w:hint="eastAsia"/>
                <w:sz w:val="24"/>
              </w:rPr>
              <w:t>=</w:t>
            </w:r>
            <w:r>
              <w:rPr>
                <w:sz w:val="24"/>
              </w:rPr>
              <w:t>0.</w:t>
            </w:r>
            <w:r>
              <w:rPr>
                <w:rFonts w:hint="eastAsia"/>
                <w:sz w:val="24"/>
                <w:lang w:val="en-US" w:eastAsia="zh-CN"/>
              </w:rPr>
              <w:t>026</w:t>
            </w:r>
            <w:r>
              <w:rPr>
                <w:sz w:val="24"/>
              </w:rPr>
              <w:t>t/a，根据《上海市工业固定源挥发性有机物治理技术指引》（上海市环境保护局、上海市环境科学研究院，2013.07），活性炭吸附VOCs的饱和吸附容量约20-40%wt，本项目活性炭吸附量取0.33g有机废气/g活性炭。则废活性炭产生量约为有机废气吸附量的4倍，则活性炭理论用量</w:t>
            </w:r>
            <w:r>
              <w:rPr>
                <w:rFonts w:hint="eastAsia"/>
                <w:sz w:val="24"/>
                <w:lang w:val="en-US" w:eastAsia="zh-CN"/>
              </w:rPr>
              <w:t>0.078</w:t>
            </w:r>
            <w:r>
              <w:rPr>
                <w:sz w:val="24"/>
              </w:rPr>
              <w:t>t/a，废活性炭理论产生量为</w:t>
            </w:r>
            <w:r>
              <w:rPr>
                <w:rFonts w:hint="eastAsia"/>
                <w:sz w:val="24"/>
                <w:lang w:val="en-US" w:eastAsia="zh-CN"/>
              </w:rPr>
              <w:t>0.104</w:t>
            </w:r>
            <w:r>
              <w:rPr>
                <w:sz w:val="24"/>
              </w:rPr>
              <w:t>t/a。</w:t>
            </w:r>
            <w:r>
              <w:rPr>
                <w:sz w:val="24"/>
                <w:szCs w:val="24"/>
              </w:rPr>
              <w:t>本项目</w:t>
            </w:r>
            <w:r>
              <w:rPr>
                <w:rFonts w:hint="eastAsia"/>
                <w:sz w:val="24"/>
                <w:szCs w:val="24"/>
                <w:lang w:eastAsia="zh-CN"/>
              </w:rPr>
              <w:t>设置</w:t>
            </w:r>
            <w:r>
              <w:rPr>
                <w:sz w:val="24"/>
                <w:szCs w:val="24"/>
              </w:rPr>
              <w:t>两级活性炭，活性炭总填充量为</w:t>
            </w:r>
            <w:r>
              <w:rPr>
                <w:rFonts w:hint="eastAsia"/>
                <w:sz w:val="24"/>
                <w:szCs w:val="24"/>
                <w:lang w:val="en-US" w:eastAsia="zh-CN"/>
              </w:rPr>
              <w:t>4</w:t>
            </w:r>
            <w:r>
              <w:rPr>
                <w:sz w:val="24"/>
                <w:szCs w:val="24"/>
              </w:rPr>
              <w:t>0kg，活性炭每</w:t>
            </w:r>
            <w:r>
              <w:rPr>
                <w:rFonts w:hint="eastAsia"/>
                <w:sz w:val="24"/>
                <w:szCs w:val="24"/>
                <w:lang w:eastAsia="zh-CN"/>
              </w:rPr>
              <w:t>半年</w:t>
            </w:r>
            <w:r>
              <w:rPr>
                <w:sz w:val="24"/>
                <w:szCs w:val="24"/>
              </w:rPr>
              <w:t>更换一次，则活性炭使用量为</w:t>
            </w:r>
            <w:r>
              <w:rPr>
                <w:rFonts w:hint="eastAsia"/>
                <w:sz w:val="24"/>
                <w:szCs w:val="24"/>
                <w:lang w:val="en-US" w:eastAsia="zh-CN"/>
              </w:rPr>
              <w:t>0.8</w:t>
            </w:r>
            <w:r>
              <w:rPr>
                <w:sz w:val="24"/>
              </w:rPr>
              <w:t>t/a，</w:t>
            </w:r>
            <w:r>
              <w:rPr>
                <w:sz w:val="24"/>
                <w:szCs w:val="24"/>
              </w:rPr>
              <w:t>废活性炭</w:t>
            </w:r>
            <w:r>
              <w:rPr>
                <w:rFonts w:hint="eastAsia"/>
                <w:sz w:val="24"/>
                <w:szCs w:val="24"/>
              </w:rPr>
              <w:t>实际</w:t>
            </w:r>
            <w:r>
              <w:rPr>
                <w:sz w:val="24"/>
                <w:szCs w:val="24"/>
              </w:rPr>
              <w:t>产生量</w:t>
            </w:r>
            <w:r>
              <w:rPr>
                <w:rFonts w:hint="eastAsia"/>
                <w:sz w:val="24"/>
                <w:szCs w:val="24"/>
                <w:lang w:val="en-US" w:eastAsia="zh-CN"/>
              </w:rPr>
              <w:t>0.826</w:t>
            </w:r>
            <w:r>
              <w:rPr>
                <w:sz w:val="24"/>
                <w:szCs w:val="24"/>
              </w:rPr>
              <w:t>t/a（包含活性碳量</w:t>
            </w:r>
            <w:r>
              <w:rPr>
                <w:rFonts w:hint="eastAsia"/>
                <w:sz w:val="24"/>
                <w:szCs w:val="24"/>
                <w:lang w:val="en-US" w:eastAsia="zh-CN"/>
              </w:rPr>
              <w:t>0.8</w:t>
            </w:r>
            <w:r>
              <w:rPr>
                <w:sz w:val="24"/>
                <w:szCs w:val="24"/>
              </w:rPr>
              <w:t>t/a和</w:t>
            </w:r>
            <w:r>
              <w:rPr>
                <w:rFonts w:hint="eastAsia"/>
                <w:sz w:val="24"/>
                <w:szCs w:val="24"/>
              </w:rPr>
              <w:t>吸附VOCs</w:t>
            </w:r>
            <w:r>
              <w:rPr>
                <w:sz w:val="24"/>
                <w:szCs w:val="24"/>
              </w:rPr>
              <w:t>的量</w:t>
            </w:r>
            <w:r>
              <w:rPr>
                <w:rFonts w:hint="eastAsia"/>
                <w:sz w:val="24"/>
                <w:szCs w:val="24"/>
              </w:rPr>
              <w:t>0.</w:t>
            </w:r>
            <w:r>
              <w:rPr>
                <w:rFonts w:hint="eastAsia"/>
                <w:sz w:val="24"/>
                <w:szCs w:val="24"/>
                <w:lang w:val="en-US" w:eastAsia="zh-CN"/>
              </w:rPr>
              <w:t>026</w:t>
            </w:r>
            <w:r>
              <w:rPr>
                <w:sz w:val="24"/>
                <w:szCs w:val="24"/>
              </w:rPr>
              <w:t>t/a），</w:t>
            </w:r>
            <w:r>
              <w:rPr>
                <w:rFonts w:hint="default" w:ascii="Times New Roman" w:hAnsi="Times New Roman" w:cs="Times New Roman"/>
                <w:color w:val="000000" w:themeColor="text1"/>
                <w:sz w:val="24"/>
                <w14:textFill>
                  <w14:solidFill>
                    <w14:schemeClr w14:val="tx1"/>
                  </w14:solidFill>
                </w14:textFill>
              </w:rPr>
              <w:t>废活性炭</w:t>
            </w:r>
            <w:r>
              <w:rPr>
                <w:rFonts w:hint="default" w:ascii="Times New Roman" w:hAnsi="Times New Roman" w:cs="Times New Roman"/>
                <w:color w:val="000000" w:themeColor="text1"/>
                <w:sz w:val="24"/>
                <w:szCs w:val="24"/>
                <w14:textFill>
                  <w14:solidFill>
                    <w14:schemeClr w14:val="tx1"/>
                  </w14:solidFill>
                </w14:textFill>
              </w:rPr>
              <w:t>危险废物类别为HW49，危险废物代码为</w:t>
            </w:r>
            <w:r>
              <w:rPr>
                <w:rFonts w:hint="default" w:ascii="Times New Roman" w:hAnsi="Times New Roman" w:eastAsia="TimesNewRomanPSMT" w:cs="Times New Roman"/>
                <w:color w:val="000000" w:themeColor="text1"/>
                <w:kern w:val="0"/>
                <w:sz w:val="24"/>
                <w:szCs w:val="24"/>
                <w14:textFill>
                  <w14:solidFill>
                    <w14:schemeClr w14:val="tx1"/>
                  </w14:solidFill>
                </w14:textFill>
              </w:rPr>
              <w:t>900-041-49</w:t>
            </w:r>
            <w:r>
              <w:rPr>
                <w:rFonts w:hint="default" w:ascii="Times New Roman" w:hAnsi="Times New Roman" w:cs="Times New Roman"/>
                <w:color w:val="000000" w:themeColor="text1"/>
                <w:kern w:val="0"/>
                <w:sz w:val="24"/>
                <w:szCs w:val="24"/>
                <w14:textFill>
                  <w14:solidFill>
                    <w14:schemeClr w14:val="tx1"/>
                  </w14:solidFill>
                </w14:textFill>
              </w:rPr>
              <w:t>，危险废物特性为</w:t>
            </w:r>
            <w:r>
              <w:rPr>
                <w:rFonts w:hint="eastAsia" w:cs="Times New Roman"/>
                <w:color w:val="000000" w:themeColor="text1"/>
                <w:kern w:val="0"/>
                <w:sz w:val="24"/>
                <w:szCs w:val="24"/>
                <w:lang w:eastAsia="zh-CN"/>
                <w14:textFill>
                  <w14:solidFill>
                    <w14:schemeClr w14:val="tx1"/>
                  </w14:solidFill>
                </w14:textFill>
              </w:rPr>
              <w:t>“</w:t>
            </w:r>
            <w:r>
              <w:rPr>
                <w:rFonts w:hint="default" w:ascii="Times New Roman" w:hAnsi="Times New Roman" w:eastAsia="TimesNewRomanPSMT" w:cs="Times New Roman"/>
                <w:color w:val="000000" w:themeColor="text1"/>
                <w:kern w:val="0"/>
                <w:sz w:val="24"/>
                <w:szCs w:val="24"/>
                <w14:textFill>
                  <w14:solidFill>
                    <w14:schemeClr w14:val="tx1"/>
                  </w14:solidFill>
                </w14:textFill>
              </w:rPr>
              <w:t>T/In</w:t>
            </w:r>
            <w:r>
              <w:rPr>
                <w:rFonts w:hint="eastAsia"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24"/>
                <w14:textFill>
                  <w14:solidFill>
                    <w14:schemeClr w14:val="tx1"/>
                  </w14:solidFill>
                </w14:textFill>
              </w:rPr>
              <w:t>。委托有资质单位处置。</w:t>
            </w:r>
          </w:p>
          <w:p>
            <w:pPr>
              <w:spacing w:line="360" w:lineRule="auto"/>
              <w:ind w:firstLine="465"/>
              <w:rPr>
                <w:rFonts w:ascii="宋体" w:hAnsi="宋体" w:cs="Cambria Math"/>
                <w:b/>
                <w:bCs/>
                <w:color w:val="000000" w:themeColor="text1"/>
                <w:sz w:val="24"/>
                <w:szCs w:val="22"/>
                <w14:textFill>
                  <w14:solidFill>
                    <w14:schemeClr w14:val="tx1"/>
                  </w14:solidFill>
                </w14:textFill>
              </w:rPr>
            </w:pPr>
            <w:r>
              <w:rPr>
                <w:rFonts w:hint="eastAsia" w:ascii="宋体" w:hAnsi="宋体" w:eastAsia="宋体" w:cs="宋体"/>
                <w:b/>
                <w:color w:val="000000" w:themeColor="text1"/>
                <w:sz w:val="24"/>
                <w14:textFill>
                  <w14:solidFill>
                    <w14:schemeClr w14:val="tx1"/>
                  </w14:solidFill>
                </w14:textFill>
              </w:rPr>
              <w:t>⑥</w:t>
            </w:r>
            <w:r>
              <w:rPr>
                <w:rFonts w:hint="eastAsia" w:ascii="宋体" w:hAnsi="宋体" w:cs="Cambria Math"/>
                <w:b/>
                <w:bCs/>
                <w:color w:val="000000" w:themeColor="text1"/>
                <w:sz w:val="24"/>
                <w:szCs w:val="22"/>
                <w14:textFill>
                  <w14:solidFill>
                    <w14:schemeClr w14:val="tx1"/>
                  </w14:solidFill>
                </w14:textFill>
              </w:rPr>
              <w:t>生活垃圾</w:t>
            </w:r>
          </w:p>
          <w:p>
            <w:pPr>
              <w:pStyle w:val="41"/>
              <w:spacing w:after="0" w:line="360" w:lineRule="auto"/>
              <w:ind w:firstLine="480" w:firstLineChars="200"/>
              <w:rPr>
                <w:rFonts w:ascii="Times New Roman" w:cs="Times New Roman"/>
                <w:color w:val="000000" w:themeColor="text1"/>
                <w:kern w:val="2"/>
                <w:szCs w:val="22"/>
                <w14:textFill>
                  <w14:solidFill>
                    <w14:schemeClr w14:val="tx1"/>
                  </w14:solidFill>
                </w14:textFill>
              </w:rPr>
            </w:pPr>
            <w:r>
              <w:rPr>
                <w:rFonts w:ascii="Times New Roman" w:cs="Times New Roman"/>
                <w:color w:val="000000" w:themeColor="text1"/>
                <w:kern w:val="2"/>
                <w:szCs w:val="22"/>
                <w14:textFill>
                  <w14:solidFill>
                    <w14:schemeClr w14:val="tx1"/>
                  </w14:solidFill>
                </w14:textFill>
              </w:rPr>
              <w:t>项目定员</w:t>
            </w:r>
            <w:r>
              <w:rPr>
                <w:rFonts w:hint="eastAsia" w:ascii="Times New Roman" w:cs="Times New Roman"/>
                <w:color w:val="000000" w:themeColor="text1"/>
                <w:kern w:val="2"/>
                <w:szCs w:val="22"/>
                <w:lang w:val="en-US" w:eastAsia="zh-CN"/>
                <w14:textFill>
                  <w14:solidFill>
                    <w14:schemeClr w14:val="tx1"/>
                  </w14:solidFill>
                </w14:textFill>
              </w:rPr>
              <w:t>50</w:t>
            </w:r>
            <w:r>
              <w:rPr>
                <w:rFonts w:ascii="Times New Roman" w:cs="Times New Roman"/>
                <w:color w:val="000000" w:themeColor="text1"/>
                <w:kern w:val="2"/>
                <w:szCs w:val="22"/>
                <w14:textFill>
                  <w14:solidFill>
                    <w14:schemeClr w14:val="tx1"/>
                  </w14:solidFill>
                </w14:textFill>
              </w:rPr>
              <w:t>人，</w:t>
            </w:r>
            <w:r>
              <w:rPr>
                <w:rFonts w:hint="eastAsia" w:ascii="Times New Roman" w:cs="Times New Roman"/>
                <w:color w:val="000000" w:themeColor="text1"/>
                <w:kern w:val="2"/>
                <w:szCs w:val="22"/>
                <w14:textFill>
                  <w14:solidFill>
                    <w14:schemeClr w14:val="tx1"/>
                  </w14:solidFill>
                </w14:textFill>
              </w:rPr>
              <w:t>厂区不提供食宿</w:t>
            </w:r>
            <w:r>
              <w:rPr>
                <w:rFonts w:ascii="Times New Roman" w:cs="Times New Roman"/>
                <w:color w:val="000000" w:themeColor="text1"/>
                <w:kern w:val="2"/>
                <w:szCs w:val="22"/>
                <w14:textFill>
                  <w14:solidFill>
                    <w14:schemeClr w14:val="tx1"/>
                  </w14:solidFill>
                </w14:textFill>
              </w:rPr>
              <w:t>，职工生活垃圾以</w:t>
            </w:r>
            <w:r>
              <w:rPr>
                <w:rFonts w:hint="eastAsia" w:ascii="Times New Roman" w:cs="Times New Roman"/>
                <w:color w:val="000000" w:themeColor="text1"/>
                <w:kern w:val="2"/>
                <w:szCs w:val="22"/>
                <w14:textFill>
                  <w14:solidFill>
                    <w14:schemeClr w14:val="tx1"/>
                  </w14:solidFill>
                </w14:textFill>
              </w:rPr>
              <w:t>0.5</w:t>
            </w:r>
            <w:r>
              <w:rPr>
                <w:rFonts w:ascii="Times New Roman" w:cs="Times New Roman"/>
                <w:color w:val="000000" w:themeColor="text1"/>
                <w:kern w:val="2"/>
                <w:szCs w:val="22"/>
                <w14:textFill>
                  <w14:solidFill>
                    <w14:schemeClr w14:val="tx1"/>
                  </w14:solidFill>
                </w14:textFill>
              </w:rPr>
              <w:t>kg/d•人计，年工作</w:t>
            </w:r>
            <w:r>
              <w:rPr>
                <w:rFonts w:hint="eastAsia" w:ascii="Times New Roman" w:cs="Times New Roman"/>
                <w:color w:val="000000" w:themeColor="text1"/>
                <w:kern w:val="2"/>
                <w:szCs w:val="22"/>
                <w14:textFill>
                  <w14:solidFill>
                    <w14:schemeClr w14:val="tx1"/>
                  </w14:solidFill>
                </w14:textFill>
              </w:rPr>
              <w:t>300</w:t>
            </w:r>
            <w:r>
              <w:rPr>
                <w:rFonts w:ascii="Times New Roman" w:cs="Times New Roman"/>
                <w:color w:val="000000" w:themeColor="text1"/>
                <w:kern w:val="2"/>
                <w:szCs w:val="22"/>
                <w14:textFill>
                  <w14:solidFill>
                    <w14:schemeClr w14:val="tx1"/>
                  </w14:solidFill>
                </w14:textFill>
              </w:rPr>
              <w:t>天，则职工生活垃圾产生量为</w:t>
            </w:r>
            <w:r>
              <w:rPr>
                <w:rFonts w:hint="eastAsia" w:ascii="Times New Roman" w:cs="Times New Roman"/>
                <w:color w:val="000000" w:themeColor="text1"/>
                <w:kern w:val="2"/>
                <w:szCs w:val="22"/>
                <w:lang w:val="en-US" w:eastAsia="zh-CN"/>
                <w14:textFill>
                  <w14:solidFill>
                    <w14:schemeClr w14:val="tx1"/>
                  </w14:solidFill>
                </w14:textFill>
              </w:rPr>
              <w:t>7.5</w:t>
            </w:r>
            <w:r>
              <w:rPr>
                <w:rFonts w:ascii="Times New Roman" w:cs="Times New Roman"/>
                <w:color w:val="000000" w:themeColor="text1"/>
                <w:kern w:val="2"/>
                <w:szCs w:val="22"/>
                <w14:textFill>
                  <w14:solidFill>
                    <w14:schemeClr w14:val="tx1"/>
                  </w14:solidFill>
                </w14:textFill>
              </w:rPr>
              <w:t>t/a，属于一般固废，经收集后由环卫部门清运处置</w:t>
            </w:r>
            <w:r>
              <w:rPr>
                <w:rFonts w:hint="eastAsia" w:ascii="Times New Roman" w:cs="Times New Roman"/>
                <w:color w:val="000000" w:themeColor="text1"/>
                <w:kern w:val="2"/>
                <w:szCs w:val="22"/>
                <w14:textFill>
                  <w14:solidFill>
                    <w14:schemeClr w14:val="tx1"/>
                  </w14:solidFill>
                </w14:textFill>
              </w:rPr>
              <w:t>。</w:t>
            </w:r>
          </w:p>
          <w:p>
            <w:pPr>
              <w:spacing w:line="360" w:lineRule="auto"/>
              <w:ind w:firstLine="465"/>
              <w:rPr>
                <w:color w:val="000000" w:themeColor="text1"/>
                <w:sz w:val="24"/>
                <w14:textFill>
                  <w14:solidFill>
                    <w14:schemeClr w14:val="tx1"/>
                  </w14:solidFill>
                </w14:textFill>
              </w:rPr>
            </w:pPr>
            <w:r>
              <w:rPr>
                <w:color w:val="000000" w:themeColor="text1"/>
                <w:sz w:val="24"/>
                <w14:textFill>
                  <w14:solidFill>
                    <w14:schemeClr w14:val="tx1"/>
                  </w14:solidFill>
                </w14:textFill>
              </w:rPr>
              <w:t>根据《</w:t>
            </w:r>
            <w:r>
              <w:rPr>
                <w:rFonts w:hint="eastAsia"/>
                <w:color w:val="000000" w:themeColor="text1"/>
                <w:sz w:val="24"/>
                <w14:textFill>
                  <w14:solidFill>
                    <w14:schemeClr w14:val="tx1"/>
                  </w14:solidFill>
                </w14:textFill>
              </w:rPr>
              <w:t>固体废物鉴别标准 通则</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（GB34330-2017）</w:t>
            </w:r>
            <w:r>
              <w:rPr>
                <w:color w:val="000000" w:themeColor="text1"/>
                <w:sz w:val="24"/>
                <w14:textFill>
                  <w14:solidFill>
                    <w14:schemeClr w14:val="tx1"/>
                  </w14:solidFill>
                </w14:textFill>
              </w:rPr>
              <w:t>对项目产生的固体废物进行判定。本项目固体废物产生情况汇总表见表</w:t>
            </w:r>
            <w:r>
              <w:rPr>
                <w:rFonts w:hint="eastAsia"/>
                <w:color w:val="000000" w:themeColor="text1"/>
                <w:sz w:val="24"/>
                <w14:textFill>
                  <w14:solidFill>
                    <w14:schemeClr w14:val="tx1"/>
                  </w14:solidFill>
                </w14:textFill>
              </w:rPr>
              <w:t>5-</w:t>
            </w:r>
            <w:r>
              <w:rPr>
                <w:rFonts w:hint="eastAsia"/>
                <w:color w:val="000000" w:themeColor="text1"/>
                <w:sz w:val="24"/>
                <w:lang w:val="en-US" w:eastAsia="zh-CN"/>
                <w14:textFill>
                  <w14:solidFill>
                    <w14:schemeClr w14:val="tx1"/>
                  </w14:solidFill>
                </w14:textFill>
              </w:rPr>
              <w:t>6</w:t>
            </w:r>
            <w:r>
              <w:rPr>
                <w:color w:val="000000" w:themeColor="text1"/>
                <w:sz w:val="24"/>
                <w14:textFill>
                  <w14:solidFill>
                    <w14:schemeClr w14:val="tx1"/>
                  </w14:solidFill>
                </w14:textFill>
              </w:rPr>
              <w:t>，固体废物产生量及处置方式具体见表</w:t>
            </w:r>
            <w:r>
              <w:rPr>
                <w:rFonts w:hint="eastAsia"/>
                <w:color w:val="000000" w:themeColor="text1"/>
                <w:sz w:val="24"/>
                <w14:textFill>
                  <w14:solidFill>
                    <w14:schemeClr w14:val="tx1"/>
                  </w14:solidFill>
                </w14:textFill>
              </w:rPr>
              <w:t>5-</w:t>
            </w:r>
            <w:r>
              <w:rPr>
                <w:rFonts w:hint="eastAsia"/>
                <w:color w:val="000000" w:themeColor="text1"/>
                <w:sz w:val="24"/>
                <w:lang w:val="en-US" w:eastAsia="zh-CN"/>
                <w14:textFill>
                  <w14:solidFill>
                    <w14:schemeClr w14:val="tx1"/>
                  </w14:solidFill>
                </w14:textFill>
              </w:rPr>
              <w:t>7</w:t>
            </w:r>
            <w:r>
              <w:rPr>
                <w:color w:val="000000" w:themeColor="text1"/>
                <w:sz w:val="24"/>
                <w14:textFill>
                  <w14:solidFill>
                    <w14:schemeClr w14:val="tx1"/>
                  </w14:solidFill>
                </w14:textFill>
              </w:rPr>
              <w:t>，固体废物分析结果汇总见表</w:t>
            </w:r>
            <w:r>
              <w:rPr>
                <w:rFonts w:hint="eastAsia"/>
                <w:color w:val="000000" w:themeColor="text1"/>
                <w:sz w:val="24"/>
                <w14:textFill>
                  <w14:solidFill>
                    <w14:schemeClr w14:val="tx1"/>
                  </w14:solidFill>
                </w14:textFill>
              </w:rPr>
              <w:t>5-</w:t>
            </w:r>
            <w:r>
              <w:rPr>
                <w:rFonts w:hint="eastAsia"/>
                <w:color w:val="000000" w:themeColor="text1"/>
                <w:sz w:val="24"/>
                <w:lang w:val="en-US" w:eastAsia="zh-CN"/>
                <w14:textFill>
                  <w14:solidFill>
                    <w14:schemeClr w14:val="tx1"/>
                  </w14:solidFill>
                </w14:textFill>
              </w:rPr>
              <w:t>8</w:t>
            </w:r>
            <w:r>
              <w:rPr>
                <w:color w:val="000000" w:themeColor="text1"/>
                <w:sz w:val="24"/>
                <w14:textFill>
                  <w14:solidFill>
                    <w14:schemeClr w14:val="tx1"/>
                  </w14:solidFill>
                </w14:textFill>
              </w:rPr>
              <w:t>。</w:t>
            </w:r>
          </w:p>
          <w:p>
            <w:pPr>
              <w:jc w:val="center"/>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表</w:t>
            </w:r>
            <w:r>
              <w:rPr>
                <w:rFonts w:hint="eastAsia"/>
                <w:b/>
                <w:color w:val="000000" w:themeColor="text1"/>
                <w:sz w:val="24"/>
                <w:szCs w:val="24"/>
                <w14:textFill>
                  <w14:solidFill>
                    <w14:schemeClr w14:val="tx1"/>
                  </w14:solidFill>
                </w14:textFill>
              </w:rPr>
              <w:t>5-</w:t>
            </w:r>
            <w:r>
              <w:rPr>
                <w:rFonts w:hint="eastAsia"/>
                <w:b/>
                <w:color w:val="000000" w:themeColor="text1"/>
                <w:sz w:val="24"/>
                <w:szCs w:val="24"/>
                <w:lang w:val="en-US" w:eastAsia="zh-CN"/>
                <w14:textFill>
                  <w14:solidFill>
                    <w14:schemeClr w14:val="tx1"/>
                  </w14:solidFill>
                </w14:textFill>
              </w:rPr>
              <w:t>6</w:t>
            </w:r>
            <w:r>
              <w:rPr>
                <w:rFonts w:hint="eastAsia"/>
                <w:b/>
                <w:color w:val="000000" w:themeColor="text1"/>
                <w:sz w:val="24"/>
                <w:szCs w:val="24"/>
                <w14:textFill>
                  <w14:solidFill>
                    <w14:schemeClr w14:val="tx1"/>
                  </w14:solidFill>
                </w14:textFill>
              </w:rPr>
              <w:t xml:space="preserve"> </w:t>
            </w:r>
            <w:r>
              <w:rPr>
                <w:b/>
                <w:color w:val="000000" w:themeColor="text1"/>
                <w:sz w:val="24"/>
                <w:szCs w:val="24"/>
                <w14:textFill>
                  <w14:solidFill>
                    <w14:schemeClr w14:val="tx1"/>
                  </w14:solidFill>
                </w14:textFill>
              </w:rPr>
              <w:t xml:space="preserve"> 本项目</w:t>
            </w:r>
            <w:r>
              <w:rPr>
                <w:rFonts w:hint="eastAsia"/>
                <w:b/>
                <w:color w:val="000000" w:themeColor="text1"/>
                <w:sz w:val="24"/>
                <w:szCs w:val="24"/>
                <w14:textFill>
                  <w14:solidFill>
                    <w14:schemeClr w14:val="tx1"/>
                  </w14:solidFill>
                </w14:textFill>
              </w:rPr>
              <w:t>固废</w:t>
            </w:r>
            <w:r>
              <w:rPr>
                <w:b/>
                <w:color w:val="000000" w:themeColor="text1"/>
                <w:sz w:val="24"/>
                <w:szCs w:val="24"/>
                <w14:textFill>
                  <w14:solidFill>
                    <w14:schemeClr w14:val="tx1"/>
                  </w14:solidFill>
                </w14:textFill>
              </w:rPr>
              <w:t>产生情况汇总表</w:t>
            </w:r>
          </w:p>
          <w:tbl>
            <w:tblPr>
              <w:tblStyle w:val="17"/>
              <w:tblW w:w="8312"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531"/>
              <w:gridCol w:w="1030"/>
              <w:gridCol w:w="908"/>
              <w:gridCol w:w="857"/>
              <w:gridCol w:w="1236"/>
              <w:gridCol w:w="951"/>
              <w:gridCol w:w="856"/>
              <w:gridCol w:w="1943"/>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531" w:type="dxa"/>
                  <w:vMerge w:val="restart"/>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b/>
                      <w:color w:val="000000" w:themeColor="text1"/>
                      <w14:textFill>
                        <w14:solidFill>
                          <w14:schemeClr w14:val="tx1"/>
                        </w14:solidFill>
                      </w14:textFill>
                    </w:rPr>
                    <w:t>序号</w:t>
                  </w:r>
                </w:p>
              </w:tc>
              <w:tc>
                <w:tcPr>
                  <w:tcW w:w="1030" w:type="dxa"/>
                  <w:vMerge w:val="restart"/>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b/>
                      <w:color w:val="000000" w:themeColor="text1"/>
                      <w14:textFill>
                        <w14:solidFill>
                          <w14:schemeClr w14:val="tx1"/>
                        </w14:solidFill>
                      </w14:textFill>
                    </w:rPr>
                    <w:t>固体废物名称</w:t>
                  </w:r>
                </w:p>
              </w:tc>
              <w:tc>
                <w:tcPr>
                  <w:tcW w:w="908" w:type="dxa"/>
                  <w:vMerge w:val="restart"/>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b/>
                      <w:color w:val="000000" w:themeColor="text1"/>
                      <w14:textFill>
                        <w14:solidFill>
                          <w14:schemeClr w14:val="tx1"/>
                        </w14:solidFill>
                      </w14:textFill>
                    </w:rPr>
                    <w:t>产生工序</w:t>
                  </w:r>
                </w:p>
              </w:tc>
              <w:tc>
                <w:tcPr>
                  <w:tcW w:w="857" w:type="dxa"/>
                  <w:vMerge w:val="restart"/>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b/>
                      <w:color w:val="000000" w:themeColor="text1"/>
                      <w14:textFill>
                        <w14:solidFill>
                          <w14:schemeClr w14:val="tx1"/>
                        </w14:solidFill>
                      </w14:textFill>
                    </w:rPr>
                    <w:t>形态</w:t>
                  </w:r>
                </w:p>
              </w:tc>
              <w:tc>
                <w:tcPr>
                  <w:tcW w:w="1236" w:type="dxa"/>
                  <w:vMerge w:val="restart"/>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b/>
                      <w:color w:val="000000" w:themeColor="text1"/>
                      <w14:textFill>
                        <w14:solidFill>
                          <w14:schemeClr w14:val="tx1"/>
                        </w14:solidFill>
                      </w14:textFill>
                    </w:rPr>
                    <w:t>主要成分</w:t>
                  </w:r>
                </w:p>
              </w:tc>
              <w:tc>
                <w:tcPr>
                  <w:tcW w:w="951" w:type="dxa"/>
                  <w:vMerge w:val="restart"/>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b/>
                      <w:color w:val="000000" w:themeColor="text1"/>
                      <w14:textFill>
                        <w14:solidFill>
                          <w14:schemeClr w14:val="tx1"/>
                        </w14:solidFill>
                      </w14:textFill>
                    </w:rPr>
                    <w:t>预测产生量（t/a）</w:t>
                  </w:r>
                </w:p>
              </w:tc>
              <w:tc>
                <w:tcPr>
                  <w:tcW w:w="2799" w:type="dxa"/>
                  <w:gridSpan w:val="2"/>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b/>
                      <w:color w:val="000000" w:themeColor="text1"/>
                      <w14:textFill>
                        <w14:solidFill>
                          <w14:schemeClr w14:val="tx1"/>
                        </w14:solidFill>
                      </w14:textFill>
                    </w:rPr>
                    <w:t>种类判断</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531"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b/>
                      <w:color w:val="000000" w:themeColor="text1"/>
                      <w:szCs w:val="21"/>
                      <w14:textFill>
                        <w14:solidFill>
                          <w14:schemeClr w14:val="tx1"/>
                        </w14:solidFill>
                      </w14:textFill>
                    </w:rPr>
                  </w:pPr>
                </w:p>
              </w:tc>
              <w:tc>
                <w:tcPr>
                  <w:tcW w:w="1030"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b/>
                      <w:color w:val="000000" w:themeColor="text1"/>
                      <w:szCs w:val="21"/>
                      <w14:textFill>
                        <w14:solidFill>
                          <w14:schemeClr w14:val="tx1"/>
                        </w14:solidFill>
                      </w14:textFill>
                    </w:rPr>
                  </w:pPr>
                </w:p>
              </w:tc>
              <w:tc>
                <w:tcPr>
                  <w:tcW w:w="908"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b/>
                      <w:color w:val="000000" w:themeColor="text1"/>
                      <w:szCs w:val="21"/>
                      <w14:textFill>
                        <w14:solidFill>
                          <w14:schemeClr w14:val="tx1"/>
                        </w14:solidFill>
                      </w14:textFill>
                    </w:rPr>
                  </w:pPr>
                </w:p>
              </w:tc>
              <w:tc>
                <w:tcPr>
                  <w:tcW w:w="857"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b/>
                      <w:color w:val="000000" w:themeColor="text1"/>
                      <w:szCs w:val="21"/>
                      <w14:textFill>
                        <w14:solidFill>
                          <w14:schemeClr w14:val="tx1"/>
                        </w14:solidFill>
                      </w14:textFill>
                    </w:rPr>
                  </w:pPr>
                </w:p>
              </w:tc>
              <w:tc>
                <w:tcPr>
                  <w:tcW w:w="1236"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b/>
                      <w:color w:val="000000" w:themeColor="text1"/>
                      <w:szCs w:val="21"/>
                      <w14:textFill>
                        <w14:solidFill>
                          <w14:schemeClr w14:val="tx1"/>
                        </w14:solidFill>
                      </w14:textFill>
                    </w:rPr>
                  </w:pPr>
                </w:p>
              </w:tc>
              <w:tc>
                <w:tcPr>
                  <w:tcW w:w="951"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b/>
                      <w:color w:val="000000" w:themeColor="text1"/>
                      <w:szCs w:val="21"/>
                      <w14:textFill>
                        <w14:solidFill>
                          <w14:schemeClr w14:val="tx1"/>
                        </w14:solidFill>
                      </w14:textFill>
                    </w:rPr>
                  </w:pPr>
                </w:p>
              </w:tc>
              <w:tc>
                <w:tcPr>
                  <w:tcW w:w="856"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b/>
                      <w:color w:val="000000" w:themeColor="text1"/>
                      <w14:textFill>
                        <w14:solidFill>
                          <w14:schemeClr w14:val="tx1"/>
                        </w14:solidFill>
                      </w14:textFill>
                    </w:rPr>
                    <w:t>固体废物</w:t>
                  </w:r>
                </w:p>
              </w:tc>
              <w:tc>
                <w:tcPr>
                  <w:tcW w:w="1943"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b/>
                      <w:color w:val="000000" w:themeColor="text1"/>
                      <w14:textFill>
                        <w14:solidFill>
                          <w14:schemeClr w14:val="tx1"/>
                        </w14:solidFill>
                      </w14:textFill>
                    </w:rPr>
                    <w:t>鉴别依据</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531"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Cs/>
                      <w:color w:val="000000" w:themeColor="text1"/>
                      <w14:textFill>
                        <w14:solidFill>
                          <w14:schemeClr w14:val="tx1"/>
                        </w14:solidFill>
                      </w14:textFill>
                    </w:rPr>
                  </w:pPr>
                  <w:r>
                    <w:rPr>
                      <w:bCs/>
                      <w:color w:val="000000" w:themeColor="text1"/>
                      <w14:textFill>
                        <w14:solidFill>
                          <w14:schemeClr w14:val="tx1"/>
                        </w14:solidFill>
                      </w14:textFill>
                    </w:rPr>
                    <w:t>1</w:t>
                  </w:r>
                </w:p>
              </w:tc>
              <w:tc>
                <w:tcPr>
                  <w:tcW w:w="1030"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rFonts w:hint="eastAsia" w:eastAsia="宋体"/>
                      <w:bCs/>
                      <w:color w:val="000000" w:themeColor="text1"/>
                      <w:lang w:eastAsia="zh-CN"/>
                      <w14:textFill>
                        <w14:solidFill>
                          <w14:schemeClr w14:val="tx1"/>
                        </w14:solidFill>
                      </w14:textFill>
                    </w:rPr>
                  </w:pPr>
                  <w:r>
                    <w:rPr>
                      <w:rFonts w:hint="eastAsia"/>
                      <w:bCs/>
                      <w:color w:val="000000" w:themeColor="text1"/>
                      <w:lang w:eastAsia="zh-CN"/>
                      <w14:textFill>
                        <w14:solidFill>
                          <w14:schemeClr w14:val="tx1"/>
                        </w14:solidFill>
                      </w14:textFill>
                    </w:rPr>
                    <w:t>废塑粉</w:t>
                  </w:r>
                </w:p>
              </w:tc>
              <w:tc>
                <w:tcPr>
                  <w:tcW w:w="908" w:type="dxa"/>
                  <w:vMerge w:val="restart"/>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Cs/>
                      <w:color w:val="000000" w:themeColor="text1"/>
                      <w14:textFill>
                        <w14:solidFill>
                          <w14:schemeClr w14:val="tx1"/>
                        </w14:solidFill>
                      </w14:textFill>
                    </w:rPr>
                  </w:pPr>
                  <w:r>
                    <w:rPr>
                      <w:rFonts w:hint="eastAsia"/>
                      <w:bCs/>
                      <w:color w:val="000000" w:themeColor="text1"/>
                      <w14:textFill>
                        <w14:solidFill>
                          <w14:schemeClr w14:val="tx1"/>
                        </w14:solidFill>
                      </w14:textFill>
                    </w:rPr>
                    <w:t>生产过程</w:t>
                  </w:r>
                </w:p>
              </w:tc>
              <w:tc>
                <w:tcPr>
                  <w:tcW w:w="857"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Cs/>
                      <w:color w:val="000000" w:themeColor="text1"/>
                      <w14:textFill>
                        <w14:solidFill>
                          <w14:schemeClr w14:val="tx1"/>
                        </w14:solidFill>
                      </w14:textFill>
                    </w:rPr>
                  </w:pPr>
                  <w:r>
                    <w:rPr>
                      <w:bCs/>
                      <w:color w:val="000000" w:themeColor="text1"/>
                      <w14:textFill>
                        <w14:solidFill>
                          <w14:schemeClr w14:val="tx1"/>
                        </w14:solidFill>
                      </w14:textFill>
                    </w:rPr>
                    <w:t>固态</w:t>
                  </w:r>
                </w:p>
              </w:tc>
              <w:tc>
                <w:tcPr>
                  <w:tcW w:w="1236"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rFonts w:hint="eastAsia" w:eastAsia="宋体"/>
                      <w:bCs/>
                      <w:color w:val="000000" w:themeColor="text1"/>
                      <w:lang w:eastAsia="zh-CN"/>
                      <w14:textFill>
                        <w14:solidFill>
                          <w14:schemeClr w14:val="tx1"/>
                        </w14:solidFill>
                      </w14:textFill>
                    </w:rPr>
                  </w:pPr>
                  <w:r>
                    <w:rPr>
                      <w:rFonts w:hint="eastAsia"/>
                      <w:bCs/>
                      <w:color w:val="000000" w:themeColor="text1"/>
                      <w:lang w:eastAsia="zh-CN"/>
                      <w14:textFill>
                        <w14:solidFill>
                          <w14:schemeClr w14:val="tx1"/>
                        </w14:solidFill>
                      </w14:textFill>
                    </w:rPr>
                    <w:t>环氧树脂</w:t>
                  </w:r>
                </w:p>
              </w:tc>
              <w:tc>
                <w:tcPr>
                  <w:tcW w:w="951"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rFonts w:hint="default" w:eastAsia="宋体"/>
                      <w:bCs/>
                      <w:color w:val="000000" w:themeColor="text1"/>
                      <w:lang w:val="en-US" w:eastAsia="zh-CN"/>
                      <w14:textFill>
                        <w14:solidFill>
                          <w14:schemeClr w14:val="tx1"/>
                        </w14:solidFill>
                      </w14:textFill>
                    </w:rPr>
                  </w:pPr>
                  <w:r>
                    <w:rPr>
                      <w:rFonts w:hint="eastAsia"/>
                      <w:bCs/>
                      <w:color w:val="000000" w:themeColor="text1"/>
                      <w14:textFill>
                        <w14:solidFill>
                          <w14:schemeClr w14:val="tx1"/>
                        </w14:solidFill>
                      </w14:textFill>
                    </w:rPr>
                    <w:t>0.</w:t>
                  </w:r>
                  <w:r>
                    <w:rPr>
                      <w:rFonts w:hint="eastAsia"/>
                      <w:bCs/>
                      <w:color w:val="000000" w:themeColor="text1"/>
                      <w:lang w:val="en-US" w:eastAsia="zh-CN"/>
                      <w14:textFill>
                        <w14:solidFill>
                          <w14:schemeClr w14:val="tx1"/>
                        </w14:solidFill>
                      </w14:textFill>
                    </w:rPr>
                    <w:t>33</w:t>
                  </w:r>
                </w:p>
              </w:tc>
              <w:tc>
                <w:tcPr>
                  <w:tcW w:w="856" w:type="dxa"/>
                  <w:vAlign w:val="center"/>
                </w:tcPr>
                <w:p>
                  <w:pPr>
                    <w:keepNext w:val="0"/>
                    <w:keepLines w:val="0"/>
                    <w:pageBreakBefore w:val="0"/>
                    <w:widowControl w:val="0"/>
                    <w:kinsoku/>
                    <w:wordWrap/>
                    <w:overflowPunct/>
                    <w:topLinePunct w:val="0"/>
                    <w:autoSpaceDE/>
                    <w:autoSpaceDN/>
                    <w:bidi w:val="0"/>
                    <w:spacing w:before="63" w:beforeLines="20" w:after="63" w:afterLines="20"/>
                    <w:contextualSpacing/>
                    <w:jc w:val="center"/>
                    <w:textAlignment w:val="auto"/>
                    <w:rPr>
                      <w:bCs/>
                      <w:color w:val="000000" w:themeColor="text1"/>
                      <w:kern w:val="18"/>
                      <w:szCs w:val="21"/>
                      <w14:textFill>
                        <w14:solidFill>
                          <w14:schemeClr w14:val="tx1"/>
                        </w14:solidFill>
                      </w14:textFill>
                    </w:rPr>
                  </w:pPr>
                  <w:r>
                    <w:rPr>
                      <w:bCs/>
                      <w:color w:val="000000" w:themeColor="text1"/>
                      <w:kern w:val="18"/>
                      <w:szCs w:val="21"/>
                      <w14:textFill>
                        <w14:solidFill>
                          <w14:schemeClr w14:val="tx1"/>
                        </w14:solidFill>
                      </w14:textFill>
                    </w:rPr>
                    <w:t>√</w:t>
                  </w:r>
                </w:p>
              </w:tc>
              <w:tc>
                <w:tcPr>
                  <w:tcW w:w="1943" w:type="dxa"/>
                  <w:vMerge w:val="restart"/>
                  <w:vAlign w:val="center"/>
                </w:tcPr>
                <w:p>
                  <w:pPr>
                    <w:keepNext w:val="0"/>
                    <w:keepLines w:val="0"/>
                    <w:pageBreakBefore w:val="0"/>
                    <w:widowControl w:val="0"/>
                    <w:kinsoku/>
                    <w:wordWrap/>
                    <w:overflowPunct/>
                    <w:topLinePunct w:val="0"/>
                    <w:autoSpaceDE/>
                    <w:autoSpaceDN/>
                    <w:bidi w:val="0"/>
                    <w:spacing w:before="63" w:beforeLines="20" w:after="63" w:afterLines="20"/>
                    <w:contextualSpacing/>
                    <w:jc w:val="center"/>
                    <w:textAlignment w:val="auto"/>
                    <w:rPr>
                      <w:bCs/>
                      <w:color w:val="000000" w:themeColor="text1"/>
                      <w:kern w:val="18"/>
                      <w:szCs w:val="21"/>
                      <w14:textFill>
                        <w14:solidFill>
                          <w14:schemeClr w14:val="tx1"/>
                        </w14:solidFill>
                      </w14:textFill>
                    </w:rPr>
                  </w:pPr>
                  <w:r>
                    <w:rPr>
                      <w:bCs/>
                      <w:color w:val="000000" w:themeColor="text1"/>
                      <w:kern w:val="18"/>
                      <w:szCs w:val="21"/>
                      <w14:textFill>
                        <w14:solidFill>
                          <w14:schemeClr w14:val="tx1"/>
                        </w14:solidFill>
                      </w14:textFill>
                    </w:rPr>
                    <w:t>《固体废物鉴别标准 通则》（GB34330-2017）</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531"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Cs/>
                      <w:color w:val="000000" w:themeColor="text1"/>
                      <w14:textFill>
                        <w14:solidFill>
                          <w14:schemeClr w14:val="tx1"/>
                        </w14:solidFill>
                      </w14:textFill>
                    </w:rPr>
                  </w:pPr>
                  <w:r>
                    <w:rPr>
                      <w:bCs/>
                      <w:color w:val="000000" w:themeColor="text1"/>
                      <w14:textFill>
                        <w14:solidFill>
                          <w14:schemeClr w14:val="tx1"/>
                        </w14:solidFill>
                      </w14:textFill>
                    </w:rPr>
                    <w:t>2</w:t>
                  </w:r>
                </w:p>
              </w:tc>
              <w:tc>
                <w:tcPr>
                  <w:tcW w:w="1030"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rFonts w:hint="eastAsia" w:eastAsia="宋体"/>
                      <w:bCs/>
                      <w:color w:val="000000" w:themeColor="text1"/>
                      <w:lang w:eastAsia="zh-CN"/>
                      <w14:textFill>
                        <w14:solidFill>
                          <w14:schemeClr w14:val="tx1"/>
                        </w14:solidFill>
                      </w14:textFill>
                    </w:rPr>
                  </w:pPr>
                  <w:r>
                    <w:rPr>
                      <w:rFonts w:hint="eastAsia"/>
                      <w:bCs/>
                      <w:color w:val="000000" w:themeColor="text1"/>
                      <w:lang w:eastAsia="zh-CN"/>
                      <w14:textFill>
                        <w14:solidFill>
                          <w14:schemeClr w14:val="tx1"/>
                        </w14:solidFill>
                      </w14:textFill>
                    </w:rPr>
                    <w:t>废包装材料</w:t>
                  </w:r>
                </w:p>
              </w:tc>
              <w:tc>
                <w:tcPr>
                  <w:tcW w:w="908" w:type="dxa"/>
                  <w:vMerge w:val="continue"/>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Cs/>
                      <w:color w:val="000000" w:themeColor="text1"/>
                      <w14:textFill>
                        <w14:solidFill>
                          <w14:schemeClr w14:val="tx1"/>
                        </w14:solidFill>
                      </w14:textFill>
                    </w:rPr>
                  </w:pPr>
                </w:p>
              </w:tc>
              <w:tc>
                <w:tcPr>
                  <w:tcW w:w="857"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Cs/>
                      <w:color w:val="000000" w:themeColor="text1"/>
                      <w14:textFill>
                        <w14:solidFill>
                          <w14:schemeClr w14:val="tx1"/>
                        </w14:solidFill>
                      </w14:textFill>
                    </w:rPr>
                  </w:pPr>
                  <w:r>
                    <w:rPr>
                      <w:bCs/>
                      <w:color w:val="000000" w:themeColor="text1"/>
                      <w14:textFill>
                        <w14:solidFill>
                          <w14:schemeClr w14:val="tx1"/>
                        </w14:solidFill>
                      </w14:textFill>
                    </w:rPr>
                    <w:t>固态</w:t>
                  </w:r>
                </w:p>
              </w:tc>
              <w:tc>
                <w:tcPr>
                  <w:tcW w:w="1236"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rFonts w:hint="eastAsia" w:eastAsia="宋体"/>
                      <w:bCs/>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纸壳、塑料袋</w:t>
                  </w:r>
                </w:p>
              </w:tc>
              <w:tc>
                <w:tcPr>
                  <w:tcW w:w="951"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rFonts w:hint="default" w:eastAsia="宋体"/>
                      <w:bCs/>
                      <w:color w:val="000000" w:themeColor="text1"/>
                      <w:lang w:val="en-US" w:eastAsia="zh-CN"/>
                      <w14:textFill>
                        <w14:solidFill>
                          <w14:schemeClr w14:val="tx1"/>
                        </w14:solidFill>
                      </w14:textFill>
                    </w:rPr>
                  </w:pPr>
                  <w:r>
                    <w:rPr>
                      <w:rFonts w:hint="eastAsia"/>
                      <w:bCs/>
                      <w:color w:val="000000" w:themeColor="text1"/>
                      <w:lang w:val="en-US" w:eastAsia="zh-CN"/>
                      <w14:textFill>
                        <w14:solidFill>
                          <w14:schemeClr w14:val="tx1"/>
                        </w14:solidFill>
                      </w14:textFill>
                    </w:rPr>
                    <w:t>0.1</w:t>
                  </w:r>
                </w:p>
              </w:tc>
              <w:tc>
                <w:tcPr>
                  <w:tcW w:w="856" w:type="dxa"/>
                  <w:vAlign w:val="center"/>
                </w:tcPr>
                <w:p>
                  <w:pPr>
                    <w:keepNext w:val="0"/>
                    <w:keepLines w:val="0"/>
                    <w:pageBreakBefore w:val="0"/>
                    <w:widowControl w:val="0"/>
                    <w:kinsoku/>
                    <w:wordWrap/>
                    <w:overflowPunct/>
                    <w:topLinePunct w:val="0"/>
                    <w:autoSpaceDE/>
                    <w:autoSpaceDN/>
                    <w:bidi w:val="0"/>
                    <w:spacing w:before="63" w:beforeLines="20" w:after="63" w:afterLines="20"/>
                    <w:contextualSpacing/>
                    <w:jc w:val="center"/>
                    <w:textAlignment w:val="auto"/>
                    <w:rPr>
                      <w:bCs/>
                      <w:color w:val="000000" w:themeColor="text1"/>
                      <w:kern w:val="18"/>
                      <w:szCs w:val="21"/>
                      <w14:textFill>
                        <w14:solidFill>
                          <w14:schemeClr w14:val="tx1"/>
                        </w14:solidFill>
                      </w14:textFill>
                    </w:rPr>
                  </w:pPr>
                  <w:r>
                    <w:rPr>
                      <w:bCs/>
                      <w:color w:val="000000" w:themeColor="text1"/>
                      <w:kern w:val="18"/>
                      <w:szCs w:val="21"/>
                      <w14:textFill>
                        <w14:solidFill>
                          <w14:schemeClr w14:val="tx1"/>
                        </w14:solidFill>
                      </w14:textFill>
                    </w:rPr>
                    <w:t>√</w:t>
                  </w:r>
                </w:p>
              </w:tc>
              <w:tc>
                <w:tcPr>
                  <w:tcW w:w="1943"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bCs/>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531"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Cs/>
                      <w:color w:val="000000" w:themeColor="text1"/>
                      <w14:textFill>
                        <w14:solidFill>
                          <w14:schemeClr w14:val="tx1"/>
                        </w14:solidFill>
                      </w14:textFill>
                    </w:rPr>
                  </w:pPr>
                  <w:r>
                    <w:rPr>
                      <w:bCs/>
                      <w:color w:val="000000" w:themeColor="text1"/>
                      <w14:textFill>
                        <w14:solidFill>
                          <w14:schemeClr w14:val="tx1"/>
                        </w14:solidFill>
                      </w14:textFill>
                    </w:rPr>
                    <w:t>3</w:t>
                  </w:r>
                </w:p>
              </w:tc>
              <w:tc>
                <w:tcPr>
                  <w:tcW w:w="1030"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rFonts w:hint="eastAsia" w:eastAsia="宋体"/>
                      <w:bCs/>
                      <w:color w:val="000000" w:themeColor="text1"/>
                      <w:lang w:eastAsia="zh-CN"/>
                      <w14:textFill>
                        <w14:solidFill>
                          <w14:schemeClr w14:val="tx1"/>
                        </w14:solidFill>
                      </w14:textFill>
                    </w:rPr>
                  </w:pPr>
                  <w:r>
                    <w:rPr>
                      <w:rFonts w:hint="eastAsia"/>
                      <w:bCs/>
                      <w:color w:val="000000" w:themeColor="text1"/>
                      <w:lang w:eastAsia="zh-CN"/>
                      <w14:textFill>
                        <w14:solidFill>
                          <w14:schemeClr w14:val="tx1"/>
                        </w14:solidFill>
                      </w14:textFill>
                    </w:rPr>
                    <w:t>含油抹布和手套</w:t>
                  </w:r>
                </w:p>
              </w:tc>
              <w:tc>
                <w:tcPr>
                  <w:tcW w:w="908" w:type="dxa"/>
                  <w:vMerge w:val="continue"/>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Cs/>
                      <w:color w:val="000000" w:themeColor="text1"/>
                      <w14:textFill>
                        <w14:solidFill>
                          <w14:schemeClr w14:val="tx1"/>
                        </w14:solidFill>
                      </w14:textFill>
                    </w:rPr>
                  </w:pPr>
                </w:p>
              </w:tc>
              <w:tc>
                <w:tcPr>
                  <w:tcW w:w="857"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Cs/>
                      <w:color w:val="000000" w:themeColor="text1"/>
                      <w14:textFill>
                        <w14:solidFill>
                          <w14:schemeClr w14:val="tx1"/>
                        </w14:solidFill>
                      </w14:textFill>
                    </w:rPr>
                  </w:pPr>
                  <w:r>
                    <w:rPr>
                      <w:bCs/>
                      <w:color w:val="000000" w:themeColor="text1"/>
                      <w14:textFill>
                        <w14:solidFill>
                          <w14:schemeClr w14:val="tx1"/>
                        </w14:solidFill>
                      </w14:textFill>
                    </w:rPr>
                    <w:t>固态</w:t>
                  </w:r>
                </w:p>
              </w:tc>
              <w:tc>
                <w:tcPr>
                  <w:tcW w:w="1236"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rFonts w:hint="eastAsia" w:eastAsia="宋体"/>
                      <w:bCs/>
                      <w:color w:val="000000" w:themeColor="text1"/>
                      <w:lang w:eastAsia="zh-CN"/>
                      <w14:textFill>
                        <w14:solidFill>
                          <w14:schemeClr w14:val="tx1"/>
                        </w14:solidFill>
                      </w14:textFill>
                    </w:rPr>
                  </w:pPr>
                  <w:r>
                    <w:rPr>
                      <w:rFonts w:hint="eastAsia"/>
                      <w:bCs/>
                      <w:color w:val="000000" w:themeColor="text1"/>
                      <w:lang w:eastAsia="zh-CN"/>
                      <w14:textFill>
                        <w14:solidFill>
                          <w14:schemeClr w14:val="tx1"/>
                        </w14:solidFill>
                      </w14:textFill>
                    </w:rPr>
                    <w:t>润滑脂</w:t>
                  </w:r>
                </w:p>
              </w:tc>
              <w:tc>
                <w:tcPr>
                  <w:tcW w:w="951"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rFonts w:hint="default" w:eastAsia="宋体"/>
                      <w:bCs/>
                      <w:color w:val="000000" w:themeColor="text1"/>
                      <w:lang w:val="en-US" w:eastAsia="zh-CN"/>
                      <w14:textFill>
                        <w14:solidFill>
                          <w14:schemeClr w14:val="tx1"/>
                        </w14:solidFill>
                      </w14:textFill>
                    </w:rPr>
                  </w:pPr>
                  <w:r>
                    <w:rPr>
                      <w:rFonts w:hint="eastAsia"/>
                      <w:bCs/>
                      <w:color w:val="000000" w:themeColor="text1"/>
                      <w:lang w:val="en-US" w:eastAsia="zh-CN"/>
                      <w14:textFill>
                        <w14:solidFill>
                          <w14:schemeClr w14:val="tx1"/>
                        </w14:solidFill>
                      </w14:textFill>
                    </w:rPr>
                    <w:t>0.1</w:t>
                  </w:r>
                </w:p>
              </w:tc>
              <w:tc>
                <w:tcPr>
                  <w:tcW w:w="856" w:type="dxa"/>
                  <w:vAlign w:val="center"/>
                </w:tcPr>
                <w:p>
                  <w:pPr>
                    <w:keepNext w:val="0"/>
                    <w:keepLines w:val="0"/>
                    <w:pageBreakBefore w:val="0"/>
                    <w:widowControl w:val="0"/>
                    <w:kinsoku/>
                    <w:wordWrap/>
                    <w:overflowPunct/>
                    <w:topLinePunct w:val="0"/>
                    <w:autoSpaceDE/>
                    <w:autoSpaceDN/>
                    <w:bidi w:val="0"/>
                    <w:spacing w:before="63" w:beforeLines="20" w:after="63" w:afterLines="20"/>
                    <w:contextualSpacing/>
                    <w:jc w:val="center"/>
                    <w:textAlignment w:val="auto"/>
                    <w:rPr>
                      <w:bCs/>
                      <w:color w:val="000000" w:themeColor="text1"/>
                      <w:kern w:val="18"/>
                      <w:szCs w:val="21"/>
                      <w14:textFill>
                        <w14:solidFill>
                          <w14:schemeClr w14:val="tx1"/>
                        </w14:solidFill>
                      </w14:textFill>
                    </w:rPr>
                  </w:pPr>
                  <w:r>
                    <w:rPr>
                      <w:bCs/>
                      <w:color w:val="000000" w:themeColor="text1"/>
                      <w:kern w:val="18"/>
                      <w:szCs w:val="21"/>
                      <w14:textFill>
                        <w14:solidFill>
                          <w14:schemeClr w14:val="tx1"/>
                        </w14:solidFill>
                      </w14:textFill>
                    </w:rPr>
                    <w:t>√</w:t>
                  </w:r>
                </w:p>
              </w:tc>
              <w:tc>
                <w:tcPr>
                  <w:tcW w:w="1943"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bCs/>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531"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Cs/>
                      <w:color w:val="000000" w:themeColor="text1"/>
                      <w14:textFill>
                        <w14:solidFill>
                          <w14:schemeClr w14:val="tx1"/>
                        </w14:solidFill>
                      </w14:textFill>
                    </w:rPr>
                  </w:pPr>
                  <w:r>
                    <w:rPr>
                      <w:rFonts w:hint="eastAsia"/>
                      <w:bCs/>
                      <w:color w:val="000000" w:themeColor="text1"/>
                      <w14:textFill>
                        <w14:solidFill>
                          <w14:schemeClr w14:val="tx1"/>
                        </w14:solidFill>
                      </w14:textFill>
                    </w:rPr>
                    <w:t>4</w:t>
                  </w:r>
                </w:p>
              </w:tc>
              <w:tc>
                <w:tcPr>
                  <w:tcW w:w="1030"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rFonts w:hint="eastAsia" w:eastAsia="宋体"/>
                      <w:bCs/>
                      <w:color w:val="000000" w:themeColor="text1"/>
                      <w:lang w:eastAsia="zh-CN"/>
                      <w14:textFill>
                        <w14:solidFill>
                          <w14:schemeClr w14:val="tx1"/>
                        </w14:solidFill>
                      </w14:textFill>
                    </w:rPr>
                  </w:pPr>
                  <w:r>
                    <w:rPr>
                      <w:rFonts w:hint="eastAsia"/>
                      <w:bCs/>
                      <w:color w:val="000000" w:themeColor="text1"/>
                      <w:lang w:eastAsia="zh-CN"/>
                      <w14:textFill>
                        <w14:solidFill>
                          <w14:schemeClr w14:val="tx1"/>
                        </w14:solidFill>
                      </w14:textFill>
                    </w:rPr>
                    <w:t>废包装桶</w:t>
                  </w:r>
                </w:p>
              </w:tc>
              <w:tc>
                <w:tcPr>
                  <w:tcW w:w="908" w:type="dxa"/>
                  <w:vMerge w:val="continue"/>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Cs/>
                      <w:color w:val="000000" w:themeColor="text1"/>
                      <w14:textFill>
                        <w14:solidFill>
                          <w14:schemeClr w14:val="tx1"/>
                        </w14:solidFill>
                      </w14:textFill>
                    </w:rPr>
                  </w:pPr>
                </w:p>
              </w:tc>
              <w:tc>
                <w:tcPr>
                  <w:tcW w:w="857"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固态</w:t>
                  </w:r>
                </w:p>
              </w:tc>
              <w:tc>
                <w:tcPr>
                  <w:tcW w:w="1236"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润滑脂</w:t>
                  </w:r>
                </w:p>
              </w:tc>
              <w:tc>
                <w:tcPr>
                  <w:tcW w:w="951"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rFonts w:hint="default" w:eastAsia="宋体"/>
                      <w:bCs/>
                      <w:color w:val="000000" w:themeColor="text1"/>
                      <w:lang w:val="en-US" w:eastAsia="zh-CN"/>
                      <w14:textFill>
                        <w14:solidFill>
                          <w14:schemeClr w14:val="tx1"/>
                        </w14:solidFill>
                      </w14:textFill>
                    </w:rPr>
                  </w:pPr>
                  <w:r>
                    <w:rPr>
                      <w:rFonts w:hint="eastAsia"/>
                      <w:bCs/>
                      <w:color w:val="000000" w:themeColor="text1"/>
                      <w:lang w:val="en-US" w:eastAsia="zh-CN"/>
                      <w14:textFill>
                        <w14:solidFill>
                          <w14:schemeClr w14:val="tx1"/>
                        </w14:solidFill>
                      </w14:textFill>
                    </w:rPr>
                    <w:t>10只/a</w:t>
                  </w:r>
                </w:p>
              </w:tc>
              <w:tc>
                <w:tcPr>
                  <w:tcW w:w="856" w:type="dxa"/>
                  <w:vAlign w:val="center"/>
                </w:tcPr>
                <w:p>
                  <w:pPr>
                    <w:keepNext w:val="0"/>
                    <w:keepLines w:val="0"/>
                    <w:pageBreakBefore w:val="0"/>
                    <w:widowControl w:val="0"/>
                    <w:kinsoku/>
                    <w:wordWrap/>
                    <w:overflowPunct/>
                    <w:topLinePunct w:val="0"/>
                    <w:autoSpaceDE/>
                    <w:autoSpaceDN/>
                    <w:bidi w:val="0"/>
                    <w:spacing w:before="63" w:beforeLines="20" w:after="63" w:afterLines="20"/>
                    <w:contextualSpacing/>
                    <w:jc w:val="center"/>
                    <w:textAlignment w:val="auto"/>
                    <w:rPr>
                      <w:bCs/>
                      <w:color w:val="000000" w:themeColor="text1"/>
                      <w:kern w:val="18"/>
                      <w:szCs w:val="21"/>
                      <w14:textFill>
                        <w14:solidFill>
                          <w14:schemeClr w14:val="tx1"/>
                        </w14:solidFill>
                      </w14:textFill>
                    </w:rPr>
                  </w:pPr>
                  <w:r>
                    <w:rPr>
                      <w:bCs/>
                      <w:color w:val="000000" w:themeColor="text1"/>
                      <w:kern w:val="18"/>
                      <w:szCs w:val="21"/>
                      <w14:textFill>
                        <w14:solidFill>
                          <w14:schemeClr w14:val="tx1"/>
                        </w14:solidFill>
                      </w14:textFill>
                    </w:rPr>
                    <w:t>√</w:t>
                  </w:r>
                </w:p>
              </w:tc>
              <w:tc>
                <w:tcPr>
                  <w:tcW w:w="1943"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bCs/>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531"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rFonts w:hint="eastAsia" w:eastAsia="宋体"/>
                      <w:bCs/>
                      <w:color w:val="000000" w:themeColor="text1"/>
                      <w:lang w:val="en-US" w:eastAsia="zh-CN"/>
                      <w14:textFill>
                        <w14:solidFill>
                          <w14:schemeClr w14:val="tx1"/>
                        </w14:solidFill>
                      </w14:textFill>
                    </w:rPr>
                  </w:pPr>
                  <w:r>
                    <w:rPr>
                      <w:rFonts w:hint="eastAsia"/>
                      <w:bCs/>
                      <w:color w:val="000000" w:themeColor="text1"/>
                      <w:lang w:val="en-US" w:eastAsia="zh-CN"/>
                      <w14:textFill>
                        <w14:solidFill>
                          <w14:schemeClr w14:val="tx1"/>
                        </w14:solidFill>
                      </w14:textFill>
                    </w:rPr>
                    <w:t>5</w:t>
                  </w:r>
                </w:p>
              </w:tc>
              <w:tc>
                <w:tcPr>
                  <w:tcW w:w="1030"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废活性炭</w:t>
                  </w:r>
                </w:p>
              </w:tc>
              <w:tc>
                <w:tcPr>
                  <w:tcW w:w="908" w:type="dxa"/>
                  <w:vMerge w:val="continue"/>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Cs/>
                      <w:color w:val="000000" w:themeColor="text1"/>
                      <w14:textFill>
                        <w14:solidFill>
                          <w14:schemeClr w14:val="tx1"/>
                        </w14:solidFill>
                      </w14:textFill>
                    </w:rPr>
                  </w:pPr>
                </w:p>
              </w:tc>
              <w:tc>
                <w:tcPr>
                  <w:tcW w:w="857"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Cs/>
                      <w:color w:val="000000" w:themeColor="text1"/>
                      <w14:textFill>
                        <w14:solidFill>
                          <w14:schemeClr w14:val="tx1"/>
                        </w14:solidFill>
                      </w14:textFill>
                    </w:rPr>
                  </w:pPr>
                  <w:r>
                    <w:rPr>
                      <w:bCs/>
                      <w:color w:val="000000" w:themeColor="text1"/>
                      <w14:textFill>
                        <w14:solidFill>
                          <w14:schemeClr w14:val="tx1"/>
                        </w14:solidFill>
                      </w14:textFill>
                    </w:rPr>
                    <w:t>固态</w:t>
                  </w:r>
                </w:p>
              </w:tc>
              <w:tc>
                <w:tcPr>
                  <w:tcW w:w="1236"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Cs/>
                      <w:color w:val="000000" w:themeColor="text1"/>
                      <w14:textFill>
                        <w14:solidFill>
                          <w14:schemeClr w14:val="tx1"/>
                        </w14:solidFill>
                      </w14:textFill>
                    </w:rPr>
                  </w:pPr>
                  <w:r>
                    <w:rPr>
                      <w:rFonts w:hint="eastAsia"/>
                      <w:color w:val="000000" w:themeColor="text1"/>
                      <w14:textFill>
                        <w14:solidFill>
                          <w14:schemeClr w14:val="tx1"/>
                        </w14:solidFill>
                      </w14:textFill>
                    </w:rPr>
                    <w:t>有机废气</w:t>
                  </w:r>
                </w:p>
              </w:tc>
              <w:tc>
                <w:tcPr>
                  <w:tcW w:w="951"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rFonts w:hint="default" w:eastAsia="宋体"/>
                      <w:bCs/>
                      <w:color w:val="000000" w:themeColor="text1"/>
                      <w:lang w:val="en-US" w:eastAsia="zh-CN"/>
                      <w14:textFill>
                        <w14:solidFill>
                          <w14:schemeClr w14:val="tx1"/>
                        </w14:solidFill>
                      </w14:textFill>
                    </w:rPr>
                  </w:pPr>
                  <w:r>
                    <w:rPr>
                      <w:rFonts w:hint="eastAsia"/>
                      <w:bCs/>
                      <w:color w:val="000000" w:themeColor="text1"/>
                      <w:lang w:val="en-US" w:eastAsia="zh-CN"/>
                      <w14:textFill>
                        <w14:solidFill>
                          <w14:schemeClr w14:val="tx1"/>
                        </w14:solidFill>
                      </w14:textFill>
                    </w:rPr>
                    <w:t>0.826</w:t>
                  </w:r>
                </w:p>
              </w:tc>
              <w:tc>
                <w:tcPr>
                  <w:tcW w:w="856" w:type="dxa"/>
                  <w:vAlign w:val="center"/>
                </w:tcPr>
                <w:p>
                  <w:pPr>
                    <w:keepNext w:val="0"/>
                    <w:keepLines w:val="0"/>
                    <w:pageBreakBefore w:val="0"/>
                    <w:widowControl w:val="0"/>
                    <w:kinsoku/>
                    <w:wordWrap/>
                    <w:overflowPunct/>
                    <w:topLinePunct w:val="0"/>
                    <w:autoSpaceDE/>
                    <w:autoSpaceDN/>
                    <w:bidi w:val="0"/>
                    <w:spacing w:before="63" w:beforeLines="20" w:after="63" w:afterLines="20"/>
                    <w:contextualSpacing/>
                    <w:jc w:val="center"/>
                    <w:textAlignment w:val="auto"/>
                    <w:rPr>
                      <w:bCs/>
                      <w:color w:val="000000" w:themeColor="text1"/>
                      <w:kern w:val="18"/>
                      <w:szCs w:val="21"/>
                      <w14:textFill>
                        <w14:solidFill>
                          <w14:schemeClr w14:val="tx1"/>
                        </w14:solidFill>
                      </w14:textFill>
                    </w:rPr>
                  </w:pPr>
                  <w:r>
                    <w:rPr>
                      <w:bCs/>
                      <w:color w:val="000000" w:themeColor="text1"/>
                      <w:kern w:val="18"/>
                      <w:szCs w:val="21"/>
                      <w14:textFill>
                        <w14:solidFill>
                          <w14:schemeClr w14:val="tx1"/>
                        </w14:solidFill>
                      </w14:textFill>
                    </w:rPr>
                    <w:t>√</w:t>
                  </w:r>
                </w:p>
              </w:tc>
              <w:tc>
                <w:tcPr>
                  <w:tcW w:w="1943"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bCs/>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80" w:hRule="atLeast"/>
                <w:jc w:val="center"/>
              </w:trPr>
              <w:tc>
                <w:tcPr>
                  <w:tcW w:w="531"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rFonts w:hint="eastAsia" w:eastAsia="宋体"/>
                      <w:bCs/>
                      <w:color w:val="000000" w:themeColor="text1"/>
                      <w:lang w:eastAsia="zh-CN"/>
                      <w14:textFill>
                        <w14:solidFill>
                          <w14:schemeClr w14:val="tx1"/>
                        </w14:solidFill>
                      </w14:textFill>
                    </w:rPr>
                  </w:pPr>
                  <w:r>
                    <w:rPr>
                      <w:rFonts w:hint="eastAsia"/>
                      <w:bCs/>
                      <w:color w:val="000000" w:themeColor="text1"/>
                      <w:lang w:val="en-US" w:eastAsia="zh-CN"/>
                      <w14:textFill>
                        <w14:solidFill>
                          <w14:schemeClr w14:val="tx1"/>
                        </w14:solidFill>
                      </w14:textFill>
                    </w:rPr>
                    <w:t>6</w:t>
                  </w:r>
                </w:p>
              </w:tc>
              <w:tc>
                <w:tcPr>
                  <w:tcW w:w="1030"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Cs/>
                      <w:color w:val="000000" w:themeColor="text1"/>
                      <w14:textFill>
                        <w14:solidFill>
                          <w14:schemeClr w14:val="tx1"/>
                        </w14:solidFill>
                      </w14:textFill>
                    </w:rPr>
                  </w:pPr>
                  <w:r>
                    <w:rPr>
                      <w:rFonts w:hint="eastAsia"/>
                      <w:bCs/>
                      <w:color w:val="000000" w:themeColor="text1"/>
                      <w14:textFill>
                        <w14:solidFill>
                          <w14:schemeClr w14:val="tx1"/>
                        </w14:solidFill>
                      </w14:textFill>
                    </w:rPr>
                    <w:t>生活垃圾</w:t>
                  </w:r>
                </w:p>
              </w:tc>
              <w:tc>
                <w:tcPr>
                  <w:tcW w:w="908"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员工日常生活</w:t>
                  </w:r>
                </w:p>
              </w:tc>
              <w:tc>
                <w:tcPr>
                  <w:tcW w:w="857"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Cs/>
                      <w:color w:val="000000" w:themeColor="text1"/>
                      <w14:textFill>
                        <w14:solidFill>
                          <w14:schemeClr w14:val="tx1"/>
                        </w14:solidFill>
                      </w14:textFill>
                    </w:rPr>
                  </w:pPr>
                  <w:r>
                    <w:rPr>
                      <w:bCs/>
                      <w:color w:val="000000" w:themeColor="text1"/>
                      <w14:textFill>
                        <w14:solidFill>
                          <w14:schemeClr w14:val="tx1"/>
                        </w14:solidFill>
                      </w14:textFill>
                    </w:rPr>
                    <w:t>固态</w:t>
                  </w:r>
                </w:p>
              </w:tc>
              <w:tc>
                <w:tcPr>
                  <w:tcW w:w="1236"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Cs/>
                      <w:color w:val="000000" w:themeColor="text1"/>
                      <w14:textFill>
                        <w14:solidFill>
                          <w14:schemeClr w14:val="tx1"/>
                        </w14:solidFill>
                      </w14:textFill>
                    </w:rPr>
                  </w:pPr>
                  <w:r>
                    <w:rPr>
                      <w:bCs/>
                      <w:color w:val="000000" w:themeColor="text1"/>
                      <w14:textFill>
                        <w14:solidFill>
                          <w14:schemeClr w14:val="tx1"/>
                        </w14:solidFill>
                      </w14:textFill>
                    </w:rPr>
                    <w:t>果皮、纸等</w:t>
                  </w:r>
                </w:p>
              </w:tc>
              <w:tc>
                <w:tcPr>
                  <w:tcW w:w="951"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rFonts w:hint="default" w:eastAsia="宋体"/>
                      <w:bCs/>
                      <w:color w:val="000000" w:themeColor="text1"/>
                      <w:lang w:val="en-US" w:eastAsia="zh-CN"/>
                      <w14:textFill>
                        <w14:solidFill>
                          <w14:schemeClr w14:val="tx1"/>
                        </w14:solidFill>
                      </w14:textFill>
                    </w:rPr>
                  </w:pPr>
                  <w:r>
                    <w:rPr>
                      <w:rFonts w:hint="eastAsia"/>
                      <w:bCs/>
                      <w:color w:val="000000" w:themeColor="text1"/>
                      <w:lang w:val="en-US" w:eastAsia="zh-CN"/>
                      <w14:textFill>
                        <w14:solidFill>
                          <w14:schemeClr w14:val="tx1"/>
                        </w14:solidFill>
                      </w14:textFill>
                    </w:rPr>
                    <w:t>7.5</w:t>
                  </w:r>
                </w:p>
              </w:tc>
              <w:tc>
                <w:tcPr>
                  <w:tcW w:w="856" w:type="dxa"/>
                  <w:vAlign w:val="center"/>
                </w:tcPr>
                <w:p>
                  <w:pPr>
                    <w:keepNext w:val="0"/>
                    <w:keepLines w:val="0"/>
                    <w:pageBreakBefore w:val="0"/>
                    <w:widowControl w:val="0"/>
                    <w:kinsoku/>
                    <w:wordWrap/>
                    <w:overflowPunct/>
                    <w:topLinePunct w:val="0"/>
                    <w:autoSpaceDE/>
                    <w:autoSpaceDN/>
                    <w:bidi w:val="0"/>
                    <w:spacing w:before="63" w:beforeLines="20" w:after="63" w:afterLines="20"/>
                    <w:contextualSpacing/>
                    <w:jc w:val="center"/>
                    <w:textAlignment w:val="auto"/>
                    <w:rPr>
                      <w:bCs/>
                      <w:color w:val="000000" w:themeColor="text1"/>
                      <w:kern w:val="18"/>
                      <w:szCs w:val="21"/>
                      <w14:textFill>
                        <w14:solidFill>
                          <w14:schemeClr w14:val="tx1"/>
                        </w14:solidFill>
                      </w14:textFill>
                    </w:rPr>
                  </w:pPr>
                  <w:r>
                    <w:rPr>
                      <w:bCs/>
                      <w:color w:val="000000" w:themeColor="text1"/>
                      <w:kern w:val="18"/>
                      <w:szCs w:val="21"/>
                      <w14:textFill>
                        <w14:solidFill>
                          <w14:schemeClr w14:val="tx1"/>
                        </w14:solidFill>
                      </w14:textFill>
                    </w:rPr>
                    <w:t>√</w:t>
                  </w:r>
                </w:p>
              </w:tc>
              <w:tc>
                <w:tcPr>
                  <w:tcW w:w="1943"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bCs/>
                      <w:color w:val="000000" w:themeColor="text1"/>
                      <w:szCs w:val="21"/>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表</w:t>
            </w:r>
            <w:r>
              <w:rPr>
                <w:rFonts w:hint="eastAsia"/>
                <w:b/>
                <w:color w:val="000000" w:themeColor="text1"/>
                <w:sz w:val="24"/>
                <w:szCs w:val="24"/>
                <w14:textFill>
                  <w14:solidFill>
                    <w14:schemeClr w14:val="tx1"/>
                  </w14:solidFill>
                </w14:textFill>
              </w:rPr>
              <w:t>5-</w:t>
            </w:r>
            <w:r>
              <w:rPr>
                <w:rFonts w:hint="eastAsia"/>
                <w:b/>
                <w:color w:val="000000" w:themeColor="text1"/>
                <w:sz w:val="24"/>
                <w:szCs w:val="24"/>
                <w:lang w:val="en-US" w:eastAsia="zh-CN"/>
                <w14:textFill>
                  <w14:solidFill>
                    <w14:schemeClr w14:val="tx1"/>
                  </w14:solidFill>
                </w14:textFill>
              </w:rPr>
              <w:t>7</w:t>
            </w:r>
            <w:r>
              <w:rPr>
                <w:rFonts w:hint="eastAsia"/>
                <w:b/>
                <w:color w:val="000000" w:themeColor="text1"/>
                <w:sz w:val="24"/>
                <w:szCs w:val="24"/>
                <w14:textFill>
                  <w14:solidFill>
                    <w14:schemeClr w14:val="tx1"/>
                  </w14:solidFill>
                </w14:textFill>
              </w:rPr>
              <w:t xml:space="preserve"> </w:t>
            </w:r>
            <w:r>
              <w:rPr>
                <w:b/>
                <w:color w:val="000000" w:themeColor="text1"/>
                <w:sz w:val="24"/>
                <w:szCs w:val="24"/>
                <w14:textFill>
                  <w14:solidFill>
                    <w14:schemeClr w14:val="tx1"/>
                  </w14:solidFill>
                </w14:textFill>
              </w:rPr>
              <w:t xml:space="preserve">  本项目固体废物分析结果汇总一览表</w:t>
            </w:r>
          </w:p>
          <w:tbl>
            <w:tblPr>
              <w:tblStyle w:val="17"/>
              <w:tblW w:w="8298"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27"/>
              <w:gridCol w:w="1047"/>
              <w:gridCol w:w="593"/>
              <w:gridCol w:w="632"/>
              <w:gridCol w:w="918"/>
              <w:gridCol w:w="689"/>
              <w:gridCol w:w="1045"/>
              <w:gridCol w:w="1196"/>
              <w:gridCol w:w="871"/>
              <w:gridCol w:w="880"/>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427"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b/>
                      <w:color w:val="000000" w:themeColor="text1"/>
                      <w14:textFill>
                        <w14:solidFill>
                          <w14:schemeClr w14:val="tx1"/>
                        </w14:solidFill>
                      </w14:textFill>
                    </w:rPr>
                    <w:t>序号</w:t>
                  </w:r>
                </w:p>
              </w:tc>
              <w:tc>
                <w:tcPr>
                  <w:tcW w:w="1047"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b/>
                      <w:color w:val="000000" w:themeColor="text1"/>
                      <w14:textFill>
                        <w14:solidFill>
                          <w14:schemeClr w14:val="tx1"/>
                        </w14:solidFill>
                      </w14:textFill>
                    </w:rPr>
                    <w:t>固废名称</w:t>
                  </w:r>
                </w:p>
              </w:tc>
              <w:tc>
                <w:tcPr>
                  <w:tcW w:w="593"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b/>
                      <w:color w:val="000000" w:themeColor="text1"/>
                      <w14:textFill>
                        <w14:solidFill>
                          <w14:schemeClr w14:val="tx1"/>
                        </w14:solidFill>
                      </w14:textFill>
                    </w:rPr>
                    <w:t>产生工序</w:t>
                  </w:r>
                </w:p>
              </w:tc>
              <w:tc>
                <w:tcPr>
                  <w:tcW w:w="632"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b/>
                      <w:color w:val="000000" w:themeColor="text1"/>
                      <w14:textFill>
                        <w14:solidFill>
                          <w14:schemeClr w14:val="tx1"/>
                        </w14:solidFill>
                      </w14:textFill>
                    </w:rPr>
                    <w:t>形态</w:t>
                  </w:r>
                </w:p>
              </w:tc>
              <w:tc>
                <w:tcPr>
                  <w:tcW w:w="918"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b/>
                      <w:color w:val="000000" w:themeColor="text1"/>
                      <w14:textFill>
                        <w14:solidFill>
                          <w14:schemeClr w14:val="tx1"/>
                        </w14:solidFill>
                      </w14:textFill>
                    </w:rPr>
                    <w:t>主要成分</w:t>
                  </w:r>
                </w:p>
              </w:tc>
              <w:tc>
                <w:tcPr>
                  <w:tcW w:w="689"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b/>
                      <w:color w:val="000000" w:themeColor="text1"/>
                      <w14:textFill>
                        <w14:solidFill>
                          <w14:schemeClr w14:val="tx1"/>
                        </w14:solidFill>
                      </w14:textFill>
                    </w:rPr>
                    <w:t>危险特性</w:t>
                  </w:r>
                </w:p>
              </w:tc>
              <w:tc>
                <w:tcPr>
                  <w:tcW w:w="1045"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b/>
                      <w:color w:val="000000" w:themeColor="text1"/>
                      <w14:textFill>
                        <w14:solidFill>
                          <w14:schemeClr w14:val="tx1"/>
                        </w14:solidFill>
                      </w14:textFill>
                    </w:rPr>
                    <w:t>废物类别</w:t>
                  </w:r>
                </w:p>
              </w:tc>
              <w:tc>
                <w:tcPr>
                  <w:tcW w:w="1196"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b/>
                      <w:color w:val="000000" w:themeColor="text1"/>
                      <w14:textFill>
                        <w14:solidFill>
                          <w14:schemeClr w14:val="tx1"/>
                        </w14:solidFill>
                      </w14:textFill>
                    </w:rPr>
                    <w:t>废物代码</w:t>
                  </w:r>
                </w:p>
              </w:tc>
              <w:tc>
                <w:tcPr>
                  <w:tcW w:w="871"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b/>
                      <w:color w:val="000000" w:themeColor="text1"/>
                      <w14:textFill>
                        <w14:solidFill>
                          <w14:schemeClr w14:val="tx1"/>
                        </w14:solidFill>
                      </w14:textFill>
                    </w:rPr>
                    <w:t>产生量（t/a）</w:t>
                  </w:r>
                </w:p>
              </w:tc>
              <w:tc>
                <w:tcPr>
                  <w:tcW w:w="880"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b/>
                      <w:color w:val="000000" w:themeColor="text1"/>
                      <w14:textFill>
                        <w14:solidFill>
                          <w14:schemeClr w14:val="tx1"/>
                        </w14:solidFill>
                      </w14:textFill>
                    </w:rPr>
                    <w:t>危险性鉴别方法</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427"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bCs/>
                      <w:color w:val="000000" w:themeColor="text1"/>
                      <w14:textFill>
                        <w14:solidFill>
                          <w14:schemeClr w14:val="tx1"/>
                        </w14:solidFill>
                      </w14:textFill>
                    </w:rPr>
                    <w:t>1</w:t>
                  </w:r>
                </w:p>
              </w:tc>
              <w:tc>
                <w:tcPr>
                  <w:tcW w:w="1047"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bCs/>
                      <w:color w:val="000000" w:themeColor="text1"/>
                      <w:lang w:eastAsia="zh-CN"/>
                      <w14:textFill>
                        <w14:solidFill>
                          <w14:schemeClr w14:val="tx1"/>
                        </w14:solidFill>
                      </w14:textFill>
                    </w:rPr>
                    <w:t>废塑粉</w:t>
                  </w:r>
                </w:p>
              </w:tc>
              <w:tc>
                <w:tcPr>
                  <w:tcW w:w="593" w:type="dxa"/>
                  <w:vMerge w:val="restart"/>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生产过程</w:t>
                  </w:r>
                </w:p>
              </w:tc>
              <w:tc>
                <w:tcPr>
                  <w:tcW w:w="632"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bCs/>
                      <w:color w:val="000000" w:themeColor="text1"/>
                      <w14:textFill>
                        <w14:solidFill>
                          <w14:schemeClr w14:val="tx1"/>
                        </w14:solidFill>
                      </w14:textFill>
                    </w:rPr>
                    <w:t>固态</w:t>
                  </w:r>
                </w:p>
              </w:tc>
              <w:tc>
                <w:tcPr>
                  <w:tcW w:w="918"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bCs/>
                      <w:color w:val="000000" w:themeColor="text1"/>
                      <w:lang w:eastAsia="zh-CN"/>
                      <w14:textFill>
                        <w14:solidFill>
                          <w14:schemeClr w14:val="tx1"/>
                        </w14:solidFill>
                      </w14:textFill>
                    </w:rPr>
                    <w:t>环氧树脂</w:t>
                  </w:r>
                </w:p>
              </w:tc>
              <w:tc>
                <w:tcPr>
                  <w:tcW w:w="689" w:type="dxa"/>
                  <w:vAlign w:val="center"/>
                </w:tcPr>
                <w:p>
                  <w:pPr>
                    <w:keepNext w:val="0"/>
                    <w:keepLines w:val="0"/>
                    <w:pageBreakBefore w:val="0"/>
                    <w:widowControl w:val="0"/>
                    <w:tabs>
                      <w:tab w:val="left" w:pos="2227"/>
                    </w:tabs>
                    <w:kinsoku/>
                    <w:wordWrap/>
                    <w:overflowPunct/>
                    <w:topLinePunct w:val="0"/>
                    <w:autoSpaceDE/>
                    <w:autoSpaceDN/>
                    <w:bidi w:val="0"/>
                    <w:spacing w:before="63" w:beforeLines="20" w:after="63" w:afterLines="20"/>
                    <w:contextualSpacing/>
                    <w:jc w:val="center"/>
                    <w:textAlignment w:val="auto"/>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w:t>
                  </w:r>
                </w:p>
              </w:tc>
              <w:tc>
                <w:tcPr>
                  <w:tcW w:w="1045" w:type="dxa"/>
                  <w:vAlign w:val="center"/>
                </w:tcPr>
                <w:p>
                  <w:pPr>
                    <w:keepNext w:val="0"/>
                    <w:keepLines w:val="0"/>
                    <w:pageBreakBefore w:val="0"/>
                    <w:widowControl w:val="0"/>
                    <w:tabs>
                      <w:tab w:val="left" w:pos="2227"/>
                    </w:tabs>
                    <w:kinsoku/>
                    <w:wordWrap/>
                    <w:overflowPunct/>
                    <w:topLinePunct w:val="0"/>
                    <w:autoSpaceDE/>
                    <w:autoSpaceDN/>
                    <w:bidi w:val="0"/>
                    <w:spacing w:before="63" w:beforeLines="20" w:after="63" w:afterLines="20"/>
                    <w:contextualSpacing/>
                    <w:jc w:val="center"/>
                    <w:textAlignment w:val="auto"/>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w:t>
                  </w:r>
                </w:p>
              </w:tc>
              <w:tc>
                <w:tcPr>
                  <w:tcW w:w="1196" w:type="dxa"/>
                  <w:vAlign w:val="center"/>
                </w:tcPr>
                <w:p>
                  <w:pPr>
                    <w:keepNext w:val="0"/>
                    <w:keepLines w:val="0"/>
                    <w:pageBreakBefore w:val="0"/>
                    <w:widowControl w:val="0"/>
                    <w:tabs>
                      <w:tab w:val="left" w:pos="2227"/>
                    </w:tabs>
                    <w:kinsoku/>
                    <w:wordWrap/>
                    <w:overflowPunct/>
                    <w:topLinePunct w:val="0"/>
                    <w:autoSpaceDE/>
                    <w:autoSpaceDN/>
                    <w:bidi w:val="0"/>
                    <w:spacing w:before="63" w:beforeLines="20" w:after="63" w:afterLines="20"/>
                    <w:contextualSpacing/>
                    <w:jc w:val="center"/>
                    <w:textAlignment w:val="auto"/>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w:t>
                  </w:r>
                </w:p>
              </w:tc>
              <w:tc>
                <w:tcPr>
                  <w:tcW w:w="871"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bCs/>
                      <w:color w:val="000000" w:themeColor="text1"/>
                      <w14:textFill>
                        <w14:solidFill>
                          <w14:schemeClr w14:val="tx1"/>
                        </w14:solidFill>
                      </w14:textFill>
                    </w:rPr>
                    <w:t>0.</w:t>
                  </w:r>
                  <w:r>
                    <w:rPr>
                      <w:rFonts w:hint="eastAsia"/>
                      <w:bCs/>
                      <w:color w:val="000000" w:themeColor="text1"/>
                      <w:lang w:val="en-US" w:eastAsia="zh-CN"/>
                      <w14:textFill>
                        <w14:solidFill>
                          <w14:schemeClr w14:val="tx1"/>
                        </w14:solidFill>
                      </w14:textFill>
                    </w:rPr>
                    <w:t>33</w:t>
                  </w:r>
                </w:p>
              </w:tc>
              <w:tc>
                <w:tcPr>
                  <w:tcW w:w="880" w:type="dxa"/>
                  <w:vMerge w:val="restart"/>
                  <w:vAlign w:val="center"/>
                </w:tcPr>
                <w:p>
                  <w:pPr>
                    <w:keepNext w:val="0"/>
                    <w:keepLines w:val="0"/>
                    <w:pageBreakBefore w:val="0"/>
                    <w:widowControl w:val="0"/>
                    <w:tabs>
                      <w:tab w:val="left" w:pos="2227"/>
                    </w:tabs>
                    <w:kinsoku/>
                    <w:wordWrap/>
                    <w:overflowPunct/>
                    <w:topLinePunct w:val="0"/>
                    <w:autoSpaceDE/>
                    <w:autoSpaceDN/>
                    <w:bidi w:val="0"/>
                    <w:spacing w:before="63" w:beforeLines="20" w:after="63" w:afterLines="20"/>
                    <w:contextualSpacing/>
                    <w:jc w:val="center"/>
                    <w:textAlignment w:val="auto"/>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《国家危险废物名录》（2016年修订）</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427"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bCs/>
                      <w:color w:val="000000" w:themeColor="text1"/>
                      <w14:textFill>
                        <w14:solidFill>
                          <w14:schemeClr w14:val="tx1"/>
                        </w14:solidFill>
                      </w14:textFill>
                    </w:rPr>
                    <w:t>2</w:t>
                  </w:r>
                </w:p>
              </w:tc>
              <w:tc>
                <w:tcPr>
                  <w:tcW w:w="1047"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bCs/>
                      <w:color w:val="000000" w:themeColor="text1"/>
                      <w:lang w:eastAsia="zh-CN"/>
                      <w14:textFill>
                        <w14:solidFill>
                          <w14:schemeClr w14:val="tx1"/>
                        </w14:solidFill>
                      </w14:textFill>
                    </w:rPr>
                    <w:t>废包装材料</w:t>
                  </w:r>
                </w:p>
              </w:tc>
              <w:tc>
                <w:tcPr>
                  <w:tcW w:w="593" w:type="dxa"/>
                  <w:vMerge w:val="continue"/>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p>
              </w:tc>
              <w:tc>
                <w:tcPr>
                  <w:tcW w:w="632"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bCs/>
                      <w:color w:val="000000" w:themeColor="text1"/>
                      <w14:textFill>
                        <w14:solidFill>
                          <w14:schemeClr w14:val="tx1"/>
                        </w14:solidFill>
                      </w14:textFill>
                    </w:rPr>
                    <w:t>固态</w:t>
                  </w:r>
                </w:p>
              </w:tc>
              <w:tc>
                <w:tcPr>
                  <w:tcW w:w="918"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纸壳、塑料袋</w:t>
                  </w:r>
                </w:p>
              </w:tc>
              <w:tc>
                <w:tcPr>
                  <w:tcW w:w="689" w:type="dxa"/>
                  <w:vAlign w:val="center"/>
                </w:tcPr>
                <w:p>
                  <w:pPr>
                    <w:keepNext w:val="0"/>
                    <w:keepLines w:val="0"/>
                    <w:pageBreakBefore w:val="0"/>
                    <w:widowControl w:val="0"/>
                    <w:tabs>
                      <w:tab w:val="left" w:pos="2227"/>
                    </w:tabs>
                    <w:kinsoku/>
                    <w:wordWrap/>
                    <w:overflowPunct/>
                    <w:topLinePunct w:val="0"/>
                    <w:autoSpaceDE/>
                    <w:autoSpaceDN/>
                    <w:bidi w:val="0"/>
                    <w:spacing w:before="63" w:beforeLines="20" w:after="63" w:afterLines="20"/>
                    <w:contextualSpacing/>
                    <w:jc w:val="center"/>
                    <w:textAlignment w:val="auto"/>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w:t>
                  </w:r>
                </w:p>
              </w:tc>
              <w:tc>
                <w:tcPr>
                  <w:tcW w:w="1045" w:type="dxa"/>
                  <w:vAlign w:val="center"/>
                </w:tcPr>
                <w:p>
                  <w:pPr>
                    <w:keepNext w:val="0"/>
                    <w:keepLines w:val="0"/>
                    <w:pageBreakBefore w:val="0"/>
                    <w:widowControl w:val="0"/>
                    <w:tabs>
                      <w:tab w:val="left" w:pos="2227"/>
                    </w:tabs>
                    <w:kinsoku/>
                    <w:wordWrap/>
                    <w:overflowPunct/>
                    <w:topLinePunct w:val="0"/>
                    <w:autoSpaceDE/>
                    <w:autoSpaceDN/>
                    <w:bidi w:val="0"/>
                    <w:spacing w:before="63" w:beforeLines="20" w:after="63" w:afterLines="20"/>
                    <w:contextualSpacing/>
                    <w:jc w:val="center"/>
                    <w:textAlignment w:val="auto"/>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w:t>
                  </w:r>
                </w:p>
              </w:tc>
              <w:tc>
                <w:tcPr>
                  <w:tcW w:w="1196" w:type="dxa"/>
                  <w:vAlign w:val="center"/>
                </w:tcPr>
                <w:p>
                  <w:pPr>
                    <w:keepNext w:val="0"/>
                    <w:keepLines w:val="0"/>
                    <w:pageBreakBefore w:val="0"/>
                    <w:widowControl w:val="0"/>
                    <w:tabs>
                      <w:tab w:val="left" w:pos="2227"/>
                    </w:tabs>
                    <w:kinsoku/>
                    <w:wordWrap/>
                    <w:overflowPunct/>
                    <w:topLinePunct w:val="0"/>
                    <w:autoSpaceDE/>
                    <w:autoSpaceDN/>
                    <w:bidi w:val="0"/>
                    <w:spacing w:before="63" w:beforeLines="20" w:after="63" w:afterLines="20"/>
                    <w:contextualSpacing/>
                    <w:jc w:val="center"/>
                    <w:textAlignment w:val="auto"/>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w:t>
                  </w:r>
                </w:p>
              </w:tc>
              <w:tc>
                <w:tcPr>
                  <w:tcW w:w="871"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bCs/>
                      <w:color w:val="000000" w:themeColor="text1"/>
                      <w:lang w:val="en-US" w:eastAsia="zh-CN"/>
                      <w14:textFill>
                        <w14:solidFill>
                          <w14:schemeClr w14:val="tx1"/>
                        </w14:solidFill>
                      </w14:textFill>
                    </w:rPr>
                    <w:t>0.1</w:t>
                  </w:r>
                </w:p>
              </w:tc>
              <w:tc>
                <w:tcPr>
                  <w:tcW w:w="880"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427"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bCs/>
                      <w:color w:val="000000" w:themeColor="text1"/>
                      <w14:textFill>
                        <w14:solidFill>
                          <w14:schemeClr w14:val="tx1"/>
                        </w14:solidFill>
                      </w14:textFill>
                    </w:rPr>
                    <w:t>3</w:t>
                  </w:r>
                </w:p>
              </w:tc>
              <w:tc>
                <w:tcPr>
                  <w:tcW w:w="1047"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bCs/>
                      <w:color w:val="000000" w:themeColor="text1"/>
                      <w:lang w:eastAsia="zh-CN"/>
                      <w14:textFill>
                        <w14:solidFill>
                          <w14:schemeClr w14:val="tx1"/>
                        </w14:solidFill>
                      </w14:textFill>
                    </w:rPr>
                    <w:t>含油抹布和手套</w:t>
                  </w:r>
                </w:p>
              </w:tc>
              <w:tc>
                <w:tcPr>
                  <w:tcW w:w="593" w:type="dxa"/>
                  <w:vMerge w:val="continue"/>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p>
              </w:tc>
              <w:tc>
                <w:tcPr>
                  <w:tcW w:w="632"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bCs/>
                      <w:color w:val="000000" w:themeColor="text1"/>
                      <w14:textFill>
                        <w14:solidFill>
                          <w14:schemeClr w14:val="tx1"/>
                        </w14:solidFill>
                      </w14:textFill>
                    </w:rPr>
                    <w:t>固态</w:t>
                  </w:r>
                </w:p>
              </w:tc>
              <w:tc>
                <w:tcPr>
                  <w:tcW w:w="918"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bCs/>
                      <w:color w:val="000000" w:themeColor="text1"/>
                      <w:lang w:eastAsia="zh-CN"/>
                      <w14:textFill>
                        <w14:solidFill>
                          <w14:schemeClr w14:val="tx1"/>
                        </w14:solidFill>
                      </w14:textFill>
                    </w:rPr>
                    <w:t>润滑脂</w:t>
                  </w:r>
                </w:p>
              </w:tc>
              <w:tc>
                <w:tcPr>
                  <w:tcW w:w="689" w:type="dxa"/>
                  <w:vAlign w:val="center"/>
                </w:tcPr>
                <w:p>
                  <w:pPr>
                    <w:keepNext w:val="0"/>
                    <w:keepLines w:val="0"/>
                    <w:pageBreakBefore w:val="0"/>
                    <w:widowControl w:val="0"/>
                    <w:tabs>
                      <w:tab w:val="left" w:pos="2227"/>
                    </w:tabs>
                    <w:kinsoku/>
                    <w:wordWrap/>
                    <w:overflowPunct/>
                    <w:topLinePunct w:val="0"/>
                    <w:autoSpaceDE/>
                    <w:autoSpaceDN/>
                    <w:bidi w:val="0"/>
                    <w:spacing w:before="63" w:beforeLines="20" w:after="63" w:afterLines="20"/>
                    <w:contextualSpacing/>
                    <w:jc w:val="center"/>
                    <w:textAlignment w:val="auto"/>
                    <w:rPr>
                      <w:color w:val="000000" w:themeColor="text1"/>
                      <w:kern w:val="18"/>
                      <w:szCs w:val="21"/>
                      <w14:textFill>
                        <w14:solidFill>
                          <w14:schemeClr w14:val="tx1"/>
                        </w14:solidFill>
                      </w14:textFill>
                    </w:rPr>
                  </w:pPr>
                  <w:r>
                    <w:rPr>
                      <w:kern w:val="0"/>
                      <w:szCs w:val="21"/>
                    </w:rPr>
                    <w:t>T/In</w:t>
                  </w:r>
                </w:p>
              </w:tc>
              <w:tc>
                <w:tcPr>
                  <w:tcW w:w="1045" w:type="dxa"/>
                  <w:vAlign w:val="center"/>
                </w:tcPr>
                <w:p>
                  <w:pPr>
                    <w:keepNext w:val="0"/>
                    <w:keepLines w:val="0"/>
                    <w:pageBreakBefore w:val="0"/>
                    <w:widowControl w:val="0"/>
                    <w:tabs>
                      <w:tab w:val="left" w:pos="2227"/>
                    </w:tabs>
                    <w:kinsoku/>
                    <w:wordWrap/>
                    <w:overflowPunct/>
                    <w:topLinePunct w:val="0"/>
                    <w:autoSpaceDE/>
                    <w:autoSpaceDN/>
                    <w:bidi w:val="0"/>
                    <w:spacing w:before="63" w:beforeLines="20" w:after="63" w:afterLines="20"/>
                    <w:contextualSpacing/>
                    <w:jc w:val="center"/>
                    <w:textAlignment w:val="auto"/>
                    <w:rPr>
                      <w:color w:val="000000" w:themeColor="text1"/>
                      <w:kern w:val="18"/>
                      <w:szCs w:val="21"/>
                      <w14:textFill>
                        <w14:solidFill>
                          <w14:schemeClr w14:val="tx1"/>
                        </w14:solidFill>
                      </w14:textFill>
                    </w:rPr>
                  </w:pPr>
                  <w:r>
                    <w:rPr>
                      <w:szCs w:val="21"/>
                    </w:rPr>
                    <w:t>HW49</w:t>
                  </w:r>
                </w:p>
              </w:tc>
              <w:tc>
                <w:tcPr>
                  <w:tcW w:w="1196" w:type="dxa"/>
                  <w:vAlign w:val="center"/>
                </w:tcPr>
                <w:p>
                  <w:pPr>
                    <w:keepNext w:val="0"/>
                    <w:keepLines w:val="0"/>
                    <w:pageBreakBefore w:val="0"/>
                    <w:widowControl w:val="0"/>
                    <w:tabs>
                      <w:tab w:val="left" w:pos="2227"/>
                    </w:tabs>
                    <w:kinsoku/>
                    <w:wordWrap/>
                    <w:overflowPunct/>
                    <w:topLinePunct w:val="0"/>
                    <w:autoSpaceDE/>
                    <w:autoSpaceDN/>
                    <w:bidi w:val="0"/>
                    <w:spacing w:before="63" w:beforeLines="20" w:after="63" w:afterLines="20"/>
                    <w:contextualSpacing/>
                    <w:jc w:val="center"/>
                    <w:textAlignment w:val="auto"/>
                    <w:rPr>
                      <w:color w:val="000000" w:themeColor="text1"/>
                      <w:kern w:val="18"/>
                      <w:szCs w:val="21"/>
                      <w14:textFill>
                        <w14:solidFill>
                          <w14:schemeClr w14:val="tx1"/>
                        </w14:solidFill>
                      </w14:textFill>
                    </w:rPr>
                  </w:pPr>
                  <w:r>
                    <w:rPr>
                      <w:szCs w:val="21"/>
                    </w:rPr>
                    <w:t>900-041-49</w:t>
                  </w:r>
                </w:p>
              </w:tc>
              <w:tc>
                <w:tcPr>
                  <w:tcW w:w="871"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bCs/>
                      <w:color w:val="000000" w:themeColor="text1"/>
                      <w:lang w:val="en-US" w:eastAsia="zh-CN"/>
                      <w14:textFill>
                        <w14:solidFill>
                          <w14:schemeClr w14:val="tx1"/>
                        </w14:solidFill>
                      </w14:textFill>
                    </w:rPr>
                    <w:t>0.1</w:t>
                  </w:r>
                </w:p>
              </w:tc>
              <w:tc>
                <w:tcPr>
                  <w:tcW w:w="880"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427"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bCs/>
                      <w:color w:val="000000" w:themeColor="text1"/>
                      <w14:textFill>
                        <w14:solidFill>
                          <w14:schemeClr w14:val="tx1"/>
                        </w14:solidFill>
                      </w14:textFill>
                    </w:rPr>
                    <w:t>4</w:t>
                  </w:r>
                </w:p>
              </w:tc>
              <w:tc>
                <w:tcPr>
                  <w:tcW w:w="1047"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Cs/>
                      <w:color w:val="000000" w:themeColor="text1"/>
                      <w14:textFill>
                        <w14:solidFill>
                          <w14:schemeClr w14:val="tx1"/>
                        </w14:solidFill>
                      </w14:textFill>
                    </w:rPr>
                  </w:pPr>
                  <w:r>
                    <w:rPr>
                      <w:rFonts w:hint="eastAsia"/>
                      <w:bCs/>
                      <w:color w:val="000000" w:themeColor="text1"/>
                      <w:lang w:eastAsia="zh-CN"/>
                      <w14:textFill>
                        <w14:solidFill>
                          <w14:schemeClr w14:val="tx1"/>
                        </w14:solidFill>
                      </w14:textFill>
                    </w:rPr>
                    <w:t>废包装桶</w:t>
                  </w:r>
                </w:p>
              </w:tc>
              <w:tc>
                <w:tcPr>
                  <w:tcW w:w="593" w:type="dxa"/>
                  <w:vMerge w:val="continue"/>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p>
              </w:tc>
              <w:tc>
                <w:tcPr>
                  <w:tcW w:w="632"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bCs/>
                      <w:color w:val="000000" w:themeColor="text1"/>
                      <w14:textFill>
                        <w14:solidFill>
                          <w14:schemeClr w14:val="tx1"/>
                        </w14:solidFill>
                      </w14:textFill>
                    </w:rPr>
                    <w:t>固态</w:t>
                  </w:r>
                </w:p>
              </w:tc>
              <w:tc>
                <w:tcPr>
                  <w:tcW w:w="918"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润滑脂</w:t>
                  </w:r>
                </w:p>
              </w:tc>
              <w:tc>
                <w:tcPr>
                  <w:tcW w:w="689" w:type="dxa"/>
                  <w:vAlign w:val="center"/>
                </w:tcPr>
                <w:p>
                  <w:pPr>
                    <w:keepNext w:val="0"/>
                    <w:keepLines w:val="0"/>
                    <w:pageBreakBefore w:val="0"/>
                    <w:widowControl w:val="0"/>
                    <w:tabs>
                      <w:tab w:val="left" w:pos="2227"/>
                    </w:tabs>
                    <w:kinsoku/>
                    <w:wordWrap/>
                    <w:overflowPunct/>
                    <w:topLinePunct w:val="0"/>
                    <w:autoSpaceDE/>
                    <w:autoSpaceDN/>
                    <w:bidi w:val="0"/>
                    <w:spacing w:before="63" w:beforeLines="20" w:after="63" w:afterLines="20"/>
                    <w:contextualSpacing/>
                    <w:jc w:val="center"/>
                    <w:textAlignment w:val="auto"/>
                    <w:rPr>
                      <w:color w:val="000000" w:themeColor="text1"/>
                      <w:kern w:val="18"/>
                      <w:szCs w:val="21"/>
                      <w14:textFill>
                        <w14:solidFill>
                          <w14:schemeClr w14:val="tx1"/>
                        </w14:solidFill>
                      </w14:textFill>
                    </w:rPr>
                  </w:pPr>
                  <w:r>
                    <w:rPr>
                      <w:kern w:val="0"/>
                      <w:szCs w:val="21"/>
                    </w:rPr>
                    <w:t>T/In</w:t>
                  </w:r>
                </w:p>
              </w:tc>
              <w:tc>
                <w:tcPr>
                  <w:tcW w:w="1045" w:type="dxa"/>
                  <w:vAlign w:val="center"/>
                </w:tcPr>
                <w:p>
                  <w:pPr>
                    <w:keepNext w:val="0"/>
                    <w:keepLines w:val="0"/>
                    <w:pageBreakBefore w:val="0"/>
                    <w:widowControl w:val="0"/>
                    <w:tabs>
                      <w:tab w:val="left" w:pos="2227"/>
                    </w:tabs>
                    <w:kinsoku/>
                    <w:wordWrap/>
                    <w:overflowPunct/>
                    <w:topLinePunct w:val="0"/>
                    <w:autoSpaceDE/>
                    <w:autoSpaceDN/>
                    <w:bidi w:val="0"/>
                    <w:spacing w:before="63" w:beforeLines="20" w:after="63" w:afterLines="20"/>
                    <w:contextualSpacing/>
                    <w:jc w:val="center"/>
                    <w:textAlignment w:val="auto"/>
                    <w:rPr>
                      <w:color w:val="000000" w:themeColor="text1"/>
                      <w:kern w:val="18"/>
                      <w:szCs w:val="21"/>
                      <w14:textFill>
                        <w14:solidFill>
                          <w14:schemeClr w14:val="tx1"/>
                        </w14:solidFill>
                      </w14:textFill>
                    </w:rPr>
                  </w:pPr>
                  <w:r>
                    <w:rPr>
                      <w:szCs w:val="21"/>
                    </w:rPr>
                    <w:t>HW49</w:t>
                  </w:r>
                </w:p>
              </w:tc>
              <w:tc>
                <w:tcPr>
                  <w:tcW w:w="1196" w:type="dxa"/>
                  <w:vAlign w:val="center"/>
                </w:tcPr>
                <w:p>
                  <w:pPr>
                    <w:keepNext w:val="0"/>
                    <w:keepLines w:val="0"/>
                    <w:pageBreakBefore w:val="0"/>
                    <w:widowControl w:val="0"/>
                    <w:tabs>
                      <w:tab w:val="left" w:pos="2227"/>
                    </w:tabs>
                    <w:kinsoku/>
                    <w:wordWrap/>
                    <w:overflowPunct/>
                    <w:topLinePunct w:val="0"/>
                    <w:autoSpaceDE/>
                    <w:autoSpaceDN/>
                    <w:bidi w:val="0"/>
                    <w:spacing w:before="63" w:beforeLines="20" w:after="63" w:afterLines="20"/>
                    <w:contextualSpacing/>
                    <w:jc w:val="center"/>
                    <w:textAlignment w:val="auto"/>
                    <w:rPr>
                      <w:color w:val="000000" w:themeColor="text1"/>
                      <w:kern w:val="18"/>
                      <w:szCs w:val="21"/>
                      <w14:textFill>
                        <w14:solidFill>
                          <w14:schemeClr w14:val="tx1"/>
                        </w14:solidFill>
                      </w14:textFill>
                    </w:rPr>
                  </w:pPr>
                  <w:r>
                    <w:rPr>
                      <w:szCs w:val="21"/>
                    </w:rPr>
                    <w:t>900-041-49</w:t>
                  </w:r>
                </w:p>
              </w:tc>
              <w:tc>
                <w:tcPr>
                  <w:tcW w:w="871"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bCs/>
                      <w:color w:val="000000" w:themeColor="text1"/>
                      <w:lang w:val="en-US" w:eastAsia="zh-CN"/>
                      <w14:textFill>
                        <w14:solidFill>
                          <w14:schemeClr w14:val="tx1"/>
                        </w14:solidFill>
                      </w14:textFill>
                    </w:rPr>
                    <w:t>10只/a</w:t>
                  </w:r>
                </w:p>
              </w:tc>
              <w:tc>
                <w:tcPr>
                  <w:tcW w:w="880"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427"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bCs/>
                      <w:color w:val="000000" w:themeColor="text1"/>
                      <w14:textFill>
                        <w14:solidFill>
                          <w14:schemeClr w14:val="tx1"/>
                        </w14:solidFill>
                      </w14:textFill>
                    </w:rPr>
                    <w:t>5</w:t>
                  </w:r>
                </w:p>
              </w:tc>
              <w:tc>
                <w:tcPr>
                  <w:tcW w:w="1047"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bCs/>
                      <w:color w:val="000000" w:themeColor="text1"/>
                      <w14:textFill>
                        <w14:solidFill>
                          <w14:schemeClr w14:val="tx1"/>
                        </w14:solidFill>
                      </w14:textFill>
                    </w:rPr>
                    <w:t>废活性炭</w:t>
                  </w:r>
                </w:p>
              </w:tc>
              <w:tc>
                <w:tcPr>
                  <w:tcW w:w="593" w:type="dxa"/>
                  <w:vMerge w:val="continue"/>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p>
              </w:tc>
              <w:tc>
                <w:tcPr>
                  <w:tcW w:w="632"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固态</w:t>
                  </w:r>
                </w:p>
              </w:tc>
              <w:tc>
                <w:tcPr>
                  <w:tcW w:w="918"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有机废气</w:t>
                  </w:r>
                </w:p>
              </w:tc>
              <w:tc>
                <w:tcPr>
                  <w:tcW w:w="689" w:type="dxa"/>
                  <w:vAlign w:val="center"/>
                </w:tcPr>
                <w:p>
                  <w:pPr>
                    <w:keepNext w:val="0"/>
                    <w:keepLines w:val="0"/>
                    <w:pageBreakBefore w:val="0"/>
                    <w:widowControl w:val="0"/>
                    <w:tabs>
                      <w:tab w:val="left" w:pos="2227"/>
                    </w:tabs>
                    <w:kinsoku/>
                    <w:wordWrap/>
                    <w:overflowPunct/>
                    <w:topLinePunct w:val="0"/>
                    <w:autoSpaceDE/>
                    <w:autoSpaceDN/>
                    <w:bidi w:val="0"/>
                    <w:spacing w:before="63" w:beforeLines="20" w:after="63" w:afterLines="20"/>
                    <w:contextualSpacing/>
                    <w:jc w:val="center"/>
                    <w:textAlignment w:val="auto"/>
                    <w:rPr>
                      <w:color w:val="000000" w:themeColor="text1"/>
                      <w:kern w:val="18"/>
                      <w:szCs w:val="21"/>
                      <w14:textFill>
                        <w14:solidFill>
                          <w14:schemeClr w14:val="tx1"/>
                        </w14:solidFill>
                      </w14:textFill>
                    </w:rPr>
                  </w:pPr>
                  <w:r>
                    <w:rPr>
                      <w:kern w:val="0"/>
                      <w:szCs w:val="21"/>
                    </w:rPr>
                    <w:t>T/In</w:t>
                  </w:r>
                </w:p>
              </w:tc>
              <w:tc>
                <w:tcPr>
                  <w:tcW w:w="1045" w:type="dxa"/>
                  <w:vAlign w:val="center"/>
                </w:tcPr>
                <w:p>
                  <w:pPr>
                    <w:keepNext w:val="0"/>
                    <w:keepLines w:val="0"/>
                    <w:pageBreakBefore w:val="0"/>
                    <w:widowControl w:val="0"/>
                    <w:tabs>
                      <w:tab w:val="left" w:pos="2227"/>
                    </w:tabs>
                    <w:kinsoku/>
                    <w:wordWrap/>
                    <w:overflowPunct/>
                    <w:topLinePunct w:val="0"/>
                    <w:autoSpaceDE/>
                    <w:autoSpaceDN/>
                    <w:bidi w:val="0"/>
                    <w:spacing w:before="63" w:beforeLines="20" w:after="63" w:afterLines="20"/>
                    <w:contextualSpacing/>
                    <w:jc w:val="center"/>
                    <w:textAlignment w:val="auto"/>
                    <w:rPr>
                      <w:color w:val="000000" w:themeColor="text1"/>
                      <w:kern w:val="18"/>
                      <w:szCs w:val="21"/>
                      <w14:textFill>
                        <w14:solidFill>
                          <w14:schemeClr w14:val="tx1"/>
                        </w14:solidFill>
                      </w14:textFill>
                    </w:rPr>
                  </w:pPr>
                  <w:r>
                    <w:rPr>
                      <w:szCs w:val="21"/>
                    </w:rPr>
                    <w:t>HW49</w:t>
                  </w:r>
                </w:p>
              </w:tc>
              <w:tc>
                <w:tcPr>
                  <w:tcW w:w="1196" w:type="dxa"/>
                  <w:vAlign w:val="center"/>
                </w:tcPr>
                <w:p>
                  <w:pPr>
                    <w:keepNext w:val="0"/>
                    <w:keepLines w:val="0"/>
                    <w:pageBreakBefore w:val="0"/>
                    <w:widowControl w:val="0"/>
                    <w:tabs>
                      <w:tab w:val="left" w:pos="2227"/>
                    </w:tabs>
                    <w:kinsoku/>
                    <w:wordWrap/>
                    <w:overflowPunct/>
                    <w:topLinePunct w:val="0"/>
                    <w:autoSpaceDE/>
                    <w:autoSpaceDN/>
                    <w:bidi w:val="0"/>
                    <w:spacing w:before="63" w:beforeLines="20" w:after="63" w:afterLines="20"/>
                    <w:contextualSpacing/>
                    <w:jc w:val="center"/>
                    <w:textAlignment w:val="auto"/>
                    <w:rPr>
                      <w:color w:val="000000" w:themeColor="text1"/>
                      <w:kern w:val="18"/>
                      <w:szCs w:val="21"/>
                      <w14:textFill>
                        <w14:solidFill>
                          <w14:schemeClr w14:val="tx1"/>
                        </w14:solidFill>
                      </w14:textFill>
                    </w:rPr>
                  </w:pPr>
                  <w:r>
                    <w:rPr>
                      <w:szCs w:val="21"/>
                    </w:rPr>
                    <w:t>900-041-49</w:t>
                  </w:r>
                </w:p>
              </w:tc>
              <w:tc>
                <w:tcPr>
                  <w:tcW w:w="871"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Cs/>
                      <w:color w:val="000000" w:themeColor="text1"/>
                      <w14:textFill>
                        <w14:solidFill>
                          <w14:schemeClr w14:val="tx1"/>
                        </w14:solidFill>
                      </w14:textFill>
                    </w:rPr>
                  </w:pPr>
                  <w:r>
                    <w:rPr>
                      <w:rFonts w:hint="eastAsia"/>
                      <w:bCs/>
                      <w:color w:val="000000" w:themeColor="text1"/>
                      <w:lang w:val="en-US" w:eastAsia="zh-CN"/>
                      <w14:textFill>
                        <w14:solidFill>
                          <w14:schemeClr w14:val="tx1"/>
                        </w14:solidFill>
                      </w14:textFill>
                    </w:rPr>
                    <w:t>0.826</w:t>
                  </w:r>
                </w:p>
              </w:tc>
              <w:tc>
                <w:tcPr>
                  <w:tcW w:w="880"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554" w:hRule="atLeast"/>
                <w:jc w:val="center"/>
              </w:trPr>
              <w:tc>
                <w:tcPr>
                  <w:tcW w:w="427"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rFonts w:hint="eastAsia" w:eastAsia="宋体"/>
                      <w:color w:val="000000" w:themeColor="text1"/>
                      <w:lang w:eastAsia="zh-CN"/>
                      <w14:textFill>
                        <w14:solidFill>
                          <w14:schemeClr w14:val="tx1"/>
                        </w14:solidFill>
                      </w14:textFill>
                    </w:rPr>
                  </w:pPr>
                  <w:r>
                    <w:rPr>
                      <w:rFonts w:hint="eastAsia"/>
                      <w:bCs/>
                      <w:color w:val="000000" w:themeColor="text1"/>
                      <w:lang w:val="en-US" w:eastAsia="zh-CN"/>
                      <w14:textFill>
                        <w14:solidFill>
                          <w14:schemeClr w14:val="tx1"/>
                        </w14:solidFill>
                      </w14:textFill>
                    </w:rPr>
                    <w:t>6</w:t>
                  </w:r>
                </w:p>
              </w:tc>
              <w:tc>
                <w:tcPr>
                  <w:tcW w:w="1047"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bCs/>
                      <w:color w:val="000000" w:themeColor="text1"/>
                      <w14:textFill>
                        <w14:solidFill>
                          <w14:schemeClr w14:val="tx1"/>
                        </w14:solidFill>
                      </w14:textFill>
                    </w:rPr>
                    <w:t>生活垃圾</w:t>
                  </w:r>
                </w:p>
              </w:tc>
              <w:tc>
                <w:tcPr>
                  <w:tcW w:w="593" w:type="dxa"/>
                  <w:vMerge w:val="continue"/>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p>
              </w:tc>
              <w:tc>
                <w:tcPr>
                  <w:tcW w:w="632"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bCs/>
                      <w:color w:val="000000" w:themeColor="text1"/>
                      <w14:textFill>
                        <w14:solidFill>
                          <w14:schemeClr w14:val="tx1"/>
                        </w14:solidFill>
                      </w14:textFill>
                    </w:rPr>
                    <w:t>固态</w:t>
                  </w:r>
                </w:p>
              </w:tc>
              <w:tc>
                <w:tcPr>
                  <w:tcW w:w="918"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bCs/>
                      <w:color w:val="000000" w:themeColor="text1"/>
                      <w14:textFill>
                        <w14:solidFill>
                          <w14:schemeClr w14:val="tx1"/>
                        </w14:solidFill>
                      </w14:textFill>
                    </w:rPr>
                    <w:t>果皮、纸等</w:t>
                  </w:r>
                </w:p>
              </w:tc>
              <w:tc>
                <w:tcPr>
                  <w:tcW w:w="689" w:type="dxa"/>
                  <w:vAlign w:val="center"/>
                </w:tcPr>
                <w:p>
                  <w:pPr>
                    <w:keepNext w:val="0"/>
                    <w:keepLines w:val="0"/>
                    <w:pageBreakBefore w:val="0"/>
                    <w:widowControl w:val="0"/>
                    <w:tabs>
                      <w:tab w:val="left" w:pos="2227"/>
                    </w:tabs>
                    <w:kinsoku/>
                    <w:wordWrap/>
                    <w:overflowPunct/>
                    <w:topLinePunct w:val="0"/>
                    <w:autoSpaceDE/>
                    <w:autoSpaceDN/>
                    <w:bidi w:val="0"/>
                    <w:spacing w:before="63" w:beforeLines="20" w:after="63" w:afterLines="20"/>
                    <w:contextualSpacing/>
                    <w:jc w:val="center"/>
                    <w:textAlignment w:val="auto"/>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w:t>
                  </w:r>
                </w:p>
              </w:tc>
              <w:tc>
                <w:tcPr>
                  <w:tcW w:w="1045" w:type="dxa"/>
                  <w:vAlign w:val="center"/>
                </w:tcPr>
                <w:p>
                  <w:pPr>
                    <w:keepNext w:val="0"/>
                    <w:keepLines w:val="0"/>
                    <w:pageBreakBefore w:val="0"/>
                    <w:widowControl w:val="0"/>
                    <w:tabs>
                      <w:tab w:val="left" w:pos="2227"/>
                    </w:tabs>
                    <w:kinsoku/>
                    <w:wordWrap/>
                    <w:overflowPunct/>
                    <w:topLinePunct w:val="0"/>
                    <w:autoSpaceDE/>
                    <w:autoSpaceDN/>
                    <w:bidi w:val="0"/>
                    <w:spacing w:before="63" w:beforeLines="20" w:after="63" w:afterLines="20"/>
                    <w:contextualSpacing/>
                    <w:jc w:val="center"/>
                    <w:textAlignment w:val="auto"/>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w:t>
                  </w:r>
                </w:p>
              </w:tc>
              <w:tc>
                <w:tcPr>
                  <w:tcW w:w="1196" w:type="dxa"/>
                  <w:vAlign w:val="center"/>
                </w:tcPr>
                <w:p>
                  <w:pPr>
                    <w:keepNext w:val="0"/>
                    <w:keepLines w:val="0"/>
                    <w:pageBreakBefore w:val="0"/>
                    <w:widowControl w:val="0"/>
                    <w:tabs>
                      <w:tab w:val="left" w:pos="2227"/>
                    </w:tabs>
                    <w:kinsoku/>
                    <w:wordWrap/>
                    <w:overflowPunct/>
                    <w:topLinePunct w:val="0"/>
                    <w:autoSpaceDE/>
                    <w:autoSpaceDN/>
                    <w:bidi w:val="0"/>
                    <w:spacing w:before="63" w:beforeLines="20" w:after="63" w:afterLines="20"/>
                    <w:contextualSpacing/>
                    <w:jc w:val="center"/>
                    <w:textAlignment w:val="auto"/>
                    <w:rPr>
                      <w:color w:val="000000" w:themeColor="text1"/>
                      <w:kern w:val="18"/>
                      <w:szCs w:val="21"/>
                      <w14:textFill>
                        <w14:solidFill>
                          <w14:schemeClr w14:val="tx1"/>
                        </w14:solidFill>
                      </w14:textFill>
                    </w:rPr>
                  </w:pPr>
                  <w:r>
                    <w:rPr>
                      <w:color w:val="000000" w:themeColor="text1"/>
                      <w:kern w:val="18"/>
                      <w:szCs w:val="21"/>
                      <w14:textFill>
                        <w14:solidFill>
                          <w14:schemeClr w14:val="tx1"/>
                        </w14:solidFill>
                      </w14:textFill>
                    </w:rPr>
                    <w:t>—</w:t>
                  </w:r>
                </w:p>
              </w:tc>
              <w:tc>
                <w:tcPr>
                  <w:tcW w:w="871"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bCs/>
                      <w:color w:val="000000" w:themeColor="text1"/>
                      <w:lang w:val="en-US" w:eastAsia="zh-CN"/>
                      <w14:textFill>
                        <w14:solidFill>
                          <w14:schemeClr w14:val="tx1"/>
                        </w14:solidFill>
                      </w14:textFill>
                    </w:rPr>
                    <w:t>7.5</w:t>
                  </w:r>
                </w:p>
              </w:tc>
              <w:tc>
                <w:tcPr>
                  <w:tcW w:w="880"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表</w:t>
            </w:r>
            <w:r>
              <w:rPr>
                <w:rFonts w:hint="eastAsia"/>
                <w:b/>
                <w:color w:val="000000" w:themeColor="text1"/>
                <w:sz w:val="24"/>
                <w:szCs w:val="24"/>
                <w14:textFill>
                  <w14:solidFill>
                    <w14:schemeClr w14:val="tx1"/>
                  </w14:solidFill>
                </w14:textFill>
              </w:rPr>
              <w:t>5-</w:t>
            </w:r>
            <w:r>
              <w:rPr>
                <w:rFonts w:hint="eastAsia"/>
                <w:b/>
                <w:color w:val="000000" w:themeColor="text1"/>
                <w:sz w:val="24"/>
                <w:szCs w:val="24"/>
                <w:lang w:val="en-US" w:eastAsia="zh-CN"/>
                <w14:textFill>
                  <w14:solidFill>
                    <w14:schemeClr w14:val="tx1"/>
                  </w14:solidFill>
                </w14:textFill>
              </w:rPr>
              <w:t>8</w:t>
            </w:r>
            <w:r>
              <w:rPr>
                <w:b/>
                <w:color w:val="000000" w:themeColor="text1"/>
                <w:sz w:val="24"/>
                <w:szCs w:val="24"/>
                <w14:textFill>
                  <w14:solidFill>
                    <w14:schemeClr w14:val="tx1"/>
                  </w14:solidFill>
                </w14:textFill>
              </w:rPr>
              <w:t xml:space="preserve">  本项目固体废物利用处置方式评价表</w:t>
            </w:r>
          </w:p>
          <w:tbl>
            <w:tblPr>
              <w:tblStyle w:val="17"/>
              <w:tblW w:w="8312"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76"/>
              <w:gridCol w:w="1310"/>
              <w:gridCol w:w="1189"/>
              <w:gridCol w:w="900"/>
              <w:gridCol w:w="1200"/>
              <w:gridCol w:w="1095"/>
              <w:gridCol w:w="1080"/>
              <w:gridCol w:w="1062"/>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476" w:type="dxa"/>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b/>
                      <w:color w:val="000000" w:themeColor="text1"/>
                      <w14:textFill>
                        <w14:solidFill>
                          <w14:schemeClr w14:val="tx1"/>
                        </w14:solidFill>
                      </w14:textFill>
                    </w:rPr>
                  </w:pPr>
                  <w:r>
                    <w:rPr>
                      <w:b/>
                      <w:color w:val="000000" w:themeColor="text1"/>
                      <w14:textFill>
                        <w14:solidFill>
                          <w14:schemeClr w14:val="tx1"/>
                        </w14:solidFill>
                      </w14:textFill>
                    </w:rPr>
                    <w:t>序号</w:t>
                  </w:r>
                </w:p>
              </w:tc>
              <w:tc>
                <w:tcPr>
                  <w:tcW w:w="1310" w:type="dxa"/>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b/>
                      <w:color w:val="000000" w:themeColor="text1"/>
                      <w14:textFill>
                        <w14:solidFill>
                          <w14:schemeClr w14:val="tx1"/>
                        </w14:solidFill>
                      </w14:textFill>
                    </w:rPr>
                  </w:pPr>
                  <w:r>
                    <w:rPr>
                      <w:b/>
                      <w:color w:val="000000" w:themeColor="text1"/>
                      <w14:textFill>
                        <w14:solidFill>
                          <w14:schemeClr w14:val="tx1"/>
                        </w14:solidFill>
                      </w14:textFill>
                    </w:rPr>
                    <w:t>固体废物名称</w:t>
                  </w:r>
                </w:p>
              </w:tc>
              <w:tc>
                <w:tcPr>
                  <w:tcW w:w="1189" w:type="dxa"/>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b/>
                      <w:color w:val="000000" w:themeColor="text1"/>
                      <w14:textFill>
                        <w14:solidFill>
                          <w14:schemeClr w14:val="tx1"/>
                        </w14:solidFill>
                      </w14:textFill>
                    </w:rPr>
                  </w:pPr>
                  <w:r>
                    <w:rPr>
                      <w:b/>
                      <w:color w:val="000000" w:themeColor="text1"/>
                      <w14:textFill>
                        <w14:solidFill>
                          <w14:schemeClr w14:val="tx1"/>
                        </w14:solidFill>
                      </w14:textFill>
                    </w:rPr>
                    <w:t>产生工序</w:t>
                  </w:r>
                </w:p>
              </w:tc>
              <w:tc>
                <w:tcPr>
                  <w:tcW w:w="900" w:type="dxa"/>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b/>
                      <w:color w:val="000000" w:themeColor="text1"/>
                      <w14:textFill>
                        <w14:solidFill>
                          <w14:schemeClr w14:val="tx1"/>
                        </w14:solidFill>
                      </w14:textFill>
                    </w:rPr>
                  </w:pPr>
                  <w:r>
                    <w:rPr>
                      <w:b/>
                      <w:color w:val="000000" w:themeColor="text1"/>
                      <w14:textFill>
                        <w14:solidFill>
                          <w14:schemeClr w14:val="tx1"/>
                        </w14:solidFill>
                      </w14:textFill>
                    </w:rPr>
                    <w:t>属性</w:t>
                  </w:r>
                </w:p>
              </w:tc>
              <w:tc>
                <w:tcPr>
                  <w:tcW w:w="1200" w:type="dxa"/>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b/>
                      <w:color w:val="000000" w:themeColor="text1"/>
                      <w14:textFill>
                        <w14:solidFill>
                          <w14:schemeClr w14:val="tx1"/>
                        </w14:solidFill>
                      </w14:textFill>
                    </w:rPr>
                  </w:pPr>
                  <w:r>
                    <w:rPr>
                      <w:b/>
                      <w:color w:val="000000" w:themeColor="text1"/>
                      <w14:textFill>
                        <w14:solidFill>
                          <w14:schemeClr w14:val="tx1"/>
                        </w14:solidFill>
                      </w14:textFill>
                    </w:rPr>
                    <w:t>废物代码</w:t>
                  </w:r>
                </w:p>
              </w:tc>
              <w:tc>
                <w:tcPr>
                  <w:tcW w:w="1095" w:type="dxa"/>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b/>
                      <w:color w:val="000000" w:themeColor="text1"/>
                      <w14:textFill>
                        <w14:solidFill>
                          <w14:schemeClr w14:val="tx1"/>
                        </w14:solidFill>
                      </w14:textFill>
                    </w:rPr>
                  </w:pPr>
                  <w:r>
                    <w:rPr>
                      <w:b/>
                      <w:color w:val="000000" w:themeColor="text1"/>
                      <w14:textFill>
                        <w14:solidFill>
                          <w14:schemeClr w14:val="tx1"/>
                        </w14:solidFill>
                      </w14:textFill>
                    </w:rPr>
                    <w:t>产生量（t/a）</w:t>
                  </w:r>
                </w:p>
              </w:tc>
              <w:tc>
                <w:tcPr>
                  <w:tcW w:w="1080" w:type="dxa"/>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b/>
                      <w:color w:val="000000" w:themeColor="text1"/>
                      <w14:textFill>
                        <w14:solidFill>
                          <w14:schemeClr w14:val="tx1"/>
                        </w14:solidFill>
                      </w14:textFill>
                    </w:rPr>
                  </w:pPr>
                  <w:r>
                    <w:rPr>
                      <w:b/>
                      <w:color w:val="000000" w:themeColor="text1"/>
                      <w14:textFill>
                        <w14:solidFill>
                          <w14:schemeClr w14:val="tx1"/>
                        </w14:solidFill>
                      </w14:textFill>
                    </w:rPr>
                    <w:t>处理处置方式</w:t>
                  </w:r>
                </w:p>
              </w:tc>
              <w:tc>
                <w:tcPr>
                  <w:tcW w:w="1062" w:type="dxa"/>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b/>
                      <w:color w:val="000000" w:themeColor="text1"/>
                      <w14:textFill>
                        <w14:solidFill>
                          <w14:schemeClr w14:val="tx1"/>
                        </w14:solidFill>
                      </w14:textFill>
                    </w:rPr>
                  </w:pPr>
                  <w:r>
                    <w:rPr>
                      <w:b/>
                      <w:color w:val="000000" w:themeColor="text1"/>
                      <w14:textFill>
                        <w14:solidFill>
                          <w14:schemeClr w14:val="tx1"/>
                        </w14:solidFill>
                      </w14:textFill>
                    </w:rPr>
                    <w:t>利用处置单位</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476" w:type="dxa"/>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color w:val="000000" w:themeColor="text1"/>
                      <w14:textFill>
                        <w14:solidFill>
                          <w14:schemeClr w14:val="tx1"/>
                        </w14:solidFill>
                      </w14:textFill>
                    </w:rPr>
                  </w:pPr>
                  <w:r>
                    <w:rPr>
                      <w:bCs/>
                      <w:color w:val="000000" w:themeColor="text1"/>
                      <w14:textFill>
                        <w14:solidFill>
                          <w14:schemeClr w14:val="tx1"/>
                        </w14:solidFill>
                      </w14:textFill>
                    </w:rPr>
                    <w:t>1</w:t>
                  </w:r>
                </w:p>
              </w:tc>
              <w:tc>
                <w:tcPr>
                  <w:tcW w:w="1310"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ind w:left="0" w:leftChars="0" w:right="0" w:rightChars="0"/>
                    <w:textAlignment w:val="auto"/>
                    <w:rPr>
                      <w:color w:val="000000" w:themeColor="text1"/>
                      <w14:textFill>
                        <w14:solidFill>
                          <w14:schemeClr w14:val="tx1"/>
                        </w14:solidFill>
                      </w14:textFill>
                    </w:rPr>
                  </w:pPr>
                  <w:r>
                    <w:rPr>
                      <w:rFonts w:hint="eastAsia"/>
                      <w:bCs/>
                      <w:color w:val="000000" w:themeColor="text1"/>
                      <w:lang w:eastAsia="zh-CN"/>
                      <w14:textFill>
                        <w14:solidFill>
                          <w14:schemeClr w14:val="tx1"/>
                        </w14:solidFill>
                      </w14:textFill>
                    </w:rPr>
                    <w:t>废塑粉</w:t>
                  </w:r>
                </w:p>
              </w:tc>
              <w:tc>
                <w:tcPr>
                  <w:tcW w:w="1189" w:type="dxa"/>
                  <w:vMerge w:val="restart"/>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生产过程</w:t>
                  </w:r>
                </w:p>
              </w:tc>
              <w:tc>
                <w:tcPr>
                  <w:tcW w:w="900" w:type="dxa"/>
                  <w:vMerge w:val="restart"/>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color w:val="000000" w:themeColor="text1"/>
                      <w14:textFill>
                        <w14:solidFill>
                          <w14:schemeClr w14:val="tx1"/>
                        </w14:solidFill>
                      </w14:textFill>
                    </w:rPr>
                  </w:pPr>
                  <w:r>
                    <w:rPr>
                      <w:color w:val="000000" w:themeColor="text1"/>
                      <w14:textFill>
                        <w14:solidFill>
                          <w14:schemeClr w14:val="tx1"/>
                        </w14:solidFill>
                      </w14:textFill>
                    </w:rPr>
                    <w:t>一般工业固体废物</w:t>
                  </w:r>
                </w:p>
              </w:tc>
              <w:tc>
                <w:tcPr>
                  <w:tcW w:w="1200" w:type="dxa"/>
                  <w:vAlign w:val="center"/>
                </w:tcPr>
                <w:p>
                  <w:pPr>
                    <w:keepNext w:val="0"/>
                    <w:keepLines w:val="0"/>
                    <w:pageBreakBefore w:val="0"/>
                    <w:tabs>
                      <w:tab w:val="left" w:pos="2227"/>
                    </w:tabs>
                    <w:kinsoku/>
                    <w:wordWrap/>
                    <w:overflowPunct/>
                    <w:topLinePunct w:val="0"/>
                    <w:autoSpaceDE/>
                    <w:autoSpaceDN/>
                    <w:bidi w:val="0"/>
                    <w:spacing w:before="63" w:beforeLines="20" w:after="63" w:afterLines="20"/>
                    <w:ind w:left="0" w:leftChars="0" w:right="0" w:rightChars="0"/>
                    <w:contextualSpacing/>
                    <w:jc w:val="center"/>
                    <w:textAlignment w:val="auto"/>
                    <w:rPr>
                      <w:color w:val="000000" w:themeColor="text1"/>
                      <w:szCs w:val="21"/>
                      <w14:textFill>
                        <w14:solidFill>
                          <w14:schemeClr w14:val="tx1"/>
                        </w14:solidFill>
                      </w14:textFill>
                    </w:rPr>
                  </w:pPr>
                  <w:r>
                    <w:rPr>
                      <w:color w:val="000000" w:themeColor="text1"/>
                      <w:kern w:val="18"/>
                      <w:szCs w:val="21"/>
                      <w14:textFill>
                        <w14:solidFill>
                          <w14:schemeClr w14:val="tx1"/>
                        </w14:solidFill>
                      </w14:textFill>
                    </w:rPr>
                    <w:t>—</w:t>
                  </w:r>
                </w:p>
              </w:tc>
              <w:tc>
                <w:tcPr>
                  <w:tcW w:w="1095"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bCs/>
                      <w:color w:val="000000" w:themeColor="text1"/>
                      <w14:textFill>
                        <w14:solidFill>
                          <w14:schemeClr w14:val="tx1"/>
                        </w14:solidFill>
                      </w14:textFill>
                    </w:rPr>
                    <w:t>0.</w:t>
                  </w:r>
                  <w:r>
                    <w:rPr>
                      <w:rFonts w:hint="eastAsia"/>
                      <w:bCs/>
                      <w:color w:val="000000" w:themeColor="text1"/>
                      <w:lang w:val="en-US" w:eastAsia="zh-CN"/>
                      <w14:textFill>
                        <w14:solidFill>
                          <w14:schemeClr w14:val="tx1"/>
                        </w14:solidFill>
                      </w14:textFill>
                    </w:rPr>
                    <w:t>33</w:t>
                  </w:r>
                </w:p>
              </w:tc>
              <w:tc>
                <w:tcPr>
                  <w:tcW w:w="1080" w:type="dxa"/>
                  <w:vMerge w:val="restart"/>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color w:val="000000" w:themeColor="text1"/>
                      <w14:textFill>
                        <w14:solidFill>
                          <w14:schemeClr w14:val="tx1"/>
                        </w14:solidFill>
                      </w14:textFill>
                    </w:rPr>
                  </w:pPr>
                  <w:r>
                    <w:rPr>
                      <w:color w:val="000000" w:themeColor="text1"/>
                      <w:szCs w:val="21"/>
                      <w14:textFill>
                        <w14:solidFill>
                          <w14:schemeClr w14:val="tx1"/>
                        </w14:solidFill>
                      </w14:textFill>
                    </w:rPr>
                    <w:t>外售处置</w:t>
                  </w:r>
                </w:p>
              </w:tc>
              <w:tc>
                <w:tcPr>
                  <w:tcW w:w="1062" w:type="dxa"/>
                  <w:vMerge w:val="restart"/>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color w:val="000000" w:themeColor="text1"/>
                      <w14:textFill>
                        <w14:solidFill>
                          <w14:schemeClr w14:val="tx1"/>
                        </w14:solidFill>
                      </w14:textFill>
                    </w:rPr>
                  </w:pPr>
                  <w:r>
                    <w:t>物资回收单位</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476" w:type="dxa"/>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color w:val="000000" w:themeColor="text1"/>
                      <w14:textFill>
                        <w14:solidFill>
                          <w14:schemeClr w14:val="tx1"/>
                        </w14:solidFill>
                      </w14:textFill>
                    </w:rPr>
                  </w:pPr>
                  <w:r>
                    <w:rPr>
                      <w:bCs/>
                      <w:color w:val="000000" w:themeColor="text1"/>
                      <w14:textFill>
                        <w14:solidFill>
                          <w14:schemeClr w14:val="tx1"/>
                        </w14:solidFill>
                      </w14:textFill>
                    </w:rPr>
                    <w:t>2</w:t>
                  </w:r>
                </w:p>
              </w:tc>
              <w:tc>
                <w:tcPr>
                  <w:tcW w:w="1310"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ind w:left="0" w:leftChars="0" w:right="0" w:rightChars="0"/>
                    <w:textAlignment w:val="auto"/>
                    <w:rPr>
                      <w:color w:val="000000" w:themeColor="text1"/>
                      <w14:textFill>
                        <w14:solidFill>
                          <w14:schemeClr w14:val="tx1"/>
                        </w14:solidFill>
                      </w14:textFill>
                    </w:rPr>
                  </w:pPr>
                  <w:r>
                    <w:rPr>
                      <w:rFonts w:hint="eastAsia"/>
                      <w:bCs/>
                      <w:color w:val="000000" w:themeColor="text1"/>
                      <w:lang w:eastAsia="zh-CN"/>
                      <w14:textFill>
                        <w14:solidFill>
                          <w14:schemeClr w14:val="tx1"/>
                        </w14:solidFill>
                      </w14:textFill>
                    </w:rPr>
                    <w:t>废包装材料</w:t>
                  </w:r>
                </w:p>
              </w:tc>
              <w:tc>
                <w:tcPr>
                  <w:tcW w:w="1189" w:type="dxa"/>
                  <w:vMerge w:val="continue"/>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color w:val="000000" w:themeColor="text1"/>
                      <w14:textFill>
                        <w14:solidFill>
                          <w14:schemeClr w14:val="tx1"/>
                        </w14:solidFill>
                      </w14:textFill>
                    </w:rPr>
                  </w:pPr>
                </w:p>
              </w:tc>
              <w:tc>
                <w:tcPr>
                  <w:tcW w:w="900"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color w:val="000000" w:themeColor="text1"/>
                      <w:szCs w:val="21"/>
                      <w14:textFill>
                        <w14:solidFill>
                          <w14:schemeClr w14:val="tx1"/>
                        </w14:solidFill>
                      </w14:textFill>
                    </w:rPr>
                  </w:pPr>
                </w:p>
              </w:tc>
              <w:tc>
                <w:tcPr>
                  <w:tcW w:w="1200" w:type="dxa"/>
                  <w:vAlign w:val="center"/>
                </w:tcPr>
                <w:p>
                  <w:pPr>
                    <w:keepNext w:val="0"/>
                    <w:keepLines w:val="0"/>
                    <w:pageBreakBefore w:val="0"/>
                    <w:tabs>
                      <w:tab w:val="left" w:pos="2227"/>
                    </w:tabs>
                    <w:kinsoku/>
                    <w:wordWrap/>
                    <w:overflowPunct/>
                    <w:topLinePunct w:val="0"/>
                    <w:autoSpaceDE/>
                    <w:autoSpaceDN/>
                    <w:bidi w:val="0"/>
                    <w:spacing w:before="63" w:beforeLines="20" w:after="63" w:afterLines="20"/>
                    <w:ind w:left="0" w:leftChars="0" w:right="0" w:rightChars="0"/>
                    <w:contextualSpacing/>
                    <w:jc w:val="center"/>
                    <w:textAlignment w:val="auto"/>
                    <w:rPr>
                      <w:color w:val="000000" w:themeColor="text1"/>
                      <w:szCs w:val="21"/>
                      <w14:textFill>
                        <w14:solidFill>
                          <w14:schemeClr w14:val="tx1"/>
                        </w14:solidFill>
                      </w14:textFill>
                    </w:rPr>
                  </w:pPr>
                  <w:r>
                    <w:rPr>
                      <w:color w:val="000000" w:themeColor="text1"/>
                      <w:kern w:val="18"/>
                      <w:szCs w:val="21"/>
                      <w14:textFill>
                        <w14:solidFill>
                          <w14:schemeClr w14:val="tx1"/>
                        </w14:solidFill>
                      </w14:textFill>
                    </w:rPr>
                    <w:t>—</w:t>
                  </w:r>
                </w:p>
              </w:tc>
              <w:tc>
                <w:tcPr>
                  <w:tcW w:w="1095"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bCs/>
                      <w:color w:val="000000" w:themeColor="text1"/>
                      <w:lang w:val="en-US" w:eastAsia="zh-CN"/>
                      <w14:textFill>
                        <w14:solidFill>
                          <w14:schemeClr w14:val="tx1"/>
                        </w14:solidFill>
                      </w14:textFill>
                    </w:rPr>
                    <w:t>0.1</w:t>
                  </w:r>
                </w:p>
              </w:tc>
              <w:tc>
                <w:tcPr>
                  <w:tcW w:w="1080" w:type="dxa"/>
                  <w:vMerge w:val="continue"/>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color w:val="000000" w:themeColor="text1"/>
                      <w14:textFill>
                        <w14:solidFill>
                          <w14:schemeClr w14:val="tx1"/>
                        </w14:solidFill>
                      </w14:textFill>
                    </w:rPr>
                  </w:pPr>
                </w:p>
              </w:tc>
              <w:tc>
                <w:tcPr>
                  <w:tcW w:w="1062" w:type="dxa"/>
                  <w:vMerge w:val="continue"/>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476" w:type="dxa"/>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color w:val="000000" w:themeColor="text1"/>
                      <w14:textFill>
                        <w14:solidFill>
                          <w14:schemeClr w14:val="tx1"/>
                        </w14:solidFill>
                      </w14:textFill>
                    </w:rPr>
                  </w:pPr>
                  <w:r>
                    <w:rPr>
                      <w:bCs/>
                      <w:color w:val="000000" w:themeColor="text1"/>
                      <w14:textFill>
                        <w14:solidFill>
                          <w14:schemeClr w14:val="tx1"/>
                        </w14:solidFill>
                      </w14:textFill>
                    </w:rPr>
                    <w:t>3</w:t>
                  </w:r>
                </w:p>
              </w:tc>
              <w:tc>
                <w:tcPr>
                  <w:tcW w:w="1310"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ind w:left="0" w:leftChars="0" w:right="0" w:rightChars="0"/>
                    <w:textAlignment w:val="auto"/>
                    <w:rPr>
                      <w:color w:val="FF0000"/>
                    </w:rPr>
                  </w:pPr>
                  <w:r>
                    <w:rPr>
                      <w:rFonts w:hint="eastAsia"/>
                      <w:bCs/>
                      <w:color w:val="000000" w:themeColor="text1"/>
                      <w:lang w:eastAsia="zh-CN"/>
                      <w14:textFill>
                        <w14:solidFill>
                          <w14:schemeClr w14:val="tx1"/>
                        </w14:solidFill>
                      </w14:textFill>
                    </w:rPr>
                    <w:t>含油抹布和手套</w:t>
                  </w:r>
                </w:p>
              </w:tc>
              <w:tc>
                <w:tcPr>
                  <w:tcW w:w="1189" w:type="dxa"/>
                  <w:vMerge w:val="continue"/>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color w:val="000000" w:themeColor="text1"/>
                      <w14:textFill>
                        <w14:solidFill>
                          <w14:schemeClr w14:val="tx1"/>
                        </w14:solidFill>
                      </w14:textFill>
                    </w:rPr>
                  </w:pPr>
                </w:p>
              </w:tc>
              <w:tc>
                <w:tcPr>
                  <w:tcW w:w="900" w:type="dxa"/>
                  <w:vMerge w:val="restart"/>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危险废物</w:t>
                  </w:r>
                </w:p>
              </w:tc>
              <w:tc>
                <w:tcPr>
                  <w:tcW w:w="1200" w:type="dxa"/>
                  <w:vAlign w:val="center"/>
                </w:tcPr>
                <w:p>
                  <w:pPr>
                    <w:keepNext w:val="0"/>
                    <w:keepLines w:val="0"/>
                    <w:pageBreakBefore w:val="0"/>
                    <w:tabs>
                      <w:tab w:val="left" w:pos="2227"/>
                    </w:tabs>
                    <w:kinsoku/>
                    <w:wordWrap/>
                    <w:overflowPunct/>
                    <w:topLinePunct w:val="0"/>
                    <w:autoSpaceDE/>
                    <w:autoSpaceDN/>
                    <w:bidi w:val="0"/>
                    <w:spacing w:before="63" w:beforeLines="20" w:after="63" w:afterLines="20"/>
                    <w:ind w:left="0" w:leftChars="0" w:right="0" w:rightChars="0"/>
                    <w:contextualSpacing/>
                    <w:jc w:val="center"/>
                    <w:textAlignment w:val="auto"/>
                    <w:rPr>
                      <w:color w:val="000000" w:themeColor="text1"/>
                      <w:kern w:val="18"/>
                      <w:szCs w:val="21"/>
                      <w14:textFill>
                        <w14:solidFill>
                          <w14:schemeClr w14:val="tx1"/>
                        </w14:solidFill>
                      </w14:textFill>
                    </w:rPr>
                  </w:pPr>
                  <w:r>
                    <w:rPr>
                      <w:szCs w:val="21"/>
                    </w:rPr>
                    <w:t>900-041-49</w:t>
                  </w:r>
                </w:p>
              </w:tc>
              <w:tc>
                <w:tcPr>
                  <w:tcW w:w="1095"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bCs/>
                      <w:color w:val="000000" w:themeColor="text1"/>
                      <w:lang w:val="en-US" w:eastAsia="zh-CN"/>
                      <w14:textFill>
                        <w14:solidFill>
                          <w14:schemeClr w14:val="tx1"/>
                        </w14:solidFill>
                      </w14:textFill>
                    </w:rPr>
                    <w:t>0.1</w:t>
                  </w:r>
                </w:p>
              </w:tc>
              <w:tc>
                <w:tcPr>
                  <w:tcW w:w="1080" w:type="dxa"/>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rFonts w:hint="eastAsia" w:eastAsia="宋体"/>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混入生活垃圾，委托环卫部门清运</w:t>
                  </w:r>
                </w:p>
              </w:tc>
              <w:tc>
                <w:tcPr>
                  <w:tcW w:w="1062" w:type="dxa"/>
                  <w:vMerge w:val="restart"/>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有资质单位</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476" w:type="dxa"/>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color w:val="000000" w:themeColor="text1"/>
                      <w14:textFill>
                        <w14:solidFill>
                          <w14:schemeClr w14:val="tx1"/>
                        </w14:solidFill>
                      </w14:textFill>
                    </w:rPr>
                  </w:pPr>
                  <w:r>
                    <w:rPr>
                      <w:rFonts w:hint="eastAsia"/>
                      <w:bCs/>
                      <w:color w:val="000000" w:themeColor="text1"/>
                      <w14:textFill>
                        <w14:solidFill>
                          <w14:schemeClr w14:val="tx1"/>
                        </w14:solidFill>
                      </w14:textFill>
                    </w:rPr>
                    <w:t>4</w:t>
                  </w:r>
                </w:p>
              </w:tc>
              <w:tc>
                <w:tcPr>
                  <w:tcW w:w="1310"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ind w:left="0" w:leftChars="0" w:right="0" w:rightChars="0"/>
                    <w:textAlignment w:val="auto"/>
                    <w:rPr>
                      <w:bCs/>
                      <w:color w:val="000000" w:themeColor="text1"/>
                      <w14:textFill>
                        <w14:solidFill>
                          <w14:schemeClr w14:val="tx1"/>
                        </w14:solidFill>
                      </w14:textFill>
                    </w:rPr>
                  </w:pPr>
                  <w:r>
                    <w:rPr>
                      <w:rFonts w:hint="eastAsia"/>
                      <w:bCs/>
                      <w:color w:val="000000" w:themeColor="text1"/>
                      <w:lang w:eastAsia="zh-CN"/>
                      <w14:textFill>
                        <w14:solidFill>
                          <w14:schemeClr w14:val="tx1"/>
                        </w14:solidFill>
                      </w14:textFill>
                    </w:rPr>
                    <w:t>废包装桶</w:t>
                  </w:r>
                </w:p>
              </w:tc>
              <w:tc>
                <w:tcPr>
                  <w:tcW w:w="1189" w:type="dxa"/>
                  <w:vMerge w:val="continue"/>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color w:val="000000" w:themeColor="text1"/>
                      <w14:textFill>
                        <w14:solidFill>
                          <w14:schemeClr w14:val="tx1"/>
                        </w14:solidFill>
                      </w14:textFill>
                    </w:rPr>
                  </w:pPr>
                </w:p>
              </w:tc>
              <w:tc>
                <w:tcPr>
                  <w:tcW w:w="900" w:type="dxa"/>
                  <w:vMerge w:val="continue"/>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color w:val="000000" w:themeColor="text1"/>
                      <w14:textFill>
                        <w14:solidFill>
                          <w14:schemeClr w14:val="tx1"/>
                        </w14:solidFill>
                      </w14:textFill>
                    </w:rPr>
                  </w:pPr>
                </w:p>
              </w:tc>
              <w:tc>
                <w:tcPr>
                  <w:tcW w:w="1200" w:type="dxa"/>
                  <w:vAlign w:val="center"/>
                </w:tcPr>
                <w:p>
                  <w:pPr>
                    <w:keepNext w:val="0"/>
                    <w:keepLines w:val="0"/>
                    <w:pageBreakBefore w:val="0"/>
                    <w:tabs>
                      <w:tab w:val="left" w:pos="2227"/>
                    </w:tabs>
                    <w:kinsoku/>
                    <w:wordWrap/>
                    <w:overflowPunct/>
                    <w:topLinePunct w:val="0"/>
                    <w:autoSpaceDE/>
                    <w:autoSpaceDN/>
                    <w:bidi w:val="0"/>
                    <w:spacing w:before="63" w:beforeLines="20" w:after="63" w:afterLines="20"/>
                    <w:ind w:left="0" w:leftChars="0" w:right="0" w:rightChars="0"/>
                    <w:contextualSpacing/>
                    <w:jc w:val="center"/>
                    <w:textAlignment w:val="auto"/>
                    <w:rPr>
                      <w:color w:val="000000" w:themeColor="text1"/>
                      <w:kern w:val="18"/>
                      <w:szCs w:val="21"/>
                      <w14:textFill>
                        <w14:solidFill>
                          <w14:schemeClr w14:val="tx1"/>
                        </w14:solidFill>
                      </w14:textFill>
                    </w:rPr>
                  </w:pPr>
                  <w:r>
                    <w:rPr>
                      <w:szCs w:val="21"/>
                    </w:rPr>
                    <w:t>900-041-49</w:t>
                  </w:r>
                </w:p>
              </w:tc>
              <w:tc>
                <w:tcPr>
                  <w:tcW w:w="1095"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Cs/>
                      <w:color w:val="000000" w:themeColor="text1"/>
                      <w14:textFill>
                        <w14:solidFill>
                          <w14:schemeClr w14:val="tx1"/>
                        </w14:solidFill>
                      </w14:textFill>
                    </w:rPr>
                  </w:pPr>
                  <w:r>
                    <w:rPr>
                      <w:rFonts w:hint="eastAsia"/>
                      <w:bCs/>
                      <w:color w:val="000000" w:themeColor="text1"/>
                      <w:lang w:val="en-US" w:eastAsia="zh-CN"/>
                      <w14:textFill>
                        <w14:solidFill>
                          <w14:schemeClr w14:val="tx1"/>
                        </w14:solidFill>
                      </w14:textFill>
                    </w:rPr>
                    <w:t>10只/a</w:t>
                  </w:r>
                </w:p>
              </w:tc>
              <w:tc>
                <w:tcPr>
                  <w:tcW w:w="1080" w:type="dxa"/>
                  <w:vMerge w:val="restart"/>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委外处置</w:t>
                  </w:r>
                </w:p>
              </w:tc>
              <w:tc>
                <w:tcPr>
                  <w:tcW w:w="1062" w:type="dxa"/>
                  <w:vMerge w:val="continue"/>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476" w:type="dxa"/>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color w:val="000000" w:themeColor="text1"/>
                      <w14:textFill>
                        <w14:solidFill>
                          <w14:schemeClr w14:val="tx1"/>
                        </w14:solidFill>
                      </w14:textFill>
                    </w:rPr>
                  </w:pPr>
                  <w:r>
                    <w:rPr>
                      <w:rFonts w:hint="eastAsia"/>
                      <w:bCs/>
                      <w:color w:val="000000" w:themeColor="text1"/>
                      <w14:textFill>
                        <w14:solidFill>
                          <w14:schemeClr w14:val="tx1"/>
                        </w14:solidFill>
                      </w14:textFill>
                    </w:rPr>
                    <w:t>5</w:t>
                  </w:r>
                </w:p>
              </w:tc>
              <w:tc>
                <w:tcPr>
                  <w:tcW w:w="1310"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ind w:left="0" w:leftChars="0" w:right="0" w:rightChars="0"/>
                    <w:textAlignment w:val="auto"/>
                    <w:rPr>
                      <w:color w:val="FF0000"/>
                    </w:rPr>
                  </w:pPr>
                  <w:r>
                    <w:rPr>
                      <w:rFonts w:hint="eastAsia"/>
                      <w:bCs/>
                      <w:color w:val="000000" w:themeColor="text1"/>
                      <w14:textFill>
                        <w14:solidFill>
                          <w14:schemeClr w14:val="tx1"/>
                        </w14:solidFill>
                      </w14:textFill>
                    </w:rPr>
                    <w:t>废活性炭</w:t>
                  </w:r>
                </w:p>
              </w:tc>
              <w:tc>
                <w:tcPr>
                  <w:tcW w:w="1189" w:type="dxa"/>
                  <w:vMerge w:val="continue"/>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color w:val="000000" w:themeColor="text1"/>
                      <w14:textFill>
                        <w14:solidFill>
                          <w14:schemeClr w14:val="tx1"/>
                        </w14:solidFill>
                      </w14:textFill>
                    </w:rPr>
                  </w:pPr>
                </w:p>
              </w:tc>
              <w:tc>
                <w:tcPr>
                  <w:tcW w:w="900" w:type="dxa"/>
                  <w:vMerge w:val="continue"/>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color w:val="000000" w:themeColor="text1"/>
                      <w14:textFill>
                        <w14:solidFill>
                          <w14:schemeClr w14:val="tx1"/>
                        </w14:solidFill>
                      </w14:textFill>
                    </w:rPr>
                  </w:pPr>
                </w:p>
              </w:tc>
              <w:tc>
                <w:tcPr>
                  <w:tcW w:w="1200" w:type="dxa"/>
                  <w:vAlign w:val="center"/>
                </w:tcPr>
                <w:p>
                  <w:pPr>
                    <w:keepNext w:val="0"/>
                    <w:keepLines w:val="0"/>
                    <w:pageBreakBefore w:val="0"/>
                    <w:tabs>
                      <w:tab w:val="left" w:pos="2227"/>
                    </w:tabs>
                    <w:kinsoku/>
                    <w:wordWrap/>
                    <w:overflowPunct/>
                    <w:topLinePunct w:val="0"/>
                    <w:autoSpaceDE/>
                    <w:autoSpaceDN/>
                    <w:bidi w:val="0"/>
                    <w:spacing w:before="63" w:beforeLines="20" w:after="63" w:afterLines="20"/>
                    <w:ind w:left="0" w:leftChars="0" w:right="0" w:rightChars="0"/>
                    <w:contextualSpacing/>
                    <w:jc w:val="center"/>
                    <w:textAlignment w:val="auto"/>
                    <w:rPr>
                      <w:color w:val="000000" w:themeColor="text1"/>
                      <w:kern w:val="18"/>
                      <w:szCs w:val="21"/>
                      <w14:textFill>
                        <w14:solidFill>
                          <w14:schemeClr w14:val="tx1"/>
                        </w14:solidFill>
                      </w14:textFill>
                    </w:rPr>
                  </w:pPr>
                  <w:r>
                    <w:rPr>
                      <w:szCs w:val="21"/>
                    </w:rPr>
                    <w:t>900-041-49</w:t>
                  </w:r>
                </w:p>
              </w:tc>
              <w:tc>
                <w:tcPr>
                  <w:tcW w:w="1095"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Cs/>
                      <w:color w:val="000000" w:themeColor="text1"/>
                      <w14:textFill>
                        <w14:solidFill>
                          <w14:schemeClr w14:val="tx1"/>
                        </w14:solidFill>
                      </w14:textFill>
                    </w:rPr>
                  </w:pPr>
                  <w:r>
                    <w:rPr>
                      <w:rFonts w:hint="eastAsia"/>
                      <w:bCs/>
                      <w:color w:val="000000" w:themeColor="text1"/>
                      <w:lang w:val="en-US" w:eastAsia="zh-CN"/>
                      <w14:textFill>
                        <w14:solidFill>
                          <w14:schemeClr w14:val="tx1"/>
                        </w14:solidFill>
                      </w14:textFill>
                    </w:rPr>
                    <w:t>0.826</w:t>
                  </w:r>
                </w:p>
              </w:tc>
              <w:tc>
                <w:tcPr>
                  <w:tcW w:w="1080" w:type="dxa"/>
                  <w:vMerge w:val="continue"/>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color w:val="000000" w:themeColor="text1"/>
                      <w14:textFill>
                        <w14:solidFill>
                          <w14:schemeClr w14:val="tx1"/>
                        </w14:solidFill>
                      </w14:textFill>
                    </w:rPr>
                  </w:pPr>
                </w:p>
              </w:tc>
              <w:tc>
                <w:tcPr>
                  <w:tcW w:w="1062" w:type="dxa"/>
                  <w:vMerge w:val="continue"/>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color w:val="000000" w:themeColor="text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476" w:type="dxa"/>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rFonts w:hint="eastAsia" w:eastAsia="宋体"/>
                      <w:color w:val="000000" w:themeColor="text1"/>
                      <w:lang w:eastAsia="zh-CN"/>
                      <w14:textFill>
                        <w14:solidFill>
                          <w14:schemeClr w14:val="tx1"/>
                        </w14:solidFill>
                      </w14:textFill>
                    </w:rPr>
                  </w:pPr>
                  <w:r>
                    <w:rPr>
                      <w:rFonts w:hint="eastAsia"/>
                      <w:bCs/>
                      <w:color w:val="000000" w:themeColor="text1"/>
                      <w:lang w:val="en-US" w:eastAsia="zh-CN"/>
                      <w14:textFill>
                        <w14:solidFill>
                          <w14:schemeClr w14:val="tx1"/>
                        </w14:solidFill>
                      </w14:textFill>
                    </w:rPr>
                    <w:t>6</w:t>
                  </w:r>
                </w:p>
              </w:tc>
              <w:tc>
                <w:tcPr>
                  <w:tcW w:w="1310"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ind w:left="0" w:leftChars="0" w:right="0" w:rightChars="0"/>
                    <w:textAlignment w:val="auto"/>
                    <w:rPr>
                      <w:color w:val="000000" w:themeColor="text1"/>
                      <w14:textFill>
                        <w14:solidFill>
                          <w14:schemeClr w14:val="tx1"/>
                        </w14:solidFill>
                      </w14:textFill>
                    </w:rPr>
                  </w:pPr>
                  <w:r>
                    <w:rPr>
                      <w:rFonts w:hint="eastAsia"/>
                      <w:bCs/>
                      <w:color w:val="000000" w:themeColor="text1"/>
                      <w14:textFill>
                        <w14:solidFill>
                          <w14:schemeClr w14:val="tx1"/>
                        </w14:solidFill>
                      </w14:textFill>
                    </w:rPr>
                    <w:t>生活垃圾</w:t>
                  </w:r>
                </w:p>
              </w:tc>
              <w:tc>
                <w:tcPr>
                  <w:tcW w:w="1189" w:type="dxa"/>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textAlignment w:val="auto"/>
                    <w:rPr>
                      <w:color w:val="000000" w:themeColor="text1"/>
                      <w14:textFill>
                        <w14:solidFill>
                          <w14:schemeClr w14:val="tx1"/>
                        </w14:solidFill>
                      </w14:textFill>
                    </w:rPr>
                  </w:pPr>
                  <w:r>
                    <w:rPr>
                      <w:rFonts w:hint="eastAsia"/>
                      <w:bCs/>
                      <w:color w:val="000000" w:themeColor="text1"/>
                      <w14:textFill>
                        <w14:solidFill>
                          <w14:schemeClr w14:val="tx1"/>
                        </w14:solidFill>
                      </w14:textFill>
                    </w:rPr>
                    <w:t>员工日常生活</w:t>
                  </w:r>
                </w:p>
              </w:tc>
              <w:tc>
                <w:tcPr>
                  <w:tcW w:w="900"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生活垃圾</w:t>
                  </w:r>
                </w:p>
              </w:tc>
              <w:tc>
                <w:tcPr>
                  <w:tcW w:w="1200" w:type="dxa"/>
                  <w:vAlign w:val="center"/>
                </w:tcPr>
                <w:p>
                  <w:pPr>
                    <w:keepNext w:val="0"/>
                    <w:keepLines w:val="0"/>
                    <w:pageBreakBefore w:val="0"/>
                    <w:widowControl/>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color w:val="000000" w:themeColor="text1"/>
                      <w:kern w:val="0"/>
                      <w:szCs w:val="21"/>
                      <w14:textFill>
                        <w14:solidFill>
                          <w14:schemeClr w14:val="tx1"/>
                        </w14:solidFill>
                      </w14:textFill>
                    </w:rPr>
                  </w:pPr>
                  <w:r>
                    <w:rPr>
                      <w:color w:val="000000" w:themeColor="text1"/>
                      <w:kern w:val="18"/>
                      <w:szCs w:val="21"/>
                      <w14:textFill>
                        <w14:solidFill>
                          <w14:schemeClr w14:val="tx1"/>
                        </w14:solidFill>
                      </w14:textFill>
                    </w:rPr>
                    <w:t>—</w:t>
                  </w:r>
                </w:p>
              </w:tc>
              <w:tc>
                <w:tcPr>
                  <w:tcW w:w="1095"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bCs/>
                      <w:color w:val="000000" w:themeColor="text1"/>
                      <w:lang w:val="en-US" w:eastAsia="zh-CN"/>
                      <w14:textFill>
                        <w14:solidFill>
                          <w14:schemeClr w14:val="tx1"/>
                        </w14:solidFill>
                      </w14:textFill>
                    </w:rPr>
                    <w:t>7.5</w:t>
                  </w:r>
                </w:p>
              </w:tc>
              <w:tc>
                <w:tcPr>
                  <w:tcW w:w="1080"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环卫部门清运</w:t>
                  </w:r>
                </w:p>
              </w:tc>
              <w:tc>
                <w:tcPr>
                  <w:tcW w:w="1062"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环卫部门</w:t>
                  </w:r>
                </w:p>
              </w:tc>
            </w:tr>
          </w:tbl>
          <w:p>
            <w:pPr>
              <w:spacing w:line="360" w:lineRule="auto"/>
              <w:rPr>
                <w:color w:val="000000" w:themeColor="text1"/>
                <w:sz w:val="24"/>
                <w:szCs w:val="24"/>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12" w:space="0"/>
          </w:tblBorders>
          <w:tblCellMar>
            <w:top w:w="0" w:type="dxa"/>
            <w:left w:w="108" w:type="dxa"/>
            <w:bottom w:w="0" w:type="dxa"/>
            <w:right w:w="108" w:type="dxa"/>
          </w:tblCellMar>
        </w:tblPrEx>
        <w:trPr>
          <w:trHeight w:val="11489" w:hRule="atLeast"/>
          <w:jc w:val="center"/>
        </w:trPr>
        <w:tc>
          <w:tcPr>
            <w:tcW w:w="8528" w:type="dxa"/>
          </w:tcPr>
          <w:p>
            <w:pPr>
              <w:spacing w:before="156" w:beforeLines="50" w:line="360" w:lineRule="auto"/>
              <w:ind w:right="396" w:rightChars="189" w:firstLine="480" w:firstLineChars="200"/>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四、污染防治措施：</w:t>
            </w:r>
          </w:p>
          <w:p>
            <w:pPr>
              <w:adjustRightInd w:val="0"/>
              <w:snapToGrid w:val="0"/>
              <w:spacing w:line="360" w:lineRule="auto"/>
              <w:ind w:firstLine="480" w:firstLineChars="200"/>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1、废水防治措施</w:t>
            </w:r>
          </w:p>
          <w:p>
            <w:pPr>
              <w:adjustRightInd w:val="0"/>
              <w:snapToGrid w:val="0"/>
              <w:spacing w:line="360" w:lineRule="auto"/>
              <w:ind w:firstLine="480" w:firstLineChars="200"/>
              <w:rPr>
                <w:rFonts w:ascii="宋体" w:cs="宋体"/>
                <w:b/>
                <w:color w:val="000000" w:themeColor="text1"/>
                <w:sz w:val="24"/>
                <w:szCs w:val="24"/>
                <w14:textFill>
                  <w14:solidFill>
                    <w14:schemeClr w14:val="tx1"/>
                  </w14:solidFill>
                </w14:textFill>
              </w:rPr>
            </w:pPr>
            <w:r>
              <w:rPr>
                <w:rFonts w:hint="eastAsia" w:ascii="宋体" w:cs="宋体"/>
                <w:b/>
                <w:color w:val="000000" w:themeColor="text1"/>
                <w:sz w:val="24"/>
                <w:szCs w:val="24"/>
                <w14:textFill>
                  <w14:solidFill>
                    <w14:schemeClr w14:val="tx1"/>
                  </w14:solidFill>
                </w14:textFill>
              </w:rPr>
              <w:t>（1）厂区排水体制</w:t>
            </w:r>
          </w:p>
          <w:p>
            <w:pPr>
              <w:autoSpaceDE w:val="0"/>
              <w:autoSpaceDN w:val="0"/>
              <w:adjustRightInd w:val="0"/>
              <w:spacing w:line="360" w:lineRule="auto"/>
              <w:ind w:firstLine="480" w:firstLineChars="200"/>
              <w:rPr>
                <w:rFonts w:ascii="宋体" w:cs="宋体"/>
                <w:color w:val="000000" w:themeColor="text1"/>
                <w:sz w:val="24"/>
                <w:szCs w:val="24"/>
                <w14:textFill>
                  <w14:solidFill>
                    <w14:schemeClr w14:val="tx1"/>
                  </w14:solidFill>
                </w14:textFill>
              </w:rPr>
            </w:pPr>
            <w:r>
              <w:rPr>
                <w:rFonts w:hint="eastAsia" w:ascii="宋体" w:cs="宋体"/>
                <w:color w:val="000000" w:themeColor="text1"/>
                <w:sz w:val="24"/>
                <w:szCs w:val="24"/>
                <w14:textFill>
                  <w14:solidFill>
                    <w14:schemeClr w14:val="tx1"/>
                  </w14:solidFill>
                </w14:textFill>
              </w:rPr>
              <w:t>本项目排水实施</w:t>
            </w:r>
            <w:r>
              <w:rPr>
                <w:rFonts w:hint="eastAsia" w:ascii="宋体" w:cs="宋体"/>
                <w:color w:val="000000" w:themeColor="text1"/>
                <w:sz w:val="24"/>
                <w:szCs w:val="24"/>
                <w:lang w:eastAsia="zh-CN"/>
                <w14:textFill>
                  <w14:solidFill>
                    <w14:schemeClr w14:val="tx1"/>
                  </w14:solidFill>
                </w14:textFill>
              </w:rPr>
              <w:t>“</w:t>
            </w:r>
            <w:r>
              <w:rPr>
                <w:rFonts w:hint="eastAsia" w:ascii="宋体" w:cs="宋体"/>
                <w:color w:val="000000" w:themeColor="text1"/>
                <w:sz w:val="24"/>
                <w:szCs w:val="24"/>
                <w14:textFill>
                  <w14:solidFill>
                    <w14:schemeClr w14:val="tx1"/>
                  </w14:solidFill>
                </w14:textFill>
              </w:rPr>
              <w:t>雨污分流</w:t>
            </w:r>
            <w:r>
              <w:rPr>
                <w:rFonts w:hint="eastAsia" w:ascii="宋体" w:cs="宋体"/>
                <w:color w:val="000000" w:themeColor="text1"/>
                <w:sz w:val="24"/>
                <w:szCs w:val="24"/>
                <w:lang w:eastAsia="zh-CN"/>
                <w14:textFill>
                  <w14:solidFill>
                    <w14:schemeClr w14:val="tx1"/>
                  </w14:solidFill>
                </w14:textFill>
              </w:rPr>
              <w:t>”</w:t>
            </w:r>
            <w:r>
              <w:rPr>
                <w:rFonts w:hint="eastAsia" w:ascii="宋体" w:cs="宋体"/>
                <w:color w:val="000000" w:themeColor="text1"/>
                <w:sz w:val="24"/>
                <w:szCs w:val="24"/>
                <w14:textFill>
                  <w14:solidFill>
                    <w14:schemeClr w14:val="tx1"/>
                  </w14:solidFill>
                </w14:textFill>
              </w:rPr>
              <w:t>，依托租赁区现有雨污管网，雨水经雨水管网收集后，排入当地市政雨水管网，最终汇入</w:t>
            </w:r>
            <w:r>
              <w:rPr>
                <w:rFonts w:hint="eastAsia" w:ascii="宋体" w:cs="宋体"/>
                <w:color w:val="000000" w:themeColor="text1"/>
                <w:sz w:val="24"/>
                <w:szCs w:val="24"/>
                <w:lang w:eastAsia="zh-CN"/>
                <w14:textFill>
                  <w14:solidFill>
                    <w14:schemeClr w14:val="tx1"/>
                  </w14:solidFill>
                </w14:textFill>
              </w:rPr>
              <w:t>通济河</w:t>
            </w:r>
            <w:r>
              <w:rPr>
                <w:rFonts w:hint="eastAsia" w:ascii="宋体" w:cs="宋体"/>
                <w:color w:val="000000" w:themeColor="text1"/>
                <w:sz w:val="24"/>
                <w:szCs w:val="24"/>
                <w14:textFill>
                  <w14:solidFill>
                    <w14:schemeClr w14:val="tx1"/>
                  </w14:solidFill>
                </w14:textFill>
              </w:rPr>
              <w:t>；生活污水经</w:t>
            </w:r>
            <w:r>
              <w:rPr>
                <w:bCs/>
                <w:color w:val="000000" w:themeColor="text1"/>
                <w:sz w:val="24"/>
                <w:szCs w:val="24"/>
                <w14:textFill>
                  <w14:solidFill>
                    <w14:schemeClr w14:val="tx1"/>
                  </w14:solidFill>
                </w14:textFill>
              </w:rPr>
              <w:t>化粪池处理后</w:t>
            </w:r>
            <w:r>
              <w:rPr>
                <w:rFonts w:hint="eastAsia"/>
                <w:bCs/>
                <w:color w:val="000000" w:themeColor="text1"/>
                <w:sz w:val="24"/>
                <w:szCs w:val="24"/>
                <w14:textFill>
                  <w14:solidFill>
                    <w14:schemeClr w14:val="tx1"/>
                  </w14:solidFill>
                </w14:textFill>
              </w:rPr>
              <w:t>依托</w:t>
            </w:r>
            <w:r>
              <w:rPr>
                <w:rFonts w:hint="eastAsia"/>
                <w:color w:val="000000"/>
                <w:sz w:val="24"/>
                <w:szCs w:val="24"/>
              </w:rPr>
              <w:t>常州中泽电力设备有限公司污</w:t>
            </w:r>
            <w:r>
              <w:rPr>
                <w:rFonts w:hint="eastAsia" w:ascii="宋体" w:cs="宋体"/>
                <w:color w:val="000000" w:themeColor="text1"/>
                <w:sz w:val="24"/>
                <w:szCs w:val="24"/>
                <w14:textFill>
                  <w14:solidFill>
                    <w14:schemeClr w14:val="tx1"/>
                  </w14:solidFill>
                </w14:textFill>
              </w:rPr>
              <w:t>水</w:t>
            </w:r>
            <w:r>
              <w:rPr>
                <w:rFonts w:hint="eastAsia"/>
                <w:bCs/>
                <w:color w:val="000000" w:themeColor="text1"/>
                <w:sz w:val="24"/>
                <w:szCs w:val="24"/>
                <w14:textFill>
                  <w14:solidFill>
                    <w14:schemeClr w14:val="tx1"/>
                  </w14:solidFill>
                </w14:textFill>
              </w:rPr>
              <w:t>总排口</w:t>
            </w:r>
            <w:r>
              <w:rPr>
                <w:bCs/>
                <w:color w:val="000000" w:themeColor="text1"/>
                <w:sz w:val="24"/>
                <w:szCs w:val="24"/>
                <w14:textFill>
                  <w14:solidFill>
                    <w14:schemeClr w14:val="tx1"/>
                  </w14:solidFill>
                </w14:textFill>
              </w:rPr>
              <w:t>接管至</w:t>
            </w:r>
            <w:r>
              <w:rPr>
                <w:rFonts w:hint="eastAsia"/>
                <w:bCs/>
                <w:color w:val="000000" w:themeColor="text1"/>
                <w:sz w:val="24"/>
                <w:szCs w:val="24"/>
                <w14:textFill>
                  <w14:solidFill>
                    <w14:schemeClr w14:val="tx1"/>
                  </w14:solidFill>
                </w14:textFill>
              </w:rPr>
              <w:t>市政污水管网，最终排入常州市金坛区直溪鑫鑫污水处理厂集中处理</w:t>
            </w:r>
            <w:r>
              <w:rPr>
                <w:bCs/>
                <w:color w:val="000000" w:themeColor="text1"/>
                <w:sz w:val="24"/>
                <w:szCs w:val="24"/>
                <w14:textFill>
                  <w14:solidFill>
                    <w14:schemeClr w14:val="tx1"/>
                  </w14:solidFill>
                </w14:textFill>
              </w:rPr>
              <w:t>，</w:t>
            </w:r>
            <w:r>
              <w:rPr>
                <w:rFonts w:hint="eastAsia"/>
                <w:bCs/>
                <w:color w:val="000000" w:themeColor="text1"/>
                <w:sz w:val="24"/>
                <w:szCs w:val="24"/>
                <w14:textFill>
                  <w14:solidFill>
                    <w14:schemeClr w14:val="tx1"/>
                  </w14:solidFill>
                </w14:textFill>
              </w:rPr>
              <w:t>尾水</w:t>
            </w:r>
            <w:r>
              <w:rPr>
                <w:bCs/>
                <w:color w:val="000000" w:themeColor="text1"/>
                <w:sz w:val="24"/>
                <w:szCs w:val="24"/>
                <w14:textFill>
                  <w14:solidFill>
                    <w14:schemeClr w14:val="tx1"/>
                  </w14:solidFill>
                </w14:textFill>
              </w:rPr>
              <w:t>排入</w:t>
            </w:r>
            <w:r>
              <w:rPr>
                <w:rFonts w:hint="eastAsia"/>
                <w:color w:val="000000" w:themeColor="text1"/>
                <w:spacing w:val="-6"/>
                <w:sz w:val="24"/>
                <w14:textFill>
                  <w14:solidFill>
                    <w14:schemeClr w14:val="tx1"/>
                  </w14:solidFill>
                </w14:textFill>
              </w:rPr>
              <w:t>通济河</w:t>
            </w:r>
            <w:r>
              <w:rPr>
                <w:bCs/>
                <w:color w:val="000000" w:themeColor="text1"/>
                <w:sz w:val="24"/>
                <w:szCs w:val="24"/>
                <w14:textFill>
                  <w14:solidFill>
                    <w14:schemeClr w14:val="tx1"/>
                  </w14:solidFill>
                </w14:textFill>
              </w:rPr>
              <w:t>。</w:t>
            </w:r>
          </w:p>
          <w:p>
            <w:pPr>
              <w:autoSpaceDE w:val="0"/>
              <w:autoSpaceDN w:val="0"/>
              <w:adjustRightInd w:val="0"/>
              <w:spacing w:line="360" w:lineRule="auto"/>
              <w:ind w:firstLine="480" w:firstLineChars="200"/>
              <w:rPr>
                <w:rFonts w:ascii="宋体" w:cs="宋体"/>
                <w:b/>
                <w:color w:val="000000" w:themeColor="text1"/>
                <w:sz w:val="24"/>
                <w:szCs w:val="24"/>
                <w14:textFill>
                  <w14:solidFill>
                    <w14:schemeClr w14:val="tx1"/>
                  </w14:solidFill>
                </w14:textFill>
              </w:rPr>
            </w:pPr>
            <w:r>
              <w:rPr>
                <w:rFonts w:hint="eastAsia" w:ascii="宋体" w:cs="宋体"/>
                <w:b/>
                <w:color w:val="000000" w:themeColor="text1"/>
                <w:sz w:val="24"/>
                <w:szCs w:val="24"/>
                <w14:textFill>
                  <w14:solidFill>
                    <w14:schemeClr w14:val="tx1"/>
                  </w14:solidFill>
                </w14:textFill>
              </w:rPr>
              <w:t>（2）废水接管可行性分析</w:t>
            </w:r>
          </w:p>
          <w:p>
            <w:pPr>
              <w:autoSpaceDE w:val="0"/>
              <w:autoSpaceDN w:val="0"/>
              <w:adjustRightInd w:val="0"/>
              <w:spacing w:line="360" w:lineRule="auto"/>
              <w:ind w:firstLine="480" w:firstLineChars="200"/>
              <w:rPr>
                <w:rFonts w:hint="eastAsia" w:eastAsia="宋体"/>
                <w:color w:val="000000" w:themeColor="text1"/>
                <w:sz w:val="24"/>
                <w:szCs w:val="24"/>
                <w:lang w:eastAsia="zh-CN"/>
                <w14:textFill>
                  <w14:solidFill>
                    <w14:schemeClr w14:val="tx1"/>
                  </w14:solidFill>
                </w14:textFill>
              </w:rPr>
            </w:pPr>
            <w:r>
              <w:rPr>
                <w:rFonts w:hint="eastAsia"/>
                <w:color w:val="000000" w:themeColor="text1"/>
                <w:sz w:val="24"/>
                <w:szCs w:val="24"/>
                <w14:textFill>
                  <w14:solidFill>
                    <w14:schemeClr w14:val="tx1"/>
                  </w14:solidFill>
                </w14:textFill>
              </w:rPr>
              <w:t>本项目生活污水经化粪池收集预处理后通过</w:t>
            </w:r>
            <w:r>
              <w:rPr>
                <w:rFonts w:hint="eastAsia"/>
                <w:color w:val="000000"/>
                <w:sz w:val="24"/>
                <w:szCs w:val="24"/>
              </w:rPr>
              <w:t>常州中泽电力设备有限公司污</w:t>
            </w:r>
            <w:r>
              <w:rPr>
                <w:rFonts w:hint="eastAsia" w:ascii="宋体" w:cs="宋体"/>
                <w:color w:val="000000" w:themeColor="text1"/>
                <w:sz w:val="24"/>
                <w:szCs w:val="24"/>
                <w14:textFill>
                  <w14:solidFill>
                    <w14:schemeClr w14:val="tx1"/>
                  </w14:solidFill>
                </w14:textFill>
              </w:rPr>
              <w:t>水</w:t>
            </w:r>
            <w:r>
              <w:rPr>
                <w:rFonts w:hint="eastAsia"/>
                <w:bCs/>
                <w:color w:val="000000" w:themeColor="text1"/>
                <w:sz w:val="24"/>
                <w:szCs w:val="24"/>
                <w14:textFill>
                  <w14:solidFill>
                    <w14:schemeClr w14:val="tx1"/>
                  </w14:solidFill>
                </w14:textFill>
              </w:rPr>
              <w:t>总排口</w:t>
            </w:r>
            <w:r>
              <w:rPr>
                <w:bCs/>
                <w:color w:val="000000" w:themeColor="text1"/>
                <w:sz w:val="24"/>
                <w:szCs w:val="24"/>
                <w14:textFill>
                  <w14:solidFill>
                    <w14:schemeClr w14:val="tx1"/>
                  </w14:solidFill>
                </w14:textFill>
              </w:rPr>
              <w:t>接管至</w:t>
            </w:r>
            <w:r>
              <w:rPr>
                <w:rFonts w:hint="eastAsia"/>
                <w:bCs/>
                <w:color w:val="000000" w:themeColor="text1"/>
                <w:sz w:val="24"/>
                <w:szCs w:val="24"/>
                <w14:textFill>
                  <w14:solidFill>
                    <w14:schemeClr w14:val="tx1"/>
                  </w14:solidFill>
                </w14:textFill>
              </w:rPr>
              <w:t>市政污水管网，最终排入常州市金坛区直溪鑫鑫污水处理厂</w:t>
            </w:r>
            <w:r>
              <w:rPr>
                <w:color w:val="000000" w:themeColor="text1"/>
                <w:sz w:val="24"/>
                <w:szCs w:val="24"/>
                <w14:textFill>
                  <w14:solidFill>
                    <w14:schemeClr w14:val="tx1"/>
                  </w14:solidFill>
                </w14:textFill>
              </w:rPr>
              <w:t>；接管排放的污水量共计</w:t>
            </w:r>
            <w:r>
              <w:rPr>
                <w:rFonts w:hint="eastAsia"/>
                <w:color w:val="000000" w:themeColor="text1"/>
                <w:sz w:val="24"/>
                <w:szCs w:val="24"/>
                <w:lang w:eastAsia="zh-CN"/>
                <w14:textFill>
                  <w14:solidFill>
                    <w14:schemeClr w14:val="tx1"/>
                  </w14:solidFill>
                </w14:textFill>
              </w:rPr>
              <w:t>600t/a</w:t>
            </w:r>
            <w:r>
              <w:rPr>
                <w:color w:val="000000" w:themeColor="text1"/>
                <w:sz w:val="24"/>
                <w:szCs w:val="24"/>
                <w14:textFill>
                  <w14:solidFill>
                    <w14:schemeClr w14:val="tx1"/>
                  </w14:solidFill>
                </w14:textFill>
              </w:rPr>
              <w:t>，接管水质为COD：</w:t>
            </w:r>
            <w:r>
              <w:rPr>
                <w:rFonts w:hint="eastAsia"/>
                <w:color w:val="000000" w:themeColor="text1"/>
                <w:sz w:val="24"/>
                <w:szCs w:val="24"/>
                <w14:textFill>
                  <w14:solidFill>
                    <w14:schemeClr w14:val="tx1"/>
                  </w14:solidFill>
                </w14:textFill>
              </w:rPr>
              <w:t>340</w:t>
            </w:r>
            <w:r>
              <w:rPr>
                <w:color w:val="000000" w:themeColor="text1"/>
                <w:sz w:val="24"/>
                <w:szCs w:val="24"/>
                <w14:textFill>
                  <w14:solidFill>
                    <w14:schemeClr w14:val="tx1"/>
                  </w14:solidFill>
                </w14:textFill>
              </w:rPr>
              <w:t>mg/L</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SS：160mg/L、氨氮：</w:t>
            </w:r>
            <w:r>
              <w:rPr>
                <w:rFonts w:hint="eastAsia"/>
                <w:color w:val="000000" w:themeColor="text1"/>
                <w:sz w:val="24"/>
                <w:szCs w:val="24"/>
                <w14:textFill>
                  <w14:solidFill>
                    <w14:schemeClr w14:val="tx1"/>
                  </w14:solidFill>
                </w14:textFill>
              </w:rPr>
              <w:t>25</w:t>
            </w:r>
            <w:r>
              <w:rPr>
                <w:color w:val="000000" w:themeColor="text1"/>
                <w:sz w:val="24"/>
                <w:szCs w:val="24"/>
                <w14:textFill>
                  <w14:solidFill>
                    <w14:schemeClr w14:val="tx1"/>
                  </w14:solidFill>
                </w14:textFill>
              </w:rPr>
              <w:t>mg/L、总磷：</w:t>
            </w:r>
            <w:r>
              <w:rPr>
                <w:rFonts w:hint="eastAsia"/>
                <w:color w:val="000000" w:themeColor="text1"/>
                <w:sz w:val="24"/>
                <w:szCs w:val="24"/>
                <w14:textFill>
                  <w14:solidFill>
                    <w14:schemeClr w14:val="tx1"/>
                  </w14:solidFill>
                </w14:textFill>
              </w:rPr>
              <w:t>3</w:t>
            </w:r>
            <w:r>
              <w:rPr>
                <w:color w:val="000000" w:themeColor="text1"/>
                <w:sz w:val="24"/>
                <w:szCs w:val="24"/>
                <w14:textFill>
                  <w14:solidFill>
                    <w14:schemeClr w14:val="tx1"/>
                  </w14:solidFill>
                </w14:textFill>
              </w:rPr>
              <w:t>mg/L、</w:t>
            </w:r>
            <w:r>
              <w:rPr>
                <w:rFonts w:hint="eastAsia"/>
                <w:color w:val="000000" w:themeColor="text1"/>
                <w:sz w:val="24"/>
                <w:szCs w:val="24"/>
                <w14:textFill>
                  <w14:solidFill>
                    <w14:schemeClr w14:val="tx1"/>
                  </w14:solidFill>
                </w14:textFill>
              </w:rPr>
              <w:t>总氮</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3</w:t>
            </w:r>
            <w:r>
              <w:rPr>
                <w:color w:val="000000" w:themeColor="text1"/>
                <w:sz w:val="24"/>
                <w:szCs w:val="24"/>
                <w14:textFill>
                  <w14:solidFill>
                    <w14:schemeClr w14:val="tx1"/>
                  </w14:solidFill>
                </w14:textFill>
              </w:rPr>
              <w:t>5mg/L，可达到</w:t>
            </w:r>
            <w:r>
              <w:rPr>
                <w:rFonts w:hint="eastAsia"/>
                <w:bCs/>
                <w:color w:val="000000" w:themeColor="text1"/>
                <w:sz w:val="24"/>
                <w:szCs w:val="24"/>
                <w14:textFill>
                  <w14:solidFill>
                    <w14:schemeClr w14:val="tx1"/>
                  </w14:solidFill>
                </w14:textFill>
              </w:rPr>
              <w:t>常州市金坛区直溪鑫鑫污水处理厂</w:t>
            </w:r>
            <w:r>
              <w:rPr>
                <w:color w:val="000000" w:themeColor="text1"/>
                <w:sz w:val="24"/>
                <w:szCs w:val="24"/>
                <w14:textFill>
                  <w14:solidFill>
                    <w14:schemeClr w14:val="tx1"/>
                  </w14:solidFill>
                </w14:textFill>
              </w:rPr>
              <w:t>接管要求</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即：COD≤</w:t>
            </w:r>
            <w:r>
              <w:rPr>
                <w:rFonts w:hint="eastAsia"/>
                <w:color w:val="000000" w:themeColor="text1"/>
                <w:sz w:val="24"/>
                <w:szCs w:val="24"/>
                <w14:textFill>
                  <w14:solidFill>
                    <w14:schemeClr w14:val="tx1"/>
                  </w14:solidFill>
                </w14:textFill>
              </w:rPr>
              <w:t>480</w:t>
            </w:r>
            <w:r>
              <w:rPr>
                <w:color w:val="000000" w:themeColor="text1"/>
                <w:sz w:val="24"/>
                <w:szCs w:val="24"/>
                <w14:textFill>
                  <w14:solidFill>
                    <w14:schemeClr w14:val="tx1"/>
                  </w14:solidFill>
                </w14:textFill>
              </w:rPr>
              <w:t>mg/L、SS≤250mg/L、氨氮≤</w:t>
            </w:r>
            <w:r>
              <w:rPr>
                <w:rFonts w:hint="eastAsia"/>
                <w:color w:val="000000" w:themeColor="text1"/>
                <w:sz w:val="24"/>
                <w:szCs w:val="24"/>
                <w14:textFill>
                  <w14:solidFill>
                    <w14:schemeClr w14:val="tx1"/>
                  </w14:solidFill>
                </w14:textFill>
              </w:rPr>
              <w:t>30</w:t>
            </w:r>
            <w:r>
              <w:rPr>
                <w:color w:val="000000" w:themeColor="text1"/>
                <w:sz w:val="24"/>
                <w:szCs w:val="24"/>
                <w14:textFill>
                  <w14:solidFill>
                    <w14:schemeClr w14:val="tx1"/>
                  </w14:solidFill>
                </w14:textFill>
              </w:rPr>
              <w:t xml:space="preserve"> mg/L、TP≤</w:t>
            </w:r>
            <w:r>
              <w:rPr>
                <w:rFonts w:hint="eastAsia"/>
                <w:color w:val="000000" w:themeColor="text1"/>
                <w:sz w:val="24"/>
                <w:szCs w:val="24"/>
                <w14:textFill>
                  <w14:solidFill>
                    <w14:schemeClr w14:val="tx1"/>
                  </w14:solidFill>
                </w14:textFill>
              </w:rPr>
              <w:t>6</w:t>
            </w:r>
            <w:r>
              <w:rPr>
                <w:color w:val="000000" w:themeColor="text1"/>
                <w:sz w:val="24"/>
                <w:szCs w:val="24"/>
                <w14:textFill>
                  <w14:solidFill>
                    <w14:schemeClr w14:val="tx1"/>
                  </w14:solidFill>
                </w14:textFill>
              </w:rPr>
              <w:t>mg/L</w:t>
            </w:r>
            <w:r>
              <w:rPr>
                <w:rFonts w:hint="eastAsia"/>
                <w:color w:val="000000" w:themeColor="text1"/>
                <w:sz w:val="24"/>
                <w:szCs w:val="24"/>
                <w14:textFill>
                  <w14:solidFill>
                    <w14:schemeClr w14:val="tx1"/>
                  </w14:solidFill>
                </w14:textFill>
              </w:rPr>
              <w:t>、TN</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45</w:t>
            </w:r>
            <w:r>
              <w:rPr>
                <w:color w:val="000000" w:themeColor="text1"/>
                <w:sz w:val="24"/>
                <w:szCs w:val="24"/>
                <w14:textFill>
                  <w14:solidFill>
                    <w14:schemeClr w14:val="tx1"/>
                  </w14:solidFill>
                </w14:textFill>
              </w:rPr>
              <w:t>mg/L。</w:t>
            </w:r>
          </w:p>
          <w:p>
            <w:pPr>
              <w:spacing w:line="360" w:lineRule="auto"/>
              <w:ind w:firstLine="540" w:firstLineChars="200"/>
              <w:rPr>
                <w:color w:val="000000" w:themeColor="text1"/>
                <w:spacing w:val="15"/>
                <w:sz w:val="24"/>
                <w14:textFill>
                  <w14:solidFill>
                    <w14:schemeClr w14:val="tx1"/>
                  </w14:solidFill>
                </w14:textFill>
              </w:rPr>
            </w:pPr>
            <w:r>
              <w:rPr>
                <w:rFonts w:hint="eastAsia"/>
                <w:color w:val="000000" w:themeColor="text1"/>
                <w:spacing w:val="15"/>
                <w:sz w:val="24"/>
                <w14:textFill>
                  <w14:solidFill>
                    <w14:schemeClr w14:val="tx1"/>
                  </w14:solidFill>
                </w14:textFill>
              </w:rPr>
              <w:t>目前项目所在地污水管网已经铺设到位，从工程角度上，项目污水具备接管可行性。</w:t>
            </w:r>
          </w:p>
          <w:p>
            <w:pPr>
              <w:spacing w:line="360" w:lineRule="auto"/>
              <w:ind w:firstLine="480" w:firstLineChars="200"/>
              <w:rPr>
                <w:color w:val="000000" w:themeColor="text1"/>
                <w:sz w:val="24"/>
                <w:szCs w:val="22"/>
                <w14:textFill>
                  <w14:solidFill>
                    <w14:schemeClr w14:val="tx1"/>
                  </w14:solidFill>
                </w14:textFill>
              </w:rPr>
            </w:pPr>
            <w:r>
              <w:rPr>
                <w:b/>
                <w:bCs/>
                <w:color w:val="000000" w:themeColor="text1"/>
                <w:sz w:val="24"/>
                <w:szCs w:val="22"/>
                <w14:textFill>
                  <w14:solidFill>
                    <w14:schemeClr w14:val="tx1"/>
                  </w14:solidFill>
                </w14:textFill>
              </w:rPr>
              <w:t>污水处理厂处理负荷</w:t>
            </w:r>
            <w:r>
              <w:rPr>
                <w:rFonts w:hint="eastAsia"/>
                <w:b/>
                <w:bCs/>
                <w:color w:val="000000" w:themeColor="text1"/>
                <w:sz w:val="24"/>
                <w:szCs w:val="22"/>
                <w14:textFill>
                  <w14:solidFill>
                    <w14:schemeClr w14:val="tx1"/>
                  </w14:solidFill>
                </w14:textFill>
              </w:rPr>
              <w:t>和</w:t>
            </w:r>
            <w:r>
              <w:rPr>
                <w:b/>
                <w:bCs/>
                <w:color w:val="000000" w:themeColor="text1"/>
                <w:sz w:val="24"/>
                <w:szCs w:val="22"/>
                <w14:textFill>
                  <w14:solidFill>
                    <w14:schemeClr w14:val="tx1"/>
                  </w14:solidFill>
                </w14:textFill>
              </w:rPr>
              <w:t>处理工艺可行性分析</w:t>
            </w:r>
            <w:r>
              <w:rPr>
                <w:rFonts w:hint="eastAsia"/>
                <w:b/>
                <w:bCs/>
                <w:color w:val="000000" w:themeColor="text1"/>
                <w:sz w:val="24"/>
                <w:szCs w:val="22"/>
                <w14:textFill>
                  <w14:solidFill>
                    <w14:schemeClr w14:val="tx1"/>
                  </w14:solidFill>
                </w14:textFill>
              </w:rPr>
              <w:t>：</w:t>
            </w:r>
          </w:p>
          <w:p>
            <w:pPr>
              <w:spacing w:line="360" w:lineRule="auto"/>
              <w:ind w:firstLine="480" w:firstLineChars="200"/>
              <w:rPr>
                <w:sz w:val="24"/>
                <w:szCs w:val="24"/>
              </w:rPr>
            </w:pPr>
            <w:r>
              <w:rPr>
                <w:sz w:val="24"/>
                <w:szCs w:val="24"/>
              </w:rPr>
              <w:t>常州市金坛区直溪鑫鑫污水处理厂位于金坛区直溪镇直溪工业区张地墩</w:t>
            </w:r>
            <w:r>
              <w:rPr>
                <w:rFonts w:hint="eastAsia"/>
                <w:sz w:val="24"/>
                <w:szCs w:val="24"/>
              </w:rPr>
              <w:t>，</w:t>
            </w:r>
            <w:r>
              <w:rPr>
                <w:sz w:val="24"/>
                <w:szCs w:val="24"/>
              </w:rPr>
              <w:t>占地13485. 6m</w:t>
            </w:r>
            <w:r>
              <w:rPr>
                <w:rFonts w:hint="eastAsia"/>
                <w:sz w:val="24"/>
                <w:szCs w:val="24"/>
                <w:vertAlign w:val="superscript"/>
              </w:rPr>
              <w:t>2</w:t>
            </w:r>
            <w:r>
              <w:rPr>
                <w:sz w:val="24"/>
                <w:szCs w:val="24"/>
              </w:rPr>
              <w:t>，服务范围主要为直溪镇区、直溪工业园、朱林镇，覆盖面积约40平方公里，服务人口约7.3万人。直溪鑫鑫污水处理厂规划总处理规模为1.0万m</w:t>
            </w:r>
            <w:r>
              <w:rPr>
                <w:rFonts w:hint="eastAsia"/>
                <w:sz w:val="24"/>
                <w:szCs w:val="24"/>
                <w:vertAlign w:val="superscript"/>
              </w:rPr>
              <w:t>3</w:t>
            </w:r>
            <w:r>
              <w:rPr>
                <w:sz w:val="24"/>
                <w:szCs w:val="24"/>
              </w:rPr>
              <w:t xml:space="preserve"> /d</w:t>
            </w:r>
            <w:r>
              <w:rPr>
                <w:rFonts w:hint="eastAsia"/>
                <w:sz w:val="24"/>
                <w:szCs w:val="24"/>
              </w:rPr>
              <w:t>，</w:t>
            </w:r>
            <w:r>
              <w:rPr>
                <w:sz w:val="24"/>
                <w:szCs w:val="24"/>
              </w:rPr>
              <w:t>分两期建设</w:t>
            </w:r>
            <w:r>
              <w:rPr>
                <w:rFonts w:hint="eastAsia"/>
                <w:sz w:val="24"/>
                <w:szCs w:val="24"/>
              </w:rPr>
              <w:t>（</w:t>
            </w:r>
            <w:r>
              <w:rPr>
                <w:sz w:val="24"/>
                <w:szCs w:val="24"/>
              </w:rPr>
              <w:t>每期0.5万m</w:t>
            </w:r>
            <w:r>
              <w:rPr>
                <w:rFonts w:hint="eastAsia"/>
                <w:sz w:val="24"/>
                <w:szCs w:val="24"/>
                <w:vertAlign w:val="superscript"/>
              </w:rPr>
              <w:t>3</w:t>
            </w:r>
            <w:r>
              <w:rPr>
                <w:sz w:val="24"/>
                <w:szCs w:val="24"/>
                <w:vertAlign w:val="superscript"/>
              </w:rPr>
              <w:t xml:space="preserve"> </w:t>
            </w:r>
            <w:r>
              <w:rPr>
                <w:sz w:val="24"/>
                <w:szCs w:val="24"/>
              </w:rPr>
              <w:t>/d</w:t>
            </w:r>
            <w:r>
              <w:rPr>
                <w:rFonts w:hint="eastAsia"/>
                <w:sz w:val="24"/>
                <w:szCs w:val="24"/>
              </w:rPr>
              <w:t>）。一</w:t>
            </w:r>
            <w:r>
              <w:rPr>
                <w:sz w:val="24"/>
                <w:szCs w:val="24"/>
              </w:rPr>
              <w:t>期工程项目于2007年获得</w:t>
            </w:r>
            <w:r>
              <w:rPr>
                <w:rFonts w:hint="eastAsia"/>
                <w:sz w:val="24"/>
                <w:szCs w:val="24"/>
              </w:rPr>
              <w:t>‘原</w:t>
            </w:r>
            <w:r>
              <w:rPr>
                <w:sz w:val="24"/>
                <w:szCs w:val="24"/>
              </w:rPr>
              <w:t>金坛市环境保护局</w:t>
            </w:r>
            <w:r>
              <w:rPr>
                <w:rFonts w:hint="eastAsia"/>
                <w:sz w:val="24"/>
                <w:szCs w:val="24"/>
              </w:rPr>
              <w:t>’</w:t>
            </w:r>
            <w:r>
              <w:rPr>
                <w:sz w:val="24"/>
                <w:szCs w:val="24"/>
              </w:rPr>
              <w:t>批复，并于2008年8月投产运行。一期提标改造工程项目于2010年9月获得</w:t>
            </w:r>
            <w:r>
              <w:rPr>
                <w:rFonts w:hint="eastAsia"/>
                <w:sz w:val="24"/>
                <w:szCs w:val="24"/>
              </w:rPr>
              <w:t>原</w:t>
            </w:r>
            <w:r>
              <w:rPr>
                <w:sz w:val="24"/>
                <w:szCs w:val="24"/>
              </w:rPr>
              <w:t>金坛市环境保护局批复</w:t>
            </w:r>
            <w:r>
              <w:rPr>
                <w:rFonts w:hint="eastAsia"/>
                <w:sz w:val="24"/>
                <w:szCs w:val="24"/>
              </w:rPr>
              <w:t>（</w:t>
            </w:r>
            <w:r>
              <w:rPr>
                <w:sz w:val="24"/>
                <w:szCs w:val="24"/>
              </w:rPr>
              <w:t>坛环审100178号</w:t>
            </w:r>
            <w:r>
              <w:rPr>
                <w:rFonts w:hint="eastAsia"/>
                <w:sz w:val="24"/>
                <w:szCs w:val="24"/>
              </w:rPr>
              <w:t>）</w:t>
            </w:r>
            <w:r>
              <w:rPr>
                <w:sz w:val="24"/>
                <w:szCs w:val="24"/>
              </w:rPr>
              <w:t>，主要采用水解+A</w:t>
            </w:r>
            <w:r>
              <w:rPr>
                <w:rFonts w:hint="eastAsia"/>
                <w:sz w:val="24"/>
                <w:szCs w:val="24"/>
                <w:vertAlign w:val="superscript"/>
              </w:rPr>
              <w:t>2</w:t>
            </w:r>
            <w:r>
              <w:rPr>
                <w:sz w:val="24"/>
                <w:szCs w:val="24"/>
              </w:rPr>
              <w:t>/</w:t>
            </w:r>
            <w:r>
              <w:rPr>
                <w:rFonts w:hint="eastAsia"/>
                <w:sz w:val="24"/>
                <w:szCs w:val="24"/>
              </w:rPr>
              <w:t>O</w:t>
            </w:r>
            <w:r>
              <w:rPr>
                <w:sz w:val="24"/>
                <w:szCs w:val="24"/>
              </w:rPr>
              <w:t>处理工艺，并于2012年3月通过竣工环保验收</w:t>
            </w:r>
            <w:r>
              <w:rPr>
                <w:rFonts w:hint="eastAsia"/>
                <w:sz w:val="24"/>
                <w:szCs w:val="24"/>
              </w:rPr>
              <w:t>（</w:t>
            </w:r>
            <w:r>
              <w:rPr>
                <w:sz w:val="24"/>
                <w:szCs w:val="24"/>
              </w:rPr>
              <w:t>坛环验</w:t>
            </w:r>
            <w:r>
              <w:rPr>
                <w:rFonts w:hint="eastAsia"/>
                <w:sz w:val="24"/>
                <w:szCs w:val="24"/>
              </w:rPr>
              <w:t>（</w:t>
            </w:r>
            <w:r>
              <w:rPr>
                <w:sz w:val="24"/>
                <w:szCs w:val="24"/>
              </w:rPr>
              <w:t>2012</w:t>
            </w:r>
            <w:r>
              <w:rPr>
                <w:rFonts w:hint="eastAsia"/>
                <w:sz w:val="24"/>
                <w:szCs w:val="24"/>
              </w:rPr>
              <w:t>）</w:t>
            </w:r>
            <w:r>
              <w:rPr>
                <w:sz w:val="24"/>
                <w:szCs w:val="24"/>
              </w:rPr>
              <w:t>6号</w:t>
            </w:r>
            <w:r>
              <w:rPr>
                <w:rFonts w:hint="eastAsia"/>
                <w:sz w:val="24"/>
                <w:szCs w:val="24"/>
              </w:rPr>
              <w:t>）</w:t>
            </w:r>
            <w:r>
              <w:rPr>
                <w:sz w:val="24"/>
                <w:szCs w:val="24"/>
              </w:rPr>
              <w:t>。二期工程项目于2018年6月11日获得常州市环境保护局批复</w:t>
            </w:r>
            <w:r>
              <w:rPr>
                <w:rFonts w:hint="eastAsia"/>
                <w:sz w:val="24"/>
                <w:szCs w:val="24"/>
              </w:rPr>
              <w:t>（</w:t>
            </w:r>
            <w:r>
              <w:rPr>
                <w:sz w:val="24"/>
                <w:szCs w:val="24"/>
              </w:rPr>
              <w:t>常金环审</w:t>
            </w:r>
            <w:r>
              <w:rPr>
                <w:rFonts w:hint="eastAsia"/>
                <w:sz w:val="24"/>
                <w:szCs w:val="24"/>
                <w:lang w:eastAsia="zh-CN"/>
              </w:rPr>
              <w:t>〔</w:t>
            </w:r>
            <w:r>
              <w:rPr>
                <w:sz w:val="24"/>
                <w:szCs w:val="24"/>
              </w:rPr>
              <w:t>2018</w:t>
            </w:r>
            <w:r>
              <w:rPr>
                <w:rFonts w:hint="eastAsia"/>
                <w:sz w:val="24"/>
                <w:szCs w:val="24"/>
                <w:lang w:eastAsia="zh-CN"/>
              </w:rPr>
              <w:t>〕</w:t>
            </w:r>
            <w:r>
              <w:rPr>
                <w:sz w:val="24"/>
                <w:szCs w:val="24"/>
              </w:rPr>
              <w:t>1号</w:t>
            </w:r>
            <w:r>
              <w:rPr>
                <w:rFonts w:hint="eastAsia"/>
                <w:sz w:val="24"/>
                <w:szCs w:val="24"/>
              </w:rPr>
              <w:t>）</w:t>
            </w:r>
            <w:r>
              <w:rPr>
                <w:sz w:val="24"/>
                <w:szCs w:val="24"/>
              </w:rPr>
              <w:t>，主要采用水解+A-A</w:t>
            </w:r>
            <w:r>
              <w:rPr>
                <w:rFonts w:hint="eastAsia"/>
                <w:sz w:val="24"/>
                <w:szCs w:val="24"/>
                <w:vertAlign w:val="superscript"/>
              </w:rPr>
              <w:t>2</w:t>
            </w:r>
            <w:r>
              <w:rPr>
                <w:sz w:val="24"/>
                <w:szCs w:val="24"/>
              </w:rPr>
              <w:t>/</w:t>
            </w:r>
            <w:r>
              <w:rPr>
                <w:rFonts w:hint="eastAsia"/>
                <w:sz w:val="24"/>
                <w:szCs w:val="24"/>
              </w:rPr>
              <w:t>O</w:t>
            </w:r>
            <w:r>
              <w:rPr>
                <w:sz w:val="24"/>
                <w:szCs w:val="24"/>
              </w:rPr>
              <w:t>处理工艺，目前已建成投入运行。该污水处理厂尾水中各污染因子达《太湖地区城镇污水处理厂及重点工业行业主要水污染物排放限值》</w:t>
            </w:r>
            <w:r>
              <w:rPr>
                <w:rFonts w:hint="eastAsia"/>
                <w:sz w:val="24"/>
                <w:szCs w:val="24"/>
              </w:rPr>
              <w:t>（</w:t>
            </w:r>
            <w:r>
              <w:rPr>
                <w:sz w:val="24"/>
                <w:szCs w:val="24"/>
              </w:rPr>
              <w:t>DB32 /1072-2018</w:t>
            </w:r>
            <w:r>
              <w:rPr>
                <w:rFonts w:hint="eastAsia"/>
                <w:sz w:val="24"/>
                <w:szCs w:val="24"/>
              </w:rPr>
              <w:t>）</w:t>
            </w:r>
            <w:r>
              <w:rPr>
                <w:sz w:val="24"/>
                <w:szCs w:val="24"/>
              </w:rPr>
              <w:t>表2标准和《城镇污水处理厂污染物排放标准》</w:t>
            </w:r>
            <w:r>
              <w:rPr>
                <w:rFonts w:hint="eastAsia"/>
                <w:sz w:val="24"/>
                <w:szCs w:val="24"/>
              </w:rPr>
              <w:t>（</w:t>
            </w:r>
            <w:r>
              <w:rPr>
                <w:sz w:val="24"/>
                <w:szCs w:val="24"/>
              </w:rPr>
              <w:t>GB18918-2002</w:t>
            </w:r>
            <w:r>
              <w:rPr>
                <w:rFonts w:hint="eastAsia"/>
                <w:sz w:val="24"/>
                <w:szCs w:val="24"/>
              </w:rPr>
              <w:t>）</w:t>
            </w:r>
            <w:r>
              <w:rPr>
                <w:sz w:val="24"/>
                <w:szCs w:val="24"/>
              </w:rPr>
              <w:t>表1一级A标准后经中心河最终排入通济河。</w:t>
            </w:r>
          </w:p>
          <w:p>
            <w:pPr>
              <w:spacing w:line="360" w:lineRule="auto"/>
              <w:ind w:firstLine="480" w:firstLineChars="200"/>
              <w:rPr>
                <w:sz w:val="24"/>
                <w:szCs w:val="24"/>
              </w:rPr>
            </w:pPr>
            <w:r>
              <w:rPr>
                <w:sz w:val="24"/>
                <w:szCs w:val="24"/>
              </w:rPr>
              <w:t>建设项目位于常州市金坛区直溪鑫鑫污水处理厂的服务范围内，且项目所在</w:t>
            </w:r>
          </w:p>
          <w:p>
            <w:pPr>
              <w:spacing w:line="360" w:lineRule="auto"/>
              <w:rPr>
                <w:sz w:val="24"/>
                <w:szCs w:val="24"/>
              </w:rPr>
            </w:pPr>
            <w:r>
              <w:rPr>
                <w:sz w:val="24"/>
                <w:szCs w:val="24"/>
              </w:rPr>
              <w:t>地的污水管网已铺设到位，同时，本项目废水排放量约</w:t>
            </w:r>
            <w:r>
              <w:rPr>
                <w:rFonts w:hint="eastAsia"/>
                <w:sz w:val="24"/>
                <w:szCs w:val="24"/>
                <w:lang w:val="en-US" w:eastAsia="zh-CN"/>
              </w:rPr>
              <w:t>2</w:t>
            </w:r>
            <w:r>
              <w:rPr>
                <w:sz w:val="24"/>
                <w:szCs w:val="24"/>
              </w:rPr>
              <w:t>t/d</w:t>
            </w:r>
            <w:r>
              <w:rPr>
                <w:rFonts w:hint="eastAsia"/>
                <w:sz w:val="24"/>
                <w:szCs w:val="24"/>
              </w:rPr>
              <w:t>，</w:t>
            </w:r>
            <w:r>
              <w:rPr>
                <w:sz w:val="24"/>
                <w:szCs w:val="24"/>
              </w:rPr>
              <w:t>占常州市金坛区直溪鑫鑫污水处理厂处理量比例极小，因此</w:t>
            </w:r>
            <w:r>
              <w:rPr>
                <w:rFonts w:hint="eastAsia"/>
                <w:sz w:val="24"/>
                <w:szCs w:val="24"/>
              </w:rPr>
              <w:t>，</w:t>
            </w:r>
            <w:r>
              <w:rPr>
                <w:sz w:val="24"/>
                <w:szCs w:val="24"/>
              </w:rPr>
              <w:t>本项目职工生活污水接管至常州市金坛区直溪鑫鑫污水处理厂集中处理可行。</w:t>
            </w:r>
          </w:p>
          <w:p>
            <w:pPr>
              <w:autoSpaceDE w:val="0"/>
              <w:autoSpaceDN w:val="0"/>
              <w:adjustRightInd w:val="0"/>
              <w:spacing w:line="360" w:lineRule="auto"/>
              <w:ind w:firstLine="480" w:firstLineChars="200"/>
              <w:rPr>
                <w:b/>
                <w:bCs/>
                <w:color w:val="000000" w:themeColor="text1"/>
                <w:sz w:val="24"/>
                <w:szCs w:val="24"/>
                <w14:textFill>
                  <w14:solidFill>
                    <w14:schemeClr w14:val="tx1"/>
                  </w14:solidFill>
                </w14:textFill>
              </w:rPr>
            </w:pPr>
            <w:r>
              <w:rPr>
                <w:b/>
                <w:bCs/>
                <w:color w:val="000000" w:themeColor="text1"/>
                <w:sz w:val="24"/>
                <w:szCs w:val="24"/>
                <w14:textFill>
                  <w14:solidFill>
                    <w14:schemeClr w14:val="tx1"/>
                  </w14:solidFill>
                </w14:textFill>
              </w:rPr>
              <w:t>（3）排污口规范化设置</w:t>
            </w:r>
          </w:p>
          <w:p>
            <w:pPr>
              <w:spacing w:line="360" w:lineRule="auto"/>
              <w:ind w:firstLine="480" w:firstLineChars="200"/>
              <w:rPr>
                <w:sz w:val="24"/>
                <w:szCs w:val="24"/>
              </w:rPr>
            </w:pPr>
            <w:r>
              <w:rPr>
                <w:rFonts w:hint="eastAsia"/>
                <w:sz w:val="24"/>
                <w:szCs w:val="24"/>
              </w:rPr>
              <w:t>本项目雨水、污水排放依托</w:t>
            </w:r>
            <w:r>
              <w:rPr>
                <w:rFonts w:hint="eastAsia"/>
                <w:color w:val="000000"/>
                <w:sz w:val="24"/>
                <w:szCs w:val="24"/>
              </w:rPr>
              <w:t>常州中泽电力设备有限公司</w:t>
            </w:r>
            <w:r>
              <w:rPr>
                <w:rFonts w:hint="eastAsia"/>
                <w:sz w:val="24"/>
                <w:szCs w:val="24"/>
              </w:rPr>
              <w:t>现有雨水排放口、污水接管口，不另行设置。</w:t>
            </w:r>
            <w:r>
              <w:rPr>
                <w:rFonts w:hint="eastAsia"/>
                <w:color w:val="000000"/>
                <w:sz w:val="24"/>
                <w:szCs w:val="24"/>
              </w:rPr>
              <w:t>常州中泽电力设备有限公司</w:t>
            </w:r>
            <w:r>
              <w:rPr>
                <w:rFonts w:hint="eastAsia"/>
                <w:sz w:val="24"/>
                <w:szCs w:val="24"/>
              </w:rPr>
              <w:t>区现有雨水排放口、污水接管口需根据江苏省环保厅《江苏省排污口设置及规范化整治管理办法》进行规综合以上分析，本项目生活污水排入区域污水管网，接管进常州市金坛区直溪鑫鑫污水处理厂集中处理，能够得到及时有效处理，水质、水量均在处理能力内，接管进常州市金坛区直溪鑫鑫污水处理厂可行、可靠。</w:t>
            </w:r>
          </w:p>
          <w:p>
            <w:pPr>
              <w:spacing w:line="360" w:lineRule="auto"/>
              <w:ind w:firstLine="480" w:firstLineChars="200"/>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2</w:t>
            </w:r>
            <w:r>
              <w:rPr>
                <w:rFonts w:hint="eastAsia"/>
                <w:b/>
                <w:color w:val="000000" w:themeColor="text1"/>
                <w:sz w:val="24"/>
                <w:szCs w:val="24"/>
                <w14:textFill>
                  <w14:solidFill>
                    <w14:schemeClr w14:val="tx1"/>
                  </w14:solidFill>
                </w14:textFill>
              </w:rPr>
              <w:t>、废气治理措施</w:t>
            </w:r>
          </w:p>
          <w:p>
            <w:pPr>
              <w:autoSpaceDE w:val="0"/>
              <w:autoSpaceDN w:val="0"/>
              <w:adjustRightInd w:val="0"/>
              <w:spacing w:line="360" w:lineRule="auto"/>
              <w:ind w:firstLine="480" w:firstLineChars="200"/>
            </w:pPr>
            <w:r>
              <w:rPr>
                <w:rFonts w:hint="eastAsia"/>
                <w:color w:val="000000" w:themeColor="text1"/>
                <w:sz w:val="24"/>
                <w:szCs w:val="21"/>
                <w14:textFill>
                  <w14:solidFill>
                    <w14:schemeClr w14:val="tx1"/>
                  </w14:solidFill>
                </w14:textFill>
              </w:rPr>
              <w:t>本项目</w:t>
            </w:r>
            <w:r>
              <w:rPr>
                <w:rFonts w:hint="eastAsia"/>
                <w:color w:val="000000" w:themeColor="text1"/>
                <w:sz w:val="24"/>
                <w:szCs w:val="21"/>
                <w:lang w:eastAsia="zh-CN"/>
                <w14:textFill>
                  <w14:solidFill>
                    <w14:schemeClr w14:val="tx1"/>
                  </w14:solidFill>
                </w14:textFill>
              </w:rPr>
              <w:t>天然气经低氮燃烧装置然后产生废气经</w:t>
            </w:r>
            <w:r>
              <w:rPr>
                <w:rFonts w:hint="eastAsia"/>
                <w:color w:val="000000" w:themeColor="text1"/>
                <w:sz w:val="24"/>
                <w:szCs w:val="21"/>
                <w:lang w:val="en-US" w:eastAsia="zh-CN"/>
                <w14:textFill>
                  <w14:solidFill>
                    <w14:schemeClr w14:val="tx1"/>
                  </w14:solidFill>
                </w14:textFill>
              </w:rPr>
              <w:t>15m（1#）排气筒排放；喷塑粉尘经滤芯除尘器处理后经15m（1#）排气筒排放；固化废气经“冷却器</w:t>
            </w:r>
            <w:r>
              <w:rPr>
                <w:rFonts w:hint="eastAsia"/>
                <w:color w:val="000000" w:themeColor="text1"/>
                <w:sz w:val="24"/>
                <w:szCs w:val="21"/>
                <w14:textFill>
                  <w14:solidFill>
                    <w14:schemeClr w14:val="tx1"/>
                  </w14:solidFill>
                </w14:textFill>
              </w:rPr>
              <w:t>+二级活性炭吸附装置</w:t>
            </w:r>
            <w:r>
              <w:rPr>
                <w:rFonts w:hint="eastAsia"/>
                <w:color w:val="000000" w:themeColor="text1"/>
                <w:sz w:val="24"/>
                <w:szCs w:val="21"/>
                <w:lang w:eastAsia="zh-CN"/>
                <w14:textFill>
                  <w14:solidFill>
                    <w14:schemeClr w14:val="tx1"/>
                  </w14:solidFill>
                </w14:textFill>
              </w:rPr>
              <w:t>”</w:t>
            </w:r>
            <w:r>
              <w:rPr>
                <w:rFonts w:hint="eastAsia"/>
                <w:color w:val="000000" w:themeColor="text1"/>
                <w:sz w:val="24"/>
                <w:szCs w:val="21"/>
                <w14:textFill>
                  <w14:solidFill>
                    <w14:schemeClr w14:val="tx1"/>
                  </w14:solidFill>
                </w14:textFill>
              </w:rPr>
              <w:t>处理后通过15m（</w:t>
            </w:r>
            <w:r>
              <w:rPr>
                <w:rFonts w:hint="eastAsia"/>
                <w:color w:val="000000" w:themeColor="text1"/>
                <w:sz w:val="24"/>
                <w:szCs w:val="21"/>
                <w:lang w:val="en-US" w:eastAsia="zh-CN"/>
                <w14:textFill>
                  <w14:solidFill>
                    <w14:schemeClr w14:val="tx1"/>
                  </w14:solidFill>
                </w14:textFill>
              </w:rPr>
              <w:t>1</w:t>
            </w:r>
            <w:r>
              <w:rPr>
                <w:rFonts w:hint="eastAsia"/>
                <w:color w:val="000000" w:themeColor="text1"/>
                <w:sz w:val="24"/>
                <w:szCs w:val="21"/>
                <w14:textFill>
                  <w14:solidFill>
                    <w14:schemeClr w14:val="tx1"/>
                  </w14:solidFill>
                </w14:textFill>
              </w:rPr>
              <w:t>#）排气筒排放。</w:t>
            </w:r>
          </w:p>
          <w:p>
            <w:pPr>
              <w:autoSpaceDE w:val="0"/>
              <w:autoSpaceDN w:val="0"/>
              <w:adjustRightInd w:val="0"/>
              <w:spacing w:line="360" w:lineRule="auto"/>
              <w:ind w:firstLine="480" w:firstLineChars="200"/>
              <w:rPr>
                <w:b/>
                <w:color w:val="000000" w:themeColor="text1"/>
                <w:sz w:val="24"/>
                <w:szCs w:val="21"/>
                <w14:textFill>
                  <w14:solidFill>
                    <w14:schemeClr w14:val="tx1"/>
                  </w14:solidFill>
                </w14:textFill>
              </w:rPr>
            </w:pPr>
            <w:r>
              <w:rPr>
                <w:rFonts w:hint="eastAsia"/>
                <w:b/>
                <w:color w:val="000000" w:themeColor="text1"/>
                <w:sz w:val="24"/>
                <w:szCs w:val="21"/>
                <w14:textFill>
                  <w14:solidFill>
                    <w14:schemeClr w14:val="tx1"/>
                  </w14:solidFill>
                </w14:textFill>
              </w:rPr>
              <w:t>（1）废气处理装置简介</w:t>
            </w:r>
          </w:p>
          <w:p>
            <w:pPr>
              <w:autoSpaceDE w:val="0"/>
              <w:autoSpaceDN w:val="0"/>
              <w:adjustRightInd w:val="0"/>
              <w:spacing w:line="360" w:lineRule="auto"/>
              <w:ind w:firstLine="480" w:firstLineChars="200"/>
              <w:rPr>
                <w:rFonts w:hint="default" w:ascii="Times New Roman" w:hAnsi="Times New Roman" w:cs="Times New Roman"/>
                <w:b/>
                <w:color w:val="auto"/>
                <w:sz w:val="24"/>
                <w:szCs w:val="21"/>
                <w:lang w:eastAsia="zh-CN"/>
              </w:rPr>
            </w:pPr>
            <w:r>
              <w:rPr>
                <w:rFonts w:hint="eastAsia" w:ascii="宋体" w:hAnsi="宋体" w:eastAsia="宋体" w:cs="宋体"/>
                <w:b/>
                <w:color w:val="auto"/>
                <w:sz w:val="24"/>
                <w:lang w:val="zh-CN"/>
              </w:rPr>
              <w:t>①</w:t>
            </w:r>
            <w:r>
              <w:rPr>
                <w:rFonts w:hint="default" w:ascii="Times New Roman" w:hAnsi="Times New Roman" w:cs="Times New Roman"/>
                <w:b/>
                <w:color w:val="auto"/>
                <w:sz w:val="24"/>
                <w:szCs w:val="21"/>
                <w:lang w:eastAsia="zh-CN"/>
              </w:rPr>
              <w:t>低氮燃烧装置：</w:t>
            </w:r>
            <w:r>
              <w:rPr>
                <w:rFonts w:hint="default" w:ascii="Times New Roman" w:hAnsi="Times New Roman" w:eastAsia="宋体" w:cs="Times New Roman"/>
                <w:color w:val="auto"/>
                <w:sz w:val="24"/>
                <w:lang w:eastAsia="zh-CN"/>
              </w:rPr>
              <w:t>低氮燃烧设备主要是利用导流板、空气分级和烟气再循环等设计控制高温氮氧化物，从而达到烟气再循环，降低氧气进入氮氧化物生成反应的可能性。空气分级技术控制炉温和化学环境，从而降低氮氧化物的生成</w:t>
            </w:r>
            <w:r>
              <w:rPr>
                <w:rFonts w:hint="eastAsia" w:ascii="Times New Roman" w:hAnsi="Times New Roman" w:eastAsia="宋体" w:cs="Times New Roman"/>
                <w:color w:val="auto"/>
                <w:sz w:val="24"/>
                <w:lang w:eastAsia="zh-CN"/>
              </w:rPr>
              <w:t>。</w:t>
            </w:r>
          </w:p>
          <w:p>
            <w:pPr>
              <w:autoSpaceDE w:val="0"/>
              <w:autoSpaceDN w:val="0"/>
              <w:adjustRightInd w:val="0"/>
              <w:spacing w:line="360" w:lineRule="auto"/>
              <w:ind w:firstLine="480" w:firstLineChars="200"/>
              <w:rPr>
                <w:rFonts w:hint="eastAsia" w:ascii="宋体" w:hAnsi="宋体" w:eastAsia="宋体" w:cs="宋体"/>
                <w:b/>
                <w:color w:val="auto"/>
                <w:sz w:val="24"/>
                <w:lang w:val="zh-CN"/>
              </w:rPr>
            </w:pPr>
            <w:r>
              <w:rPr>
                <w:rFonts w:hint="eastAsia" w:ascii="Times New Roman" w:hAnsi="Times New Roman" w:cs="Times New Roman"/>
                <w:b w:val="0"/>
                <w:bCs/>
                <w:color w:val="auto"/>
                <w:sz w:val="24"/>
                <w:szCs w:val="21"/>
                <w:lang w:eastAsia="zh-CN"/>
              </w:rPr>
              <w:t>工程经验中低氮燃烧器可降低</w:t>
            </w:r>
            <w:r>
              <w:rPr>
                <w:rFonts w:hint="eastAsia" w:cs="Times New Roman"/>
                <w:b w:val="0"/>
                <w:bCs/>
                <w:color w:val="auto"/>
                <w:sz w:val="24"/>
                <w:szCs w:val="21"/>
                <w:lang w:val="en-US" w:eastAsia="zh-CN"/>
              </w:rPr>
              <w:t>6</w:t>
            </w:r>
            <w:r>
              <w:rPr>
                <w:rFonts w:hint="eastAsia" w:ascii="Times New Roman" w:hAnsi="Times New Roman" w:cs="Times New Roman"/>
                <w:b w:val="0"/>
                <w:bCs/>
                <w:color w:val="auto"/>
                <w:sz w:val="24"/>
                <w:szCs w:val="21"/>
                <w:lang w:val="en-US" w:eastAsia="zh-CN"/>
              </w:rPr>
              <w:t>0%以上氮氧化物排放，本项目氮氧化物排放可满足</w:t>
            </w:r>
            <w:r>
              <w:rPr>
                <w:rFonts w:hint="default" w:ascii="Times New Roman" w:hAnsi="Times New Roman" w:cs="Times New Roman"/>
                <w:b w:val="0"/>
                <w:bCs/>
                <w:color w:val="auto"/>
                <w:sz w:val="24"/>
                <w:szCs w:val="21"/>
                <w:lang w:eastAsia="zh-CN"/>
              </w:rPr>
              <w:t>《长三角地区2019-2020年秋冬季大气污染综合治理攻坚行动方案》中氮氧化物排放浓度不高于50mg/m</w:t>
            </w:r>
            <w:r>
              <w:rPr>
                <w:rFonts w:hint="default" w:ascii="Times New Roman" w:hAnsi="Times New Roman" w:cs="Times New Roman"/>
                <w:b w:val="0"/>
                <w:bCs/>
                <w:color w:val="auto"/>
                <w:sz w:val="24"/>
                <w:szCs w:val="21"/>
                <w:vertAlign w:val="superscript"/>
                <w:lang w:eastAsia="zh-CN"/>
              </w:rPr>
              <w:t>3</w:t>
            </w:r>
            <w:r>
              <w:rPr>
                <w:rFonts w:hint="default" w:ascii="Times New Roman" w:hAnsi="Times New Roman" w:cs="Times New Roman"/>
                <w:b w:val="0"/>
                <w:bCs/>
                <w:color w:val="auto"/>
                <w:sz w:val="24"/>
                <w:szCs w:val="21"/>
                <w:lang w:eastAsia="zh-CN"/>
              </w:rPr>
              <w:t>的要求</w:t>
            </w:r>
            <w:r>
              <w:rPr>
                <w:rFonts w:hint="eastAsia" w:ascii="Times New Roman" w:hAnsi="Times New Roman" w:cs="Times New Roman"/>
                <w:b w:val="0"/>
                <w:bCs/>
                <w:color w:val="auto"/>
                <w:sz w:val="24"/>
                <w:szCs w:val="21"/>
                <w:lang w:eastAsia="zh-CN"/>
              </w:rPr>
              <w:t>。</w:t>
            </w:r>
          </w:p>
          <w:p>
            <w:pPr>
              <w:autoSpaceDE w:val="0"/>
              <w:autoSpaceDN w:val="0"/>
              <w:adjustRightInd w:val="0"/>
              <w:spacing w:line="360" w:lineRule="auto"/>
              <w:ind w:firstLine="480" w:firstLineChars="200"/>
              <w:rPr>
                <w:rFonts w:ascii="宋体" w:hAnsi="宋体"/>
                <w:b/>
                <w:color w:val="auto"/>
                <w:sz w:val="24"/>
                <w:lang w:val="zh-CN"/>
              </w:rPr>
            </w:pPr>
            <w:r>
              <w:rPr>
                <w:rFonts w:hint="eastAsia" w:ascii="宋体" w:hAnsi="宋体" w:eastAsia="宋体" w:cs="宋体"/>
                <w:b/>
                <w:color w:val="auto"/>
                <w:sz w:val="24"/>
                <w:lang w:val="zh-CN"/>
              </w:rPr>
              <w:t>②</w:t>
            </w:r>
            <w:r>
              <w:rPr>
                <w:rFonts w:hint="eastAsia" w:ascii="宋体" w:hAnsi="宋体"/>
                <w:b/>
                <w:color w:val="auto"/>
                <w:sz w:val="24"/>
                <w:lang w:val="zh-CN"/>
              </w:rPr>
              <w:t>滤芯除尘器：</w:t>
            </w:r>
          </w:p>
          <w:p>
            <w:pPr>
              <w:spacing w:line="360" w:lineRule="auto"/>
              <w:ind w:firstLine="480" w:firstLineChars="200"/>
              <w:rPr>
                <w:bCs/>
                <w:color w:val="auto"/>
                <w:sz w:val="24"/>
                <w:szCs w:val="21"/>
              </w:rPr>
            </w:pPr>
            <w:r>
              <w:rPr>
                <w:rFonts w:hint="eastAsia"/>
                <w:bCs/>
                <w:color w:val="auto"/>
                <w:sz w:val="24"/>
                <w:szCs w:val="21"/>
                <w:lang w:eastAsia="zh-CN"/>
              </w:rPr>
              <w:t>滤芯除尘器</w:t>
            </w:r>
            <w:r>
              <w:rPr>
                <w:bCs/>
                <w:color w:val="auto"/>
                <w:sz w:val="24"/>
                <w:szCs w:val="21"/>
              </w:rPr>
              <w:t>是以滤芯作为过滤元件所组成的除尘器。含尘气体进入除尘器灰斗后，由于气流断面突然扩大及气流分布板作用，气流中一部分粗大颗粒在动和惯性力作用下沉降在灰斗；粒度细、密度小的尘粒进入滤尘室后，通过布朗扩散和筛滤等组合效应，使粉尘沉积在滤料表面上，净化后的气体进入净气室由排气管经风机排出。滤筒式</w:t>
            </w:r>
            <w:r>
              <w:rPr>
                <w:rFonts w:hint="eastAsia"/>
                <w:bCs/>
                <w:color w:val="auto"/>
                <w:sz w:val="24"/>
                <w:szCs w:val="21"/>
              </w:rPr>
              <w:t>过滤器</w:t>
            </w:r>
            <w:r>
              <w:rPr>
                <w:bCs/>
                <w:color w:val="auto"/>
                <w:sz w:val="24"/>
                <w:szCs w:val="21"/>
              </w:rPr>
              <w:t>的阻力随滤料表面粉尘层厚度的增加而增大。阻力达到某一规定值时进行清灰，清灰完毕后又恢复过滤状态。</w:t>
            </w:r>
          </w:p>
          <w:p>
            <w:pPr>
              <w:spacing w:line="360" w:lineRule="auto"/>
              <w:ind w:firstLine="480" w:firstLineChars="200"/>
              <w:rPr>
                <w:rFonts w:hint="eastAsia"/>
                <w:color w:val="auto"/>
                <w:sz w:val="24"/>
                <w:lang w:val="zh-CN"/>
              </w:rPr>
            </w:pPr>
            <w:r>
              <w:rPr>
                <w:rFonts w:hint="eastAsia" w:ascii="宋体" w:hAnsi="宋体" w:eastAsia="宋体" w:cs="宋体"/>
                <w:b/>
                <w:bCs/>
                <w:color w:val="auto"/>
                <w:sz w:val="24"/>
                <w:lang w:val="zh-CN"/>
              </w:rPr>
              <w:t>③</w:t>
            </w:r>
            <w:r>
              <w:rPr>
                <w:rFonts w:hint="eastAsia"/>
                <w:b/>
                <w:bCs/>
                <w:color w:val="auto"/>
                <w:sz w:val="24"/>
                <w:lang w:val="zh-CN"/>
              </w:rPr>
              <w:t>二级活性炭：</w:t>
            </w:r>
            <w:r>
              <w:rPr>
                <w:rFonts w:hint="eastAsia"/>
                <w:color w:val="auto"/>
                <w:sz w:val="24"/>
                <w:lang w:val="zh-CN"/>
              </w:rPr>
              <w:t>活性炭吸附主要依靠其自身的多孔结构，多孔结构可以大大提高其比表面积，增加与吸附底物的接触面积，从而达到吸附分离的目的，这种吸附为物理吸附，主要依靠范德华力、诱导力等结合。</w:t>
            </w:r>
          </w:p>
          <w:p>
            <w:pPr>
              <w:spacing w:line="360" w:lineRule="auto"/>
              <w:ind w:firstLine="480" w:firstLineChars="200"/>
              <w:rPr>
                <w:rFonts w:hint="eastAsia"/>
                <w:color w:val="auto"/>
                <w:sz w:val="24"/>
                <w:lang w:val="zh-CN"/>
              </w:rPr>
            </w:pPr>
            <w:r>
              <w:rPr>
                <w:rFonts w:hint="eastAsia"/>
                <w:color w:val="auto"/>
                <w:sz w:val="24"/>
                <w:lang w:val="zh-CN"/>
              </w:rPr>
              <w:t>物理吸附过程可分为以下几个步骤：（a）污染气体通过吸附边界层，污染气体的分子可能被吸附，也可能被从活性炭表面带走，这取决于该成分在载气和边界层中气体里的浓度差值，该值决定着吸附的强弱。当污染空气通过活性炭时，一些有害气体的浓度差值很大，所以被吸附下来，而空气中的固有成分由于浓度差基本为零，所以正常通过，而一些颗粒（如烟尘）由于过大，直接被留在大孔和中孔中。当有害气体的浓度差为零时，活性炭失效，需重新活化。（b）被吸附的分子向微孔扩散。（c）该分子被牢牢的绑扎在吸附剂表面。</w:t>
            </w:r>
          </w:p>
          <w:p>
            <w:pPr>
              <w:spacing w:line="360" w:lineRule="auto"/>
              <w:ind w:firstLine="480" w:firstLineChars="200"/>
              <w:rPr>
                <w:b/>
                <w:bCs/>
                <w:color w:val="auto"/>
                <w:sz w:val="24"/>
                <w:lang w:val="zh-CN"/>
              </w:rPr>
            </w:pPr>
            <w:r>
              <w:rPr>
                <w:rFonts w:hint="eastAsia" w:ascii="Times New Roman" w:hAnsi="Times New Roman"/>
                <w:sz w:val="24"/>
                <w:lang w:val="zh-CN"/>
              </w:rPr>
              <w:t>根据《明锋包装材料（太仓）有限公司新建塑料制品项目三同时竣工验收报告》可知，明锋包装材料（太仓）有限公司非甲烷总烃采用单级活性炭吸附装置处理，单级活性炭吸附效率可达79.2%以上。因此本项目采用二级活性炭吸附装置，有机废气处理效率可高于</w:t>
            </w:r>
            <w:r>
              <w:rPr>
                <w:rFonts w:hint="eastAsia" w:ascii="Times New Roman" w:hAnsi="Times New Roman"/>
                <w:sz w:val="24"/>
                <w:lang w:val="en-US" w:eastAsia="zh-CN"/>
              </w:rPr>
              <w:t>90%。</w:t>
            </w:r>
            <w:r>
              <w:rPr>
                <w:rFonts w:hint="eastAsia"/>
                <w:color w:val="auto"/>
                <w:sz w:val="24"/>
                <w:lang w:val="zh-CN"/>
              </w:rPr>
              <w:t>可满足《江苏省重点行业挥发性有机物污染控制指南》处理要求。</w:t>
            </w:r>
          </w:p>
          <w:p>
            <w:pPr>
              <w:pStyle w:val="2"/>
              <w:spacing w:after="0" w:line="360" w:lineRule="auto"/>
              <w:ind w:firstLine="480" w:firstLineChars="200"/>
              <w:rPr>
                <w:b/>
                <w:color w:val="000000" w:themeColor="text1"/>
                <w:sz w:val="24"/>
                <w:lang w:val="zh-CN"/>
                <w14:textFill>
                  <w14:solidFill>
                    <w14:schemeClr w14:val="tx1"/>
                  </w14:solidFill>
                </w14:textFill>
              </w:rPr>
            </w:pPr>
            <w:r>
              <w:rPr>
                <w:rFonts w:hint="eastAsia"/>
                <w:b/>
                <w:color w:val="000000" w:themeColor="text1"/>
                <w:sz w:val="24"/>
                <w:lang w:val="zh-CN"/>
                <w14:textFill>
                  <w14:solidFill>
                    <w14:schemeClr w14:val="tx1"/>
                  </w14:solidFill>
                </w14:textFill>
              </w:rPr>
              <w:t>（</w:t>
            </w:r>
            <w:r>
              <w:rPr>
                <w:b/>
                <w:color w:val="000000" w:themeColor="text1"/>
                <w:sz w:val="24"/>
                <w:lang w:val="zh-CN"/>
                <w14:textFill>
                  <w14:solidFill>
                    <w14:schemeClr w14:val="tx1"/>
                  </w14:solidFill>
                </w14:textFill>
              </w:rPr>
              <w:t>3</w:t>
            </w:r>
            <w:r>
              <w:rPr>
                <w:rFonts w:hint="eastAsia"/>
                <w:b/>
                <w:color w:val="000000" w:themeColor="text1"/>
                <w:sz w:val="24"/>
                <w:lang w:val="zh-CN"/>
                <w14:textFill>
                  <w14:solidFill>
                    <w14:schemeClr w14:val="tx1"/>
                  </w14:solidFill>
                </w14:textFill>
              </w:rPr>
              <w:t>）排气筒设置合理性分析</w:t>
            </w:r>
          </w:p>
          <w:p>
            <w:pPr>
              <w:pStyle w:val="2"/>
              <w:spacing w:after="0" w:line="360" w:lineRule="auto"/>
              <w:ind w:firstLine="480" w:firstLineChars="200"/>
              <w:rPr>
                <w:color w:val="000000" w:themeColor="text1"/>
                <w:sz w:val="24"/>
                <w:lang w:val="zh-CN"/>
                <w14:textFill>
                  <w14:solidFill>
                    <w14:schemeClr w14:val="tx1"/>
                  </w14:solidFill>
                </w14:textFill>
              </w:rPr>
            </w:pPr>
            <w:r>
              <w:rPr>
                <w:rFonts w:hint="eastAsia"/>
                <w:color w:val="000000" w:themeColor="text1"/>
                <w:sz w:val="24"/>
                <w:lang w:val="zh-CN"/>
                <w14:textFill>
                  <w14:solidFill>
                    <w14:schemeClr w14:val="tx1"/>
                  </w14:solidFill>
                </w14:textFill>
              </w:rPr>
              <w:t>本项目设置</w:t>
            </w:r>
            <w:r>
              <w:rPr>
                <w:rFonts w:hint="eastAsia"/>
                <w:color w:val="000000" w:themeColor="text1"/>
                <w:sz w:val="24"/>
                <w:lang w:val="en-US" w:eastAsia="zh-CN"/>
                <w14:textFill>
                  <w14:solidFill>
                    <w14:schemeClr w14:val="tx1"/>
                  </w14:solidFill>
                </w14:textFill>
              </w:rPr>
              <w:t>1</w:t>
            </w:r>
            <w:r>
              <w:rPr>
                <w:rFonts w:hint="eastAsia"/>
                <w:color w:val="000000" w:themeColor="text1"/>
                <w:sz w:val="24"/>
                <w:lang w:val="zh-CN"/>
                <w14:textFill>
                  <w14:solidFill>
                    <w14:schemeClr w14:val="tx1"/>
                  </w14:solidFill>
                </w14:textFill>
              </w:rPr>
              <w:t>根1</w:t>
            </w:r>
            <w:r>
              <w:rPr>
                <w:color w:val="000000" w:themeColor="text1"/>
                <w:sz w:val="24"/>
                <w:lang w:val="zh-CN"/>
                <w14:textFill>
                  <w14:solidFill>
                    <w14:schemeClr w14:val="tx1"/>
                  </w14:solidFill>
                </w14:textFill>
              </w:rPr>
              <w:t>5</w:t>
            </w:r>
            <w:r>
              <w:rPr>
                <w:rFonts w:hint="eastAsia"/>
                <w:color w:val="000000" w:themeColor="text1"/>
                <w:sz w:val="24"/>
                <w:lang w:val="zh-CN"/>
                <w14:textFill>
                  <w14:solidFill>
                    <w14:schemeClr w14:val="tx1"/>
                  </w14:solidFill>
                </w14:textFill>
              </w:rPr>
              <w:t>米高排气筒，排气筒按废气性质及成分进行区别设置，不同类型排气筒单独设置，其合理性分析如下：</w:t>
            </w:r>
          </w:p>
          <w:p>
            <w:pPr>
              <w:pStyle w:val="2"/>
              <w:spacing w:after="0" w:line="360" w:lineRule="auto"/>
              <w:ind w:firstLine="480" w:firstLineChars="200"/>
              <w:rPr>
                <w:rFonts w:ascii="宋体" w:hAnsi="宋体"/>
                <w:color w:val="000000" w:themeColor="text1"/>
                <w:sz w:val="24"/>
                <w:lang w:val="zh-CN"/>
                <w14:textFill>
                  <w14:solidFill>
                    <w14:schemeClr w14:val="tx1"/>
                  </w14:solidFill>
                </w14:textFill>
              </w:rPr>
            </w:pPr>
            <w:r>
              <w:rPr>
                <w:rFonts w:hint="eastAsia" w:ascii="宋体" w:hAnsi="宋体"/>
                <w:color w:val="000000" w:themeColor="text1"/>
                <w:sz w:val="24"/>
                <w:lang w:val="zh-CN"/>
                <w14:textFill>
                  <w14:solidFill>
                    <w14:schemeClr w14:val="tx1"/>
                  </w14:solidFill>
                </w14:textFill>
              </w:rPr>
              <w:t>①高度合理性分析：</w:t>
            </w:r>
          </w:p>
          <w:p>
            <w:pPr>
              <w:spacing w:line="360" w:lineRule="auto"/>
              <w:ind w:firstLine="480" w:firstLineChars="200"/>
              <w:rPr>
                <w:rFonts w:hint="eastAsia"/>
                <w:color w:val="000000" w:themeColor="text1"/>
                <w:sz w:val="24"/>
                <w:lang w:val="zh-CN"/>
                <w14:textFill>
                  <w14:solidFill>
                    <w14:schemeClr w14:val="tx1"/>
                  </w14:solidFill>
                </w14:textFill>
              </w:rPr>
            </w:pPr>
            <w:r>
              <w:rPr>
                <w:rFonts w:hint="eastAsia"/>
                <w:color w:val="000000" w:themeColor="text1"/>
                <w:sz w:val="24"/>
                <w:lang w:val="zh-CN"/>
                <w14:textFill>
                  <w14:solidFill>
                    <w14:schemeClr w14:val="tx1"/>
                  </w14:solidFill>
                </w14:textFill>
              </w:rPr>
              <w:t>根据《大气污染物综合排放标准》（GB16297-1996）要求，排气筒的高度应遵守排放速率标准值、新建污染物的排气筒一般不能低于1</w:t>
            </w:r>
            <w:r>
              <w:rPr>
                <w:color w:val="000000" w:themeColor="text1"/>
                <w:sz w:val="24"/>
                <w:lang w:val="zh-CN"/>
                <w14:textFill>
                  <w14:solidFill>
                    <w14:schemeClr w14:val="tx1"/>
                  </w14:solidFill>
                </w14:textFill>
              </w:rPr>
              <w:t>5</w:t>
            </w:r>
            <w:r>
              <w:rPr>
                <w:rFonts w:hint="eastAsia"/>
                <w:color w:val="000000" w:themeColor="text1"/>
                <w:sz w:val="24"/>
                <w:lang w:val="zh-CN"/>
                <w14:textFill>
                  <w14:solidFill>
                    <w14:schemeClr w14:val="tx1"/>
                  </w14:solidFill>
                </w14:textFill>
              </w:rPr>
              <w:t>米。本项目排气筒高度为1</w:t>
            </w:r>
            <w:r>
              <w:rPr>
                <w:color w:val="000000" w:themeColor="text1"/>
                <w:sz w:val="24"/>
                <w:lang w:val="zh-CN"/>
                <w14:textFill>
                  <w14:solidFill>
                    <w14:schemeClr w14:val="tx1"/>
                  </w14:solidFill>
                </w14:textFill>
              </w:rPr>
              <w:t>5</w:t>
            </w:r>
            <w:r>
              <w:rPr>
                <w:rFonts w:hint="eastAsia"/>
                <w:color w:val="000000" w:themeColor="text1"/>
                <w:sz w:val="24"/>
                <w:lang w:val="zh-CN"/>
                <w14:textFill>
                  <w14:solidFill>
                    <w14:schemeClr w14:val="tx1"/>
                  </w14:solidFill>
                </w14:textFill>
              </w:rPr>
              <w:t>米，污染物排放速率满足相关要求，因此本项目排气筒高度设置可行。</w:t>
            </w:r>
          </w:p>
          <w:p>
            <w:pPr>
              <w:spacing w:line="360" w:lineRule="auto"/>
              <w:ind w:firstLine="480" w:firstLineChars="200"/>
              <w:rPr>
                <w:rFonts w:ascii="Times New Roman" w:hAnsi="Times New Roman"/>
                <w:sz w:val="24"/>
                <w:szCs w:val="24"/>
              </w:rPr>
            </w:pPr>
            <w:r>
              <w:rPr>
                <w:rFonts w:ascii="Times New Roman" w:hAnsi="Times New Roman"/>
                <w:sz w:val="24"/>
                <w:szCs w:val="24"/>
              </w:rPr>
              <w:t>本项目1#排气筒高度为15m，排气筒高度高于周边200m范围内建筑物5m以上，根据大气预测分析，污染因子在相应的预测模式下，厂界均能达标，对周围大气环境质量影响不大。</w:t>
            </w:r>
          </w:p>
          <w:p>
            <w:pPr>
              <w:spacing w:line="360" w:lineRule="auto"/>
              <w:ind w:firstLine="480" w:firstLineChars="200"/>
              <w:rPr>
                <w:color w:val="000000" w:themeColor="text1"/>
                <w:sz w:val="24"/>
                <w:lang w:val="zh-CN"/>
                <w14:textFill>
                  <w14:solidFill>
                    <w14:schemeClr w14:val="tx1"/>
                  </w14:solidFill>
                </w14:textFill>
              </w:rPr>
            </w:pPr>
            <w:r>
              <w:rPr>
                <w:rFonts w:ascii="Times New Roman" w:hAnsi="Times New Roman"/>
                <w:sz w:val="24"/>
                <w:szCs w:val="24"/>
              </w:rPr>
              <w:t>根据《大气污染物综合排放标准》（GB16297-1996） 要求，排气筒的高度应遵守排放速率标准值，建设项目设置排气筒高度均能满足排放速率标准要求；新建污染物的排气筒一般不能低于15m，建设项目设置的排气筒高度为15m并设置了采样平台及采样孔。</w:t>
            </w:r>
          </w:p>
          <w:p>
            <w:pPr>
              <w:pStyle w:val="2"/>
              <w:spacing w:after="0" w:line="360" w:lineRule="auto"/>
              <w:ind w:firstLine="480" w:firstLineChars="200"/>
              <w:rPr>
                <w:rFonts w:ascii="宋体" w:hAnsi="宋体"/>
                <w:color w:val="000000" w:themeColor="text1"/>
                <w:sz w:val="24"/>
                <w:lang w:val="zh-CN"/>
                <w14:textFill>
                  <w14:solidFill>
                    <w14:schemeClr w14:val="tx1"/>
                  </w14:solidFill>
                </w14:textFill>
              </w:rPr>
            </w:pPr>
            <w:r>
              <w:rPr>
                <w:rFonts w:hint="eastAsia" w:ascii="宋体" w:hAnsi="宋体"/>
                <w:color w:val="000000" w:themeColor="text1"/>
                <w:sz w:val="24"/>
                <w:lang w:val="zh-CN"/>
                <w14:textFill>
                  <w14:solidFill>
                    <w14:schemeClr w14:val="tx1"/>
                  </w14:solidFill>
                </w14:textFill>
              </w:rPr>
              <w:t>②数量合理性分析：</w:t>
            </w:r>
          </w:p>
          <w:p>
            <w:pPr>
              <w:pStyle w:val="2"/>
              <w:spacing w:after="0" w:line="360" w:lineRule="auto"/>
              <w:ind w:firstLine="480" w:firstLineChars="200"/>
              <w:rPr>
                <w:color w:val="000000" w:themeColor="text1"/>
                <w:sz w:val="24"/>
                <w:lang w:val="zh-CN"/>
                <w14:textFill>
                  <w14:solidFill>
                    <w14:schemeClr w14:val="tx1"/>
                  </w14:solidFill>
                </w14:textFill>
              </w:rPr>
            </w:pPr>
            <w:r>
              <w:rPr>
                <w:rFonts w:hint="eastAsia"/>
                <w:color w:val="000000" w:themeColor="text1"/>
                <w:sz w:val="24"/>
                <w:lang w:val="zh-CN"/>
                <w14:textFill>
                  <w14:solidFill>
                    <w14:schemeClr w14:val="tx1"/>
                  </w14:solidFill>
                </w14:textFill>
              </w:rPr>
              <w:t>排气筒的设置数量应严格按照车间和工段分布来布置，按照“分类收集处理，统一排放”的原则布置。各排气筒布置应综合考虑废气合并处理的适应性、风量大小、排气筒检修对生产装置带来的影响大小等因素。本项目废气主要为有颗粒物和非甲烷总烃，同时工艺相距较近，因此本项目设置</w:t>
            </w:r>
            <w:r>
              <w:rPr>
                <w:rFonts w:hint="eastAsia"/>
                <w:color w:val="000000" w:themeColor="text1"/>
                <w:sz w:val="24"/>
                <w14:textFill>
                  <w14:solidFill>
                    <w14:schemeClr w14:val="tx1"/>
                  </w14:solidFill>
                </w14:textFill>
              </w:rPr>
              <w:t>1</w:t>
            </w:r>
            <w:r>
              <w:rPr>
                <w:rFonts w:hint="eastAsia"/>
                <w:color w:val="000000" w:themeColor="text1"/>
                <w:sz w:val="24"/>
                <w:lang w:val="zh-CN"/>
                <w14:textFill>
                  <w14:solidFill>
                    <w14:schemeClr w14:val="tx1"/>
                  </w14:solidFill>
                </w14:textFill>
              </w:rPr>
              <w:t>根排气筒对废气统一收集，收集合理。</w:t>
            </w:r>
          </w:p>
          <w:p>
            <w:pPr>
              <w:pStyle w:val="2"/>
              <w:numPr>
                <w:ilvl w:val="0"/>
                <w:numId w:val="0"/>
              </w:numPr>
              <w:spacing w:after="0" w:line="360" w:lineRule="auto"/>
              <w:ind w:left="465" w:leftChars="0"/>
              <w:rPr>
                <w:color w:val="000000" w:themeColor="text1"/>
                <w:sz w:val="24"/>
                <w:lang w:val="zh-CN"/>
                <w14:textFill>
                  <w14:solidFill>
                    <w14:schemeClr w14:val="tx1"/>
                  </w14:solidFill>
                </w14:textFill>
              </w:rPr>
            </w:pPr>
            <w:r>
              <w:rPr>
                <w:rFonts w:hint="eastAsia" w:ascii="宋体" w:hAnsi="宋体" w:eastAsia="宋体" w:cs="宋体"/>
                <w:color w:val="000000" w:themeColor="text1"/>
                <w:sz w:val="24"/>
                <w:lang w:val="zh-CN"/>
                <w14:textFill>
                  <w14:solidFill>
                    <w14:schemeClr w14:val="tx1"/>
                  </w14:solidFill>
                </w14:textFill>
              </w:rPr>
              <w:t>③</w:t>
            </w:r>
            <w:r>
              <w:rPr>
                <w:rFonts w:hint="eastAsia"/>
                <w:color w:val="000000" w:themeColor="text1"/>
                <w:sz w:val="24"/>
                <w:lang w:val="zh-CN"/>
                <w14:textFill>
                  <w14:solidFill>
                    <w14:schemeClr w14:val="tx1"/>
                  </w14:solidFill>
                </w14:textFill>
              </w:rPr>
              <w:t>风量合理性分析：</w:t>
            </w:r>
          </w:p>
          <w:p>
            <w:pPr>
              <w:pStyle w:val="2"/>
              <w:spacing w:after="0" w:line="360" w:lineRule="auto"/>
              <w:ind w:firstLine="480" w:firstLineChars="200"/>
              <w:rPr>
                <w:color w:val="000000" w:themeColor="text1"/>
                <w:sz w:val="24"/>
                <w:szCs w:val="22"/>
                <w:lang w:val="zh-CN"/>
                <w14:textFill>
                  <w14:solidFill>
                    <w14:schemeClr w14:val="tx1"/>
                  </w14:solidFill>
                </w14:textFill>
              </w:rPr>
            </w:pPr>
            <w:r>
              <w:rPr>
                <w:rFonts w:hint="eastAsia"/>
                <w:color w:val="auto"/>
                <w:sz w:val="24"/>
                <w:szCs w:val="22"/>
                <w:lang w:val="zh-CN"/>
              </w:rPr>
              <w:t>根据《大气污染治理工程技术导则》（HJ2000-2010）第5.3.5节“排气筒的出口直径应根据出口流速确定，流速宜取15m/s左右”的通用技术要求。考虑活性炭吸附效果和废气的停留时间，本项目排气筒1#排放速度约为</w:t>
            </w:r>
            <w:r>
              <w:rPr>
                <w:rFonts w:hint="eastAsia"/>
                <w:color w:val="auto"/>
                <w:sz w:val="24"/>
                <w:szCs w:val="22"/>
              </w:rPr>
              <w:t>15.</w:t>
            </w:r>
            <w:r>
              <w:rPr>
                <w:rFonts w:hint="eastAsia"/>
                <w:color w:val="auto"/>
                <w:sz w:val="24"/>
                <w:szCs w:val="22"/>
                <w:lang w:val="en-US" w:eastAsia="zh-CN"/>
              </w:rPr>
              <w:t>13</w:t>
            </w:r>
            <w:r>
              <w:rPr>
                <w:rFonts w:hint="eastAsia"/>
                <w:color w:val="auto"/>
                <w:sz w:val="24"/>
                <w:szCs w:val="22"/>
                <w:lang w:val="zh-CN"/>
              </w:rPr>
              <w:t>m/s，符合相关要求</w:t>
            </w:r>
            <w:r>
              <w:rPr>
                <w:rFonts w:hint="eastAsia"/>
                <w:sz w:val="24"/>
                <w:szCs w:val="22"/>
                <w:lang w:val="zh-CN"/>
              </w:rPr>
              <w:t>。</w:t>
            </w:r>
          </w:p>
          <w:p>
            <w:pPr>
              <w:pStyle w:val="2"/>
              <w:spacing w:after="0" w:line="360" w:lineRule="auto"/>
              <w:ind w:firstLine="480" w:firstLineChars="200"/>
              <w:rPr>
                <w:color w:val="000000" w:themeColor="text1"/>
                <w:sz w:val="24"/>
                <w:lang w:val="zh-CN"/>
                <w14:textFill>
                  <w14:solidFill>
                    <w14:schemeClr w14:val="tx1"/>
                  </w14:solidFill>
                </w14:textFill>
              </w:rPr>
            </w:pPr>
            <w:r>
              <w:rPr>
                <w:rFonts w:hint="eastAsia"/>
                <w:color w:val="000000" w:themeColor="text1"/>
                <w:sz w:val="24"/>
                <w:lang w:val="zh-CN"/>
                <w14:textFill>
                  <w14:solidFill>
                    <w14:schemeClr w14:val="tx1"/>
                  </w14:solidFill>
                </w14:textFill>
              </w:rPr>
              <w:t>④位置合理性分析：</w:t>
            </w:r>
          </w:p>
          <w:p>
            <w:pPr>
              <w:pStyle w:val="2"/>
              <w:spacing w:after="0" w:line="360" w:lineRule="auto"/>
              <w:ind w:firstLine="480" w:firstLineChars="200"/>
              <w:rPr>
                <w:color w:val="000000" w:themeColor="text1"/>
                <w:sz w:val="24"/>
                <w:lang w:val="zh-CN"/>
                <w14:textFill>
                  <w14:solidFill>
                    <w14:schemeClr w14:val="tx1"/>
                  </w14:solidFill>
                </w14:textFill>
              </w:rPr>
            </w:pPr>
            <w:r>
              <w:rPr>
                <w:rFonts w:hint="eastAsia"/>
                <w:color w:val="000000" w:themeColor="text1"/>
                <w:sz w:val="24"/>
                <w:lang w:val="zh-CN"/>
                <w14:textFill>
                  <w14:solidFill>
                    <w14:schemeClr w14:val="tx1"/>
                  </w14:solidFill>
                </w14:textFill>
              </w:rPr>
              <w:t>建设项目排气筒紧邻生产车间的外围，有效的减少的管道的长度，因此位置设置合理。</w:t>
            </w:r>
          </w:p>
          <w:p>
            <w:pPr>
              <w:pStyle w:val="2"/>
              <w:spacing w:after="0" w:line="360" w:lineRule="auto"/>
              <w:ind w:firstLine="480" w:firstLineChars="200"/>
              <w:rPr>
                <w:color w:val="000000" w:themeColor="text1"/>
                <w:lang w:val="zh-CN"/>
                <w14:textFill>
                  <w14:solidFill>
                    <w14:schemeClr w14:val="tx1"/>
                  </w14:solidFill>
                </w14:textFill>
              </w:rPr>
            </w:pPr>
            <w:r>
              <w:rPr>
                <w:rFonts w:hint="eastAsia"/>
                <w:color w:val="000000" w:themeColor="text1"/>
                <w:sz w:val="24"/>
                <w:lang w:val="zh-CN"/>
                <w14:textFill>
                  <w14:solidFill>
                    <w14:schemeClr w14:val="tx1"/>
                  </w14:solidFill>
                </w14:textFill>
              </w:rPr>
              <w:t>此外，建设单位排气筒应设置采样平台及采样孔工监测所用。综上，本项目排气筒设置合理。</w:t>
            </w:r>
          </w:p>
          <w:p>
            <w:pPr>
              <w:autoSpaceDE w:val="0"/>
              <w:autoSpaceDN w:val="0"/>
              <w:adjustRightInd w:val="0"/>
              <w:spacing w:line="360" w:lineRule="auto"/>
              <w:ind w:firstLine="480" w:firstLineChars="200"/>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3、固废防治措施</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（1）危险固体废物</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1）危险废物处置方式</w:t>
            </w:r>
            <w:r>
              <w:rPr>
                <w:rFonts w:hint="eastAsia"/>
                <w:color w:val="000000" w:themeColor="text1"/>
                <w:sz w:val="24"/>
                <w:szCs w:val="24"/>
                <w14:textFill>
                  <w14:solidFill>
                    <w14:schemeClr w14:val="tx1"/>
                  </w14:solidFill>
                </w14:textFill>
              </w:rPr>
              <w:t>：</w:t>
            </w:r>
          </w:p>
          <w:p>
            <w:pPr>
              <w:pStyle w:val="2"/>
              <w:spacing w:after="0"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本项目危险废物为</w:t>
            </w:r>
            <w:r>
              <w:rPr>
                <w:rFonts w:hint="eastAsia"/>
                <w:bCs/>
                <w:color w:val="000000" w:themeColor="text1"/>
                <w:sz w:val="24"/>
                <w:szCs w:val="24"/>
                <w14:textFill>
                  <w14:solidFill>
                    <w14:schemeClr w14:val="tx1"/>
                  </w14:solidFill>
                </w14:textFill>
              </w:rPr>
              <w:t>废包装桶</w:t>
            </w:r>
            <w:r>
              <w:rPr>
                <w:rFonts w:hint="eastAsia"/>
                <w:bCs/>
                <w:color w:val="000000" w:themeColor="text1"/>
                <w:sz w:val="24"/>
                <w:szCs w:val="24"/>
                <w:lang w:eastAsia="zh-CN"/>
                <w14:textFill>
                  <w14:solidFill>
                    <w14:schemeClr w14:val="tx1"/>
                  </w14:solidFill>
                </w14:textFill>
              </w:rPr>
              <w:t>、</w:t>
            </w:r>
            <w:r>
              <w:rPr>
                <w:rFonts w:hint="eastAsia"/>
                <w:bCs/>
                <w:color w:val="000000" w:themeColor="text1"/>
                <w:sz w:val="24"/>
                <w:szCs w:val="24"/>
                <w14:textFill>
                  <w14:solidFill>
                    <w14:schemeClr w14:val="tx1"/>
                  </w14:solidFill>
                </w14:textFill>
              </w:rPr>
              <w:t>废活性炭，</w:t>
            </w:r>
            <w:r>
              <w:rPr>
                <w:rFonts w:hint="eastAsia"/>
                <w:color w:val="000000" w:themeColor="text1"/>
                <w:sz w:val="24"/>
                <w14:textFill>
                  <w14:solidFill>
                    <w14:schemeClr w14:val="tx1"/>
                  </w14:solidFill>
                </w14:textFill>
              </w:rPr>
              <w:t>收集暂存后委托有资质单位处置</w:t>
            </w:r>
            <w:r>
              <w:rPr>
                <w:rFonts w:hint="eastAsia"/>
                <w:color w:val="000000" w:themeColor="text1"/>
                <w:sz w:val="24"/>
                <w:lang w:eastAsia="zh-CN"/>
                <w14:textFill>
                  <w14:solidFill>
                    <w14:schemeClr w14:val="tx1"/>
                  </w14:solidFill>
                </w14:textFill>
              </w:rPr>
              <w:t>，含有抹布和手套混入生活垃圾，委托环卫部门清运</w:t>
            </w:r>
            <w:r>
              <w:rPr>
                <w:rFonts w:hint="eastAsia"/>
                <w:color w:val="000000" w:themeColor="text1"/>
                <w:sz w:val="24"/>
                <w14:textFill>
                  <w14:solidFill>
                    <w14:schemeClr w14:val="tx1"/>
                  </w14:solidFill>
                </w14:textFill>
              </w:rPr>
              <w:t>。</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2）贮存场所（设施）污染防治措施</w:t>
            </w:r>
          </w:p>
          <w:p>
            <w:pPr>
              <w:autoSpaceDE w:val="0"/>
              <w:autoSpaceDN w:val="0"/>
              <w:adjustRightInd w:val="0"/>
              <w:spacing w:line="360" w:lineRule="auto"/>
              <w:ind w:firstLine="480" w:firstLineChars="200"/>
              <w:rPr>
                <w:sz w:val="24"/>
              </w:rPr>
            </w:pPr>
            <w:r>
              <w:rPr>
                <w:color w:val="000000" w:themeColor="text1"/>
                <w:sz w:val="24"/>
                <w:szCs w:val="24"/>
                <w14:textFill>
                  <w14:solidFill>
                    <w14:schemeClr w14:val="tx1"/>
                  </w14:solidFill>
                </w14:textFill>
              </w:rPr>
              <w:t>厂区应设置1个</w:t>
            </w:r>
            <w:r>
              <w:rPr>
                <w:rFonts w:hint="eastAsia"/>
                <w:color w:val="000000" w:themeColor="text1"/>
                <w:sz w:val="24"/>
                <w:szCs w:val="24"/>
                <w14:textFill>
                  <w14:solidFill>
                    <w14:schemeClr w14:val="tx1"/>
                  </w14:solidFill>
                </w14:textFill>
              </w:rPr>
              <w:t>危险废物仓库</w:t>
            </w:r>
            <w:r>
              <w:rPr>
                <w:color w:val="000000" w:themeColor="text1"/>
                <w:sz w:val="24"/>
                <w:szCs w:val="24"/>
                <w14:textFill>
                  <w14:solidFill>
                    <w14:schemeClr w14:val="tx1"/>
                  </w14:solidFill>
                </w14:textFill>
              </w:rPr>
              <w:t>对危险固废进行安全暂存，</w:t>
            </w:r>
            <w:r>
              <w:rPr>
                <w:color w:val="000000" w:themeColor="text1"/>
                <w:sz w:val="24"/>
                <w14:textFill>
                  <w14:solidFill>
                    <w14:schemeClr w14:val="tx1"/>
                  </w14:solidFill>
                </w14:textFill>
              </w:rPr>
              <w:t>建筑面积约为</w:t>
            </w:r>
            <w:r>
              <w:rPr>
                <w:rFonts w:hint="eastAsia"/>
                <w:color w:val="000000" w:themeColor="text1"/>
                <w:sz w:val="24"/>
                <w14:textFill>
                  <w14:solidFill>
                    <w14:schemeClr w14:val="tx1"/>
                  </w14:solidFill>
                </w14:textFill>
              </w:rPr>
              <w:t>1</w:t>
            </w:r>
            <w:r>
              <w:rPr>
                <w:rFonts w:hint="eastAsia"/>
                <w:color w:val="000000" w:themeColor="text1"/>
                <w:sz w:val="24"/>
                <w:lang w:val="en-US" w:eastAsia="zh-CN"/>
                <w14:textFill>
                  <w14:solidFill>
                    <w14:schemeClr w14:val="tx1"/>
                  </w14:solidFill>
                </w14:textFill>
              </w:rPr>
              <w:t>0</w:t>
            </w:r>
            <w:r>
              <w:rPr>
                <w:color w:val="000000" w:themeColor="text1"/>
                <w:sz w:val="24"/>
                <w14:textFill>
                  <w14:solidFill>
                    <w14:schemeClr w14:val="tx1"/>
                  </w14:solidFill>
                </w14:textFill>
              </w:rPr>
              <w:t>m</w:t>
            </w:r>
            <w:r>
              <w:rPr>
                <w:color w:val="000000" w:themeColor="text1"/>
                <w:sz w:val="24"/>
                <w:vertAlign w:val="superscript"/>
                <w14:textFill>
                  <w14:solidFill>
                    <w14:schemeClr w14:val="tx1"/>
                  </w14:solidFill>
                </w14:textFill>
              </w:rPr>
              <w:t>2</w:t>
            </w:r>
            <w:r>
              <w:rPr>
                <w:color w:val="000000" w:themeColor="text1"/>
                <w:sz w:val="24"/>
                <w14:textFill>
                  <w14:solidFill>
                    <w14:schemeClr w14:val="tx1"/>
                  </w14:solidFill>
                </w14:textFill>
              </w:rPr>
              <w:t>。</w:t>
            </w:r>
            <w:r>
              <w:rPr>
                <w:rFonts w:hint="eastAsia"/>
                <w:color w:val="000000" w:themeColor="text1"/>
                <w:sz w:val="24"/>
                <w:szCs w:val="24"/>
                <w14:textFill>
                  <w14:solidFill>
                    <w14:schemeClr w14:val="tx1"/>
                  </w14:solidFill>
                </w14:textFill>
              </w:rPr>
              <w:t>危险废物仓库</w:t>
            </w:r>
            <w:r>
              <w:rPr>
                <w:color w:val="000000" w:themeColor="text1"/>
                <w:sz w:val="24"/>
                <w14:textFill>
                  <w14:solidFill>
                    <w14:schemeClr w14:val="tx1"/>
                  </w14:solidFill>
                </w14:textFill>
              </w:rPr>
              <w:t>基本情况详见下表。</w:t>
            </w:r>
          </w:p>
          <w:p>
            <w:pPr>
              <w:ind w:firstLine="482"/>
              <w:jc w:val="center"/>
              <w:rPr>
                <w:b/>
                <w:sz w:val="24"/>
                <w:szCs w:val="24"/>
              </w:rPr>
            </w:pPr>
            <w:r>
              <w:rPr>
                <w:b/>
                <w:sz w:val="24"/>
                <w:szCs w:val="24"/>
              </w:rPr>
              <w:t>表5-</w:t>
            </w:r>
            <w:r>
              <w:rPr>
                <w:rFonts w:hint="eastAsia"/>
                <w:b/>
                <w:sz w:val="24"/>
                <w:szCs w:val="24"/>
                <w:lang w:val="en-US" w:eastAsia="zh-CN"/>
              </w:rPr>
              <w:t>9</w:t>
            </w:r>
            <w:r>
              <w:rPr>
                <w:b/>
                <w:sz w:val="24"/>
                <w:szCs w:val="24"/>
              </w:rPr>
              <w:t xml:space="preserve"> 危险废物贮存场所基本情况表</w:t>
            </w:r>
          </w:p>
          <w:tbl>
            <w:tblPr>
              <w:tblStyle w:val="17"/>
              <w:tblW w:w="8312" w:type="dxa"/>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69"/>
              <w:gridCol w:w="1056"/>
              <w:gridCol w:w="597"/>
              <w:gridCol w:w="840"/>
              <w:gridCol w:w="1196"/>
              <w:gridCol w:w="871"/>
              <w:gridCol w:w="881"/>
              <w:gridCol w:w="788"/>
              <w:gridCol w:w="871"/>
              <w:gridCol w:w="743"/>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469" w:type="dxa"/>
                  <w:vAlign w:val="center"/>
                </w:tcPr>
                <w:p>
                  <w:pPr>
                    <w:pStyle w:val="39"/>
                    <w:rPr>
                      <w:b/>
                    </w:rPr>
                  </w:pPr>
                  <w:r>
                    <w:rPr>
                      <w:b/>
                    </w:rPr>
                    <w:t>序号</w:t>
                  </w:r>
                </w:p>
              </w:tc>
              <w:tc>
                <w:tcPr>
                  <w:tcW w:w="1056" w:type="dxa"/>
                  <w:vAlign w:val="center"/>
                </w:tcPr>
                <w:p>
                  <w:pPr>
                    <w:pStyle w:val="39"/>
                    <w:rPr>
                      <w:b/>
                    </w:rPr>
                  </w:pPr>
                  <w:r>
                    <w:rPr>
                      <w:b/>
                    </w:rPr>
                    <w:t>固体废物名称</w:t>
                  </w:r>
                </w:p>
              </w:tc>
              <w:tc>
                <w:tcPr>
                  <w:tcW w:w="597" w:type="dxa"/>
                  <w:vAlign w:val="center"/>
                </w:tcPr>
                <w:p>
                  <w:pPr>
                    <w:pStyle w:val="39"/>
                    <w:rPr>
                      <w:b/>
                    </w:rPr>
                  </w:pPr>
                  <w:r>
                    <w:rPr>
                      <w:b/>
                    </w:rPr>
                    <w:t>贮存场所</w:t>
                  </w:r>
                </w:p>
              </w:tc>
              <w:tc>
                <w:tcPr>
                  <w:tcW w:w="840" w:type="dxa"/>
                  <w:vAlign w:val="center"/>
                </w:tcPr>
                <w:p>
                  <w:pPr>
                    <w:pStyle w:val="39"/>
                    <w:rPr>
                      <w:b/>
                    </w:rPr>
                  </w:pPr>
                  <w:r>
                    <w:rPr>
                      <w:rFonts w:hint="eastAsia"/>
                      <w:b/>
                    </w:rPr>
                    <w:t>危险废物</w:t>
                  </w:r>
                  <w:r>
                    <w:rPr>
                      <w:b/>
                    </w:rPr>
                    <w:t>类别</w:t>
                  </w:r>
                </w:p>
              </w:tc>
              <w:tc>
                <w:tcPr>
                  <w:tcW w:w="1196" w:type="dxa"/>
                  <w:vAlign w:val="center"/>
                </w:tcPr>
                <w:p>
                  <w:pPr>
                    <w:pStyle w:val="39"/>
                    <w:rPr>
                      <w:b/>
                    </w:rPr>
                  </w:pPr>
                  <w:r>
                    <w:rPr>
                      <w:b/>
                    </w:rPr>
                    <w:t>废物代码</w:t>
                  </w:r>
                </w:p>
              </w:tc>
              <w:tc>
                <w:tcPr>
                  <w:tcW w:w="871" w:type="dxa"/>
                  <w:vAlign w:val="center"/>
                </w:tcPr>
                <w:p>
                  <w:pPr>
                    <w:pStyle w:val="39"/>
                    <w:rPr>
                      <w:b/>
                    </w:rPr>
                  </w:pPr>
                  <w:r>
                    <w:rPr>
                      <w:b/>
                    </w:rPr>
                    <w:t>产生量（t/a）</w:t>
                  </w:r>
                </w:p>
              </w:tc>
              <w:tc>
                <w:tcPr>
                  <w:tcW w:w="881" w:type="dxa"/>
                  <w:vAlign w:val="center"/>
                </w:tcPr>
                <w:p>
                  <w:pPr>
                    <w:pStyle w:val="39"/>
                    <w:rPr>
                      <w:b/>
                    </w:rPr>
                  </w:pPr>
                  <w:r>
                    <w:rPr>
                      <w:b/>
                    </w:rPr>
                    <w:t>占地面积</w:t>
                  </w:r>
                  <w:r>
                    <w:rPr>
                      <w:rFonts w:hint="eastAsia"/>
                      <w:b/>
                    </w:rPr>
                    <w:t>（m</w:t>
                  </w:r>
                  <w:r>
                    <w:rPr>
                      <w:rFonts w:hint="eastAsia"/>
                      <w:b/>
                      <w:vertAlign w:val="superscript"/>
                    </w:rPr>
                    <w:t>2</w:t>
                  </w:r>
                  <w:r>
                    <w:rPr>
                      <w:rFonts w:hint="eastAsia"/>
                      <w:b/>
                    </w:rPr>
                    <w:t>）</w:t>
                  </w:r>
                </w:p>
              </w:tc>
              <w:tc>
                <w:tcPr>
                  <w:tcW w:w="788" w:type="dxa"/>
                  <w:vAlign w:val="center"/>
                </w:tcPr>
                <w:p>
                  <w:pPr>
                    <w:pStyle w:val="39"/>
                    <w:rPr>
                      <w:b/>
                    </w:rPr>
                  </w:pPr>
                  <w:r>
                    <w:rPr>
                      <w:b/>
                    </w:rPr>
                    <w:t>贮存方式</w:t>
                  </w:r>
                </w:p>
              </w:tc>
              <w:tc>
                <w:tcPr>
                  <w:tcW w:w="871" w:type="dxa"/>
                  <w:vAlign w:val="center"/>
                </w:tcPr>
                <w:p>
                  <w:pPr>
                    <w:pStyle w:val="39"/>
                    <w:rPr>
                      <w:b/>
                    </w:rPr>
                  </w:pPr>
                  <w:r>
                    <w:rPr>
                      <w:b/>
                    </w:rPr>
                    <w:t>贮存能力（t/a）</w:t>
                  </w:r>
                </w:p>
              </w:tc>
              <w:tc>
                <w:tcPr>
                  <w:tcW w:w="743" w:type="dxa"/>
                  <w:vAlign w:val="center"/>
                </w:tcPr>
                <w:p>
                  <w:pPr>
                    <w:pStyle w:val="39"/>
                    <w:rPr>
                      <w:b/>
                    </w:rPr>
                  </w:pPr>
                  <w:r>
                    <w:rPr>
                      <w:b/>
                    </w:rPr>
                    <w:t>贮存周期</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868" w:hRule="atLeast"/>
                <w:jc w:val="center"/>
              </w:trPr>
              <w:tc>
                <w:tcPr>
                  <w:tcW w:w="469" w:type="dxa"/>
                  <w:vAlign w:val="center"/>
                </w:tcPr>
                <w:p>
                  <w:pPr>
                    <w:pStyle w:val="39"/>
                  </w:pPr>
                  <w:r>
                    <w:rPr>
                      <w:rFonts w:hint="eastAsia"/>
                    </w:rPr>
                    <w:t>1</w:t>
                  </w:r>
                </w:p>
              </w:tc>
              <w:tc>
                <w:tcPr>
                  <w:tcW w:w="1056" w:type="dxa"/>
                  <w:vAlign w:val="center"/>
                </w:tcPr>
                <w:p>
                  <w:pPr>
                    <w:pStyle w:val="39"/>
                  </w:pPr>
                  <w:r>
                    <w:rPr>
                      <w:rFonts w:hint="eastAsia"/>
                      <w:bCs/>
                      <w:color w:val="000000" w:themeColor="text1"/>
                      <w14:textFill>
                        <w14:solidFill>
                          <w14:schemeClr w14:val="tx1"/>
                        </w14:solidFill>
                      </w14:textFill>
                    </w:rPr>
                    <w:t>废包装桶</w:t>
                  </w:r>
                </w:p>
              </w:tc>
              <w:tc>
                <w:tcPr>
                  <w:tcW w:w="597" w:type="dxa"/>
                  <w:vMerge w:val="restart"/>
                  <w:vAlign w:val="center"/>
                </w:tcPr>
                <w:p>
                  <w:pPr>
                    <w:jc w:val="center"/>
                    <w:rPr>
                      <w:szCs w:val="21"/>
                    </w:rPr>
                  </w:pPr>
                  <w:r>
                    <w:rPr>
                      <w:rFonts w:hint="eastAsia"/>
                      <w:szCs w:val="21"/>
                    </w:rPr>
                    <w:t>危险废物仓库</w:t>
                  </w:r>
                </w:p>
              </w:tc>
              <w:tc>
                <w:tcPr>
                  <w:tcW w:w="840" w:type="dxa"/>
                  <w:vAlign w:val="center"/>
                </w:tcPr>
                <w:p>
                  <w:pPr>
                    <w:tabs>
                      <w:tab w:val="left" w:pos="2227"/>
                    </w:tabs>
                    <w:contextualSpacing/>
                    <w:jc w:val="center"/>
                    <w:rPr>
                      <w:kern w:val="18"/>
                      <w:szCs w:val="21"/>
                    </w:rPr>
                  </w:pPr>
                  <w:r>
                    <w:rPr>
                      <w:szCs w:val="21"/>
                    </w:rPr>
                    <w:t>HW49</w:t>
                  </w:r>
                </w:p>
              </w:tc>
              <w:tc>
                <w:tcPr>
                  <w:tcW w:w="1196" w:type="dxa"/>
                  <w:vAlign w:val="center"/>
                </w:tcPr>
                <w:p>
                  <w:pPr>
                    <w:tabs>
                      <w:tab w:val="left" w:pos="2227"/>
                    </w:tabs>
                    <w:contextualSpacing/>
                    <w:jc w:val="center"/>
                    <w:rPr>
                      <w:kern w:val="18"/>
                      <w:szCs w:val="21"/>
                    </w:rPr>
                  </w:pPr>
                  <w:r>
                    <w:rPr>
                      <w:szCs w:val="21"/>
                    </w:rPr>
                    <w:t>900-041-49</w:t>
                  </w:r>
                </w:p>
              </w:tc>
              <w:tc>
                <w:tcPr>
                  <w:tcW w:w="871" w:type="dxa"/>
                  <w:vAlign w:val="center"/>
                </w:tcPr>
                <w:p>
                  <w:pPr>
                    <w:pStyle w:val="39"/>
                  </w:pPr>
                  <w:r>
                    <w:rPr>
                      <w:rFonts w:hint="eastAsia"/>
                      <w:bCs/>
                      <w:color w:val="000000" w:themeColor="text1"/>
                      <w:lang w:val="en-US" w:eastAsia="zh-CN"/>
                      <w14:textFill>
                        <w14:solidFill>
                          <w14:schemeClr w14:val="tx1"/>
                        </w14:solidFill>
                      </w14:textFill>
                    </w:rPr>
                    <w:t>10</w:t>
                  </w:r>
                  <w:r>
                    <w:rPr>
                      <w:rFonts w:hint="eastAsia"/>
                      <w:bCs/>
                      <w:color w:val="000000" w:themeColor="text1"/>
                      <w14:textFill>
                        <w14:solidFill>
                          <w14:schemeClr w14:val="tx1"/>
                        </w14:solidFill>
                      </w14:textFill>
                    </w:rPr>
                    <w:t>只/a</w:t>
                  </w:r>
                </w:p>
              </w:tc>
              <w:tc>
                <w:tcPr>
                  <w:tcW w:w="881" w:type="dxa"/>
                  <w:vAlign w:val="center"/>
                </w:tcPr>
                <w:p>
                  <w:pPr>
                    <w:pStyle w:val="39"/>
                    <w:rPr>
                      <w:rFonts w:hint="default" w:eastAsia="宋体"/>
                      <w:lang w:val="en-US" w:eastAsia="zh-CN"/>
                    </w:rPr>
                  </w:pPr>
                  <w:r>
                    <w:rPr>
                      <w:rFonts w:hint="eastAsia"/>
                      <w:lang w:val="en-US" w:eastAsia="zh-CN"/>
                    </w:rPr>
                    <w:t>2</w:t>
                  </w:r>
                </w:p>
              </w:tc>
              <w:tc>
                <w:tcPr>
                  <w:tcW w:w="788" w:type="dxa"/>
                  <w:vAlign w:val="center"/>
                </w:tcPr>
                <w:p>
                  <w:pPr>
                    <w:pStyle w:val="39"/>
                  </w:pPr>
                  <w:r>
                    <w:rPr>
                      <w:rFonts w:hint="eastAsia"/>
                    </w:rPr>
                    <w:t>堆存</w:t>
                  </w:r>
                </w:p>
              </w:tc>
              <w:tc>
                <w:tcPr>
                  <w:tcW w:w="871" w:type="dxa"/>
                  <w:vAlign w:val="center"/>
                </w:tcPr>
                <w:p>
                  <w:pPr>
                    <w:pStyle w:val="39"/>
                  </w:pPr>
                  <w:r>
                    <w:rPr>
                      <w:rFonts w:hint="eastAsia"/>
                      <w:bCs/>
                      <w:color w:val="000000" w:themeColor="text1"/>
                      <w:lang w:val="en-US" w:eastAsia="zh-CN"/>
                      <w14:textFill>
                        <w14:solidFill>
                          <w14:schemeClr w14:val="tx1"/>
                        </w14:solidFill>
                      </w14:textFill>
                    </w:rPr>
                    <w:t>10</w:t>
                  </w:r>
                  <w:r>
                    <w:rPr>
                      <w:rFonts w:hint="eastAsia"/>
                      <w:bCs/>
                      <w:color w:val="000000" w:themeColor="text1"/>
                      <w14:textFill>
                        <w14:solidFill>
                          <w14:schemeClr w14:val="tx1"/>
                        </w14:solidFill>
                      </w14:textFill>
                    </w:rPr>
                    <w:t>只/a</w:t>
                  </w:r>
                </w:p>
              </w:tc>
              <w:tc>
                <w:tcPr>
                  <w:tcW w:w="743" w:type="dxa"/>
                  <w:vAlign w:val="center"/>
                </w:tcPr>
                <w:p>
                  <w:pPr>
                    <w:pStyle w:val="39"/>
                    <w:rPr>
                      <w:rFonts w:hint="eastAsia" w:eastAsia="宋体"/>
                      <w:lang w:eastAsia="zh-CN"/>
                    </w:rPr>
                  </w:pPr>
                  <w:r>
                    <w:rPr>
                      <w:rFonts w:hint="eastAsia"/>
                      <w:lang w:eastAsia="zh-CN"/>
                    </w:rPr>
                    <w:t>半年</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95" w:hRule="atLeast"/>
                <w:jc w:val="center"/>
              </w:trPr>
              <w:tc>
                <w:tcPr>
                  <w:tcW w:w="469" w:type="dxa"/>
                  <w:vAlign w:val="center"/>
                </w:tcPr>
                <w:p>
                  <w:pPr>
                    <w:pStyle w:val="39"/>
                  </w:pPr>
                  <w:r>
                    <w:rPr>
                      <w:rFonts w:hint="eastAsia"/>
                    </w:rPr>
                    <w:t>2</w:t>
                  </w:r>
                </w:p>
              </w:tc>
              <w:tc>
                <w:tcPr>
                  <w:tcW w:w="1056" w:type="dxa"/>
                  <w:vAlign w:val="center"/>
                </w:tcPr>
                <w:p>
                  <w:pPr>
                    <w:pStyle w:val="39"/>
                    <w:rPr>
                      <w:rFonts w:hint="eastAsia" w:eastAsia="宋体"/>
                      <w:lang w:eastAsia="zh-CN"/>
                    </w:rPr>
                  </w:pPr>
                  <w:r>
                    <w:rPr>
                      <w:rFonts w:hint="eastAsia"/>
                      <w:bCs/>
                      <w:color w:val="000000" w:themeColor="text1"/>
                      <w:lang w:eastAsia="zh-CN"/>
                      <w14:textFill>
                        <w14:solidFill>
                          <w14:schemeClr w14:val="tx1"/>
                        </w14:solidFill>
                      </w14:textFill>
                    </w:rPr>
                    <w:t>废活性炭</w:t>
                  </w:r>
                </w:p>
              </w:tc>
              <w:tc>
                <w:tcPr>
                  <w:tcW w:w="597" w:type="dxa"/>
                  <w:vMerge w:val="continue"/>
                  <w:vAlign w:val="center"/>
                </w:tcPr>
                <w:p>
                  <w:pPr>
                    <w:rPr>
                      <w:szCs w:val="21"/>
                    </w:rPr>
                  </w:pPr>
                </w:p>
              </w:tc>
              <w:tc>
                <w:tcPr>
                  <w:tcW w:w="840" w:type="dxa"/>
                  <w:vAlign w:val="center"/>
                </w:tcPr>
                <w:p>
                  <w:pPr>
                    <w:tabs>
                      <w:tab w:val="left" w:pos="2227"/>
                    </w:tabs>
                    <w:contextualSpacing/>
                    <w:jc w:val="center"/>
                    <w:rPr>
                      <w:kern w:val="18"/>
                      <w:szCs w:val="21"/>
                    </w:rPr>
                  </w:pPr>
                  <w:r>
                    <w:rPr>
                      <w:szCs w:val="21"/>
                    </w:rPr>
                    <w:t>HW49</w:t>
                  </w:r>
                </w:p>
              </w:tc>
              <w:tc>
                <w:tcPr>
                  <w:tcW w:w="1196" w:type="dxa"/>
                  <w:vAlign w:val="center"/>
                </w:tcPr>
                <w:p>
                  <w:pPr>
                    <w:tabs>
                      <w:tab w:val="left" w:pos="2227"/>
                    </w:tabs>
                    <w:contextualSpacing/>
                    <w:jc w:val="center"/>
                    <w:rPr>
                      <w:kern w:val="18"/>
                      <w:szCs w:val="21"/>
                    </w:rPr>
                  </w:pPr>
                  <w:r>
                    <w:rPr>
                      <w:szCs w:val="21"/>
                    </w:rPr>
                    <w:t>900-041-49</w:t>
                  </w:r>
                </w:p>
              </w:tc>
              <w:tc>
                <w:tcPr>
                  <w:tcW w:w="871" w:type="dxa"/>
                  <w:vAlign w:val="center"/>
                </w:tcPr>
                <w:p>
                  <w:pPr>
                    <w:pStyle w:val="39"/>
                    <w:rPr>
                      <w:rFonts w:hint="default" w:eastAsia="宋体"/>
                      <w:lang w:val="en-US" w:eastAsia="zh-CN"/>
                    </w:rPr>
                  </w:pPr>
                  <w:r>
                    <w:rPr>
                      <w:rFonts w:hint="eastAsia"/>
                      <w:bCs/>
                      <w:color w:val="000000" w:themeColor="text1"/>
                      <w:lang w:val="en-US" w:eastAsia="zh-CN"/>
                      <w14:textFill>
                        <w14:solidFill>
                          <w14:schemeClr w14:val="tx1"/>
                        </w14:solidFill>
                      </w14:textFill>
                    </w:rPr>
                    <w:t>0.826</w:t>
                  </w:r>
                </w:p>
              </w:tc>
              <w:tc>
                <w:tcPr>
                  <w:tcW w:w="881" w:type="dxa"/>
                  <w:vAlign w:val="center"/>
                </w:tcPr>
                <w:p>
                  <w:pPr>
                    <w:pStyle w:val="39"/>
                    <w:rPr>
                      <w:rFonts w:hint="eastAsia" w:eastAsia="宋体"/>
                      <w:lang w:eastAsia="zh-CN"/>
                    </w:rPr>
                  </w:pPr>
                  <w:r>
                    <w:rPr>
                      <w:rFonts w:hint="eastAsia"/>
                      <w:lang w:val="en-US" w:eastAsia="zh-CN"/>
                    </w:rPr>
                    <w:t>1</w:t>
                  </w:r>
                </w:p>
              </w:tc>
              <w:tc>
                <w:tcPr>
                  <w:tcW w:w="788" w:type="dxa"/>
                  <w:vAlign w:val="center"/>
                </w:tcPr>
                <w:p>
                  <w:pPr>
                    <w:pStyle w:val="39"/>
                  </w:pPr>
                  <w:r>
                    <w:rPr>
                      <w:rFonts w:hint="eastAsia"/>
                    </w:rPr>
                    <w:t>袋装</w:t>
                  </w:r>
                </w:p>
              </w:tc>
              <w:tc>
                <w:tcPr>
                  <w:tcW w:w="871" w:type="dxa"/>
                  <w:vAlign w:val="center"/>
                </w:tcPr>
                <w:p>
                  <w:pPr>
                    <w:pStyle w:val="39"/>
                    <w:rPr>
                      <w:rFonts w:hint="default" w:eastAsia="宋体"/>
                      <w:lang w:val="en-US" w:eastAsia="zh-CN"/>
                    </w:rPr>
                  </w:pPr>
                  <w:r>
                    <w:rPr>
                      <w:rFonts w:hint="eastAsia"/>
                      <w:bCs/>
                      <w:color w:val="000000" w:themeColor="text1"/>
                      <w:lang w:val="en-US" w:eastAsia="zh-CN"/>
                      <w14:textFill>
                        <w14:solidFill>
                          <w14:schemeClr w14:val="tx1"/>
                        </w14:solidFill>
                      </w14:textFill>
                    </w:rPr>
                    <w:t>0.826</w:t>
                  </w:r>
                </w:p>
              </w:tc>
              <w:tc>
                <w:tcPr>
                  <w:tcW w:w="743" w:type="dxa"/>
                  <w:vAlign w:val="center"/>
                </w:tcPr>
                <w:p>
                  <w:pPr>
                    <w:pStyle w:val="39"/>
                  </w:pPr>
                  <w:r>
                    <w:rPr>
                      <w:rFonts w:hint="eastAsia"/>
                    </w:rPr>
                    <w:t>半年</w:t>
                  </w:r>
                </w:p>
              </w:tc>
            </w:tr>
          </w:tbl>
          <w:p>
            <w:pPr>
              <w:autoSpaceDE w:val="0"/>
              <w:autoSpaceDN w:val="0"/>
              <w:adjustRightInd w:val="0"/>
              <w:spacing w:line="360" w:lineRule="auto"/>
              <w:ind w:firstLine="480" w:firstLineChars="200"/>
              <w:rPr>
                <w:sz w:val="24"/>
              </w:rPr>
            </w:pPr>
            <w:r>
              <w:rPr>
                <w:bCs/>
                <w:sz w:val="24"/>
              </w:rPr>
              <w:t>由上表可知，本项目</w:t>
            </w:r>
            <w:r>
              <w:rPr>
                <w:rFonts w:hint="eastAsia"/>
                <w:bCs/>
                <w:sz w:val="24"/>
              </w:rPr>
              <w:t>危险废物暂存需</w:t>
            </w:r>
            <w:r>
              <w:rPr>
                <w:rFonts w:hint="eastAsia"/>
                <w:bCs/>
                <w:color w:val="auto"/>
                <w:sz w:val="24"/>
              </w:rPr>
              <w:t>要</w:t>
            </w:r>
            <w:r>
              <w:rPr>
                <w:rFonts w:hint="eastAsia"/>
                <w:bCs/>
                <w:color w:val="auto"/>
                <w:sz w:val="24"/>
                <w:lang w:val="en-US" w:eastAsia="zh-CN"/>
              </w:rPr>
              <w:t>3</w:t>
            </w:r>
            <w:r>
              <w:rPr>
                <w:bCs/>
                <w:color w:val="auto"/>
                <w:sz w:val="24"/>
              </w:rPr>
              <w:t>m</w:t>
            </w:r>
            <w:r>
              <w:rPr>
                <w:bCs/>
                <w:color w:val="auto"/>
                <w:sz w:val="24"/>
                <w:vertAlign w:val="superscript"/>
              </w:rPr>
              <w:t>2</w:t>
            </w:r>
            <w:r>
              <w:rPr>
                <w:rFonts w:hint="eastAsia"/>
                <w:bCs/>
                <w:color w:val="auto"/>
                <w:sz w:val="24"/>
              </w:rPr>
              <w:t>，</w:t>
            </w:r>
            <w:r>
              <w:rPr>
                <w:rFonts w:hint="eastAsia"/>
                <w:bCs/>
                <w:sz w:val="24"/>
              </w:rPr>
              <w:t>其他可作为过道、间隔等所用。项目</w:t>
            </w:r>
            <w:r>
              <w:rPr>
                <w:bCs/>
                <w:sz w:val="24"/>
              </w:rPr>
              <w:t>设置</w:t>
            </w:r>
            <w:r>
              <w:rPr>
                <w:rFonts w:hint="eastAsia"/>
                <w:bCs/>
                <w:sz w:val="24"/>
              </w:rPr>
              <w:t>1</w:t>
            </w:r>
            <w:r>
              <w:rPr>
                <w:rFonts w:hint="eastAsia"/>
                <w:bCs/>
                <w:sz w:val="24"/>
                <w:lang w:val="en-US" w:eastAsia="zh-CN"/>
              </w:rPr>
              <w:t>0</w:t>
            </w:r>
            <w:r>
              <w:rPr>
                <w:bCs/>
                <w:sz w:val="24"/>
              </w:rPr>
              <w:t>m</w:t>
            </w:r>
            <w:r>
              <w:rPr>
                <w:bCs/>
                <w:sz w:val="24"/>
                <w:vertAlign w:val="superscript"/>
              </w:rPr>
              <w:t>2</w:t>
            </w:r>
            <w:r>
              <w:rPr>
                <w:bCs/>
                <w:sz w:val="24"/>
              </w:rPr>
              <w:t>的</w:t>
            </w:r>
            <w:r>
              <w:rPr>
                <w:rFonts w:hint="eastAsia"/>
                <w:sz w:val="24"/>
                <w:szCs w:val="24"/>
              </w:rPr>
              <w:t>危险废物仓库</w:t>
            </w:r>
            <w:r>
              <w:rPr>
                <w:bCs/>
                <w:sz w:val="24"/>
              </w:rPr>
              <w:t>足够本项目使用，</w:t>
            </w:r>
            <w:r>
              <w:rPr>
                <w:sz w:val="24"/>
              </w:rPr>
              <w:t>本环评对建设单位提出以下要求：</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rFonts w:hint="eastAsia"/>
                <w:sz w:val="24"/>
                <w:szCs w:val="24"/>
              </w:rPr>
              <w:t>危险废物仓库</w:t>
            </w:r>
            <w:r>
              <w:rPr>
                <w:sz w:val="24"/>
                <w:szCs w:val="24"/>
              </w:rPr>
              <w:t>必须按《危险废物贮存污染控制》（GB18597-2001）的</w:t>
            </w:r>
            <w:r>
              <w:rPr>
                <w:color w:val="000000" w:themeColor="text1"/>
                <w:sz w:val="24"/>
                <w:szCs w:val="24"/>
                <w14:textFill>
                  <w14:solidFill>
                    <w14:schemeClr w14:val="tx1"/>
                  </w14:solidFill>
                </w14:textFill>
              </w:rPr>
              <w:t>要求进行设置，并做到以下几点：</w:t>
            </w:r>
          </w:p>
          <w:p>
            <w:pPr>
              <w:autoSpaceDE w:val="0"/>
              <w:autoSpaceDN w:val="0"/>
              <w:adjustRightIn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危废暂存场地必须按《危险废物贮存污染控制》（GB18597-2001）的要求及《省生态环境厅关于印发江苏省危险废物贮存规范化管理专项整治行动方案的通知》（苏环办〔2019〕149号）要求，进行设置，并做到以下几点：</w:t>
            </w:r>
          </w:p>
          <w:p>
            <w:pPr>
              <w:autoSpaceDE w:val="0"/>
              <w:autoSpaceDN w:val="0"/>
              <w:adjustRightIn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①危险废物堆要做到危险废物堆要做到</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六防</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 xml:space="preserve">，即：防风、防雨、防晒、防渗漏、防腐蚀、防盗； </w:t>
            </w:r>
          </w:p>
          <w:p>
            <w:pPr>
              <w:autoSpaceDE w:val="0"/>
              <w:autoSpaceDN w:val="0"/>
              <w:adjustRightIn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②废物贮存设施周围应设置围墙或其它防护栅栏；</w:t>
            </w:r>
          </w:p>
          <w:p>
            <w:pPr>
              <w:autoSpaceDE w:val="0"/>
              <w:autoSpaceDN w:val="0"/>
              <w:adjustRightIn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③废物贮存设施内清理出来的泄漏物，一律按危险废物处理；</w:t>
            </w:r>
          </w:p>
          <w:p>
            <w:pPr>
              <w:autoSpaceDE w:val="0"/>
              <w:autoSpaceDN w:val="0"/>
              <w:adjustRightIn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④危废暂存场地面与裙脚要用坚固、防渗的材料建造，建筑材料必须与危险废物相容。</w:t>
            </w:r>
          </w:p>
          <w:p>
            <w:pPr>
              <w:autoSpaceDE w:val="0"/>
              <w:autoSpaceDN w:val="0"/>
              <w:adjustRightInd w:val="0"/>
              <w:spacing w:line="360" w:lineRule="auto"/>
              <w:ind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⑤废物贮存设施应配备通讯设备、照明设施、安全防护服装及工具，并设有应急防护设施；</w:t>
            </w:r>
          </w:p>
          <w:p>
            <w:pPr>
              <w:autoSpaceDE w:val="0"/>
              <w:autoSpaceDN w:val="0"/>
              <w:adjustRightIn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⑥废物贮存设施必须按《环境保护图形标志</w:t>
            </w:r>
            <w:r>
              <w:rPr>
                <w:rFonts w:hint="default" w:ascii="Times New Roman" w:hAnsi="Times New Roman" w:cs="Times New Roman"/>
                <w:color w:val="auto"/>
                <w:sz w:val="24"/>
                <w:szCs w:val="24"/>
                <w:lang w:eastAsia="zh-CN"/>
              </w:rPr>
              <w:t>固体废物贮存（处置）场</w:t>
            </w:r>
            <w:r>
              <w:rPr>
                <w:rFonts w:hint="default" w:ascii="Times New Roman" w:hAnsi="Times New Roman" w:cs="Times New Roman"/>
                <w:color w:val="auto"/>
                <w:sz w:val="24"/>
                <w:szCs w:val="24"/>
              </w:rPr>
              <w:t>（GB15562</w:t>
            </w:r>
            <w:r>
              <w:rPr>
                <w:rFonts w:hint="default" w:ascii="Times New Roman" w:hAnsi="Times New Roman" w:cs="Times New Roman"/>
                <w:color w:val="auto"/>
                <w:sz w:val="24"/>
                <w:szCs w:val="24"/>
                <w:lang w:val="en-US" w:eastAsia="zh-CN"/>
              </w:rPr>
              <w:t>.2</w:t>
            </w:r>
            <w:r>
              <w:rPr>
                <w:rFonts w:hint="default" w:ascii="Times New Roman" w:hAnsi="Times New Roman" w:cs="Times New Roman"/>
                <w:color w:val="auto"/>
                <w:sz w:val="24"/>
                <w:szCs w:val="24"/>
              </w:rPr>
              <w:t>－1995）》</w:t>
            </w:r>
            <w:r>
              <w:rPr>
                <w:rFonts w:hint="default" w:ascii="Times New Roman" w:hAnsi="Times New Roman" w:cs="Times New Roman"/>
                <w:color w:val="auto"/>
                <w:sz w:val="24"/>
                <w:szCs w:val="24"/>
                <w:lang w:eastAsia="zh-CN"/>
              </w:rPr>
              <w:t>和危险废物识别标识设置规范</w:t>
            </w:r>
            <w:r>
              <w:rPr>
                <w:rFonts w:hint="default" w:ascii="Times New Roman" w:hAnsi="Times New Roman" w:cs="Times New Roman"/>
                <w:color w:val="auto"/>
                <w:sz w:val="24"/>
                <w:szCs w:val="24"/>
              </w:rPr>
              <w:t>设置标志；在出入口、设施内部、危险废物运输车辆通道等关键位置按照危险废物贮存设施视频监控布设要求设置视频监控，并与中控室联网。鼓励有条件的企业采用云存储方式保存视频监控数据；</w:t>
            </w:r>
          </w:p>
          <w:p>
            <w:pPr>
              <w:autoSpaceDE w:val="0"/>
              <w:autoSpaceDN w:val="0"/>
              <w:adjustRightIn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⑦用以存放装载液体、半固体危险废物容器的地方，必须有耐腐蚀的硬化地面，且表面无裂隙。</w:t>
            </w:r>
          </w:p>
          <w:p>
            <w:pPr>
              <w:autoSpaceDE w:val="0"/>
              <w:autoSpaceDN w:val="0"/>
              <w:adjustRightInd w:val="0"/>
              <w:spacing w:line="360" w:lineRule="auto"/>
              <w:ind w:firstLine="480" w:firstLineChars="200"/>
              <w:rPr>
                <w:rFonts w:hint="default" w:ascii="Times New Roman" w:hAnsi="Times New Roman" w:cs="Times New Roman"/>
                <w:sz w:val="24"/>
                <w:szCs w:val="24"/>
                <w:lang w:val="en-US" w:eastAsia="zh-CN"/>
              </w:rPr>
            </w:pPr>
            <w:r>
              <w:rPr>
                <w:rFonts w:hint="default" w:ascii="Times New Roman" w:hAnsi="Times New Roman" w:cs="Times New Roman"/>
                <w:color w:val="auto"/>
                <w:sz w:val="24"/>
                <w:szCs w:val="24"/>
              </w:rPr>
              <w:t>⑧企业应根据危险废物的种类和特性进行分区、分类贮存，设置防雨、防火、防雷、防扬散、防渗漏装置及泄漏液体收集装置。对易爆、易燃及排出有毒气体的危险废物进行预处理，稳定后贮存，否则按易爆、易燃危险品贮存。贮存废弃剧毒化学品的，应按照公安机关要求落实治安防范措施。危险废物经营单位需制定废物入场控制措施，并不得接受核准经营许可以外的种类；贮存设施周转的累积贮存量不得超过年许可经营能力的六分之一，贮存期限原则上不得超过一年。</w:t>
            </w:r>
            <w:r>
              <w:rPr>
                <w:rFonts w:hint="default" w:ascii="Times New Roman" w:hAnsi="Times New Roman" w:cs="Times New Roman"/>
                <w:color w:val="FF0000"/>
                <w:sz w:val="24"/>
                <w:szCs w:val="24"/>
                <w:lang w:val="en-US" w:eastAsia="zh-CN"/>
              </w:rPr>
              <w:t xml:space="preserve"> </w:t>
            </w:r>
            <w:r>
              <w:rPr>
                <w:rFonts w:hint="default" w:ascii="Times New Roman" w:hAnsi="Times New Roman" w:cs="Times New Roman"/>
                <w:sz w:val="24"/>
                <w:szCs w:val="24"/>
                <w:lang w:val="en-US" w:eastAsia="zh-CN"/>
              </w:rPr>
              <w:t xml:space="preserve"> </w:t>
            </w:r>
          </w:p>
          <w:p>
            <w:pPr>
              <w:autoSpaceDE w:val="0"/>
              <w:autoSpaceDN w:val="0"/>
              <w:adjustRightInd w:val="0"/>
              <w:spacing w:line="360" w:lineRule="auto"/>
              <w:ind w:firstLine="480" w:firstLineChars="200"/>
              <w:rPr>
                <w:rFonts w:hint="default" w:ascii="Times New Roman" w:hAnsi="Times New Roman" w:cs="Times New Roman"/>
                <w:sz w:val="24"/>
                <w:szCs w:val="24"/>
              </w:rPr>
            </w:pPr>
            <w:r>
              <w:rPr>
                <w:rFonts w:hint="default" w:ascii="Times New Roman" w:hAnsi="Times New Roman" w:eastAsia="宋体" w:cs="Times New Roman"/>
                <w:sz w:val="24"/>
                <w:szCs w:val="24"/>
              </w:rPr>
              <w:t>⑨</w:t>
            </w:r>
            <w:r>
              <w:rPr>
                <w:rFonts w:hint="default" w:ascii="Times New Roman" w:hAnsi="Times New Roman" w:cs="Times New Roman"/>
                <w:sz w:val="24"/>
                <w:szCs w:val="24"/>
              </w:rPr>
              <w:t>危险废物转移应遵从《危险废物转移联单管理办法》及其它有关规定，确保危险废物安全处置，防止二次污染。</w:t>
            </w:r>
          </w:p>
          <w:p>
            <w:pPr>
              <w:autoSpaceDE w:val="0"/>
              <w:autoSpaceDN w:val="0"/>
              <w:adjustRightIn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cs="Times New Roman"/>
                <w:color w:val="auto"/>
                <w:sz w:val="24"/>
                <w:szCs w:val="24"/>
              </w:rPr>
              <w:t>多种危险废物合并存放安全可行性分析</w:t>
            </w:r>
          </w:p>
          <w:p>
            <w:pPr>
              <w:autoSpaceDE w:val="0"/>
              <w:autoSpaceDN w:val="0"/>
              <w:adjustRightIn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本项目危废有</w:t>
            </w:r>
            <w:r>
              <w:rPr>
                <w:rFonts w:hint="eastAsia" w:cs="Times New Roman"/>
                <w:color w:val="auto"/>
                <w:sz w:val="24"/>
                <w:szCs w:val="24"/>
                <w:lang w:eastAsia="zh-CN"/>
              </w:rPr>
              <w:t>废包装桶、</w:t>
            </w:r>
            <w:r>
              <w:rPr>
                <w:rFonts w:hint="default" w:ascii="Times New Roman" w:hAnsi="Times New Roman" w:cs="Times New Roman"/>
                <w:color w:val="auto"/>
                <w:sz w:val="24"/>
                <w:szCs w:val="24"/>
                <w:lang w:eastAsia="zh-CN"/>
              </w:rPr>
              <w:t>废活性炭</w:t>
            </w:r>
            <w:r>
              <w:rPr>
                <w:rFonts w:hint="default" w:ascii="Times New Roman" w:hAnsi="Times New Roman" w:cs="Times New Roman"/>
                <w:color w:val="auto"/>
                <w:sz w:val="24"/>
                <w:szCs w:val="24"/>
              </w:rPr>
              <w:t>，危废安全贮存过程如下所述：</w:t>
            </w:r>
          </w:p>
          <w:p>
            <w:pPr>
              <w:autoSpaceDE w:val="0"/>
              <w:autoSpaceDN w:val="0"/>
              <w:adjustRightIn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A：</w:t>
            </w:r>
            <w:r>
              <w:rPr>
                <w:rFonts w:hint="eastAsia" w:ascii="Times New Roman" w:hAnsi="Times New Roman" w:cs="Times New Roman"/>
                <w:color w:val="auto"/>
                <w:sz w:val="24"/>
                <w:szCs w:val="24"/>
                <w:lang w:eastAsia="zh-CN"/>
              </w:rPr>
              <w:t>废包装桶</w:t>
            </w:r>
            <w:r>
              <w:rPr>
                <w:rFonts w:hint="default" w:ascii="Times New Roman" w:hAnsi="Times New Roman" w:cs="Times New Roman"/>
                <w:color w:val="auto"/>
                <w:sz w:val="24"/>
                <w:szCs w:val="24"/>
              </w:rPr>
              <w:t>：具有毒性或易燃性</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lang w:eastAsia="zh-CN"/>
              </w:rPr>
              <w:t>密封</w:t>
            </w:r>
            <w:r>
              <w:rPr>
                <w:rFonts w:hint="default" w:ascii="Times New Roman" w:hAnsi="Times New Roman" w:cs="Times New Roman"/>
                <w:color w:val="auto"/>
                <w:sz w:val="24"/>
                <w:szCs w:val="24"/>
              </w:rPr>
              <w:t>存放，分类贮存于危废暂存场所；</w:t>
            </w:r>
          </w:p>
          <w:p>
            <w:pPr>
              <w:autoSpaceDE w:val="0"/>
              <w:autoSpaceDN w:val="0"/>
              <w:adjustRightIn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eastAsia" w:ascii="Times New Roman" w:hAnsi="Times New Roman" w:cs="Times New Roman"/>
                <w:color w:val="auto"/>
                <w:sz w:val="24"/>
                <w:szCs w:val="24"/>
                <w:lang w:val="en-US" w:eastAsia="zh-CN"/>
              </w:rPr>
              <w:t>B</w:t>
            </w:r>
            <w:r>
              <w:rPr>
                <w:rFonts w:hint="default" w:ascii="Times New Roman" w:hAnsi="Times New Roman" w:cs="Times New Roman"/>
                <w:color w:val="auto"/>
                <w:sz w:val="24"/>
                <w:szCs w:val="24"/>
                <w:lang w:val="en-US" w:eastAsia="zh-CN"/>
              </w:rPr>
              <w:t>：</w:t>
            </w:r>
            <w:r>
              <w:rPr>
                <w:rFonts w:hint="default" w:ascii="Times New Roman" w:hAnsi="Times New Roman" w:cs="Times New Roman"/>
                <w:color w:val="auto"/>
                <w:sz w:val="24"/>
                <w:szCs w:val="24"/>
              </w:rPr>
              <w:t>废活性炭：具有毒性或感染性，置于专用编织袋中密封存放，分类贮存于危废暂存场所。</w:t>
            </w:r>
          </w:p>
          <w:p>
            <w:pPr>
              <w:autoSpaceDE w:val="0"/>
              <w:autoSpaceDN w:val="0"/>
              <w:adjustRightInd w:val="0"/>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本项目设有危废识别标志，盛装危险废物的容器粘贴标签，根据《危险废物贮存污染控制标准（GB18597-2001）》</w:t>
            </w:r>
            <w:r>
              <w:rPr>
                <w:rFonts w:hint="eastAsia" w:cs="Times New Roman"/>
                <w:color w:val="auto"/>
                <w:sz w:val="24"/>
                <w:szCs w:val="24"/>
                <w:lang w:eastAsia="zh-CN"/>
              </w:rPr>
              <w:t>“</w:t>
            </w:r>
            <w:r>
              <w:rPr>
                <w:rFonts w:hint="default" w:ascii="Times New Roman" w:hAnsi="Times New Roman" w:cs="Times New Roman"/>
                <w:color w:val="auto"/>
                <w:sz w:val="24"/>
                <w:szCs w:val="24"/>
              </w:rPr>
              <w:t>必须有泄漏液体收集装置、气体导出口及气体净化装置</w:t>
            </w:r>
            <w:r>
              <w:rPr>
                <w:rFonts w:hint="eastAsia" w:cs="Times New Roman"/>
                <w:color w:val="auto"/>
                <w:sz w:val="24"/>
                <w:szCs w:val="24"/>
                <w:lang w:eastAsia="zh-CN"/>
              </w:rPr>
              <w:t>”</w:t>
            </w:r>
            <w:r>
              <w:rPr>
                <w:rFonts w:hint="default" w:ascii="Times New Roman" w:hAnsi="Times New Roman" w:cs="Times New Roman"/>
                <w:color w:val="auto"/>
                <w:sz w:val="24"/>
                <w:szCs w:val="24"/>
              </w:rPr>
              <w:t>要求，该危废暂存场设置了泄露液体收集装置，并定期通风，因此，本项目危险废物安全贮存方式可行。</w:t>
            </w:r>
          </w:p>
          <w:p>
            <w:pPr>
              <w:autoSpaceDE w:val="0"/>
              <w:autoSpaceDN w:val="0"/>
              <w:adjustRightInd w:val="0"/>
              <w:spacing w:line="360" w:lineRule="auto"/>
              <w:ind w:firstLine="480" w:firstLineChars="200"/>
              <w:rPr>
                <w:rFonts w:ascii="宋体" w:cs="宋体"/>
                <w:color w:val="000000" w:themeColor="text1"/>
                <w:sz w:val="24"/>
                <w:szCs w:val="24"/>
                <w14:textFill>
                  <w14:solidFill>
                    <w14:schemeClr w14:val="tx1"/>
                  </w14:solidFill>
                </w14:textFill>
              </w:rPr>
            </w:pPr>
            <w:r>
              <w:rPr>
                <w:rFonts w:hint="eastAsia" w:ascii="宋体" w:cs="宋体"/>
                <w:color w:val="000000" w:themeColor="text1"/>
                <w:sz w:val="24"/>
                <w:szCs w:val="24"/>
                <w:lang w:val="en-US" w:eastAsia="zh-CN"/>
                <w14:textFill>
                  <w14:solidFill>
                    <w14:schemeClr w14:val="tx1"/>
                  </w14:solidFill>
                </w14:textFill>
              </w:rPr>
              <w:t>4</w:t>
            </w:r>
            <w:r>
              <w:rPr>
                <w:rFonts w:hint="eastAsia" w:ascii="宋体" w:cs="宋体"/>
                <w:color w:val="000000" w:themeColor="text1"/>
                <w:sz w:val="24"/>
                <w:szCs w:val="24"/>
                <w14:textFill>
                  <w14:solidFill>
                    <w14:schemeClr w14:val="tx1"/>
                  </w14:solidFill>
                </w14:textFill>
              </w:rPr>
              <w:t>）运输过程的污染防治措施</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危险废物运输必须按照《危险废物收集 贮存 运输技术规范》（HJ2025-2012）的要求并做到以下几点：</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rFonts w:hint="eastAsia" w:ascii="宋体" w:cs="宋体"/>
                <w:color w:val="000000" w:themeColor="text1"/>
                <w:sz w:val="24"/>
                <w:szCs w:val="24"/>
                <w14:textFill>
                  <w14:solidFill>
                    <w14:schemeClr w14:val="tx1"/>
                  </w14:solidFill>
                </w14:textFill>
              </w:rPr>
              <w:t>①</w:t>
            </w:r>
            <w:r>
              <w:rPr>
                <w:color w:val="000000" w:themeColor="text1"/>
                <w:sz w:val="24"/>
                <w:szCs w:val="24"/>
                <w14:textFill>
                  <w14:solidFill>
                    <w14:schemeClr w14:val="tx1"/>
                  </w14:solidFill>
                </w14:textFill>
              </w:rPr>
              <w:t>危险废物运输应由持有危险废物经营许可证的单位按照其许可证的经营范围组织实施，承担危险废物运输的单位应获得交通运输部门颁发的危险货物运输资质。</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rFonts w:hint="eastAsia" w:ascii="宋体" w:cs="宋体"/>
                <w:color w:val="000000" w:themeColor="text1"/>
                <w:sz w:val="24"/>
                <w:szCs w:val="24"/>
                <w14:textFill>
                  <w14:solidFill>
                    <w14:schemeClr w14:val="tx1"/>
                  </w14:solidFill>
                </w14:textFill>
              </w:rPr>
              <w:t>②</w:t>
            </w:r>
            <w:r>
              <w:rPr>
                <w:color w:val="000000" w:themeColor="text1"/>
                <w:sz w:val="24"/>
                <w:szCs w:val="24"/>
                <w14:textFill>
                  <w14:solidFill>
                    <w14:schemeClr w14:val="tx1"/>
                  </w14:solidFill>
                </w14:textFill>
              </w:rPr>
              <w:t>危险废物公路运输应按照《道路危险货物运输管理规定》（交通部令</w:t>
            </w:r>
            <w:r>
              <w:rPr>
                <w:rFonts w:hint="eastAsia"/>
                <w:color w:val="000000" w:themeColor="text1"/>
                <w:sz w:val="24"/>
                <w:szCs w:val="24"/>
                <w:lang w:eastAsia="zh-CN"/>
                <w14:textFill>
                  <w14:solidFill>
                    <w14:schemeClr w14:val="tx1"/>
                  </w14:solidFill>
                </w14:textFill>
              </w:rPr>
              <w:t>〔</w:t>
            </w:r>
            <w:r>
              <w:rPr>
                <w:color w:val="000000" w:themeColor="text1"/>
                <w:sz w:val="24"/>
                <w:szCs w:val="24"/>
                <w14:textFill>
                  <w14:solidFill>
                    <w14:schemeClr w14:val="tx1"/>
                  </w14:solidFill>
                </w14:textFill>
              </w:rPr>
              <w:t>2015年</w:t>
            </w:r>
            <w:r>
              <w:rPr>
                <w:rFonts w:hint="eastAsia"/>
                <w:color w:val="000000" w:themeColor="text1"/>
                <w:sz w:val="24"/>
                <w:szCs w:val="24"/>
                <w:lang w:eastAsia="zh-CN"/>
                <w14:textFill>
                  <w14:solidFill>
                    <w14:schemeClr w14:val="tx1"/>
                  </w14:solidFill>
                </w14:textFill>
              </w:rPr>
              <w:t>〕</w:t>
            </w:r>
            <w:r>
              <w:rPr>
                <w:color w:val="000000" w:themeColor="text1"/>
                <w:sz w:val="24"/>
                <w:szCs w:val="24"/>
                <w14:textFill>
                  <w14:solidFill>
                    <w14:schemeClr w14:val="tx1"/>
                  </w14:solidFill>
                </w14:textFill>
              </w:rPr>
              <w:t>第9号）、JT617以及JT618执行。</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③运输单位在承运危险废物时，应在危险废物包装上按照GB18597附录A设置标志。</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④危险废物公路运输时，运输车辆按GB13392设置车辆标志。铁路运输和水路运输危险废物时应在集装箱外按GB190规定悬挂标志。</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⑤危险废物运输时的中转、装卸过程应遵守如下技术要求：装卸区的工作人员应熟悉废物的危险特性，并配备适当的个人防护装备，装卸剧毒废物应配备特殊的防护装备；</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装卸区应配备必要的消防设备和设施，并设置明显的指示标志；</w:t>
            </w:r>
          </w:p>
          <w:p>
            <w:pPr>
              <w:autoSpaceDE w:val="0"/>
              <w:autoSpaceDN w:val="0"/>
              <w:adjustRightInd w:val="0"/>
              <w:spacing w:line="360" w:lineRule="auto"/>
              <w:ind w:left="478" w:leftChars="228"/>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危险废物装卸区应设置隔离设施。</w:t>
            </w:r>
          </w:p>
          <w:p>
            <w:pPr>
              <w:autoSpaceDE w:val="0"/>
              <w:autoSpaceDN w:val="0"/>
              <w:adjustRightInd w:val="0"/>
              <w:spacing w:line="360" w:lineRule="auto"/>
              <w:ind w:left="478" w:leftChars="228"/>
              <w:rPr>
                <w:sz w:val="24"/>
                <w:szCs w:val="24"/>
              </w:rPr>
            </w:pPr>
            <w:r>
              <w:rPr>
                <w:rFonts w:hint="eastAsia"/>
                <w:sz w:val="24"/>
                <w:szCs w:val="24"/>
                <w:lang w:val="en-US" w:eastAsia="zh-CN"/>
              </w:rPr>
              <w:t>5</w:t>
            </w:r>
            <w:r>
              <w:rPr>
                <w:rFonts w:hint="eastAsia"/>
                <w:sz w:val="24"/>
                <w:szCs w:val="24"/>
              </w:rPr>
              <w:t>）危废管理要求</w:t>
            </w:r>
          </w:p>
          <w:p>
            <w:pPr>
              <w:autoSpaceDE w:val="0"/>
              <w:autoSpaceDN w:val="0"/>
              <w:adjustRightIn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①</w:t>
            </w:r>
            <w:r>
              <w:rPr>
                <w:rFonts w:hint="default" w:ascii="Times New Roman" w:hAnsi="Times New Roman" w:eastAsia="宋体" w:cs="Times New Roman"/>
                <w:color w:val="auto"/>
                <w:sz w:val="24"/>
                <w:szCs w:val="24"/>
                <w:lang w:val="en-US" w:eastAsia="zh-CN"/>
              </w:rPr>
              <w:t>建立危险废物污染防洽责任制度、内部管理制度和应对危险废物污染的防洽措施；建立危废管理图表，有危废管理领导小组及分工；建立岗位责任制度，企业主要领导、主管领导、主管部门、主管人员、各生产单位主管人员及各生产班组（员工）在危废管理工作方面的岗位职责和责任；建立安全操作规程，企业产生危险废物工艺环节安全操作的有关规定及要求；建立了责任制，负责人明确、责任清晰，负责人熟悉危险废物管理相关法规、制度、标准、规范。</w:t>
            </w:r>
          </w:p>
          <w:p>
            <w:pPr>
              <w:numPr>
                <w:ilvl w:val="0"/>
                <w:numId w:val="0"/>
              </w:numPr>
              <w:autoSpaceDE w:val="0"/>
              <w:autoSpaceDN w:val="0"/>
              <w:adjustRightIn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②</w:t>
            </w:r>
            <w:r>
              <w:rPr>
                <w:rFonts w:hint="default" w:ascii="Times New Roman" w:hAnsi="Times New Roman" w:eastAsia="宋体" w:cs="Times New Roman"/>
                <w:color w:val="auto"/>
                <w:sz w:val="24"/>
                <w:szCs w:val="24"/>
                <w:lang w:val="en-US" w:eastAsia="zh-CN"/>
              </w:rPr>
              <w:t>在生产装置区装设监控系统，对进出危险货物的储存、处置设施进行持续检测和控制。</w:t>
            </w:r>
          </w:p>
          <w:p>
            <w:pPr>
              <w:numPr>
                <w:ilvl w:val="0"/>
                <w:numId w:val="0"/>
              </w:numPr>
              <w:autoSpaceDE w:val="0"/>
              <w:autoSpaceDN w:val="0"/>
              <w:adjustRightInd w:val="0"/>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③</w:t>
            </w:r>
            <w:r>
              <w:rPr>
                <w:rFonts w:hint="default" w:ascii="Times New Roman" w:hAnsi="Times New Roman" w:eastAsia="宋体" w:cs="Times New Roman"/>
                <w:color w:val="auto"/>
                <w:sz w:val="24"/>
                <w:szCs w:val="24"/>
                <w:lang w:val="en-US" w:eastAsia="zh-CN"/>
              </w:rPr>
              <w:t>制定危险废物管理计划，危险废物的产生环节、种类、危害特性、产生量、利用处置方式描述清晰；报环保部门备案；及时申报了重大改变。</w:t>
            </w:r>
          </w:p>
          <w:p>
            <w:pPr>
              <w:spacing w:line="360" w:lineRule="auto"/>
              <w:ind w:firstLine="480" w:firstLineChars="200"/>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④</w:t>
            </w:r>
            <w:r>
              <w:rPr>
                <w:rFonts w:hint="default" w:ascii="Times New Roman" w:hAnsi="Times New Roman" w:eastAsia="宋体" w:cs="Times New Roman"/>
                <w:color w:val="auto"/>
                <w:sz w:val="24"/>
                <w:szCs w:val="24"/>
                <w:lang w:eastAsia="zh-CN"/>
              </w:rPr>
              <w:t>对可能存在挥发性废气的危险废物进行密封处置（如：漆渣装入袋中密封存储等），定期对危废仓库进行通风。</w:t>
            </w:r>
          </w:p>
          <w:p>
            <w:pPr>
              <w:spacing w:line="360" w:lineRule="auto"/>
              <w:ind w:firstLine="480" w:firstLineChars="200"/>
              <w:rPr>
                <w:rFonts w:hint="default" w:ascii="Times New Roman" w:hAnsi="Times New Roman" w:eastAsia="宋体" w:cs="Times New Roman"/>
                <w:color w:val="auto"/>
                <w:lang w:val="en-US" w:eastAsia="zh-CN"/>
              </w:rPr>
            </w:pPr>
            <w:r>
              <w:rPr>
                <w:rFonts w:hint="default" w:ascii="Times New Roman" w:hAnsi="Times New Roman" w:cs="Times New Roman"/>
                <w:color w:val="auto"/>
                <w:sz w:val="24"/>
                <w:szCs w:val="24"/>
              </w:rPr>
              <w:t>⑤建设单位应按照《省生态环境厅关于进一步加强危险废物污染防治工作的实施意见》（苏环办〔2019〕327号）的要求加强危废管理。主要包括危险废物申报登记、信息公开、完善危险废物收集体系、规范危险废物贮存设施、强化危险废物转移管理等。</w:t>
            </w:r>
          </w:p>
          <w:p>
            <w:pPr>
              <w:numPr>
                <w:ilvl w:val="0"/>
                <w:numId w:val="6"/>
              </w:numPr>
              <w:autoSpaceDE w:val="0"/>
              <w:autoSpaceDN w:val="0"/>
              <w:adjustRightInd w:val="0"/>
              <w:spacing w:line="360" w:lineRule="auto"/>
              <w:ind w:firstLine="480" w:firstLineChars="200"/>
              <w:rPr>
                <w:b/>
                <w:bCs/>
                <w:color w:val="000000" w:themeColor="text1"/>
                <w:sz w:val="24"/>
                <w:szCs w:val="24"/>
                <w14:textFill>
                  <w14:solidFill>
                    <w14:schemeClr w14:val="tx1"/>
                  </w14:solidFill>
                </w14:textFill>
              </w:rPr>
            </w:pPr>
            <w:r>
              <w:rPr>
                <w:b/>
                <w:bCs/>
                <w:color w:val="000000" w:themeColor="text1"/>
                <w:sz w:val="24"/>
                <w:szCs w:val="24"/>
                <w14:textFill>
                  <w14:solidFill>
                    <w14:schemeClr w14:val="tx1"/>
                  </w14:solidFill>
                </w14:textFill>
              </w:rPr>
              <w:t>一般固体废物</w:t>
            </w:r>
          </w:p>
          <w:p>
            <w:pPr>
              <w:autoSpaceDE w:val="0"/>
              <w:autoSpaceDN w:val="0"/>
              <w:adjustRightInd w:val="0"/>
              <w:spacing w:line="360" w:lineRule="auto"/>
              <w:ind w:firstLine="480" w:firstLineChars="200"/>
              <w:rPr>
                <w:color w:val="000000" w:themeColor="text1"/>
                <w:sz w:val="24"/>
                <w14:textFill>
                  <w14:solidFill>
                    <w14:schemeClr w14:val="tx1"/>
                  </w14:solidFill>
                </w14:textFill>
              </w:rPr>
            </w:pPr>
            <w:r>
              <w:rPr>
                <w:color w:val="000000" w:themeColor="text1"/>
                <w:sz w:val="24"/>
                <w:szCs w:val="24"/>
                <w14:textFill>
                  <w14:solidFill>
                    <w14:schemeClr w14:val="tx1"/>
                  </w14:solidFill>
                </w14:textFill>
              </w:rPr>
              <w:t>本项目一般固废为</w:t>
            </w:r>
            <w:r>
              <w:rPr>
                <w:rFonts w:hint="eastAsia"/>
                <w:color w:val="000000" w:themeColor="text1"/>
                <w:sz w:val="24"/>
                <w:szCs w:val="24"/>
                <w14:textFill>
                  <w14:solidFill>
                    <w14:schemeClr w14:val="tx1"/>
                  </w14:solidFill>
                </w14:textFill>
              </w:rPr>
              <w:t>废</w:t>
            </w:r>
            <w:r>
              <w:rPr>
                <w:rFonts w:hint="eastAsia"/>
                <w:color w:val="000000" w:themeColor="text1"/>
                <w:sz w:val="24"/>
                <w:szCs w:val="24"/>
                <w:lang w:eastAsia="zh-CN"/>
                <w14:textFill>
                  <w14:solidFill>
                    <w14:schemeClr w14:val="tx1"/>
                  </w14:solidFill>
                </w14:textFill>
              </w:rPr>
              <w:t>塑粉</w:t>
            </w:r>
            <w:r>
              <w:rPr>
                <w:rFonts w:hint="eastAsia"/>
                <w:color w:val="000000" w:themeColor="text1"/>
                <w:sz w:val="24"/>
                <w:szCs w:val="24"/>
                <w14:textFill>
                  <w14:solidFill>
                    <w14:schemeClr w14:val="tx1"/>
                  </w14:solidFill>
                </w14:textFill>
              </w:rPr>
              <w:t>、</w:t>
            </w:r>
            <w:r>
              <w:rPr>
                <w:rFonts w:hint="eastAsia"/>
                <w:color w:val="000000" w:themeColor="text1"/>
                <w:sz w:val="24"/>
                <w:lang w:eastAsia="zh-CN"/>
                <w14:textFill>
                  <w14:solidFill>
                    <w14:schemeClr w14:val="tx1"/>
                  </w14:solidFill>
                </w14:textFill>
              </w:rPr>
              <w:t>废包装材料</w:t>
            </w:r>
            <w:r>
              <w:rPr>
                <w:rFonts w:hint="eastAsia"/>
                <w:color w:val="000000" w:themeColor="text1"/>
                <w:sz w:val="24"/>
                <w14:textFill>
                  <w14:solidFill>
                    <w14:schemeClr w14:val="tx1"/>
                  </w14:solidFill>
                </w14:textFill>
              </w:rPr>
              <w:t>，外售相关单位；</w:t>
            </w:r>
            <w:r>
              <w:rPr>
                <w:bCs/>
                <w:color w:val="000000" w:themeColor="text1"/>
                <w:sz w:val="24"/>
                <w14:textFill>
                  <w14:solidFill>
                    <w14:schemeClr w14:val="tx1"/>
                  </w14:solidFill>
                </w14:textFill>
              </w:rPr>
              <w:t>本项目在</w:t>
            </w:r>
            <w:r>
              <w:rPr>
                <w:rFonts w:hint="eastAsia"/>
                <w:bCs/>
                <w:color w:val="000000" w:themeColor="text1"/>
                <w:sz w:val="24"/>
                <w14:textFill>
                  <w14:solidFill>
                    <w14:schemeClr w14:val="tx1"/>
                  </w14:solidFill>
                </w14:textFill>
              </w:rPr>
              <w:t>生产</w:t>
            </w:r>
            <w:r>
              <w:rPr>
                <w:bCs/>
                <w:color w:val="000000" w:themeColor="text1"/>
                <w:sz w:val="24"/>
                <w14:textFill>
                  <w14:solidFill>
                    <w14:schemeClr w14:val="tx1"/>
                  </w14:solidFill>
                </w14:textFill>
              </w:rPr>
              <w:t>车间</w:t>
            </w:r>
            <w:r>
              <w:rPr>
                <w:rFonts w:hint="eastAsia"/>
                <w:bCs/>
                <w:color w:val="000000" w:themeColor="text1"/>
                <w:sz w:val="24"/>
                <w14:textFill>
                  <w14:solidFill>
                    <w14:schemeClr w14:val="tx1"/>
                  </w14:solidFill>
                </w14:textFill>
              </w:rPr>
              <w:t>内设置</w:t>
            </w:r>
            <w:r>
              <w:rPr>
                <w:bCs/>
                <w:color w:val="000000" w:themeColor="text1"/>
                <w:sz w:val="24"/>
                <w14:textFill>
                  <w14:solidFill>
                    <w14:schemeClr w14:val="tx1"/>
                  </w14:solidFill>
                </w14:textFill>
              </w:rPr>
              <w:t>一般固废</w:t>
            </w:r>
            <w:r>
              <w:rPr>
                <w:rFonts w:hint="eastAsia"/>
                <w:bCs/>
                <w:color w:val="000000" w:themeColor="text1"/>
                <w:sz w:val="24"/>
                <w14:textFill>
                  <w14:solidFill>
                    <w14:schemeClr w14:val="tx1"/>
                  </w14:solidFill>
                </w14:textFill>
              </w:rPr>
              <w:t>仓库</w:t>
            </w:r>
            <w:r>
              <w:rPr>
                <w:bCs/>
                <w:color w:val="000000" w:themeColor="text1"/>
                <w:sz w:val="24"/>
                <w14:textFill>
                  <w14:solidFill>
                    <w14:schemeClr w14:val="tx1"/>
                  </w14:solidFill>
                </w14:textFill>
              </w:rPr>
              <w:t>1处，建筑面积</w:t>
            </w:r>
            <w:r>
              <w:rPr>
                <w:rFonts w:hint="eastAsia"/>
                <w:bCs/>
                <w:color w:val="000000" w:themeColor="text1"/>
                <w:sz w:val="24"/>
                <w14:textFill>
                  <w14:solidFill>
                    <w14:schemeClr w14:val="tx1"/>
                  </w14:solidFill>
                </w14:textFill>
              </w:rPr>
              <w:t>1</w:t>
            </w:r>
            <w:r>
              <w:rPr>
                <w:rFonts w:hint="eastAsia"/>
                <w:bCs/>
                <w:color w:val="000000" w:themeColor="text1"/>
                <w:sz w:val="24"/>
                <w:lang w:val="en-US" w:eastAsia="zh-CN"/>
                <w14:textFill>
                  <w14:solidFill>
                    <w14:schemeClr w14:val="tx1"/>
                  </w14:solidFill>
                </w14:textFill>
              </w:rPr>
              <w:t>0</w:t>
            </w:r>
            <w:r>
              <w:rPr>
                <w:bCs/>
                <w:color w:val="000000" w:themeColor="text1"/>
                <w:sz w:val="24"/>
                <w14:textFill>
                  <w14:solidFill>
                    <w14:schemeClr w14:val="tx1"/>
                  </w14:solidFill>
                </w14:textFill>
              </w:rPr>
              <w:t>m</w:t>
            </w:r>
            <w:r>
              <w:rPr>
                <w:bCs/>
                <w:color w:val="000000" w:themeColor="text1"/>
                <w:sz w:val="24"/>
                <w:vertAlign w:val="superscript"/>
                <w14:textFill>
                  <w14:solidFill>
                    <w14:schemeClr w14:val="tx1"/>
                  </w14:solidFill>
                </w14:textFill>
              </w:rPr>
              <w:t>2</w:t>
            </w:r>
            <w:r>
              <w:rPr>
                <w:bCs/>
                <w:color w:val="000000" w:themeColor="text1"/>
                <w:sz w:val="24"/>
                <w14:textFill>
                  <w14:solidFill>
                    <w14:schemeClr w14:val="tx1"/>
                  </w14:solidFill>
                </w14:textFill>
              </w:rPr>
              <w:t>，</w:t>
            </w:r>
            <w:r>
              <w:rPr>
                <w:color w:val="000000" w:themeColor="text1"/>
                <w:sz w:val="24"/>
                <w14:textFill>
                  <w14:solidFill>
                    <w14:schemeClr w14:val="tx1"/>
                  </w14:solidFill>
                </w14:textFill>
              </w:rPr>
              <w:t>一般固废</w:t>
            </w:r>
            <w:r>
              <w:rPr>
                <w:rFonts w:hint="eastAsia"/>
                <w:color w:val="000000" w:themeColor="text1"/>
                <w:sz w:val="24"/>
                <w14:textFill>
                  <w14:solidFill>
                    <w14:schemeClr w14:val="tx1"/>
                  </w14:solidFill>
                </w14:textFill>
              </w:rPr>
              <w:t>仓库</w:t>
            </w:r>
            <w:r>
              <w:rPr>
                <w:color w:val="000000" w:themeColor="text1"/>
                <w:sz w:val="24"/>
                <w14:textFill>
                  <w14:solidFill>
                    <w14:schemeClr w14:val="tx1"/>
                  </w14:solidFill>
                </w14:textFill>
              </w:rPr>
              <w:t>需满足《一般工业固体废物贮存、处置场污染控制标准》（GB 18599-2001）及2013年修改单要求。</w:t>
            </w:r>
            <w:r>
              <w:rPr>
                <w:color w:val="000000" w:themeColor="text1"/>
                <w:sz w:val="24"/>
                <w:szCs w:val="24"/>
                <w14:textFill>
                  <w14:solidFill>
                    <w14:schemeClr w14:val="tx1"/>
                  </w14:solidFill>
                </w14:textFill>
              </w:rPr>
              <w:t>具体要求如下：</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rFonts w:hint="eastAsia" w:ascii="宋体" w:cs="宋体"/>
                <w:color w:val="000000" w:themeColor="text1"/>
                <w:sz w:val="24"/>
                <w:szCs w:val="24"/>
                <w14:textFill>
                  <w14:solidFill>
                    <w14:schemeClr w14:val="tx1"/>
                  </w14:solidFill>
                </w14:textFill>
              </w:rPr>
              <w:t>①</w:t>
            </w:r>
            <w:r>
              <w:rPr>
                <w:color w:val="000000" w:themeColor="text1"/>
                <w:sz w:val="24"/>
                <w:szCs w:val="24"/>
                <w14:textFill>
                  <w14:solidFill>
                    <w14:schemeClr w14:val="tx1"/>
                  </w14:solidFill>
                </w14:textFill>
              </w:rPr>
              <w:t>贮存、处置场的建设类型，必须与将要堆放的一般工业固体废物的类别相一致。</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rFonts w:hint="eastAsia" w:ascii="宋体" w:cs="宋体"/>
                <w:color w:val="000000" w:themeColor="text1"/>
                <w:sz w:val="24"/>
                <w:szCs w:val="24"/>
                <w14:textFill>
                  <w14:solidFill>
                    <w14:schemeClr w14:val="tx1"/>
                  </w14:solidFill>
                </w14:textFill>
              </w:rPr>
              <w:t>②</w:t>
            </w:r>
            <w:r>
              <w:rPr>
                <w:color w:val="000000" w:themeColor="text1"/>
                <w:sz w:val="24"/>
                <w:szCs w:val="24"/>
                <w14:textFill>
                  <w14:solidFill>
                    <w14:schemeClr w14:val="tx1"/>
                  </w14:solidFill>
                </w14:textFill>
              </w:rPr>
              <w:t>为保障设施、设备正常运营，必要时应采取措施防止地基下沉，尤其是防止不均匀或局部下沉。</w:t>
            </w:r>
          </w:p>
          <w:p>
            <w:pPr>
              <w:autoSpaceDE w:val="0"/>
              <w:autoSpaceDN w:val="0"/>
              <w:adjustRightInd w:val="0"/>
              <w:spacing w:line="360" w:lineRule="auto"/>
              <w:ind w:firstLine="480" w:firstLineChars="200"/>
              <w:rPr>
                <w:b/>
                <w:bCs/>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w:t>
            </w:r>
            <w:r>
              <w:rPr>
                <w:b/>
                <w:bCs/>
                <w:color w:val="000000" w:themeColor="text1"/>
                <w:sz w:val="24"/>
                <w:szCs w:val="24"/>
                <w14:textFill>
                  <w14:solidFill>
                    <w14:schemeClr w14:val="tx1"/>
                  </w14:solidFill>
                </w14:textFill>
              </w:rPr>
              <w:t>3</w:t>
            </w:r>
            <w:r>
              <w:rPr>
                <w:rFonts w:hint="eastAsia"/>
                <w:b/>
                <w:bCs/>
                <w:color w:val="000000" w:themeColor="text1"/>
                <w:sz w:val="24"/>
                <w:szCs w:val="24"/>
                <w14:textFill>
                  <w14:solidFill>
                    <w14:schemeClr w14:val="tx1"/>
                  </w14:solidFill>
                </w14:textFill>
              </w:rPr>
              <w:t>）</w:t>
            </w:r>
            <w:r>
              <w:rPr>
                <w:b/>
                <w:bCs/>
                <w:color w:val="000000" w:themeColor="text1"/>
                <w:sz w:val="24"/>
                <w:szCs w:val="24"/>
                <w14:textFill>
                  <w14:solidFill>
                    <w14:schemeClr w14:val="tx1"/>
                  </w14:solidFill>
                </w14:textFill>
              </w:rPr>
              <w:t>生活垃圾</w:t>
            </w:r>
          </w:p>
          <w:p>
            <w:pPr>
              <w:autoSpaceDE w:val="0"/>
              <w:autoSpaceDN w:val="0"/>
              <w:adjustRightInd w:val="0"/>
              <w:spacing w:line="360" w:lineRule="auto"/>
              <w:ind w:firstLine="480" w:firstLineChars="200"/>
              <w:rPr>
                <w:rFonts w:ascii="宋体" w:cs="宋体"/>
                <w:color w:val="000000" w:themeColor="text1"/>
                <w:sz w:val="24"/>
                <w:szCs w:val="24"/>
                <w14:textFill>
                  <w14:solidFill>
                    <w14:schemeClr w14:val="tx1"/>
                  </w14:solidFill>
                </w14:textFill>
              </w:rPr>
            </w:pPr>
            <w:r>
              <w:rPr>
                <w:rFonts w:hint="eastAsia" w:ascii="宋体" w:cs="宋体"/>
                <w:color w:val="000000" w:themeColor="text1"/>
                <w:sz w:val="24"/>
                <w:szCs w:val="24"/>
                <w:lang w:eastAsia="zh-CN"/>
                <w14:textFill>
                  <w14:solidFill>
                    <w14:schemeClr w14:val="tx1"/>
                  </w14:solidFill>
                </w14:textFill>
              </w:rPr>
              <w:t>员工</w:t>
            </w:r>
            <w:r>
              <w:rPr>
                <w:rFonts w:hint="eastAsia" w:ascii="宋体" w:cs="宋体"/>
                <w:color w:val="000000" w:themeColor="text1"/>
                <w:sz w:val="24"/>
                <w:szCs w:val="24"/>
                <w14:textFill>
                  <w14:solidFill>
                    <w14:schemeClr w14:val="tx1"/>
                  </w14:solidFill>
                </w14:textFill>
              </w:rPr>
              <w:t>生活垃圾</w:t>
            </w:r>
            <w:r>
              <w:rPr>
                <w:rFonts w:hint="eastAsia" w:ascii="宋体" w:cs="宋体"/>
                <w:color w:val="000000" w:themeColor="text1"/>
                <w:sz w:val="24"/>
                <w:szCs w:val="24"/>
                <w:lang w:eastAsia="zh-CN"/>
                <w14:textFill>
                  <w14:solidFill>
                    <w14:schemeClr w14:val="tx1"/>
                  </w14:solidFill>
                </w14:textFill>
              </w:rPr>
              <w:t>（含含油抹布和手套）</w:t>
            </w:r>
            <w:r>
              <w:rPr>
                <w:rFonts w:hint="eastAsia" w:ascii="宋体" w:cs="宋体"/>
                <w:color w:val="000000" w:themeColor="text1"/>
                <w:sz w:val="24"/>
                <w:szCs w:val="24"/>
                <w14:textFill>
                  <w14:solidFill>
                    <w14:schemeClr w14:val="tx1"/>
                  </w14:solidFill>
                </w14:textFill>
              </w:rPr>
              <w:t>由环卫部门定期清运，可得到有效处置。</w:t>
            </w:r>
          </w:p>
          <w:p>
            <w:pPr>
              <w:autoSpaceDE w:val="0"/>
              <w:autoSpaceDN w:val="0"/>
              <w:adjustRightInd w:val="0"/>
              <w:spacing w:line="360" w:lineRule="auto"/>
              <w:ind w:firstLine="480" w:firstLineChars="200"/>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5.4、噪声</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建设项目高噪声设备主要</w:t>
            </w:r>
            <w:r>
              <w:rPr>
                <w:rFonts w:hint="eastAsia"/>
                <w:color w:val="000000" w:themeColor="text1"/>
                <w:sz w:val="24"/>
                <w:szCs w:val="24"/>
                <w14:textFill>
                  <w14:solidFill>
                    <w14:schemeClr w14:val="tx1"/>
                  </w14:solidFill>
                </w14:textFill>
              </w:rPr>
              <w:t>为</w:t>
            </w:r>
            <w:r>
              <w:rPr>
                <w:rFonts w:hint="eastAsia"/>
                <w:color w:val="000000" w:themeColor="text1"/>
                <w:sz w:val="24"/>
                <w:szCs w:val="24"/>
                <w:lang w:eastAsia="zh-CN"/>
                <w14:textFill>
                  <w14:solidFill>
                    <w14:schemeClr w14:val="tx1"/>
                  </w14:solidFill>
                </w14:textFill>
              </w:rPr>
              <w:t>喷枪、风机</w:t>
            </w:r>
            <w:r>
              <w:rPr>
                <w:rFonts w:hint="eastAsia"/>
                <w:color w:val="000000" w:themeColor="text1"/>
                <w:sz w:val="24"/>
                <w:szCs w:val="24"/>
                <w14:textFill>
                  <w14:solidFill>
                    <w14:schemeClr w14:val="tx1"/>
                  </w14:solidFill>
                </w14:textFill>
              </w:rPr>
              <w:t>等设备，</w:t>
            </w:r>
            <w:r>
              <w:rPr>
                <w:color w:val="000000" w:themeColor="text1"/>
                <w:sz w:val="24"/>
                <w:szCs w:val="24"/>
                <w14:textFill>
                  <w14:solidFill>
                    <w14:schemeClr w14:val="tx1"/>
                  </w14:solidFill>
                </w14:textFill>
              </w:rPr>
              <w:t>单台设备噪声源强约</w:t>
            </w:r>
            <w:r>
              <w:rPr>
                <w:rFonts w:hint="eastAsia"/>
                <w:color w:val="000000" w:themeColor="text1"/>
                <w:sz w:val="24"/>
                <w:szCs w:val="24"/>
                <w14:textFill>
                  <w14:solidFill>
                    <w14:schemeClr w14:val="tx1"/>
                  </w14:solidFill>
                </w14:textFill>
              </w:rPr>
              <w:t>75～90dB（A）</w:t>
            </w:r>
            <w:r>
              <w:rPr>
                <w:color w:val="000000" w:themeColor="text1"/>
                <w:sz w:val="24"/>
                <w:szCs w:val="24"/>
                <w14:textFill>
                  <w14:solidFill>
                    <w14:schemeClr w14:val="tx1"/>
                  </w14:solidFill>
                </w14:textFill>
              </w:rPr>
              <w:t>。建设单位拟采取以下降噪措施：</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①合理布局</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在车间总图布置中尽可能将高噪声布置在生产车间中间，尽可能使噪声源远离厂界，以减轻对外界环境的影响。</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②加强建筑物隔声措施</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有效利用了建筑隔声，并对墙体加装隔声、吸声材料等，防止噪声的扩散和传播，采取隔声措施。</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③设备减振、隔声</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在高噪声设备与地基之间进行减振处理，噪声源强较高的安装减振底座。</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④强化生产管理</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提高员工环保意识，规范员工操作；确保各类噪声防治措施有效运行，各设备均保持良好运行状态，防止突发噪声。</w:t>
            </w:r>
          </w:p>
          <w:p>
            <w:pPr>
              <w:autoSpaceDE w:val="0"/>
              <w:autoSpaceDN w:val="0"/>
              <w:adjustRightInd w:val="0"/>
              <w:spacing w:line="360" w:lineRule="auto"/>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从以上的分析可知：项目采取以上降噪措施后并经过距离衰减后，降噪效果可达到</w:t>
            </w:r>
            <w:r>
              <w:rPr>
                <w:rFonts w:hint="eastAsia"/>
                <w:color w:val="000000" w:themeColor="text1"/>
                <w:sz w:val="24"/>
                <w:szCs w:val="24"/>
                <w14:textFill>
                  <w14:solidFill>
                    <w14:schemeClr w14:val="tx1"/>
                  </w14:solidFill>
                </w14:textFill>
              </w:rPr>
              <w:t>30dB</w:t>
            </w:r>
            <w:r>
              <w:rPr>
                <w:color w:val="000000" w:themeColor="text1"/>
                <w:sz w:val="24"/>
                <w:szCs w:val="24"/>
                <w14:textFill>
                  <w14:solidFill>
                    <w14:schemeClr w14:val="tx1"/>
                  </w14:solidFill>
                </w14:textFill>
              </w:rPr>
              <w:t>（A）左右。</w:t>
            </w:r>
          </w:p>
          <w:p>
            <w:pPr>
              <w:spacing w:line="360" w:lineRule="auto"/>
              <w:ind w:firstLine="480" w:firstLineChars="200"/>
              <w:rPr>
                <w:b/>
                <w:bCs/>
                <w:color w:val="000000" w:themeColor="text1"/>
                <w:sz w:val="24"/>
                <w14:textFill>
                  <w14:solidFill>
                    <w14:schemeClr w14:val="tx1"/>
                  </w14:solidFill>
                </w14:textFill>
              </w:rPr>
            </w:pPr>
            <w:bookmarkStart w:id="3" w:name="_Toc298243435"/>
            <w:r>
              <w:rPr>
                <w:rFonts w:hint="eastAsia"/>
                <w:b/>
                <w:bCs/>
                <w:color w:val="000000" w:themeColor="text1"/>
                <w:sz w:val="24"/>
                <w14:textFill>
                  <w14:solidFill>
                    <w14:schemeClr w14:val="tx1"/>
                  </w14:solidFill>
                </w14:textFill>
              </w:rPr>
              <w:t>（5）</w:t>
            </w:r>
            <w:r>
              <w:rPr>
                <w:b/>
                <w:bCs/>
                <w:color w:val="000000" w:themeColor="text1"/>
                <w:sz w:val="24"/>
                <w14:textFill>
                  <w14:solidFill>
                    <w14:schemeClr w14:val="tx1"/>
                  </w14:solidFill>
                </w14:textFill>
              </w:rPr>
              <w:t>项目污染物</w:t>
            </w:r>
            <w:bookmarkEnd w:id="3"/>
            <w:r>
              <w:rPr>
                <w:rFonts w:hint="eastAsia"/>
                <w:b/>
                <w:bCs/>
                <w:color w:val="000000" w:themeColor="text1"/>
                <w:sz w:val="24"/>
                <w14:textFill>
                  <w14:solidFill>
                    <w14:schemeClr w14:val="tx1"/>
                  </w14:solidFill>
                </w14:textFill>
              </w:rPr>
              <w:t>汇总表</w:t>
            </w:r>
          </w:p>
          <w:p>
            <w:pPr>
              <w:ind w:firstLine="480" w:firstLineChars="200"/>
              <w:jc w:val="center"/>
              <w:rPr>
                <w:color w:val="000000" w:themeColor="text1"/>
                <w14:textFill>
                  <w14:solidFill>
                    <w14:schemeClr w14:val="tx1"/>
                  </w14:solidFill>
                </w14:textFill>
              </w:rPr>
            </w:pPr>
            <w:r>
              <w:rPr>
                <w:b/>
                <w:color w:val="000000" w:themeColor="text1"/>
                <w:sz w:val="24"/>
                <w:szCs w:val="24"/>
                <w14:textFill>
                  <w14:solidFill>
                    <w14:schemeClr w14:val="tx1"/>
                  </w14:solidFill>
                </w14:textFill>
              </w:rPr>
              <w:t>表</w:t>
            </w:r>
            <w:r>
              <w:rPr>
                <w:rFonts w:hint="eastAsia"/>
                <w:b/>
                <w:color w:val="000000" w:themeColor="text1"/>
                <w:sz w:val="24"/>
                <w:szCs w:val="24"/>
                <w14:textFill>
                  <w14:solidFill>
                    <w14:schemeClr w14:val="tx1"/>
                  </w14:solidFill>
                </w14:textFill>
              </w:rPr>
              <w:t>5-1</w:t>
            </w:r>
            <w:r>
              <w:rPr>
                <w:rFonts w:hint="eastAsia"/>
                <w:b/>
                <w:color w:val="000000" w:themeColor="text1"/>
                <w:sz w:val="24"/>
                <w:szCs w:val="24"/>
                <w:lang w:val="en-US" w:eastAsia="zh-CN"/>
                <w14:textFill>
                  <w14:solidFill>
                    <w14:schemeClr w14:val="tx1"/>
                  </w14:solidFill>
                </w14:textFill>
              </w:rPr>
              <w:t>0</w:t>
            </w:r>
            <w:r>
              <w:rPr>
                <w:b/>
                <w:color w:val="000000" w:themeColor="text1"/>
                <w:sz w:val="24"/>
                <w:szCs w:val="24"/>
                <w14:textFill>
                  <w14:solidFill>
                    <w14:schemeClr w14:val="tx1"/>
                  </w14:solidFill>
                </w14:textFill>
              </w:rPr>
              <w:t xml:space="preserve"> 项目污染物汇总表</w:t>
            </w:r>
            <w:r>
              <w:rPr>
                <w:rFonts w:hint="eastAsia"/>
                <w:b/>
                <w:color w:val="000000" w:themeColor="text1"/>
                <w:sz w:val="24"/>
                <w:szCs w:val="24"/>
                <w14:textFill>
                  <w14:solidFill>
                    <w14:schemeClr w14:val="tx1"/>
                  </w14:solidFill>
                </w14:textFill>
              </w:rPr>
              <w:t xml:space="preserve">  单位（t/a）</w:t>
            </w:r>
          </w:p>
          <w:tbl>
            <w:tblPr>
              <w:tblStyle w:val="17"/>
              <w:tblW w:w="4995"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89"/>
              <w:gridCol w:w="1110"/>
              <w:gridCol w:w="1140"/>
              <w:gridCol w:w="1437"/>
              <w:gridCol w:w="1437"/>
              <w:gridCol w:w="1194"/>
              <w:gridCol w:w="11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5" w:type="pct"/>
                  <w:vAlign w:val="center"/>
                </w:tcPr>
                <w:p>
                  <w:pPr>
                    <w:keepNext w:val="0"/>
                    <w:keepLines w:val="0"/>
                    <w:pageBreakBefore w:val="0"/>
                    <w:kinsoku/>
                    <w:wordWrap/>
                    <w:overflowPunct/>
                    <w:topLinePunct w:val="0"/>
                    <w:autoSpaceDE/>
                    <w:autoSpaceDN/>
                    <w:bidi w:val="0"/>
                    <w:spacing w:before="63" w:beforeLines="20" w:after="63" w:afterLines="2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分类</w:t>
                  </w:r>
                </w:p>
              </w:tc>
              <w:tc>
                <w:tcPr>
                  <w:tcW w:w="1354" w:type="pct"/>
                  <w:gridSpan w:val="2"/>
                  <w:vAlign w:val="center"/>
                </w:tcPr>
                <w:p>
                  <w:pPr>
                    <w:keepNext w:val="0"/>
                    <w:keepLines w:val="0"/>
                    <w:pageBreakBefore w:val="0"/>
                    <w:kinsoku/>
                    <w:wordWrap/>
                    <w:overflowPunct/>
                    <w:topLinePunct w:val="0"/>
                    <w:autoSpaceDE/>
                    <w:autoSpaceDN/>
                    <w:bidi w:val="0"/>
                    <w:spacing w:before="63" w:beforeLines="20" w:after="63" w:afterLines="2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污染物</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产生量</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削减量</w:t>
                  </w:r>
                </w:p>
              </w:tc>
              <w:tc>
                <w:tcPr>
                  <w:tcW w:w="718" w:type="pct"/>
                  <w:vAlign w:val="center"/>
                </w:tcPr>
                <w:p>
                  <w:pPr>
                    <w:keepNext w:val="0"/>
                    <w:keepLines w:val="0"/>
                    <w:pageBreakBefore w:val="0"/>
                    <w:kinsoku/>
                    <w:wordWrap/>
                    <w:overflowPunct/>
                    <w:topLinePunct w:val="0"/>
                    <w:autoSpaceDE/>
                    <w:autoSpaceDN/>
                    <w:bidi w:val="0"/>
                    <w:spacing w:before="63" w:beforeLines="20" w:after="63" w:afterLines="2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接管量</w:t>
                  </w:r>
                </w:p>
              </w:tc>
              <w:tc>
                <w:tcPr>
                  <w:tcW w:w="720" w:type="pct"/>
                  <w:vAlign w:val="center"/>
                </w:tcPr>
                <w:p>
                  <w:pPr>
                    <w:keepNext w:val="0"/>
                    <w:keepLines w:val="0"/>
                    <w:pageBreakBefore w:val="0"/>
                    <w:kinsoku/>
                    <w:wordWrap/>
                    <w:overflowPunct/>
                    <w:topLinePunct w:val="0"/>
                    <w:autoSpaceDE/>
                    <w:autoSpaceDN/>
                    <w:bidi w:val="0"/>
                    <w:spacing w:before="63" w:beforeLines="20" w:after="63" w:afterLines="2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排放量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5" w:type="pct"/>
                  <w:vMerge w:val="restar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废水</w:t>
                  </w:r>
                </w:p>
              </w:tc>
              <w:tc>
                <w:tcPr>
                  <w:tcW w:w="668" w:type="pct"/>
                  <w:vMerge w:val="restar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生活污水</w:t>
                  </w:r>
                </w:p>
              </w:tc>
              <w:tc>
                <w:tcPr>
                  <w:tcW w:w="686" w:type="pc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废水量</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rFonts w:hint="default" w:eastAsia="宋体"/>
                      <w:szCs w:val="21"/>
                      <w:lang w:val="en-US" w:eastAsia="zh-CN"/>
                    </w:rPr>
                  </w:pPr>
                  <w:r>
                    <w:rPr>
                      <w:rFonts w:hint="eastAsia"/>
                      <w:szCs w:val="21"/>
                      <w:lang w:val="en-US" w:eastAsia="zh-CN"/>
                    </w:rPr>
                    <w:t>600</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szCs w:val="21"/>
                    </w:rPr>
                  </w:pPr>
                  <w:r>
                    <w:rPr>
                      <w:szCs w:val="21"/>
                    </w:rPr>
                    <w:t>0</w:t>
                  </w:r>
                </w:p>
              </w:tc>
              <w:tc>
                <w:tcPr>
                  <w:tcW w:w="718" w:type="pct"/>
                  <w:vAlign w:val="center"/>
                </w:tcPr>
                <w:p>
                  <w:pPr>
                    <w:keepNext w:val="0"/>
                    <w:keepLines w:val="0"/>
                    <w:pageBreakBefore w:val="0"/>
                    <w:kinsoku/>
                    <w:wordWrap/>
                    <w:overflowPunct/>
                    <w:topLinePunct w:val="0"/>
                    <w:autoSpaceDE/>
                    <w:autoSpaceDN/>
                    <w:bidi w:val="0"/>
                    <w:spacing w:before="63" w:beforeLines="20" w:after="63" w:afterLines="20"/>
                    <w:jc w:val="center"/>
                    <w:rPr>
                      <w:rFonts w:hint="default" w:eastAsia="宋体"/>
                      <w:szCs w:val="21"/>
                      <w:lang w:val="en-US" w:eastAsia="zh-CN"/>
                    </w:rPr>
                  </w:pPr>
                  <w:r>
                    <w:rPr>
                      <w:rFonts w:hint="eastAsia"/>
                      <w:szCs w:val="21"/>
                      <w:lang w:val="en-US" w:eastAsia="zh-CN"/>
                    </w:rPr>
                    <w:t>600</w:t>
                  </w:r>
                </w:p>
              </w:tc>
              <w:tc>
                <w:tcPr>
                  <w:tcW w:w="720" w:type="pct"/>
                  <w:vAlign w:val="center"/>
                </w:tcPr>
                <w:p>
                  <w:pPr>
                    <w:keepNext w:val="0"/>
                    <w:keepLines w:val="0"/>
                    <w:pageBreakBefore w:val="0"/>
                    <w:kinsoku/>
                    <w:wordWrap/>
                    <w:overflowPunct/>
                    <w:topLinePunct w:val="0"/>
                    <w:autoSpaceDE/>
                    <w:autoSpaceDN/>
                    <w:bidi w:val="0"/>
                    <w:spacing w:before="63" w:beforeLines="20" w:after="63" w:afterLines="20"/>
                    <w:jc w:val="center"/>
                    <w:rPr>
                      <w:rFonts w:hint="default" w:eastAsia="宋体"/>
                      <w:szCs w:val="21"/>
                      <w:lang w:val="en-US" w:eastAsia="zh-CN"/>
                    </w:rPr>
                  </w:pPr>
                  <w:r>
                    <w:rPr>
                      <w:rFonts w:hint="eastAsia"/>
                      <w:szCs w:val="21"/>
                      <w:lang w:val="en-US" w:eastAsia="zh-CN"/>
                    </w:rPr>
                    <w:t>600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475" w:type="pct"/>
                  <w:vMerge w:val="continue"/>
                  <w:vAlign w:val="center"/>
                </w:tcPr>
                <w:p>
                  <w:pPr>
                    <w:keepNext w:val="0"/>
                    <w:keepLines w:val="0"/>
                    <w:pageBreakBefore w:val="0"/>
                    <w:kinsoku/>
                    <w:wordWrap/>
                    <w:overflowPunct/>
                    <w:topLinePunct w:val="0"/>
                    <w:autoSpaceDE/>
                    <w:autoSpaceDN/>
                    <w:bidi w:val="0"/>
                    <w:spacing w:before="63" w:beforeLines="20" w:after="63" w:afterLines="20"/>
                    <w:rPr>
                      <w:color w:val="000000" w:themeColor="text1"/>
                      <w:szCs w:val="21"/>
                      <w14:textFill>
                        <w14:solidFill>
                          <w14:schemeClr w14:val="tx1"/>
                        </w14:solidFill>
                      </w14:textFill>
                    </w:rPr>
                  </w:pPr>
                </w:p>
              </w:tc>
              <w:tc>
                <w:tcPr>
                  <w:tcW w:w="668" w:type="pct"/>
                  <w:vMerge w:val="continue"/>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p>
              </w:tc>
              <w:tc>
                <w:tcPr>
                  <w:tcW w:w="686" w:type="pct"/>
                  <w:vAlign w:val="center"/>
                </w:tcPr>
                <w:p>
                  <w:pPr>
                    <w:keepNext w:val="0"/>
                    <w:keepLines w:val="0"/>
                    <w:pageBreakBefore w:val="0"/>
                    <w:widowControl/>
                    <w:kinsoku/>
                    <w:wordWrap/>
                    <w:overflowPunct/>
                    <w:topLinePunct w:val="0"/>
                    <w:autoSpaceDE/>
                    <w:autoSpaceDN/>
                    <w:bidi w:val="0"/>
                    <w:spacing w:before="63" w:beforeLines="20" w:after="63" w:afterLines="20"/>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COD</w:t>
                  </w:r>
                </w:p>
              </w:tc>
              <w:tc>
                <w:tcPr>
                  <w:tcW w:w="865"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0.2400 </w:t>
                  </w:r>
                </w:p>
              </w:tc>
              <w:tc>
                <w:tcPr>
                  <w:tcW w:w="865"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0.036</w:t>
                  </w:r>
                </w:p>
              </w:tc>
              <w:tc>
                <w:tcPr>
                  <w:tcW w:w="718"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0.2040 </w:t>
                  </w:r>
                </w:p>
              </w:tc>
              <w:tc>
                <w:tcPr>
                  <w:tcW w:w="1197" w:type="dxa"/>
                  <w:vAlign w:val="center"/>
                </w:tcPr>
                <w:p>
                  <w:pPr>
                    <w:keepNext w:val="0"/>
                    <w:keepLines w:val="0"/>
                    <w:widowControl/>
                    <w:suppressLineNumbers w:val="0"/>
                    <w:jc w:val="center"/>
                    <w:textAlignment w:val="center"/>
                    <w:rPr>
                      <w:rFonts w:hint="default" w:ascii="Times New Roman" w:hAnsi="Times New Roman" w:cs="Times New Roman"/>
                      <w:szCs w:val="21"/>
                      <w:lang w:val="en-US"/>
                    </w:rPr>
                  </w:pPr>
                  <w:r>
                    <w:rPr>
                      <w:rFonts w:hint="default" w:ascii="Times New Roman" w:hAnsi="Times New Roman" w:eastAsia="宋体" w:cs="Times New Roman"/>
                      <w:i w:val="0"/>
                      <w:color w:val="000000"/>
                      <w:kern w:val="0"/>
                      <w:sz w:val="22"/>
                      <w:szCs w:val="22"/>
                      <w:u w:val="none"/>
                      <w:lang w:val="en-US" w:eastAsia="zh-CN" w:bidi="ar"/>
                    </w:rPr>
                    <w:t>0.03</w:t>
                  </w:r>
                  <w:r>
                    <w:rPr>
                      <w:rFonts w:hint="eastAsia" w:cs="Times New Roman"/>
                      <w:i w:val="0"/>
                      <w:color w:val="000000"/>
                      <w:kern w:val="0"/>
                      <w:sz w:val="22"/>
                      <w:szCs w:val="22"/>
                      <w:u w:val="none"/>
                      <w:lang w:val="en-US" w:eastAsia="zh-CN" w:bidi="ar"/>
                    </w:rPr>
                    <w:t>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475" w:type="pct"/>
                  <w:vMerge w:val="continue"/>
                  <w:vAlign w:val="center"/>
                </w:tcPr>
                <w:p>
                  <w:pPr>
                    <w:keepNext w:val="0"/>
                    <w:keepLines w:val="0"/>
                    <w:pageBreakBefore w:val="0"/>
                    <w:kinsoku/>
                    <w:wordWrap/>
                    <w:overflowPunct/>
                    <w:topLinePunct w:val="0"/>
                    <w:autoSpaceDE/>
                    <w:autoSpaceDN/>
                    <w:bidi w:val="0"/>
                    <w:spacing w:before="63" w:beforeLines="20" w:after="63" w:afterLines="20"/>
                    <w:rPr>
                      <w:color w:val="000000" w:themeColor="text1"/>
                      <w:szCs w:val="21"/>
                      <w14:textFill>
                        <w14:solidFill>
                          <w14:schemeClr w14:val="tx1"/>
                        </w14:solidFill>
                      </w14:textFill>
                    </w:rPr>
                  </w:pPr>
                </w:p>
              </w:tc>
              <w:tc>
                <w:tcPr>
                  <w:tcW w:w="668" w:type="pct"/>
                  <w:vMerge w:val="continue"/>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p>
              </w:tc>
              <w:tc>
                <w:tcPr>
                  <w:tcW w:w="686" w:type="pc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SS</w:t>
                  </w:r>
                </w:p>
              </w:tc>
              <w:tc>
                <w:tcPr>
                  <w:tcW w:w="865"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0.1200 </w:t>
                  </w:r>
                </w:p>
              </w:tc>
              <w:tc>
                <w:tcPr>
                  <w:tcW w:w="865"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0.024</w:t>
                  </w:r>
                </w:p>
              </w:tc>
              <w:tc>
                <w:tcPr>
                  <w:tcW w:w="718"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0.0960 </w:t>
                  </w:r>
                </w:p>
              </w:tc>
              <w:tc>
                <w:tcPr>
                  <w:tcW w:w="1197" w:type="dxa"/>
                  <w:vAlign w:val="center"/>
                </w:tcPr>
                <w:p>
                  <w:pPr>
                    <w:keepNext w:val="0"/>
                    <w:keepLines w:val="0"/>
                    <w:widowControl/>
                    <w:suppressLineNumbers w:val="0"/>
                    <w:jc w:val="center"/>
                    <w:textAlignment w:val="center"/>
                    <w:rPr>
                      <w:rFonts w:hint="default" w:ascii="Times New Roman" w:hAnsi="Times New Roman" w:cs="Times New Roman"/>
                      <w:szCs w:val="21"/>
                      <w:lang w:val="en-US"/>
                    </w:rPr>
                  </w:pPr>
                  <w:r>
                    <w:rPr>
                      <w:rFonts w:hint="default" w:ascii="Times New Roman" w:hAnsi="Times New Roman" w:eastAsia="宋体" w:cs="Times New Roman"/>
                      <w:i w:val="0"/>
                      <w:color w:val="000000"/>
                      <w:kern w:val="0"/>
                      <w:sz w:val="22"/>
                      <w:szCs w:val="22"/>
                      <w:u w:val="none"/>
                      <w:lang w:val="en-US" w:eastAsia="zh-CN" w:bidi="ar"/>
                    </w:rPr>
                    <w:t>0.006</w:t>
                  </w:r>
                  <w:r>
                    <w:rPr>
                      <w:rFonts w:hint="eastAsia" w:cs="Times New Roman"/>
                      <w:i w:val="0"/>
                      <w:color w:val="000000"/>
                      <w:kern w:val="0"/>
                      <w:sz w:val="22"/>
                      <w:szCs w:val="22"/>
                      <w:u w:val="none"/>
                      <w:lang w:val="en-US" w:eastAsia="zh-CN" w:bidi="ar"/>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5" w:type="pct"/>
                  <w:vMerge w:val="continue"/>
                  <w:vAlign w:val="center"/>
                </w:tcPr>
                <w:p>
                  <w:pPr>
                    <w:keepNext w:val="0"/>
                    <w:keepLines w:val="0"/>
                    <w:pageBreakBefore w:val="0"/>
                    <w:kinsoku/>
                    <w:wordWrap/>
                    <w:overflowPunct/>
                    <w:topLinePunct w:val="0"/>
                    <w:autoSpaceDE/>
                    <w:autoSpaceDN/>
                    <w:bidi w:val="0"/>
                    <w:spacing w:before="63" w:beforeLines="20" w:after="63" w:afterLines="20"/>
                    <w:rPr>
                      <w:color w:val="000000" w:themeColor="text1"/>
                      <w:szCs w:val="21"/>
                      <w14:textFill>
                        <w14:solidFill>
                          <w14:schemeClr w14:val="tx1"/>
                        </w14:solidFill>
                      </w14:textFill>
                    </w:rPr>
                  </w:pPr>
                </w:p>
              </w:tc>
              <w:tc>
                <w:tcPr>
                  <w:tcW w:w="668" w:type="pct"/>
                  <w:vMerge w:val="continue"/>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p>
              </w:tc>
              <w:tc>
                <w:tcPr>
                  <w:tcW w:w="686" w:type="pc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NH</w:t>
                  </w:r>
                  <w:r>
                    <w:rPr>
                      <w:color w:val="000000" w:themeColor="text1"/>
                      <w:szCs w:val="21"/>
                      <w:vertAlign w:val="subscript"/>
                      <w14:textFill>
                        <w14:solidFill>
                          <w14:schemeClr w14:val="tx1"/>
                        </w14:solidFill>
                      </w14:textFill>
                    </w:rPr>
                    <w:t>3</w:t>
                  </w:r>
                  <w:r>
                    <w:rPr>
                      <w:color w:val="000000" w:themeColor="text1"/>
                      <w:szCs w:val="21"/>
                      <w14:textFill>
                        <w14:solidFill>
                          <w14:schemeClr w14:val="tx1"/>
                        </w14:solidFill>
                      </w14:textFill>
                    </w:rPr>
                    <w:t>-N</w:t>
                  </w:r>
                </w:p>
              </w:tc>
              <w:tc>
                <w:tcPr>
                  <w:tcW w:w="865"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0.0150 </w:t>
                  </w:r>
                </w:p>
              </w:tc>
              <w:tc>
                <w:tcPr>
                  <w:tcW w:w="865"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w:t>
                  </w:r>
                </w:p>
              </w:tc>
              <w:tc>
                <w:tcPr>
                  <w:tcW w:w="718"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0.0150 </w:t>
                  </w:r>
                </w:p>
              </w:tc>
              <w:tc>
                <w:tcPr>
                  <w:tcW w:w="1197" w:type="dxa"/>
                  <w:vAlign w:val="center"/>
                </w:tcPr>
                <w:p>
                  <w:pPr>
                    <w:keepNext w:val="0"/>
                    <w:keepLines w:val="0"/>
                    <w:widowControl/>
                    <w:suppressLineNumbers w:val="0"/>
                    <w:jc w:val="center"/>
                    <w:textAlignment w:val="center"/>
                    <w:rPr>
                      <w:rFonts w:hint="default" w:ascii="Times New Roman" w:hAnsi="Times New Roman" w:cs="Times New Roman"/>
                      <w:szCs w:val="21"/>
                    </w:rPr>
                  </w:pPr>
                  <w:r>
                    <w:rPr>
                      <w:rFonts w:hint="default" w:ascii="Times New Roman" w:hAnsi="Times New Roman" w:eastAsia="宋体" w:cs="Times New Roman"/>
                      <w:i w:val="0"/>
                      <w:color w:val="000000"/>
                      <w:kern w:val="0"/>
                      <w:sz w:val="22"/>
                      <w:szCs w:val="22"/>
                      <w:u w:val="none"/>
                      <w:lang w:val="en-US" w:eastAsia="zh-CN" w:bidi="ar"/>
                    </w:rPr>
                    <w:t>0.0024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5" w:type="pct"/>
                  <w:vMerge w:val="continue"/>
                  <w:vAlign w:val="center"/>
                </w:tcPr>
                <w:p>
                  <w:pPr>
                    <w:keepNext w:val="0"/>
                    <w:keepLines w:val="0"/>
                    <w:pageBreakBefore w:val="0"/>
                    <w:kinsoku/>
                    <w:wordWrap/>
                    <w:overflowPunct/>
                    <w:topLinePunct w:val="0"/>
                    <w:autoSpaceDE/>
                    <w:autoSpaceDN/>
                    <w:bidi w:val="0"/>
                    <w:spacing w:before="63" w:beforeLines="20" w:after="63" w:afterLines="20"/>
                    <w:rPr>
                      <w:color w:val="000000" w:themeColor="text1"/>
                      <w:szCs w:val="21"/>
                      <w14:textFill>
                        <w14:solidFill>
                          <w14:schemeClr w14:val="tx1"/>
                        </w14:solidFill>
                      </w14:textFill>
                    </w:rPr>
                  </w:pPr>
                </w:p>
              </w:tc>
              <w:tc>
                <w:tcPr>
                  <w:tcW w:w="668" w:type="pct"/>
                  <w:vMerge w:val="continue"/>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p>
              </w:tc>
              <w:tc>
                <w:tcPr>
                  <w:tcW w:w="686" w:type="pc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TP</w:t>
                  </w:r>
                </w:p>
              </w:tc>
              <w:tc>
                <w:tcPr>
                  <w:tcW w:w="865"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0.0018 </w:t>
                  </w:r>
                </w:p>
              </w:tc>
              <w:tc>
                <w:tcPr>
                  <w:tcW w:w="865"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w:t>
                  </w:r>
                </w:p>
              </w:tc>
              <w:tc>
                <w:tcPr>
                  <w:tcW w:w="718"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0.0018 </w:t>
                  </w:r>
                </w:p>
              </w:tc>
              <w:tc>
                <w:tcPr>
                  <w:tcW w:w="1197" w:type="dxa"/>
                  <w:vAlign w:val="center"/>
                </w:tcPr>
                <w:p>
                  <w:pPr>
                    <w:keepNext w:val="0"/>
                    <w:keepLines w:val="0"/>
                    <w:widowControl/>
                    <w:suppressLineNumbers w:val="0"/>
                    <w:jc w:val="center"/>
                    <w:textAlignment w:val="center"/>
                    <w:rPr>
                      <w:rFonts w:hint="default" w:ascii="Times New Roman" w:hAnsi="Times New Roman" w:cs="Times New Roman"/>
                      <w:szCs w:val="21"/>
                    </w:rPr>
                  </w:pPr>
                  <w:r>
                    <w:rPr>
                      <w:rFonts w:hint="default" w:ascii="Times New Roman" w:hAnsi="Times New Roman" w:eastAsia="宋体" w:cs="Times New Roman"/>
                      <w:i w:val="0"/>
                      <w:color w:val="000000"/>
                      <w:kern w:val="0"/>
                      <w:sz w:val="22"/>
                      <w:szCs w:val="22"/>
                      <w:u w:val="none"/>
                      <w:lang w:val="en-US" w:eastAsia="zh-CN" w:bidi="ar"/>
                    </w:rPr>
                    <w:t>0.0003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5" w:type="pct"/>
                  <w:vMerge w:val="continue"/>
                  <w:vAlign w:val="center"/>
                </w:tcPr>
                <w:p>
                  <w:pPr>
                    <w:keepNext w:val="0"/>
                    <w:keepLines w:val="0"/>
                    <w:pageBreakBefore w:val="0"/>
                    <w:kinsoku/>
                    <w:wordWrap/>
                    <w:overflowPunct/>
                    <w:topLinePunct w:val="0"/>
                    <w:autoSpaceDE/>
                    <w:autoSpaceDN/>
                    <w:bidi w:val="0"/>
                    <w:spacing w:before="63" w:beforeLines="20" w:after="63" w:afterLines="20"/>
                    <w:rPr>
                      <w:color w:val="000000" w:themeColor="text1"/>
                      <w:szCs w:val="21"/>
                      <w14:textFill>
                        <w14:solidFill>
                          <w14:schemeClr w14:val="tx1"/>
                        </w14:solidFill>
                      </w14:textFill>
                    </w:rPr>
                  </w:pPr>
                </w:p>
              </w:tc>
              <w:tc>
                <w:tcPr>
                  <w:tcW w:w="668" w:type="pct"/>
                  <w:vMerge w:val="continue"/>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p>
              </w:tc>
              <w:tc>
                <w:tcPr>
                  <w:tcW w:w="686" w:type="pct"/>
                  <w:vAlign w:val="center"/>
                </w:tcPr>
                <w:p>
                  <w:pPr>
                    <w:keepNext w:val="0"/>
                    <w:keepLines w:val="0"/>
                    <w:pageBreakBefore w:val="0"/>
                    <w:widowControl/>
                    <w:kinsoku/>
                    <w:wordWrap/>
                    <w:overflowPunct/>
                    <w:topLinePunct w:val="0"/>
                    <w:autoSpaceDE/>
                    <w:autoSpaceDN/>
                    <w:bidi w:val="0"/>
                    <w:spacing w:before="63" w:beforeLines="20" w:after="63" w:afterLines="20"/>
                    <w:jc w:val="center"/>
                    <w:rPr>
                      <w:color w:val="000000" w:themeColor="text1"/>
                      <w:kern w:val="0"/>
                      <w:szCs w:val="21"/>
                      <w14:textFill>
                        <w14:solidFill>
                          <w14:schemeClr w14:val="tx1"/>
                        </w14:solidFill>
                      </w14:textFill>
                    </w:rPr>
                  </w:pPr>
                  <w:r>
                    <w:rPr>
                      <w:color w:val="000000" w:themeColor="text1"/>
                      <w:szCs w:val="21"/>
                      <w14:textFill>
                        <w14:solidFill>
                          <w14:schemeClr w14:val="tx1"/>
                        </w14:solidFill>
                      </w14:textFill>
                    </w:rPr>
                    <w:t>TN</w:t>
                  </w:r>
                </w:p>
              </w:tc>
              <w:tc>
                <w:tcPr>
                  <w:tcW w:w="865"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0.0210 </w:t>
                  </w:r>
                </w:p>
              </w:tc>
              <w:tc>
                <w:tcPr>
                  <w:tcW w:w="865"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cs="Times New Roman"/>
                      <w:color w:val="000000" w:themeColor="text1"/>
                      <w:kern w:val="2"/>
                      <w:sz w:val="21"/>
                      <w:szCs w:val="21"/>
                      <w:lang w:val="en-US" w:eastAsia="zh-CN" w:bidi="ar-SA"/>
                      <w14:textFill>
                        <w14:solidFill>
                          <w14:schemeClr w14:val="tx1"/>
                        </w14:solidFill>
                      </w14:textFill>
                    </w:rPr>
                    <w:t>0</w:t>
                  </w:r>
                </w:p>
              </w:tc>
              <w:tc>
                <w:tcPr>
                  <w:tcW w:w="718" w:type="pct"/>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0.0210 </w:t>
                  </w:r>
                </w:p>
              </w:tc>
              <w:tc>
                <w:tcPr>
                  <w:tcW w:w="1197" w:type="dxa"/>
                  <w:vAlign w:val="center"/>
                </w:tcPr>
                <w:p>
                  <w:pPr>
                    <w:keepNext w:val="0"/>
                    <w:keepLines w:val="0"/>
                    <w:widowControl/>
                    <w:suppressLineNumbers w:val="0"/>
                    <w:jc w:val="center"/>
                    <w:textAlignment w:val="center"/>
                    <w:rPr>
                      <w:rFonts w:hint="default" w:ascii="Times New Roman" w:hAnsi="Times New Roman" w:cs="Times New Roman"/>
                      <w:szCs w:val="21"/>
                    </w:rPr>
                  </w:pPr>
                  <w:r>
                    <w:rPr>
                      <w:rFonts w:hint="default" w:ascii="Times New Roman" w:hAnsi="Times New Roman" w:eastAsia="宋体" w:cs="Times New Roman"/>
                      <w:i w:val="0"/>
                      <w:color w:val="000000"/>
                      <w:kern w:val="0"/>
                      <w:sz w:val="22"/>
                      <w:szCs w:val="22"/>
                      <w:u w:val="none"/>
                      <w:lang w:val="en-US" w:eastAsia="zh-CN" w:bidi="ar"/>
                    </w:rPr>
                    <w:t>0.0072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5" w:type="pct"/>
                  <w:vMerge w:val="restar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废气</w:t>
                  </w:r>
                </w:p>
              </w:tc>
              <w:tc>
                <w:tcPr>
                  <w:tcW w:w="668" w:type="pct"/>
                  <w:vMerge w:val="restar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有组织废气</w:t>
                  </w:r>
                </w:p>
              </w:tc>
              <w:tc>
                <w:tcPr>
                  <w:tcW w:w="686" w:type="pct"/>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105" w:leftChars="-50" w:right="-105" w:rightChars="-50"/>
                    <w:jc w:val="center"/>
                    <w:rPr>
                      <w:color w:val="auto"/>
                      <w:szCs w:val="21"/>
                    </w:rPr>
                  </w:pPr>
                  <w:r>
                    <w:rPr>
                      <w:rFonts w:hint="eastAsia"/>
                      <w:color w:val="auto"/>
                      <w:szCs w:val="21"/>
                    </w:rPr>
                    <w:t>颗粒物</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rFonts w:hint="default" w:eastAsia="宋体"/>
                      <w:color w:val="auto"/>
                      <w:szCs w:val="21"/>
                      <w:lang w:val="en-US" w:eastAsia="zh-CN"/>
                    </w:rPr>
                  </w:pPr>
                  <w:r>
                    <w:rPr>
                      <w:rFonts w:hint="eastAsia"/>
                      <w:color w:val="auto"/>
                      <w:szCs w:val="21"/>
                      <w:lang w:val="en-US" w:eastAsia="zh-CN"/>
                    </w:rPr>
                    <w:t>1.627</w:t>
                  </w:r>
                </w:p>
              </w:tc>
              <w:tc>
                <w:tcPr>
                  <w:tcW w:w="865"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default" w:eastAsia="宋体"/>
                      <w:color w:val="auto"/>
                      <w:szCs w:val="21"/>
                      <w:lang w:val="en-US" w:eastAsia="zh-CN"/>
                    </w:rPr>
                  </w:pPr>
                  <w:r>
                    <w:rPr>
                      <w:rFonts w:hint="eastAsia"/>
                      <w:color w:val="auto"/>
                      <w:szCs w:val="21"/>
                      <w:lang w:val="en-US" w:eastAsia="zh-CN"/>
                    </w:rPr>
                    <w:t>1.6</w:t>
                  </w:r>
                </w:p>
              </w:tc>
              <w:tc>
                <w:tcPr>
                  <w:tcW w:w="718"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w:t>
                  </w:r>
                </w:p>
              </w:tc>
              <w:tc>
                <w:tcPr>
                  <w:tcW w:w="720"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default" w:eastAsia="宋体"/>
                      <w:color w:val="auto"/>
                      <w:szCs w:val="21"/>
                      <w:lang w:val="en-US" w:eastAsia="zh-CN"/>
                    </w:rPr>
                  </w:pPr>
                  <w:r>
                    <w:rPr>
                      <w:rFonts w:hint="eastAsia"/>
                      <w:color w:val="auto"/>
                      <w:szCs w:val="21"/>
                      <w:lang w:val="en-US" w:eastAsia="zh-CN"/>
                    </w:rPr>
                    <w:t>0.027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5" w:type="pct"/>
                  <w:vMerge w:val="continue"/>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p>
              </w:tc>
              <w:tc>
                <w:tcPr>
                  <w:tcW w:w="668" w:type="pct"/>
                  <w:vMerge w:val="continue"/>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p>
              </w:tc>
              <w:tc>
                <w:tcPr>
                  <w:tcW w:w="686" w:type="pct"/>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105" w:leftChars="-50" w:right="-105" w:rightChars="-50"/>
                    <w:jc w:val="center"/>
                    <w:rPr>
                      <w:rFonts w:hint="eastAsia" w:eastAsia="宋体"/>
                      <w:color w:val="auto"/>
                      <w:szCs w:val="21"/>
                      <w:lang w:eastAsia="zh-CN"/>
                    </w:rPr>
                  </w:pPr>
                  <w:r>
                    <w:rPr>
                      <w:rFonts w:hint="eastAsia"/>
                      <w:color w:val="auto"/>
                      <w:szCs w:val="21"/>
                      <w:lang w:eastAsia="zh-CN"/>
                    </w:rPr>
                    <w:t>非甲烷总烃</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rFonts w:hint="default" w:eastAsia="宋体"/>
                      <w:color w:val="auto"/>
                      <w:szCs w:val="21"/>
                      <w:lang w:val="en-US" w:eastAsia="zh-CN"/>
                    </w:rPr>
                  </w:pPr>
                  <w:r>
                    <w:rPr>
                      <w:rFonts w:hint="eastAsia"/>
                      <w:color w:val="auto"/>
                      <w:szCs w:val="21"/>
                      <w:lang w:val="en-US" w:eastAsia="zh-CN"/>
                    </w:rPr>
                    <w:t>0.029</w:t>
                  </w:r>
                </w:p>
              </w:tc>
              <w:tc>
                <w:tcPr>
                  <w:tcW w:w="865"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default" w:eastAsia="宋体"/>
                      <w:color w:val="auto"/>
                      <w:szCs w:val="21"/>
                      <w:lang w:val="en-US" w:eastAsia="zh-CN"/>
                    </w:rPr>
                  </w:pPr>
                  <w:r>
                    <w:rPr>
                      <w:rFonts w:hint="eastAsia"/>
                      <w:color w:val="auto"/>
                      <w:szCs w:val="21"/>
                      <w:lang w:val="en-US" w:eastAsia="zh-CN"/>
                    </w:rPr>
                    <w:t>0.026</w:t>
                  </w:r>
                </w:p>
              </w:tc>
              <w:tc>
                <w:tcPr>
                  <w:tcW w:w="718"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eastAsia" w:ascii="Times New Roman" w:hAnsi="Times New Roman" w:eastAsia="宋体" w:cs="Times New Roman"/>
                      <w:color w:val="auto"/>
                      <w:kern w:val="2"/>
                      <w:sz w:val="21"/>
                      <w:szCs w:val="21"/>
                      <w:lang w:val="en-US" w:eastAsia="zh-CN" w:bidi="ar-SA"/>
                    </w:rPr>
                  </w:pPr>
                  <w:r>
                    <w:rPr>
                      <w:rFonts w:hint="eastAsia"/>
                      <w:color w:val="auto"/>
                      <w:szCs w:val="21"/>
                      <w:lang w:val="en-US" w:eastAsia="zh-CN"/>
                    </w:rPr>
                    <w:t>/</w:t>
                  </w:r>
                </w:p>
              </w:tc>
              <w:tc>
                <w:tcPr>
                  <w:tcW w:w="720"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default" w:eastAsia="宋体"/>
                      <w:color w:val="auto"/>
                      <w:szCs w:val="21"/>
                      <w:lang w:val="en-US" w:eastAsia="zh-CN"/>
                    </w:rPr>
                  </w:pPr>
                  <w:r>
                    <w:rPr>
                      <w:rFonts w:hint="eastAsia"/>
                      <w:color w:val="auto"/>
                      <w:szCs w:val="21"/>
                      <w:lang w:val="en-US" w:eastAsia="zh-CN"/>
                    </w:rPr>
                    <w:t>0.003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5" w:type="pct"/>
                  <w:vMerge w:val="continue"/>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p>
              </w:tc>
              <w:tc>
                <w:tcPr>
                  <w:tcW w:w="668" w:type="pct"/>
                  <w:vMerge w:val="continue"/>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p>
              </w:tc>
              <w:tc>
                <w:tcPr>
                  <w:tcW w:w="686" w:type="pct"/>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105" w:leftChars="-50" w:right="-105" w:rightChars="-50"/>
                    <w:jc w:val="center"/>
                    <w:rPr>
                      <w:rFonts w:hint="default" w:eastAsia="宋体"/>
                      <w:color w:val="auto"/>
                      <w:szCs w:val="21"/>
                      <w:lang w:val="en-US" w:eastAsia="zh-CN"/>
                    </w:rPr>
                  </w:pPr>
                  <w:r>
                    <w:rPr>
                      <w:rFonts w:hint="eastAsia"/>
                      <w:color w:val="auto"/>
                      <w:szCs w:val="21"/>
                      <w:lang w:val="en-US" w:eastAsia="zh-CN"/>
                    </w:rPr>
                    <w:t>SO</w:t>
                  </w:r>
                  <w:r>
                    <w:rPr>
                      <w:rFonts w:hint="eastAsia"/>
                      <w:color w:val="auto"/>
                      <w:szCs w:val="21"/>
                      <w:vertAlign w:val="subscript"/>
                      <w:lang w:val="en-US" w:eastAsia="zh-CN"/>
                    </w:rPr>
                    <w:t>2</w:t>
                  </w:r>
                </w:p>
              </w:tc>
              <w:tc>
                <w:tcPr>
                  <w:tcW w:w="865" w:type="pct"/>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105" w:leftChars="-50" w:right="-105" w:rightChars="-50"/>
                    <w:jc w:val="center"/>
                    <w:rPr>
                      <w:rFonts w:hint="default" w:eastAsia="宋体"/>
                      <w:color w:val="auto"/>
                      <w:szCs w:val="21"/>
                      <w:lang w:val="en-US" w:eastAsia="zh-CN"/>
                    </w:rPr>
                  </w:pPr>
                  <w:r>
                    <w:rPr>
                      <w:rFonts w:hint="eastAsia"/>
                      <w:color w:val="auto"/>
                      <w:szCs w:val="21"/>
                      <w:lang w:val="en-US" w:eastAsia="zh-CN"/>
                    </w:rPr>
                    <w:t>0.012</w:t>
                  </w:r>
                </w:p>
              </w:tc>
              <w:tc>
                <w:tcPr>
                  <w:tcW w:w="865"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eastAsia" w:eastAsia="宋体"/>
                      <w:color w:val="auto"/>
                      <w:szCs w:val="21"/>
                      <w:lang w:val="en-US" w:eastAsia="zh-CN"/>
                    </w:rPr>
                  </w:pPr>
                  <w:r>
                    <w:rPr>
                      <w:rFonts w:hint="eastAsia"/>
                      <w:color w:val="auto"/>
                      <w:szCs w:val="21"/>
                      <w:lang w:val="en-US" w:eastAsia="zh-CN"/>
                    </w:rPr>
                    <w:t>0</w:t>
                  </w:r>
                </w:p>
              </w:tc>
              <w:tc>
                <w:tcPr>
                  <w:tcW w:w="718" w:type="pct"/>
                  <w:vAlign w:val="center"/>
                </w:tcPr>
                <w:p>
                  <w:pPr>
                    <w:keepNext w:val="0"/>
                    <w:keepLines w:val="0"/>
                    <w:pageBreakBefore w:val="0"/>
                    <w:kinsoku/>
                    <w:wordWrap/>
                    <w:overflowPunct/>
                    <w:topLinePunct w:val="0"/>
                    <w:autoSpaceDE/>
                    <w:autoSpaceDN/>
                    <w:bidi w:val="0"/>
                    <w:spacing w:before="63" w:beforeLines="20" w:after="63" w:afterLines="20"/>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color w:val="000000" w:themeColor="text1"/>
                      <w:szCs w:val="21"/>
                      <w14:textFill>
                        <w14:solidFill>
                          <w14:schemeClr w14:val="tx1"/>
                        </w14:solidFill>
                      </w14:textFill>
                    </w:rPr>
                    <w:t>/</w:t>
                  </w:r>
                </w:p>
              </w:tc>
              <w:tc>
                <w:tcPr>
                  <w:tcW w:w="720"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default" w:eastAsia="宋体"/>
                      <w:color w:val="auto"/>
                      <w:szCs w:val="21"/>
                      <w:lang w:val="en-US" w:eastAsia="zh-CN"/>
                    </w:rPr>
                  </w:pPr>
                  <w:r>
                    <w:rPr>
                      <w:rFonts w:hint="eastAsia"/>
                      <w:color w:val="auto"/>
                      <w:szCs w:val="21"/>
                      <w:lang w:val="en-US" w:eastAsia="zh-CN"/>
                    </w:rPr>
                    <w:t>0.012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5" w:type="pct"/>
                  <w:vMerge w:val="continue"/>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p>
              </w:tc>
              <w:tc>
                <w:tcPr>
                  <w:tcW w:w="668" w:type="pct"/>
                  <w:vMerge w:val="continue"/>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p>
              </w:tc>
              <w:tc>
                <w:tcPr>
                  <w:tcW w:w="686" w:type="pct"/>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105" w:leftChars="-50" w:right="-105" w:rightChars="-50"/>
                    <w:jc w:val="center"/>
                    <w:rPr>
                      <w:rFonts w:hint="default" w:eastAsia="宋体"/>
                      <w:color w:val="auto"/>
                      <w:szCs w:val="21"/>
                      <w:lang w:val="en-US" w:eastAsia="zh-CN"/>
                    </w:rPr>
                  </w:pPr>
                  <w:r>
                    <w:rPr>
                      <w:rFonts w:hint="eastAsia"/>
                      <w:color w:val="auto"/>
                      <w:szCs w:val="21"/>
                      <w:lang w:val="en-US" w:eastAsia="zh-CN"/>
                    </w:rPr>
                    <w:t>NOx</w:t>
                  </w:r>
                </w:p>
              </w:tc>
              <w:tc>
                <w:tcPr>
                  <w:tcW w:w="865" w:type="pct"/>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105" w:leftChars="-50" w:right="-105" w:rightChars="-50"/>
                    <w:jc w:val="center"/>
                    <w:rPr>
                      <w:rFonts w:hint="default" w:eastAsia="宋体"/>
                      <w:color w:val="auto"/>
                      <w:szCs w:val="21"/>
                      <w:lang w:val="en-US" w:eastAsia="zh-CN"/>
                    </w:rPr>
                  </w:pPr>
                  <w:r>
                    <w:rPr>
                      <w:rFonts w:hint="eastAsia"/>
                      <w:color w:val="auto"/>
                      <w:szCs w:val="21"/>
                      <w:lang w:val="en-US" w:eastAsia="zh-CN"/>
                    </w:rPr>
                    <w:t>0.02</w:t>
                  </w:r>
                </w:p>
              </w:tc>
              <w:tc>
                <w:tcPr>
                  <w:tcW w:w="865"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eastAsia" w:eastAsia="宋体"/>
                      <w:color w:val="auto"/>
                      <w:szCs w:val="21"/>
                      <w:lang w:val="en-US" w:eastAsia="zh-CN"/>
                    </w:rPr>
                  </w:pPr>
                  <w:r>
                    <w:rPr>
                      <w:rFonts w:hint="eastAsia"/>
                      <w:color w:val="auto"/>
                      <w:szCs w:val="21"/>
                      <w:lang w:val="en-US" w:eastAsia="zh-CN"/>
                    </w:rPr>
                    <w:t>0</w:t>
                  </w:r>
                </w:p>
              </w:tc>
              <w:tc>
                <w:tcPr>
                  <w:tcW w:w="718"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eastAsia" w:eastAsia="宋体"/>
                      <w:color w:val="auto"/>
                      <w:kern w:val="0"/>
                      <w:szCs w:val="21"/>
                      <w:lang w:val="en-US" w:eastAsia="zh-CN" w:bidi="ar"/>
                    </w:rPr>
                  </w:pPr>
                  <w:r>
                    <w:rPr>
                      <w:rFonts w:hint="eastAsia"/>
                      <w:color w:val="auto"/>
                      <w:kern w:val="0"/>
                      <w:szCs w:val="21"/>
                      <w:lang w:val="en-US" w:eastAsia="zh-CN" w:bidi="ar"/>
                    </w:rPr>
                    <w:t>/</w:t>
                  </w:r>
                </w:p>
              </w:tc>
              <w:tc>
                <w:tcPr>
                  <w:tcW w:w="720"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default" w:eastAsia="宋体"/>
                      <w:color w:val="auto"/>
                      <w:szCs w:val="21"/>
                      <w:lang w:val="en-US" w:eastAsia="zh-CN"/>
                    </w:rPr>
                  </w:pPr>
                  <w:r>
                    <w:rPr>
                      <w:rFonts w:hint="eastAsia"/>
                      <w:color w:val="auto"/>
                      <w:szCs w:val="21"/>
                      <w:lang w:val="en-US" w:eastAsia="zh-CN"/>
                    </w:rPr>
                    <w:t>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tblHeader/>
                <w:jc w:val="center"/>
              </w:trPr>
              <w:tc>
                <w:tcPr>
                  <w:tcW w:w="475" w:type="pct"/>
                  <w:vMerge w:val="continue"/>
                  <w:vAlign w:val="center"/>
                </w:tcPr>
                <w:p>
                  <w:pPr>
                    <w:keepNext w:val="0"/>
                    <w:keepLines w:val="0"/>
                    <w:pageBreakBefore w:val="0"/>
                    <w:kinsoku/>
                    <w:wordWrap/>
                    <w:overflowPunct/>
                    <w:topLinePunct w:val="0"/>
                    <w:autoSpaceDE/>
                    <w:autoSpaceDN/>
                    <w:bidi w:val="0"/>
                    <w:spacing w:before="63" w:beforeLines="20" w:after="63" w:afterLines="20"/>
                    <w:rPr>
                      <w:color w:val="000000" w:themeColor="text1"/>
                      <w:szCs w:val="21"/>
                      <w14:textFill>
                        <w14:solidFill>
                          <w14:schemeClr w14:val="tx1"/>
                        </w14:solidFill>
                      </w14:textFill>
                    </w:rPr>
                  </w:pPr>
                </w:p>
              </w:tc>
              <w:tc>
                <w:tcPr>
                  <w:tcW w:w="668" w:type="pct"/>
                  <w:vMerge w:val="restar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无组织废气</w:t>
                  </w:r>
                </w:p>
              </w:tc>
              <w:tc>
                <w:tcPr>
                  <w:tcW w:w="686" w:type="pct"/>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105" w:leftChars="-50" w:right="-105" w:rightChars="-50"/>
                    <w:jc w:val="center"/>
                    <w:rPr>
                      <w:color w:val="auto"/>
                      <w:szCs w:val="21"/>
                    </w:rPr>
                  </w:pPr>
                  <w:r>
                    <w:rPr>
                      <w:rFonts w:hint="eastAsia"/>
                      <w:color w:val="auto"/>
                      <w:szCs w:val="21"/>
                    </w:rPr>
                    <w:t>颗粒物</w:t>
                  </w:r>
                </w:p>
              </w:tc>
              <w:tc>
                <w:tcPr>
                  <w:tcW w:w="865"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default" w:eastAsia="宋体"/>
                      <w:color w:val="auto"/>
                      <w:kern w:val="0"/>
                      <w:szCs w:val="21"/>
                      <w:lang w:val="en-US" w:eastAsia="zh-CN"/>
                    </w:rPr>
                  </w:pPr>
                  <w:r>
                    <w:rPr>
                      <w:rFonts w:hint="eastAsia"/>
                      <w:color w:val="auto"/>
                      <w:kern w:val="0"/>
                      <w:szCs w:val="21"/>
                      <w:lang w:val="en-US" w:eastAsia="zh-CN"/>
                    </w:rPr>
                    <w:t>0.03</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rFonts w:hint="eastAsia" w:eastAsia="宋体"/>
                      <w:color w:val="auto"/>
                      <w:szCs w:val="21"/>
                      <w:lang w:val="en-US" w:eastAsia="zh-CN"/>
                    </w:rPr>
                  </w:pPr>
                  <w:r>
                    <w:rPr>
                      <w:rFonts w:hint="eastAsia"/>
                      <w:color w:val="auto"/>
                      <w:szCs w:val="21"/>
                      <w:lang w:val="en-US" w:eastAsia="zh-CN"/>
                    </w:rPr>
                    <w:t>0</w:t>
                  </w:r>
                </w:p>
              </w:tc>
              <w:tc>
                <w:tcPr>
                  <w:tcW w:w="718"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eastAsia" w:eastAsia="宋体"/>
                      <w:color w:val="auto"/>
                      <w:szCs w:val="21"/>
                      <w:lang w:val="en-US" w:eastAsia="zh-CN"/>
                    </w:rPr>
                  </w:pPr>
                  <w:r>
                    <w:rPr>
                      <w:rFonts w:hint="eastAsia"/>
                      <w:color w:val="auto"/>
                      <w:szCs w:val="21"/>
                      <w:lang w:val="en-US" w:eastAsia="zh-CN"/>
                    </w:rPr>
                    <w:t>/</w:t>
                  </w:r>
                </w:p>
              </w:tc>
              <w:tc>
                <w:tcPr>
                  <w:tcW w:w="720"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default" w:eastAsia="宋体"/>
                      <w:color w:val="auto"/>
                      <w:szCs w:val="21"/>
                      <w:lang w:val="en-US" w:eastAsia="zh-CN"/>
                    </w:rPr>
                  </w:pPr>
                  <w:r>
                    <w:rPr>
                      <w:rFonts w:hint="eastAsia"/>
                      <w:color w:val="auto"/>
                      <w:szCs w:val="21"/>
                      <w:lang w:val="en-US" w:eastAsia="zh-CN"/>
                    </w:rPr>
                    <w:t>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5" w:type="pct"/>
                  <w:vMerge w:val="continue"/>
                  <w:vAlign w:val="center"/>
                </w:tcPr>
                <w:p>
                  <w:pPr>
                    <w:keepNext w:val="0"/>
                    <w:keepLines w:val="0"/>
                    <w:pageBreakBefore w:val="0"/>
                    <w:kinsoku/>
                    <w:wordWrap/>
                    <w:overflowPunct/>
                    <w:topLinePunct w:val="0"/>
                    <w:autoSpaceDE/>
                    <w:autoSpaceDN/>
                    <w:bidi w:val="0"/>
                    <w:spacing w:before="63" w:beforeLines="20" w:after="63" w:afterLines="20"/>
                    <w:rPr>
                      <w:color w:val="000000" w:themeColor="text1"/>
                      <w:szCs w:val="21"/>
                      <w14:textFill>
                        <w14:solidFill>
                          <w14:schemeClr w14:val="tx1"/>
                        </w14:solidFill>
                      </w14:textFill>
                    </w:rPr>
                  </w:pPr>
                </w:p>
              </w:tc>
              <w:tc>
                <w:tcPr>
                  <w:tcW w:w="668" w:type="pct"/>
                  <w:vMerge w:val="continue"/>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p>
              </w:tc>
              <w:tc>
                <w:tcPr>
                  <w:tcW w:w="686" w:type="pct"/>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105" w:leftChars="-50" w:right="-105" w:rightChars="-50"/>
                    <w:jc w:val="center"/>
                    <w:rPr>
                      <w:rFonts w:hint="eastAsia" w:eastAsia="宋体"/>
                      <w:color w:val="auto"/>
                      <w:szCs w:val="21"/>
                      <w:lang w:eastAsia="zh-CN"/>
                    </w:rPr>
                  </w:pPr>
                  <w:r>
                    <w:rPr>
                      <w:rFonts w:hint="eastAsia"/>
                      <w:color w:val="auto"/>
                      <w:szCs w:val="21"/>
                      <w:lang w:eastAsia="zh-CN"/>
                    </w:rPr>
                    <w:t>非甲烷总烃</w:t>
                  </w:r>
                </w:p>
              </w:tc>
              <w:tc>
                <w:tcPr>
                  <w:tcW w:w="865"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default" w:eastAsia="宋体"/>
                      <w:color w:val="auto"/>
                      <w:szCs w:val="21"/>
                      <w:lang w:val="en-US" w:eastAsia="zh-CN"/>
                    </w:rPr>
                  </w:pPr>
                  <w:r>
                    <w:rPr>
                      <w:rFonts w:hint="eastAsia"/>
                      <w:color w:val="auto"/>
                      <w:szCs w:val="21"/>
                      <w:lang w:val="en-US" w:eastAsia="zh-CN"/>
                    </w:rPr>
                    <w:t>0.001</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rFonts w:hint="eastAsia" w:eastAsia="宋体"/>
                      <w:color w:val="auto"/>
                      <w:szCs w:val="21"/>
                      <w:lang w:val="en-US" w:eastAsia="zh-CN"/>
                    </w:rPr>
                  </w:pPr>
                  <w:r>
                    <w:rPr>
                      <w:rFonts w:hint="eastAsia"/>
                      <w:color w:val="auto"/>
                      <w:szCs w:val="21"/>
                      <w:lang w:val="en-US" w:eastAsia="zh-CN"/>
                    </w:rPr>
                    <w:t>0</w:t>
                  </w:r>
                </w:p>
              </w:tc>
              <w:tc>
                <w:tcPr>
                  <w:tcW w:w="718"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eastAsia" w:eastAsia="宋体"/>
                      <w:color w:val="auto"/>
                      <w:szCs w:val="21"/>
                      <w:lang w:val="en-US" w:eastAsia="zh-CN"/>
                    </w:rPr>
                  </w:pPr>
                  <w:r>
                    <w:rPr>
                      <w:rFonts w:hint="eastAsia"/>
                      <w:color w:val="auto"/>
                      <w:szCs w:val="21"/>
                      <w:lang w:val="en-US" w:eastAsia="zh-CN"/>
                    </w:rPr>
                    <w:t>/</w:t>
                  </w:r>
                </w:p>
              </w:tc>
              <w:tc>
                <w:tcPr>
                  <w:tcW w:w="720" w:type="pc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default" w:eastAsia="宋体"/>
                      <w:color w:val="auto"/>
                      <w:szCs w:val="21"/>
                      <w:lang w:val="en-US" w:eastAsia="zh-CN"/>
                    </w:rPr>
                  </w:pPr>
                  <w:r>
                    <w:rPr>
                      <w:rFonts w:hint="eastAsia"/>
                      <w:color w:val="auto"/>
                      <w:szCs w:val="21"/>
                      <w:lang w:val="en-US" w:eastAsia="zh-CN"/>
                    </w:rPr>
                    <w:t>0.001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5" w:type="pct"/>
                  <w:vMerge w:val="restar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固废</w:t>
                  </w:r>
                </w:p>
              </w:tc>
              <w:tc>
                <w:tcPr>
                  <w:tcW w:w="1354" w:type="pct"/>
                  <w:gridSpan w:val="2"/>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生活垃圾</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rFonts w:hint="default" w:eastAsia="宋体"/>
                      <w:szCs w:val="21"/>
                      <w:lang w:val="en-US" w:eastAsia="zh-CN"/>
                    </w:rPr>
                  </w:pPr>
                  <w:r>
                    <w:rPr>
                      <w:rFonts w:hint="eastAsia"/>
                      <w:szCs w:val="21"/>
                      <w:lang w:val="en-US" w:eastAsia="zh-CN"/>
                    </w:rPr>
                    <w:t>7.5</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rFonts w:hint="default" w:eastAsia="宋体"/>
                      <w:color w:val="000000" w:themeColor="text1"/>
                      <w:szCs w:val="21"/>
                      <w:lang w:val="en-US" w:eastAsia="zh-CN"/>
                      <w14:textFill>
                        <w14:solidFill>
                          <w14:schemeClr w14:val="tx1"/>
                        </w14:solidFill>
                      </w14:textFill>
                    </w:rPr>
                  </w:pPr>
                  <w:r>
                    <w:rPr>
                      <w:rFonts w:hint="eastAsia"/>
                      <w:szCs w:val="21"/>
                      <w:lang w:val="en-US" w:eastAsia="zh-CN"/>
                    </w:rPr>
                    <w:t>7.5</w:t>
                  </w:r>
                </w:p>
              </w:tc>
              <w:tc>
                <w:tcPr>
                  <w:tcW w:w="718" w:type="pc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720" w:type="pc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5" w:type="pct"/>
                  <w:vMerge w:val="continue"/>
                  <w:vAlign w:val="center"/>
                </w:tcPr>
                <w:p>
                  <w:pPr>
                    <w:keepNext w:val="0"/>
                    <w:keepLines w:val="0"/>
                    <w:pageBreakBefore w:val="0"/>
                    <w:kinsoku/>
                    <w:wordWrap/>
                    <w:overflowPunct/>
                    <w:topLinePunct w:val="0"/>
                    <w:autoSpaceDE/>
                    <w:autoSpaceDN/>
                    <w:bidi w:val="0"/>
                    <w:spacing w:before="63" w:beforeLines="20" w:after="63" w:afterLines="20"/>
                    <w:rPr>
                      <w:color w:val="000000" w:themeColor="text1"/>
                      <w:szCs w:val="21"/>
                      <w14:textFill>
                        <w14:solidFill>
                          <w14:schemeClr w14:val="tx1"/>
                        </w14:solidFill>
                      </w14:textFill>
                    </w:rPr>
                  </w:pPr>
                </w:p>
              </w:tc>
              <w:tc>
                <w:tcPr>
                  <w:tcW w:w="1354" w:type="pct"/>
                  <w:gridSpan w:val="2"/>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一般固废</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rFonts w:hint="default" w:eastAsia="宋体"/>
                      <w:szCs w:val="21"/>
                      <w:lang w:val="en-US" w:eastAsia="zh-CN"/>
                    </w:rPr>
                  </w:pPr>
                  <w:r>
                    <w:rPr>
                      <w:rFonts w:hint="eastAsia"/>
                      <w:szCs w:val="21"/>
                      <w:lang w:val="en-US" w:eastAsia="zh-CN"/>
                    </w:rPr>
                    <w:t>0.43</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rFonts w:hint="eastAsia"/>
                      <w:szCs w:val="21"/>
                    </w:rPr>
                    <w:t>10.5</w:t>
                  </w:r>
                </w:p>
              </w:tc>
              <w:tc>
                <w:tcPr>
                  <w:tcW w:w="718" w:type="pc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720" w:type="pc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75" w:type="pct"/>
                  <w:vMerge w:val="continue"/>
                  <w:vAlign w:val="center"/>
                </w:tcPr>
                <w:p>
                  <w:pPr>
                    <w:keepNext w:val="0"/>
                    <w:keepLines w:val="0"/>
                    <w:pageBreakBefore w:val="0"/>
                    <w:kinsoku/>
                    <w:wordWrap/>
                    <w:overflowPunct/>
                    <w:topLinePunct w:val="0"/>
                    <w:autoSpaceDE/>
                    <w:autoSpaceDN/>
                    <w:bidi w:val="0"/>
                    <w:spacing w:before="63" w:beforeLines="20" w:after="63" w:afterLines="20"/>
                    <w:rPr>
                      <w:color w:val="000000" w:themeColor="text1"/>
                      <w:szCs w:val="21"/>
                      <w14:textFill>
                        <w14:solidFill>
                          <w14:schemeClr w14:val="tx1"/>
                        </w14:solidFill>
                      </w14:textFill>
                    </w:rPr>
                  </w:pPr>
                </w:p>
              </w:tc>
              <w:tc>
                <w:tcPr>
                  <w:tcW w:w="1354" w:type="pct"/>
                  <w:gridSpan w:val="2"/>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危险固废</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color w:val="FF0000"/>
                      <w:szCs w:val="21"/>
                    </w:rPr>
                  </w:pPr>
                  <w:r>
                    <w:rPr>
                      <w:rFonts w:hint="eastAsia"/>
                      <w:szCs w:val="21"/>
                      <w:lang w:val="en-US" w:eastAsia="zh-CN"/>
                    </w:rPr>
                    <w:t>0.926</w:t>
                  </w:r>
                  <w:r>
                    <w:rPr>
                      <w:rFonts w:hint="eastAsia"/>
                      <w:szCs w:val="21"/>
                    </w:rPr>
                    <w:t>t/a+</w:t>
                  </w:r>
                  <w:r>
                    <w:rPr>
                      <w:rFonts w:hint="eastAsia"/>
                      <w:szCs w:val="21"/>
                      <w:lang w:val="en-US" w:eastAsia="zh-CN"/>
                    </w:rPr>
                    <w:t>10</w:t>
                  </w:r>
                  <w:r>
                    <w:rPr>
                      <w:rFonts w:hint="eastAsia"/>
                      <w:szCs w:val="21"/>
                    </w:rPr>
                    <w:t>只/a</w:t>
                  </w:r>
                </w:p>
              </w:tc>
              <w:tc>
                <w:tcPr>
                  <w:tcW w:w="865" w:type="pct"/>
                  <w:vAlign w:val="center"/>
                </w:tcPr>
                <w:p>
                  <w:pPr>
                    <w:keepNext w:val="0"/>
                    <w:keepLines w:val="0"/>
                    <w:pageBreakBefore w:val="0"/>
                    <w:kinsoku/>
                    <w:wordWrap/>
                    <w:overflowPunct/>
                    <w:topLinePunct w:val="0"/>
                    <w:autoSpaceDE/>
                    <w:autoSpaceDN/>
                    <w:bidi w:val="0"/>
                    <w:spacing w:before="63" w:beforeLines="20" w:after="63" w:afterLines="20"/>
                    <w:jc w:val="center"/>
                    <w:rPr>
                      <w:color w:val="FF0000"/>
                      <w:szCs w:val="21"/>
                    </w:rPr>
                  </w:pPr>
                  <w:r>
                    <w:rPr>
                      <w:rFonts w:hint="eastAsia"/>
                      <w:szCs w:val="21"/>
                      <w:lang w:val="en-US" w:eastAsia="zh-CN"/>
                    </w:rPr>
                    <w:t>0.926</w:t>
                  </w:r>
                  <w:r>
                    <w:rPr>
                      <w:rFonts w:hint="eastAsia"/>
                      <w:szCs w:val="21"/>
                    </w:rPr>
                    <w:t>t/a+</w:t>
                  </w:r>
                  <w:r>
                    <w:rPr>
                      <w:rFonts w:hint="eastAsia"/>
                      <w:szCs w:val="21"/>
                      <w:lang w:val="en-US" w:eastAsia="zh-CN"/>
                    </w:rPr>
                    <w:t>10</w:t>
                  </w:r>
                  <w:r>
                    <w:rPr>
                      <w:rFonts w:hint="eastAsia"/>
                      <w:szCs w:val="21"/>
                    </w:rPr>
                    <w:t>只/a</w:t>
                  </w:r>
                </w:p>
              </w:tc>
              <w:tc>
                <w:tcPr>
                  <w:tcW w:w="718" w:type="pc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w:t>
                  </w:r>
                </w:p>
              </w:tc>
              <w:tc>
                <w:tcPr>
                  <w:tcW w:w="720" w:type="pct"/>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0</w:t>
                  </w:r>
                </w:p>
              </w:tc>
            </w:tr>
          </w:tbl>
          <w:p>
            <w:pPr>
              <w:pStyle w:val="2"/>
              <w:rPr>
                <w:color w:val="000000" w:themeColor="text1"/>
                <w14:textFill>
                  <w14:solidFill>
                    <w14:schemeClr w14:val="tx1"/>
                  </w14:solidFill>
                </w14:textFill>
              </w:rPr>
            </w:pPr>
          </w:p>
        </w:tc>
      </w:tr>
    </w:tbl>
    <w:p>
      <w:pPr>
        <w:pStyle w:val="23"/>
        <w:rPr>
          <w:rFonts w:ascii="Times New Roman"/>
          <w:color w:val="000000" w:themeColor="text1"/>
          <w14:textFill>
            <w14:solidFill>
              <w14:schemeClr w14:val="tx1"/>
            </w14:solidFill>
          </w14:textFill>
        </w:rPr>
        <w:sectPr>
          <w:pgSz w:w="11906" w:h="16838"/>
          <w:pgMar w:top="1440" w:right="1797" w:bottom="1440" w:left="1797" w:header="851" w:footer="992" w:gutter="0"/>
          <w:pgBorders>
            <w:top w:val="none" w:sz="0" w:space="0"/>
            <w:left w:val="none" w:sz="0" w:space="0"/>
            <w:bottom w:val="none" w:sz="0" w:space="0"/>
            <w:right w:val="none" w:sz="0" w:space="0"/>
          </w:pgBorders>
          <w:cols w:space="720" w:num="1"/>
          <w:docGrid w:type="linesAndChars" w:linePitch="312" w:charSpace="0"/>
        </w:sectPr>
      </w:pPr>
    </w:p>
    <w:p>
      <w:pPr>
        <w:pStyle w:val="23"/>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项目主要污染物产生及预计排放情况</w:t>
      </w:r>
    </w:p>
    <w:tbl>
      <w:tblPr>
        <w:tblStyle w:val="17"/>
        <w:tblW w:w="907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331"/>
        <w:gridCol w:w="1601"/>
        <w:gridCol w:w="1275"/>
        <w:gridCol w:w="1149"/>
        <w:gridCol w:w="1150"/>
        <w:gridCol w:w="1283"/>
        <w:gridCol w:w="128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1331" w:type="dxa"/>
            <w:tcBorders>
              <w:tl2br w:val="single" w:color="auto" w:sz="6" w:space="0"/>
            </w:tcBorders>
            <w:vAlign w:val="center"/>
          </w:tcPr>
          <w:p>
            <w:pPr>
              <w:snapToGrid w:val="0"/>
              <w:jc w:val="right"/>
              <w:rPr>
                <w:b/>
                <w:szCs w:val="21"/>
              </w:rPr>
            </w:pPr>
            <w:r>
              <w:rPr>
                <w:b/>
                <w:szCs w:val="21"/>
              </w:rPr>
              <w:t>内容</w:t>
            </w:r>
          </w:p>
          <w:p>
            <w:pPr>
              <w:snapToGrid w:val="0"/>
              <w:rPr>
                <w:b/>
                <w:szCs w:val="21"/>
              </w:rPr>
            </w:pPr>
            <w:r>
              <w:rPr>
                <w:b/>
                <w:szCs w:val="21"/>
              </w:rPr>
              <w:t>类型</w:t>
            </w:r>
          </w:p>
        </w:tc>
        <w:tc>
          <w:tcPr>
            <w:tcW w:w="1601" w:type="dxa"/>
            <w:vAlign w:val="center"/>
          </w:tcPr>
          <w:p>
            <w:pPr>
              <w:snapToGrid w:val="0"/>
              <w:jc w:val="center"/>
              <w:rPr>
                <w:b/>
                <w:szCs w:val="21"/>
              </w:rPr>
            </w:pPr>
            <w:r>
              <w:rPr>
                <w:b/>
                <w:szCs w:val="21"/>
              </w:rPr>
              <w:t>排放源</w:t>
            </w:r>
          </w:p>
          <w:p>
            <w:pPr>
              <w:snapToGrid w:val="0"/>
              <w:jc w:val="center"/>
              <w:rPr>
                <w:b/>
                <w:szCs w:val="21"/>
              </w:rPr>
            </w:pPr>
            <w:r>
              <w:rPr>
                <w:b/>
                <w:szCs w:val="21"/>
              </w:rPr>
              <w:t>（编号）</w:t>
            </w:r>
          </w:p>
        </w:tc>
        <w:tc>
          <w:tcPr>
            <w:tcW w:w="1275" w:type="dxa"/>
            <w:tcBorders>
              <w:bottom w:val="single" w:color="auto" w:sz="4" w:space="0"/>
            </w:tcBorders>
            <w:vAlign w:val="center"/>
          </w:tcPr>
          <w:p>
            <w:pPr>
              <w:snapToGrid w:val="0"/>
              <w:jc w:val="center"/>
              <w:rPr>
                <w:b/>
                <w:spacing w:val="-4"/>
                <w:szCs w:val="21"/>
              </w:rPr>
            </w:pPr>
            <w:r>
              <w:rPr>
                <w:b/>
                <w:spacing w:val="-4"/>
                <w:szCs w:val="21"/>
              </w:rPr>
              <w:t>污染物</w:t>
            </w:r>
          </w:p>
          <w:p>
            <w:pPr>
              <w:snapToGrid w:val="0"/>
              <w:jc w:val="center"/>
              <w:rPr>
                <w:b/>
                <w:spacing w:val="-4"/>
                <w:szCs w:val="21"/>
              </w:rPr>
            </w:pPr>
            <w:r>
              <w:rPr>
                <w:b/>
                <w:spacing w:val="-4"/>
                <w:szCs w:val="21"/>
              </w:rPr>
              <w:t>名称</w:t>
            </w:r>
          </w:p>
        </w:tc>
        <w:tc>
          <w:tcPr>
            <w:tcW w:w="2299" w:type="dxa"/>
            <w:gridSpan w:val="2"/>
            <w:tcBorders>
              <w:bottom w:val="single" w:color="auto" w:sz="4" w:space="0"/>
            </w:tcBorders>
            <w:vAlign w:val="center"/>
          </w:tcPr>
          <w:p>
            <w:pPr>
              <w:snapToGrid w:val="0"/>
              <w:jc w:val="center"/>
              <w:rPr>
                <w:b/>
                <w:szCs w:val="21"/>
              </w:rPr>
            </w:pPr>
            <w:r>
              <w:rPr>
                <w:b/>
                <w:szCs w:val="21"/>
              </w:rPr>
              <w:t>处理前产生浓度及产生量（单位）</w:t>
            </w:r>
          </w:p>
        </w:tc>
        <w:tc>
          <w:tcPr>
            <w:tcW w:w="2566" w:type="dxa"/>
            <w:gridSpan w:val="2"/>
            <w:tcBorders>
              <w:bottom w:val="single" w:color="auto" w:sz="4" w:space="0"/>
            </w:tcBorders>
            <w:vAlign w:val="center"/>
          </w:tcPr>
          <w:p>
            <w:pPr>
              <w:snapToGrid w:val="0"/>
              <w:jc w:val="center"/>
              <w:rPr>
                <w:b/>
                <w:szCs w:val="21"/>
              </w:rPr>
            </w:pPr>
            <w:r>
              <w:rPr>
                <w:b/>
                <w:szCs w:val="21"/>
              </w:rPr>
              <w:t>排放浓度及排放量（单位）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638" w:hRule="atLeast"/>
          <w:jc w:val="center"/>
        </w:trPr>
        <w:tc>
          <w:tcPr>
            <w:tcW w:w="1331" w:type="dxa"/>
            <w:vMerge w:val="restart"/>
            <w:vAlign w:val="center"/>
          </w:tcPr>
          <w:p>
            <w:pPr>
              <w:snapToGrid w:val="0"/>
              <w:jc w:val="center"/>
              <w:rPr>
                <w:szCs w:val="21"/>
              </w:rPr>
            </w:pPr>
            <w:r>
              <w:rPr>
                <w:szCs w:val="21"/>
              </w:rPr>
              <w:t>大气污染物</w:t>
            </w:r>
          </w:p>
        </w:tc>
        <w:tc>
          <w:tcPr>
            <w:tcW w:w="1601" w:type="dxa"/>
            <w:vMerge w:val="restart"/>
            <w:tcBorders>
              <w:top w:val="single" w:color="auto" w:sz="4" w:space="0"/>
            </w:tcBorders>
            <w:vAlign w:val="center"/>
          </w:tcPr>
          <w:p>
            <w:pPr>
              <w:adjustRightInd w:val="0"/>
              <w:snapToGrid w:val="0"/>
              <w:jc w:val="center"/>
              <w:rPr>
                <w:szCs w:val="21"/>
              </w:rPr>
            </w:pPr>
            <w:r>
              <w:rPr>
                <w:szCs w:val="21"/>
              </w:rPr>
              <w:t>有组织（1#）</w:t>
            </w:r>
          </w:p>
        </w:tc>
        <w:tc>
          <w:tcPr>
            <w:tcW w:w="1275" w:type="dxa"/>
            <w:tcBorders>
              <w:top w:val="single" w:color="auto" w:sz="4" w:space="0"/>
            </w:tcBorders>
            <w:vAlign w:val="center"/>
          </w:tcPr>
          <w:p>
            <w:pPr>
              <w:adjustRightInd w:val="0"/>
              <w:snapToGrid w:val="0"/>
              <w:ind w:left="-105" w:leftChars="-50" w:right="-105" w:rightChars="-5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w:t>
            </w:r>
          </w:p>
        </w:tc>
        <w:tc>
          <w:tcPr>
            <w:tcW w:w="1149" w:type="dxa"/>
            <w:tcBorders>
              <w:top w:val="single" w:color="auto" w:sz="4" w:space="0"/>
            </w:tcBorders>
            <w:vAlign w:val="center"/>
          </w:tcPr>
          <w:p>
            <w:pPr>
              <w:jc w:val="center"/>
              <w:rPr>
                <w:b/>
                <w:bCs/>
                <w:szCs w:val="21"/>
              </w:rPr>
            </w:pPr>
            <w:r>
              <w:rPr>
                <w:b/>
                <w:bCs/>
                <w:snapToGrid w:val="0"/>
                <w:szCs w:val="21"/>
              </w:rPr>
              <w:t>mg/m</w:t>
            </w:r>
            <w:r>
              <w:rPr>
                <w:b/>
                <w:bCs/>
                <w:snapToGrid w:val="0"/>
                <w:szCs w:val="21"/>
                <w:vertAlign w:val="superscript"/>
              </w:rPr>
              <w:t>3</w:t>
            </w:r>
          </w:p>
        </w:tc>
        <w:tc>
          <w:tcPr>
            <w:tcW w:w="1150" w:type="dxa"/>
            <w:tcBorders>
              <w:top w:val="single" w:color="auto" w:sz="4" w:space="0"/>
            </w:tcBorders>
            <w:vAlign w:val="center"/>
          </w:tcPr>
          <w:p>
            <w:pPr>
              <w:jc w:val="center"/>
              <w:rPr>
                <w:b/>
                <w:bCs/>
                <w:szCs w:val="21"/>
              </w:rPr>
            </w:pPr>
            <w:r>
              <w:rPr>
                <w:b/>
                <w:bCs/>
              </w:rPr>
              <w:t>t/a</w:t>
            </w:r>
          </w:p>
        </w:tc>
        <w:tc>
          <w:tcPr>
            <w:tcW w:w="1283" w:type="dxa"/>
            <w:tcBorders>
              <w:top w:val="single" w:color="auto" w:sz="4" w:space="0"/>
            </w:tcBorders>
            <w:vAlign w:val="center"/>
          </w:tcPr>
          <w:p>
            <w:pPr>
              <w:jc w:val="center"/>
              <w:rPr>
                <w:b/>
                <w:bCs/>
                <w:szCs w:val="21"/>
              </w:rPr>
            </w:pPr>
            <w:r>
              <w:rPr>
                <w:b/>
                <w:bCs/>
                <w:snapToGrid w:val="0"/>
                <w:szCs w:val="21"/>
              </w:rPr>
              <w:t>mg/m</w:t>
            </w:r>
            <w:r>
              <w:rPr>
                <w:b/>
                <w:bCs/>
                <w:snapToGrid w:val="0"/>
                <w:szCs w:val="21"/>
                <w:vertAlign w:val="superscript"/>
              </w:rPr>
              <w:t>3</w:t>
            </w:r>
          </w:p>
        </w:tc>
        <w:tc>
          <w:tcPr>
            <w:tcW w:w="1283" w:type="dxa"/>
            <w:tcBorders>
              <w:top w:val="single" w:color="auto" w:sz="4" w:space="0"/>
            </w:tcBorders>
            <w:vAlign w:val="center"/>
          </w:tcPr>
          <w:p>
            <w:pPr>
              <w:jc w:val="center"/>
              <w:rPr>
                <w:b/>
                <w:bCs/>
              </w:rPr>
            </w:pPr>
            <w:r>
              <w:rPr>
                <w:b/>
                <w:bCs/>
              </w:rPr>
              <w:t>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638" w:hRule="atLeast"/>
          <w:jc w:val="center"/>
        </w:trPr>
        <w:tc>
          <w:tcPr>
            <w:tcW w:w="1331" w:type="dxa"/>
            <w:vMerge w:val="continue"/>
            <w:vAlign w:val="center"/>
          </w:tcPr>
          <w:p>
            <w:pPr>
              <w:snapToGrid w:val="0"/>
              <w:jc w:val="center"/>
              <w:rPr>
                <w:szCs w:val="21"/>
              </w:rPr>
            </w:pPr>
          </w:p>
        </w:tc>
        <w:tc>
          <w:tcPr>
            <w:tcW w:w="1601" w:type="dxa"/>
            <w:vMerge w:val="continue"/>
            <w:vAlign w:val="center"/>
          </w:tcPr>
          <w:p>
            <w:pPr>
              <w:adjustRightInd w:val="0"/>
              <w:snapToGrid w:val="0"/>
              <w:jc w:val="center"/>
              <w:rPr>
                <w:szCs w:val="21"/>
              </w:rPr>
            </w:pPr>
          </w:p>
        </w:tc>
        <w:tc>
          <w:tcPr>
            <w:tcW w:w="1275" w:type="dxa"/>
            <w:tcBorders>
              <w:top w:val="single" w:color="auto" w:sz="4" w:space="0"/>
            </w:tcBorders>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105" w:leftChars="-50" w:right="-105" w:rightChars="-50"/>
              <w:jc w:val="center"/>
              <w:rPr>
                <w:color w:val="FF0000"/>
                <w:szCs w:val="21"/>
              </w:rPr>
            </w:pPr>
            <w:r>
              <w:rPr>
                <w:rFonts w:hint="eastAsia"/>
                <w:color w:val="auto"/>
                <w:szCs w:val="21"/>
              </w:rPr>
              <w:t>颗粒物</w:t>
            </w:r>
          </w:p>
        </w:tc>
        <w:tc>
          <w:tcPr>
            <w:tcW w:w="1149" w:type="dxa"/>
            <w:tcBorders>
              <w:top w:val="single" w:color="auto" w:sz="4" w:space="0"/>
            </w:tcBorders>
            <w:vAlign w:val="center"/>
          </w:tcPr>
          <w:p>
            <w:pPr>
              <w:widowControl/>
              <w:jc w:val="center"/>
              <w:textAlignment w:val="center"/>
              <w:rPr>
                <w:rFonts w:hint="default" w:eastAsia="宋体"/>
                <w:color w:val="FF0000"/>
                <w:szCs w:val="21"/>
                <w:lang w:val="en-US" w:eastAsia="zh-CN"/>
              </w:rPr>
            </w:pPr>
            <w:r>
              <w:rPr>
                <w:rFonts w:hint="eastAsia"/>
                <w:color w:val="auto"/>
                <w:szCs w:val="21"/>
                <w:lang w:val="en-US" w:eastAsia="zh-CN"/>
              </w:rPr>
              <w:t>130.36</w:t>
            </w:r>
          </w:p>
        </w:tc>
        <w:tc>
          <w:tcPr>
            <w:tcW w:w="1150" w:type="dxa"/>
            <w:tcBorders>
              <w:top w:val="single" w:color="auto" w:sz="4" w:space="0"/>
            </w:tcBorders>
            <w:vAlign w:val="center"/>
          </w:tcPr>
          <w:p>
            <w:pPr>
              <w:jc w:val="center"/>
              <w:rPr>
                <w:rFonts w:hint="default" w:eastAsia="宋体"/>
                <w:color w:val="FF0000"/>
                <w:szCs w:val="21"/>
                <w:lang w:val="en-US" w:eastAsia="zh-CN"/>
              </w:rPr>
            </w:pPr>
            <w:r>
              <w:rPr>
                <w:rFonts w:hint="eastAsia"/>
                <w:color w:val="auto"/>
                <w:szCs w:val="21"/>
                <w:lang w:val="en-US" w:eastAsia="zh-CN"/>
              </w:rPr>
              <w:t>1.627</w:t>
            </w:r>
          </w:p>
        </w:tc>
        <w:tc>
          <w:tcPr>
            <w:tcW w:w="1283" w:type="dxa"/>
            <w:tcBorders>
              <w:top w:val="single" w:color="auto" w:sz="4" w:space="0"/>
            </w:tcBorders>
            <w:vAlign w:val="center"/>
          </w:tcPr>
          <w:p>
            <w:pPr>
              <w:keepNext w:val="0"/>
              <w:keepLines w:val="0"/>
              <w:widowControl/>
              <w:suppressLineNumbers w:val="0"/>
              <w:jc w:val="center"/>
              <w:textAlignment w:val="center"/>
              <w:rPr>
                <w:rFonts w:hint="default" w:eastAsia="宋体"/>
                <w:color w:val="auto"/>
                <w:szCs w:val="21"/>
                <w:lang w:val="en-US" w:eastAsia="zh-CN"/>
              </w:rPr>
            </w:pPr>
            <w:r>
              <w:rPr>
                <w:rFonts w:hint="eastAsia"/>
                <w:color w:val="auto"/>
                <w:szCs w:val="21"/>
                <w:lang w:val="en-US" w:eastAsia="zh-CN"/>
              </w:rPr>
              <w:t>1.46</w:t>
            </w:r>
          </w:p>
        </w:tc>
        <w:tc>
          <w:tcPr>
            <w:tcW w:w="1283" w:type="dxa"/>
            <w:tcBorders>
              <w:top w:val="single" w:color="auto" w:sz="4" w:space="0"/>
            </w:tcBorders>
            <w:vAlign w:val="center"/>
          </w:tcPr>
          <w:p>
            <w:pPr>
              <w:widowControl/>
              <w:jc w:val="center"/>
              <w:textAlignment w:val="center"/>
              <w:rPr>
                <w:rFonts w:hint="default" w:eastAsia="宋体"/>
                <w:color w:val="auto"/>
                <w:szCs w:val="21"/>
                <w:lang w:val="en-US" w:eastAsia="zh-CN"/>
              </w:rPr>
            </w:pPr>
            <w:r>
              <w:rPr>
                <w:rFonts w:hint="eastAsia"/>
                <w:color w:val="auto"/>
                <w:szCs w:val="21"/>
                <w:lang w:val="en-US" w:eastAsia="zh-CN"/>
              </w:rPr>
              <w:t>0.027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83" w:hRule="atLeast"/>
          <w:jc w:val="center"/>
        </w:trPr>
        <w:tc>
          <w:tcPr>
            <w:tcW w:w="1331" w:type="dxa"/>
            <w:vMerge w:val="continue"/>
            <w:vAlign w:val="center"/>
          </w:tcPr>
          <w:p>
            <w:pPr>
              <w:snapToGrid w:val="0"/>
              <w:jc w:val="center"/>
              <w:rPr>
                <w:szCs w:val="21"/>
              </w:rPr>
            </w:pPr>
          </w:p>
        </w:tc>
        <w:tc>
          <w:tcPr>
            <w:tcW w:w="1601" w:type="dxa"/>
            <w:vMerge w:val="continue"/>
            <w:vAlign w:val="center"/>
          </w:tcPr>
          <w:p>
            <w:pPr>
              <w:adjustRightInd w:val="0"/>
              <w:snapToGrid w:val="0"/>
              <w:jc w:val="center"/>
              <w:rPr>
                <w:szCs w:val="21"/>
              </w:rPr>
            </w:pPr>
          </w:p>
        </w:tc>
        <w:tc>
          <w:tcPr>
            <w:tcW w:w="1275" w:type="dxa"/>
            <w:tcBorders>
              <w:top w:val="single" w:color="auto" w:sz="4" w:space="0"/>
            </w:tcBorders>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105" w:leftChars="-50" w:right="-105" w:rightChars="-50"/>
              <w:jc w:val="center"/>
              <w:rPr>
                <w:szCs w:val="21"/>
              </w:rPr>
            </w:pPr>
            <w:r>
              <w:rPr>
                <w:rFonts w:hint="eastAsia"/>
                <w:color w:val="auto"/>
                <w:szCs w:val="21"/>
                <w:lang w:eastAsia="zh-CN"/>
              </w:rPr>
              <w:t>非甲烷总烃</w:t>
            </w:r>
          </w:p>
        </w:tc>
        <w:tc>
          <w:tcPr>
            <w:tcW w:w="1149" w:type="dxa"/>
            <w:tcBorders>
              <w:top w:val="single" w:color="auto" w:sz="4" w:space="0"/>
            </w:tcBorders>
            <w:vAlign w:val="center"/>
          </w:tcPr>
          <w:p>
            <w:pPr>
              <w:widowControl/>
              <w:jc w:val="center"/>
              <w:textAlignment w:val="center"/>
              <w:rPr>
                <w:rFonts w:hint="default" w:eastAsia="宋体"/>
                <w:szCs w:val="21"/>
                <w:lang w:val="en-US" w:eastAsia="zh-CN"/>
              </w:rPr>
            </w:pPr>
            <w:r>
              <w:rPr>
                <w:rFonts w:hint="eastAsia"/>
                <w:szCs w:val="21"/>
                <w:lang w:val="en-US" w:eastAsia="zh-CN"/>
              </w:rPr>
              <w:t>2.9</w:t>
            </w:r>
          </w:p>
        </w:tc>
        <w:tc>
          <w:tcPr>
            <w:tcW w:w="1150" w:type="dxa"/>
            <w:tcBorders>
              <w:top w:val="single" w:color="auto" w:sz="4" w:space="0"/>
            </w:tcBorders>
            <w:vAlign w:val="center"/>
          </w:tcPr>
          <w:p>
            <w:pPr>
              <w:jc w:val="center"/>
              <w:rPr>
                <w:rFonts w:hint="default" w:eastAsia="宋体"/>
                <w:szCs w:val="21"/>
                <w:lang w:val="en-US" w:eastAsia="zh-CN"/>
              </w:rPr>
            </w:pPr>
            <w:r>
              <w:rPr>
                <w:rFonts w:hint="eastAsia"/>
                <w:szCs w:val="21"/>
                <w:lang w:val="en-US" w:eastAsia="zh-CN"/>
              </w:rPr>
              <w:t>0.029</w:t>
            </w:r>
          </w:p>
        </w:tc>
        <w:tc>
          <w:tcPr>
            <w:tcW w:w="1283" w:type="dxa"/>
            <w:tcBorders>
              <w:top w:val="single" w:color="auto" w:sz="4" w:space="0"/>
            </w:tcBorders>
            <w:vAlign w:val="center"/>
          </w:tcPr>
          <w:p>
            <w:pPr>
              <w:keepNext w:val="0"/>
              <w:keepLines w:val="0"/>
              <w:widowControl/>
              <w:suppressLineNumbers w:val="0"/>
              <w:jc w:val="center"/>
              <w:textAlignment w:val="center"/>
              <w:rPr>
                <w:rFonts w:hint="default" w:eastAsia="宋体"/>
                <w:szCs w:val="21"/>
                <w:lang w:val="en-US" w:eastAsia="zh-CN"/>
              </w:rPr>
            </w:pPr>
            <w:r>
              <w:rPr>
                <w:rFonts w:hint="eastAsia"/>
                <w:szCs w:val="21"/>
                <w:lang w:val="en-US" w:eastAsia="zh-CN"/>
              </w:rPr>
              <w:t>0.1</w:t>
            </w:r>
          </w:p>
        </w:tc>
        <w:tc>
          <w:tcPr>
            <w:tcW w:w="1283" w:type="dxa"/>
            <w:tcBorders>
              <w:top w:val="single" w:color="auto" w:sz="4" w:space="0"/>
            </w:tcBorders>
            <w:vAlign w:val="center"/>
          </w:tcPr>
          <w:p>
            <w:pPr>
              <w:widowControl/>
              <w:jc w:val="center"/>
              <w:textAlignment w:val="center"/>
              <w:rPr>
                <w:rFonts w:hint="default" w:eastAsia="宋体"/>
                <w:szCs w:val="21"/>
                <w:lang w:val="en-US" w:eastAsia="zh-CN"/>
              </w:rPr>
            </w:pPr>
            <w:r>
              <w:rPr>
                <w:rFonts w:hint="eastAsia"/>
                <w:szCs w:val="21"/>
                <w:lang w:val="en-US" w:eastAsia="zh-CN"/>
              </w:rPr>
              <w:t>0.003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83" w:hRule="atLeast"/>
          <w:jc w:val="center"/>
        </w:trPr>
        <w:tc>
          <w:tcPr>
            <w:tcW w:w="1331" w:type="dxa"/>
            <w:vMerge w:val="continue"/>
            <w:vAlign w:val="center"/>
          </w:tcPr>
          <w:p>
            <w:pPr>
              <w:snapToGrid w:val="0"/>
              <w:jc w:val="center"/>
              <w:rPr>
                <w:szCs w:val="21"/>
              </w:rPr>
            </w:pPr>
          </w:p>
        </w:tc>
        <w:tc>
          <w:tcPr>
            <w:tcW w:w="1601" w:type="dxa"/>
            <w:vMerge w:val="continue"/>
            <w:vAlign w:val="center"/>
          </w:tcPr>
          <w:p>
            <w:pPr>
              <w:adjustRightInd w:val="0"/>
              <w:snapToGrid w:val="0"/>
              <w:jc w:val="center"/>
              <w:rPr>
                <w:szCs w:val="21"/>
              </w:rPr>
            </w:pPr>
          </w:p>
        </w:tc>
        <w:tc>
          <w:tcPr>
            <w:tcW w:w="1275" w:type="dxa"/>
            <w:tcBorders>
              <w:top w:val="single" w:color="auto" w:sz="4" w:space="0"/>
            </w:tcBorders>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105" w:leftChars="-50" w:right="-105" w:rightChars="-50"/>
              <w:jc w:val="center"/>
              <w:rPr>
                <w:szCs w:val="21"/>
              </w:rPr>
            </w:pPr>
            <w:r>
              <w:rPr>
                <w:rFonts w:hint="eastAsia"/>
                <w:color w:val="auto"/>
                <w:szCs w:val="21"/>
                <w:lang w:val="en-US" w:eastAsia="zh-CN"/>
              </w:rPr>
              <w:t>SO</w:t>
            </w:r>
            <w:r>
              <w:rPr>
                <w:rFonts w:hint="eastAsia"/>
                <w:color w:val="auto"/>
                <w:szCs w:val="21"/>
                <w:vertAlign w:val="subscript"/>
                <w:lang w:val="en-US" w:eastAsia="zh-CN"/>
              </w:rPr>
              <w:t>2</w:t>
            </w:r>
          </w:p>
        </w:tc>
        <w:tc>
          <w:tcPr>
            <w:tcW w:w="1149" w:type="dxa"/>
            <w:tcBorders>
              <w:top w:val="single" w:color="auto" w:sz="4" w:space="0"/>
            </w:tcBorders>
            <w:vAlign w:val="center"/>
          </w:tcPr>
          <w:p>
            <w:pPr>
              <w:widowControl/>
              <w:jc w:val="center"/>
              <w:textAlignment w:val="center"/>
              <w:rPr>
                <w:rFonts w:hint="default" w:eastAsia="宋体"/>
                <w:szCs w:val="21"/>
                <w:lang w:val="en-US" w:eastAsia="zh-CN"/>
              </w:rPr>
            </w:pPr>
            <w:r>
              <w:rPr>
                <w:rFonts w:hint="eastAsia"/>
                <w:szCs w:val="21"/>
                <w:lang w:val="en-US" w:eastAsia="zh-CN"/>
              </w:rPr>
              <w:t>0.01</w:t>
            </w:r>
          </w:p>
        </w:tc>
        <w:tc>
          <w:tcPr>
            <w:tcW w:w="1150" w:type="dxa"/>
            <w:tcBorders>
              <w:top w:val="single" w:color="auto" w:sz="4" w:space="0"/>
            </w:tcBorders>
            <w:vAlign w:val="center"/>
          </w:tcPr>
          <w:p>
            <w:pPr>
              <w:adjustRightInd w:val="0"/>
              <w:snapToGrid w:val="0"/>
              <w:ind w:left="-105" w:leftChars="-50" w:right="-105" w:rightChars="-50"/>
              <w:jc w:val="center"/>
              <w:rPr>
                <w:rFonts w:hint="default" w:eastAsia="宋体"/>
                <w:szCs w:val="21"/>
                <w:lang w:val="en-US" w:eastAsia="zh-CN"/>
              </w:rPr>
            </w:pPr>
            <w:r>
              <w:rPr>
                <w:rFonts w:hint="eastAsia"/>
                <w:szCs w:val="21"/>
                <w:lang w:val="en-US" w:eastAsia="zh-CN"/>
              </w:rPr>
              <w:t>0.12</w:t>
            </w:r>
          </w:p>
        </w:tc>
        <w:tc>
          <w:tcPr>
            <w:tcW w:w="1283" w:type="dxa"/>
            <w:tcBorders>
              <w:top w:val="single" w:color="auto" w:sz="4" w:space="0"/>
            </w:tcBorders>
            <w:vAlign w:val="center"/>
          </w:tcPr>
          <w:p>
            <w:pPr>
              <w:keepNext w:val="0"/>
              <w:keepLines w:val="0"/>
              <w:widowControl/>
              <w:suppressLineNumbers w:val="0"/>
              <w:jc w:val="center"/>
              <w:textAlignment w:val="center"/>
              <w:rPr>
                <w:rFonts w:hint="default" w:eastAsia="宋体"/>
                <w:szCs w:val="21"/>
                <w:lang w:val="en-US" w:eastAsia="zh-CN"/>
              </w:rPr>
            </w:pPr>
            <w:r>
              <w:rPr>
                <w:rFonts w:hint="eastAsia"/>
                <w:szCs w:val="21"/>
                <w:lang w:val="en-US" w:eastAsia="zh-CN"/>
              </w:rPr>
              <w:t>0.65</w:t>
            </w:r>
          </w:p>
        </w:tc>
        <w:tc>
          <w:tcPr>
            <w:tcW w:w="1283" w:type="dxa"/>
            <w:tcBorders>
              <w:top w:val="single" w:color="auto" w:sz="4" w:space="0"/>
            </w:tcBorders>
            <w:vAlign w:val="center"/>
          </w:tcPr>
          <w:p>
            <w:pPr>
              <w:widowControl/>
              <w:jc w:val="center"/>
              <w:textAlignment w:val="center"/>
              <w:rPr>
                <w:rFonts w:hint="default" w:eastAsia="宋体"/>
                <w:szCs w:val="21"/>
                <w:lang w:val="en-US" w:eastAsia="zh-CN"/>
              </w:rPr>
            </w:pPr>
            <w:r>
              <w:rPr>
                <w:rFonts w:hint="eastAsia"/>
                <w:szCs w:val="21"/>
                <w:lang w:val="en-US" w:eastAsia="zh-CN"/>
              </w:rPr>
              <w:t>0.012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583" w:hRule="atLeast"/>
          <w:jc w:val="center"/>
        </w:trPr>
        <w:tc>
          <w:tcPr>
            <w:tcW w:w="1331" w:type="dxa"/>
            <w:vMerge w:val="continue"/>
            <w:vAlign w:val="center"/>
          </w:tcPr>
          <w:p>
            <w:pPr>
              <w:snapToGrid w:val="0"/>
              <w:jc w:val="center"/>
              <w:rPr>
                <w:szCs w:val="21"/>
              </w:rPr>
            </w:pPr>
          </w:p>
        </w:tc>
        <w:tc>
          <w:tcPr>
            <w:tcW w:w="1601" w:type="dxa"/>
            <w:vMerge w:val="continue"/>
            <w:vAlign w:val="center"/>
          </w:tcPr>
          <w:p>
            <w:pPr>
              <w:adjustRightInd w:val="0"/>
              <w:snapToGrid w:val="0"/>
              <w:jc w:val="center"/>
              <w:rPr>
                <w:szCs w:val="21"/>
              </w:rPr>
            </w:pPr>
          </w:p>
        </w:tc>
        <w:tc>
          <w:tcPr>
            <w:tcW w:w="1275" w:type="dxa"/>
            <w:tcBorders>
              <w:top w:val="single" w:color="auto" w:sz="4" w:space="0"/>
            </w:tcBorders>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105" w:leftChars="-50" w:right="-105" w:rightChars="-50"/>
              <w:jc w:val="center"/>
              <w:rPr>
                <w:szCs w:val="21"/>
              </w:rPr>
            </w:pPr>
            <w:r>
              <w:rPr>
                <w:rFonts w:hint="eastAsia"/>
                <w:color w:val="auto"/>
                <w:szCs w:val="21"/>
                <w:lang w:val="en-US" w:eastAsia="zh-CN"/>
              </w:rPr>
              <w:t>NOx</w:t>
            </w:r>
          </w:p>
        </w:tc>
        <w:tc>
          <w:tcPr>
            <w:tcW w:w="1149" w:type="dxa"/>
            <w:tcBorders>
              <w:top w:val="single" w:color="auto" w:sz="4" w:space="0"/>
            </w:tcBorders>
            <w:vAlign w:val="center"/>
          </w:tcPr>
          <w:p>
            <w:pPr>
              <w:widowControl/>
              <w:jc w:val="center"/>
              <w:textAlignment w:val="center"/>
              <w:rPr>
                <w:rFonts w:hint="default" w:eastAsia="宋体"/>
                <w:szCs w:val="21"/>
                <w:lang w:val="en-US" w:eastAsia="zh-CN"/>
              </w:rPr>
            </w:pPr>
            <w:r>
              <w:rPr>
                <w:rFonts w:hint="eastAsia"/>
                <w:szCs w:val="21"/>
                <w:lang w:val="en-US" w:eastAsia="zh-CN"/>
              </w:rPr>
              <w:t>48.78</w:t>
            </w:r>
          </w:p>
        </w:tc>
        <w:tc>
          <w:tcPr>
            <w:tcW w:w="1150" w:type="dxa"/>
            <w:tcBorders>
              <w:top w:val="single" w:color="auto" w:sz="4" w:space="0"/>
            </w:tcBorders>
            <w:vAlign w:val="center"/>
          </w:tcPr>
          <w:p>
            <w:pPr>
              <w:adjustRightInd w:val="0"/>
              <w:snapToGrid w:val="0"/>
              <w:ind w:left="-105" w:leftChars="-50" w:right="-105" w:rightChars="-50"/>
              <w:jc w:val="center"/>
              <w:rPr>
                <w:rFonts w:hint="default" w:eastAsia="宋体"/>
                <w:szCs w:val="21"/>
                <w:lang w:val="en-US" w:eastAsia="zh-CN"/>
              </w:rPr>
            </w:pPr>
            <w:r>
              <w:rPr>
                <w:rFonts w:hint="eastAsia"/>
                <w:szCs w:val="21"/>
                <w:lang w:val="en-US" w:eastAsia="zh-CN"/>
              </w:rPr>
              <w:t>0.02</w:t>
            </w:r>
          </w:p>
        </w:tc>
        <w:tc>
          <w:tcPr>
            <w:tcW w:w="1283" w:type="dxa"/>
            <w:tcBorders>
              <w:top w:val="single" w:color="auto" w:sz="4" w:space="0"/>
            </w:tcBorders>
            <w:vAlign w:val="center"/>
          </w:tcPr>
          <w:p>
            <w:pPr>
              <w:keepNext w:val="0"/>
              <w:keepLines w:val="0"/>
              <w:widowControl/>
              <w:suppressLineNumbers w:val="0"/>
              <w:jc w:val="center"/>
              <w:textAlignment w:val="center"/>
              <w:rPr>
                <w:rFonts w:hint="default" w:eastAsia="宋体"/>
                <w:szCs w:val="21"/>
                <w:lang w:val="en-US" w:eastAsia="zh-CN"/>
              </w:rPr>
            </w:pPr>
            <w:r>
              <w:rPr>
                <w:rFonts w:hint="eastAsia"/>
                <w:szCs w:val="21"/>
                <w:lang w:val="en-US" w:eastAsia="zh-CN"/>
              </w:rPr>
              <w:t>1.08</w:t>
            </w:r>
          </w:p>
        </w:tc>
        <w:tc>
          <w:tcPr>
            <w:tcW w:w="1283" w:type="dxa"/>
            <w:tcBorders>
              <w:top w:val="single" w:color="auto" w:sz="4" w:space="0"/>
            </w:tcBorders>
            <w:vAlign w:val="center"/>
          </w:tcPr>
          <w:p>
            <w:pPr>
              <w:widowControl/>
              <w:jc w:val="center"/>
              <w:textAlignment w:val="center"/>
              <w:rPr>
                <w:rFonts w:hint="default" w:eastAsia="宋体"/>
                <w:szCs w:val="21"/>
                <w:lang w:val="en-US" w:eastAsia="zh-CN"/>
              </w:rPr>
            </w:pPr>
            <w:r>
              <w:rPr>
                <w:rFonts w:hint="eastAsia"/>
                <w:szCs w:val="21"/>
                <w:lang w:val="en-US" w:eastAsia="zh-CN"/>
              </w:rPr>
              <w:t>0.02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603" w:hRule="atLeast"/>
          <w:jc w:val="center"/>
        </w:trPr>
        <w:tc>
          <w:tcPr>
            <w:tcW w:w="1331" w:type="dxa"/>
            <w:vMerge w:val="continue"/>
            <w:vAlign w:val="center"/>
          </w:tcPr>
          <w:p>
            <w:pPr>
              <w:snapToGrid w:val="0"/>
              <w:jc w:val="center"/>
              <w:rPr>
                <w:szCs w:val="21"/>
              </w:rPr>
            </w:pPr>
          </w:p>
        </w:tc>
        <w:tc>
          <w:tcPr>
            <w:tcW w:w="1601" w:type="dxa"/>
            <w:vMerge w:val="restart"/>
            <w:tcBorders>
              <w:top w:val="single" w:color="auto" w:sz="4" w:space="0"/>
            </w:tcBorders>
            <w:vAlign w:val="center"/>
          </w:tcPr>
          <w:p>
            <w:pPr>
              <w:adjustRightInd w:val="0"/>
              <w:snapToGrid w:val="0"/>
              <w:jc w:val="center"/>
              <w:rPr>
                <w:szCs w:val="21"/>
              </w:rPr>
            </w:pPr>
            <w:r>
              <w:rPr>
                <w:rFonts w:hint="eastAsia"/>
                <w:szCs w:val="21"/>
              </w:rPr>
              <w:t>无组织（生产车间）</w:t>
            </w:r>
          </w:p>
        </w:tc>
        <w:tc>
          <w:tcPr>
            <w:tcW w:w="1275" w:type="dxa"/>
            <w:tcBorders>
              <w:top w:val="single" w:color="auto" w:sz="4" w:space="0"/>
            </w:tcBorders>
            <w:vAlign w:val="center"/>
          </w:tcPr>
          <w:p>
            <w:pPr>
              <w:adjustRightInd w:val="0"/>
              <w:snapToGrid w:val="0"/>
              <w:ind w:left="-105" w:leftChars="-50" w:right="-105" w:rightChars="-50"/>
              <w:jc w:val="center"/>
              <w:rPr>
                <w:szCs w:val="21"/>
              </w:rPr>
            </w:pPr>
            <w:r>
              <w:rPr>
                <w:rFonts w:hint="eastAsia"/>
                <w:szCs w:val="21"/>
              </w:rPr>
              <w:t>--</w:t>
            </w:r>
          </w:p>
        </w:tc>
        <w:tc>
          <w:tcPr>
            <w:tcW w:w="1149" w:type="dxa"/>
            <w:tcBorders>
              <w:top w:val="single" w:color="auto" w:sz="4" w:space="0"/>
            </w:tcBorders>
            <w:vAlign w:val="center"/>
          </w:tcPr>
          <w:p>
            <w:pPr>
              <w:jc w:val="center"/>
              <w:rPr>
                <w:b/>
                <w:bCs/>
                <w:szCs w:val="21"/>
              </w:rPr>
            </w:pPr>
            <w:r>
              <w:rPr>
                <w:b/>
                <w:bCs/>
                <w:szCs w:val="21"/>
              </w:rPr>
              <w:t>kg/h</w:t>
            </w:r>
          </w:p>
        </w:tc>
        <w:tc>
          <w:tcPr>
            <w:tcW w:w="1150" w:type="dxa"/>
            <w:tcBorders>
              <w:top w:val="single" w:color="auto" w:sz="4" w:space="0"/>
            </w:tcBorders>
            <w:vAlign w:val="center"/>
          </w:tcPr>
          <w:p>
            <w:pPr>
              <w:jc w:val="center"/>
              <w:rPr>
                <w:b/>
                <w:bCs/>
                <w:szCs w:val="21"/>
              </w:rPr>
            </w:pPr>
            <w:r>
              <w:rPr>
                <w:b/>
                <w:bCs/>
              </w:rPr>
              <w:t>t/a</w:t>
            </w:r>
          </w:p>
        </w:tc>
        <w:tc>
          <w:tcPr>
            <w:tcW w:w="1283" w:type="dxa"/>
            <w:tcBorders>
              <w:top w:val="single" w:color="auto" w:sz="4" w:space="0"/>
            </w:tcBorders>
            <w:vAlign w:val="center"/>
          </w:tcPr>
          <w:p>
            <w:pPr>
              <w:jc w:val="center"/>
              <w:rPr>
                <w:b/>
                <w:bCs/>
                <w:szCs w:val="21"/>
              </w:rPr>
            </w:pPr>
            <w:r>
              <w:rPr>
                <w:b/>
                <w:bCs/>
                <w:szCs w:val="21"/>
              </w:rPr>
              <w:t>kg/h</w:t>
            </w:r>
          </w:p>
        </w:tc>
        <w:tc>
          <w:tcPr>
            <w:tcW w:w="1283" w:type="dxa"/>
            <w:tcBorders>
              <w:top w:val="single" w:color="auto" w:sz="4" w:space="0"/>
            </w:tcBorders>
            <w:vAlign w:val="center"/>
          </w:tcPr>
          <w:p>
            <w:pPr>
              <w:jc w:val="center"/>
              <w:rPr>
                <w:b/>
                <w:bCs/>
                <w:szCs w:val="21"/>
              </w:rPr>
            </w:pPr>
            <w:r>
              <w:rPr>
                <w:b/>
                <w:bCs/>
              </w:rPr>
              <w:t>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603" w:hRule="atLeast"/>
          <w:jc w:val="center"/>
        </w:trPr>
        <w:tc>
          <w:tcPr>
            <w:tcW w:w="1331" w:type="dxa"/>
            <w:vMerge w:val="continue"/>
            <w:vAlign w:val="center"/>
          </w:tcPr>
          <w:p>
            <w:pPr>
              <w:snapToGrid w:val="0"/>
              <w:jc w:val="center"/>
              <w:rPr>
                <w:szCs w:val="21"/>
              </w:rPr>
            </w:pPr>
          </w:p>
        </w:tc>
        <w:tc>
          <w:tcPr>
            <w:tcW w:w="1601" w:type="dxa"/>
            <w:vMerge w:val="continue"/>
            <w:vAlign w:val="center"/>
          </w:tcPr>
          <w:p>
            <w:pPr>
              <w:adjustRightInd w:val="0"/>
              <w:snapToGrid w:val="0"/>
              <w:jc w:val="center"/>
              <w:rPr>
                <w:szCs w:val="21"/>
              </w:rPr>
            </w:pPr>
          </w:p>
        </w:tc>
        <w:tc>
          <w:tcPr>
            <w:tcW w:w="1275" w:type="dxa"/>
            <w:tcBorders>
              <w:top w:val="single" w:color="auto" w:sz="4" w:space="0"/>
            </w:tcBorders>
            <w:vAlign w:val="center"/>
          </w:tcPr>
          <w:p>
            <w:pPr>
              <w:adjustRightInd w:val="0"/>
              <w:snapToGrid w:val="0"/>
              <w:ind w:left="-105" w:leftChars="-50" w:right="-105" w:rightChars="-50"/>
              <w:jc w:val="center"/>
              <w:rPr>
                <w:color w:val="FF0000"/>
                <w:szCs w:val="21"/>
              </w:rPr>
            </w:pPr>
            <w:r>
              <w:rPr>
                <w:rFonts w:hint="eastAsia"/>
                <w:color w:val="auto"/>
                <w:szCs w:val="21"/>
              </w:rPr>
              <w:t>颗粒物</w:t>
            </w:r>
          </w:p>
        </w:tc>
        <w:tc>
          <w:tcPr>
            <w:tcW w:w="1149" w:type="dxa"/>
            <w:tcBorders>
              <w:top w:val="single" w:color="auto" w:sz="4" w:space="0"/>
            </w:tcBorders>
            <w:vAlign w:val="center"/>
          </w:tcPr>
          <w:p>
            <w:pPr>
              <w:widowControl/>
              <w:jc w:val="center"/>
              <w:textAlignment w:val="center"/>
              <w:rPr>
                <w:rFonts w:hint="default" w:eastAsia="宋体"/>
                <w:color w:val="auto"/>
                <w:szCs w:val="21"/>
                <w:lang w:val="en-US" w:eastAsia="zh-CN"/>
              </w:rPr>
            </w:pPr>
            <w:r>
              <w:rPr>
                <w:rFonts w:hint="eastAsia"/>
                <w:color w:val="auto"/>
                <w:szCs w:val="21"/>
                <w:lang w:val="en-US" w:eastAsia="zh-CN"/>
              </w:rPr>
              <w:t>0.025</w:t>
            </w:r>
          </w:p>
        </w:tc>
        <w:tc>
          <w:tcPr>
            <w:tcW w:w="1150" w:type="dxa"/>
            <w:tcBorders>
              <w:top w:val="single" w:color="auto" w:sz="4" w:space="0"/>
            </w:tcBorders>
            <w:vAlign w:val="center"/>
          </w:tcPr>
          <w:p>
            <w:pPr>
              <w:widowControl/>
              <w:jc w:val="center"/>
              <w:textAlignment w:val="center"/>
              <w:rPr>
                <w:rFonts w:hint="default" w:eastAsia="宋体"/>
                <w:color w:val="auto"/>
                <w:kern w:val="0"/>
                <w:szCs w:val="21"/>
                <w:lang w:val="en-US" w:eastAsia="zh-CN"/>
              </w:rPr>
            </w:pPr>
            <w:r>
              <w:rPr>
                <w:rFonts w:hint="eastAsia"/>
                <w:color w:val="auto"/>
                <w:kern w:val="0"/>
                <w:szCs w:val="21"/>
                <w:lang w:val="en-US" w:eastAsia="zh-CN"/>
              </w:rPr>
              <w:t>0.03</w:t>
            </w:r>
          </w:p>
        </w:tc>
        <w:tc>
          <w:tcPr>
            <w:tcW w:w="1283" w:type="dxa"/>
            <w:tcBorders>
              <w:top w:val="single" w:color="auto" w:sz="4" w:space="0"/>
            </w:tcBorders>
            <w:vAlign w:val="center"/>
          </w:tcPr>
          <w:p>
            <w:pPr>
              <w:widowControl/>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olor w:val="auto"/>
                <w:szCs w:val="21"/>
                <w:lang w:val="en-US" w:eastAsia="zh-CN"/>
              </w:rPr>
              <w:t>0.025</w:t>
            </w:r>
          </w:p>
        </w:tc>
        <w:tc>
          <w:tcPr>
            <w:tcW w:w="1283" w:type="dxa"/>
            <w:tcBorders>
              <w:top w:val="single" w:color="auto" w:sz="4" w:space="0"/>
            </w:tcBorders>
            <w:vAlign w:val="center"/>
          </w:tcPr>
          <w:p>
            <w:pPr>
              <w:widowControl/>
              <w:jc w:val="center"/>
              <w:textAlignment w:val="center"/>
              <w:rPr>
                <w:rFonts w:hint="eastAsia" w:ascii="Times New Roman" w:hAnsi="Times New Roman" w:eastAsia="宋体" w:cs="Times New Roman"/>
                <w:color w:val="auto"/>
                <w:kern w:val="0"/>
                <w:sz w:val="21"/>
                <w:szCs w:val="21"/>
                <w:lang w:val="en-US" w:eastAsia="zh-CN" w:bidi="ar-SA"/>
              </w:rPr>
            </w:pPr>
            <w:r>
              <w:rPr>
                <w:rFonts w:hint="eastAsia"/>
                <w:color w:val="auto"/>
                <w:kern w:val="0"/>
                <w:szCs w:val="21"/>
                <w:lang w:val="en-US" w:eastAsia="zh-CN"/>
              </w:rPr>
              <w:t>0.03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603" w:hRule="atLeast"/>
          <w:jc w:val="center"/>
        </w:trPr>
        <w:tc>
          <w:tcPr>
            <w:tcW w:w="1331" w:type="dxa"/>
            <w:vMerge w:val="continue"/>
            <w:vAlign w:val="center"/>
          </w:tcPr>
          <w:p>
            <w:pPr>
              <w:snapToGrid w:val="0"/>
              <w:jc w:val="center"/>
              <w:rPr>
                <w:szCs w:val="21"/>
              </w:rPr>
            </w:pPr>
          </w:p>
        </w:tc>
        <w:tc>
          <w:tcPr>
            <w:tcW w:w="1601" w:type="dxa"/>
            <w:vMerge w:val="continue"/>
            <w:vAlign w:val="center"/>
          </w:tcPr>
          <w:p>
            <w:pPr>
              <w:adjustRightInd w:val="0"/>
              <w:snapToGrid w:val="0"/>
              <w:jc w:val="center"/>
              <w:rPr>
                <w:szCs w:val="21"/>
              </w:rPr>
            </w:pPr>
          </w:p>
        </w:tc>
        <w:tc>
          <w:tcPr>
            <w:tcW w:w="1275" w:type="dxa"/>
            <w:tcBorders>
              <w:top w:val="single" w:color="auto" w:sz="4" w:space="0"/>
            </w:tcBorders>
            <w:vAlign w:val="center"/>
          </w:tcPr>
          <w:p>
            <w:pPr>
              <w:adjustRightInd w:val="0"/>
              <w:snapToGrid w:val="0"/>
              <w:ind w:left="-105" w:leftChars="-50" w:right="-105" w:rightChars="-50"/>
              <w:jc w:val="center"/>
              <w:rPr>
                <w:rFonts w:hint="default" w:eastAsia="宋体"/>
                <w:szCs w:val="21"/>
                <w:lang w:val="en-US" w:eastAsia="zh-CN"/>
              </w:rPr>
            </w:pPr>
            <w:r>
              <w:rPr>
                <w:rFonts w:hint="eastAsia"/>
                <w:szCs w:val="21"/>
                <w:lang w:val="en-US" w:eastAsia="zh-CN"/>
              </w:rPr>
              <w:t>非甲烷总烃</w:t>
            </w:r>
          </w:p>
        </w:tc>
        <w:tc>
          <w:tcPr>
            <w:tcW w:w="1149" w:type="dxa"/>
            <w:tcBorders>
              <w:top w:val="single" w:color="auto" w:sz="4" w:space="0"/>
            </w:tcBorders>
            <w:vAlign w:val="center"/>
          </w:tcPr>
          <w:p>
            <w:pPr>
              <w:widowControl/>
              <w:jc w:val="center"/>
              <w:textAlignment w:val="center"/>
              <w:rPr>
                <w:rFonts w:hint="default" w:eastAsia="宋体"/>
                <w:szCs w:val="21"/>
                <w:lang w:val="en-US" w:eastAsia="zh-CN"/>
              </w:rPr>
            </w:pPr>
            <w:r>
              <w:rPr>
                <w:rFonts w:hint="eastAsia"/>
                <w:szCs w:val="21"/>
                <w:lang w:val="en-US" w:eastAsia="zh-CN"/>
              </w:rPr>
              <w:t>0.0005</w:t>
            </w:r>
          </w:p>
        </w:tc>
        <w:tc>
          <w:tcPr>
            <w:tcW w:w="1150" w:type="dxa"/>
            <w:tcBorders>
              <w:top w:val="single" w:color="auto" w:sz="4" w:space="0"/>
            </w:tcBorders>
            <w:vAlign w:val="center"/>
          </w:tcPr>
          <w:p>
            <w:pPr>
              <w:widowControl/>
              <w:jc w:val="center"/>
              <w:textAlignment w:val="center"/>
              <w:rPr>
                <w:rFonts w:hint="default" w:eastAsia="宋体"/>
                <w:szCs w:val="21"/>
                <w:lang w:val="en-US" w:eastAsia="zh-CN"/>
              </w:rPr>
            </w:pPr>
            <w:r>
              <w:rPr>
                <w:rFonts w:hint="eastAsia"/>
                <w:szCs w:val="21"/>
                <w:lang w:val="en-US" w:eastAsia="zh-CN"/>
              </w:rPr>
              <w:t>0.001</w:t>
            </w:r>
          </w:p>
        </w:tc>
        <w:tc>
          <w:tcPr>
            <w:tcW w:w="1283" w:type="dxa"/>
            <w:tcBorders>
              <w:top w:val="single" w:color="auto" w:sz="4" w:space="0"/>
            </w:tcBorders>
            <w:vAlign w:val="center"/>
          </w:tcPr>
          <w:p>
            <w:pPr>
              <w:widowControl/>
              <w:jc w:val="center"/>
              <w:textAlignment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0.001</w:t>
            </w:r>
          </w:p>
        </w:tc>
        <w:tc>
          <w:tcPr>
            <w:tcW w:w="1283" w:type="dxa"/>
            <w:tcBorders>
              <w:top w:val="single" w:color="auto" w:sz="4" w:space="0"/>
            </w:tcBorders>
            <w:vAlign w:val="center"/>
          </w:tcPr>
          <w:p>
            <w:pPr>
              <w:widowControl/>
              <w:jc w:val="center"/>
              <w:textAlignment w:val="center"/>
              <w:rPr>
                <w:rFonts w:hint="default" w:ascii="Times New Roman" w:hAnsi="Times New Roman" w:eastAsia="宋体" w:cs="Times New Roman"/>
                <w:kern w:val="2"/>
                <w:sz w:val="21"/>
                <w:szCs w:val="21"/>
                <w:lang w:val="en-US" w:eastAsia="zh-CN" w:bidi="ar-SA"/>
              </w:rPr>
            </w:pPr>
            <w:r>
              <w:rPr>
                <w:rFonts w:hint="eastAsia"/>
                <w:szCs w:val="21"/>
                <w:lang w:val="en-US" w:eastAsia="zh-CN"/>
              </w:rPr>
              <w:t>0.0005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1331" w:type="dxa"/>
            <w:vMerge w:val="restart"/>
            <w:vAlign w:val="center"/>
          </w:tcPr>
          <w:p>
            <w:pPr>
              <w:snapToGrid w:val="0"/>
              <w:jc w:val="center"/>
              <w:rPr>
                <w:szCs w:val="21"/>
              </w:rPr>
            </w:pPr>
            <w:r>
              <w:rPr>
                <w:szCs w:val="21"/>
              </w:rPr>
              <w:t>水</w:t>
            </w:r>
          </w:p>
          <w:p>
            <w:pPr>
              <w:snapToGrid w:val="0"/>
              <w:jc w:val="center"/>
              <w:rPr>
                <w:szCs w:val="21"/>
              </w:rPr>
            </w:pPr>
            <w:r>
              <w:rPr>
                <w:szCs w:val="21"/>
              </w:rPr>
              <w:t>污</w:t>
            </w:r>
          </w:p>
          <w:p>
            <w:pPr>
              <w:snapToGrid w:val="0"/>
              <w:jc w:val="center"/>
              <w:rPr>
                <w:szCs w:val="21"/>
              </w:rPr>
            </w:pPr>
            <w:r>
              <w:rPr>
                <w:szCs w:val="21"/>
              </w:rPr>
              <w:t>染</w:t>
            </w:r>
          </w:p>
          <w:p>
            <w:pPr>
              <w:snapToGrid w:val="0"/>
              <w:jc w:val="center"/>
              <w:rPr>
                <w:szCs w:val="21"/>
              </w:rPr>
            </w:pPr>
            <w:r>
              <w:rPr>
                <w:szCs w:val="21"/>
              </w:rPr>
              <w:t>物</w:t>
            </w:r>
          </w:p>
        </w:tc>
        <w:tc>
          <w:tcPr>
            <w:tcW w:w="1601" w:type="dxa"/>
            <w:vMerge w:val="restart"/>
            <w:vAlign w:val="center"/>
          </w:tcPr>
          <w:p>
            <w:pPr>
              <w:snapToGrid w:val="0"/>
              <w:spacing w:line="320" w:lineRule="exact"/>
              <w:jc w:val="center"/>
              <w:rPr>
                <w:szCs w:val="21"/>
              </w:rPr>
            </w:pPr>
            <w:r>
              <w:rPr>
                <w:szCs w:val="21"/>
              </w:rPr>
              <w:t>生活污水</w:t>
            </w:r>
          </w:p>
          <w:p>
            <w:pPr>
              <w:snapToGrid w:val="0"/>
              <w:spacing w:line="320" w:lineRule="exact"/>
              <w:jc w:val="center"/>
              <w:rPr>
                <w:szCs w:val="21"/>
              </w:rPr>
            </w:pPr>
            <w:r>
              <w:rPr>
                <w:rFonts w:hint="eastAsia"/>
                <w:szCs w:val="21"/>
                <w:lang w:val="en-US" w:eastAsia="zh-CN"/>
              </w:rPr>
              <w:t>600</w:t>
            </w:r>
            <w:r>
              <w:rPr>
                <w:szCs w:val="21"/>
              </w:rPr>
              <w:t>m</w:t>
            </w:r>
            <w:r>
              <w:rPr>
                <w:szCs w:val="21"/>
                <w:vertAlign w:val="superscript"/>
              </w:rPr>
              <w:t>3</w:t>
            </w:r>
            <w:r>
              <w:rPr>
                <w:szCs w:val="21"/>
              </w:rPr>
              <w:t>/a</w:t>
            </w:r>
          </w:p>
        </w:tc>
        <w:tc>
          <w:tcPr>
            <w:tcW w:w="1275" w:type="dxa"/>
            <w:tcBorders>
              <w:bottom w:val="single" w:color="auto" w:sz="4" w:space="0"/>
            </w:tcBorders>
            <w:vAlign w:val="center"/>
          </w:tcPr>
          <w:p>
            <w:pPr>
              <w:spacing w:line="320" w:lineRule="exact"/>
              <w:jc w:val="center"/>
              <w:rPr>
                <w:szCs w:val="21"/>
              </w:rPr>
            </w:pPr>
            <w:r>
              <w:rPr>
                <w:rFonts w:hint="eastAsia"/>
                <w:szCs w:val="21"/>
              </w:rPr>
              <w:t>--</w:t>
            </w:r>
          </w:p>
        </w:tc>
        <w:tc>
          <w:tcPr>
            <w:tcW w:w="1149" w:type="dxa"/>
            <w:tcBorders>
              <w:bottom w:val="single" w:color="auto" w:sz="4" w:space="0"/>
            </w:tcBorders>
            <w:vAlign w:val="center"/>
          </w:tcPr>
          <w:p>
            <w:pPr>
              <w:jc w:val="center"/>
              <w:rPr>
                <w:b/>
                <w:bCs/>
                <w:szCs w:val="21"/>
              </w:rPr>
            </w:pPr>
            <w:r>
              <w:rPr>
                <w:b/>
                <w:bCs/>
                <w:szCs w:val="21"/>
              </w:rPr>
              <w:t>mg/L</w:t>
            </w:r>
          </w:p>
        </w:tc>
        <w:tc>
          <w:tcPr>
            <w:tcW w:w="1150" w:type="dxa"/>
            <w:tcBorders>
              <w:bottom w:val="single" w:color="auto" w:sz="4" w:space="0"/>
            </w:tcBorders>
            <w:vAlign w:val="center"/>
          </w:tcPr>
          <w:p>
            <w:pPr>
              <w:widowControl/>
              <w:jc w:val="center"/>
              <w:textAlignment w:val="center"/>
              <w:rPr>
                <w:b/>
                <w:bCs/>
                <w:color w:val="000000"/>
                <w:kern w:val="0"/>
                <w:szCs w:val="21"/>
                <w:lang w:bidi="ar"/>
              </w:rPr>
            </w:pPr>
            <w:r>
              <w:rPr>
                <w:b/>
                <w:bCs/>
              </w:rPr>
              <w:t>t/a</w:t>
            </w:r>
          </w:p>
        </w:tc>
        <w:tc>
          <w:tcPr>
            <w:tcW w:w="1283" w:type="dxa"/>
            <w:tcBorders>
              <w:bottom w:val="single" w:color="auto" w:sz="4" w:space="0"/>
            </w:tcBorders>
            <w:vAlign w:val="center"/>
          </w:tcPr>
          <w:p>
            <w:pPr>
              <w:jc w:val="center"/>
              <w:rPr>
                <w:b/>
                <w:bCs/>
                <w:szCs w:val="21"/>
              </w:rPr>
            </w:pPr>
            <w:r>
              <w:rPr>
                <w:b/>
                <w:bCs/>
                <w:szCs w:val="21"/>
              </w:rPr>
              <w:t>mg/L</w:t>
            </w:r>
          </w:p>
        </w:tc>
        <w:tc>
          <w:tcPr>
            <w:tcW w:w="1283" w:type="dxa"/>
            <w:tcBorders>
              <w:bottom w:val="single" w:color="auto" w:sz="4" w:space="0"/>
            </w:tcBorders>
            <w:vAlign w:val="center"/>
          </w:tcPr>
          <w:p>
            <w:pPr>
              <w:widowControl/>
              <w:jc w:val="center"/>
              <w:textAlignment w:val="center"/>
              <w:rPr>
                <w:b/>
                <w:bCs/>
                <w:color w:val="000000"/>
                <w:kern w:val="0"/>
                <w:szCs w:val="21"/>
                <w:lang w:bidi="ar"/>
              </w:rPr>
            </w:pPr>
            <w:r>
              <w:rPr>
                <w:b/>
                <w:bCs/>
              </w:rPr>
              <w:t>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1331" w:type="dxa"/>
            <w:vMerge w:val="continue"/>
            <w:vAlign w:val="center"/>
          </w:tcPr>
          <w:p>
            <w:pPr>
              <w:snapToGrid w:val="0"/>
              <w:jc w:val="center"/>
              <w:rPr>
                <w:szCs w:val="21"/>
              </w:rPr>
            </w:pPr>
          </w:p>
        </w:tc>
        <w:tc>
          <w:tcPr>
            <w:tcW w:w="1601" w:type="dxa"/>
            <w:vMerge w:val="continue"/>
            <w:vAlign w:val="center"/>
          </w:tcPr>
          <w:p>
            <w:pPr>
              <w:snapToGrid w:val="0"/>
              <w:spacing w:line="320" w:lineRule="exact"/>
              <w:jc w:val="center"/>
              <w:rPr>
                <w:szCs w:val="21"/>
              </w:rPr>
            </w:pPr>
          </w:p>
        </w:tc>
        <w:tc>
          <w:tcPr>
            <w:tcW w:w="1275" w:type="dxa"/>
            <w:tcBorders>
              <w:bottom w:val="single" w:color="auto" w:sz="4" w:space="0"/>
            </w:tcBorders>
            <w:vAlign w:val="center"/>
          </w:tcPr>
          <w:p>
            <w:pPr>
              <w:spacing w:line="320" w:lineRule="exact"/>
              <w:jc w:val="center"/>
              <w:rPr>
                <w:szCs w:val="21"/>
              </w:rPr>
            </w:pPr>
            <w:r>
              <w:rPr>
                <w:szCs w:val="21"/>
              </w:rPr>
              <w:t>COD</w:t>
            </w:r>
          </w:p>
        </w:tc>
        <w:tc>
          <w:tcPr>
            <w:tcW w:w="1149" w:type="dxa"/>
            <w:tcBorders>
              <w:bottom w:val="single" w:color="auto" w:sz="4" w:space="0"/>
            </w:tcBorders>
            <w:vAlign w:val="center"/>
          </w:tcPr>
          <w:p>
            <w:pPr>
              <w:jc w:val="center"/>
              <w:rPr>
                <w:szCs w:val="21"/>
              </w:rPr>
            </w:pPr>
            <w:r>
              <w:rPr>
                <w:rFonts w:hint="eastAsia"/>
                <w:szCs w:val="21"/>
              </w:rPr>
              <w:t>40</w:t>
            </w:r>
            <w:r>
              <w:rPr>
                <w:szCs w:val="21"/>
              </w:rPr>
              <w:t>0</w:t>
            </w:r>
          </w:p>
        </w:tc>
        <w:tc>
          <w:tcPr>
            <w:tcW w:w="1150" w:type="dxa"/>
            <w:tcBorders>
              <w:bottom w:val="single" w:color="auto" w:sz="4" w:space="0"/>
            </w:tcBorders>
            <w:vAlign w:val="center"/>
          </w:tcPr>
          <w:p>
            <w:pPr>
              <w:keepNext w:val="0"/>
              <w:keepLines w:val="0"/>
              <w:widowControl/>
              <w:suppressLineNumbers w:val="0"/>
              <w:jc w:val="center"/>
              <w:textAlignment w:val="center"/>
              <w:rPr>
                <w:color w:val="000000" w:themeColor="text1"/>
                <w:szCs w:val="21"/>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0.2400 </w:t>
            </w:r>
          </w:p>
        </w:tc>
        <w:tc>
          <w:tcPr>
            <w:tcW w:w="1283" w:type="dxa"/>
            <w:tcBorders>
              <w:bottom w:val="single" w:color="auto" w:sz="4" w:space="0"/>
            </w:tcBorders>
            <w:vAlign w:val="center"/>
          </w:tcPr>
          <w:p>
            <w:pPr>
              <w:jc w:val="center"/>
              <w:rPr>
                <w:szCs w:val="21"/>
              </w:rPr>
            </w:pPr>
            <w:r>
              <w:rPr>
                <w:rFonts w:hint="eastAsia"/>
                <w:szCs w:val="21"/>
              </w:rPr>
              <w:t>3</w:t>
            </w:r>
            <w:r>
              <w:rPr>
                <w:szCs w:val="21"/>
              </w:rPr>
              <w:t>40</w:t>
            </w:r>
          </w:p>
        </w:tc>
        <w:tc>
          <w:tcPr>
            <w:tcW w:w="1283" w:type="dxa"/>
            <w:tcBorders>
              <w:bottom w:val="single" w:color="auto" w:sz="4" w:space="0"/>
            </w:tcBorders>
            <w:vAlign w:val="center"/>
          </w:tcPr>
          <w:p>
            <w:pPr>
              <w:keepNext w:val="0"/>
              <w:keepLines w:val="0"/>
              <w:widowControl/>
              <w:suppressLineNumbers w:val="0"/>
              <w:jc w:val="center"/>
              <w:textAlignment w:val="center"/>
              <w:rPr>
                <w:color w:val="000000" w:themeColor="text1"/>
                <w:szCs w:val="21"/>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0.2040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1331" w:type="dxa"/>
            <w:vMerge w:val="continue"/>
            <w:vAlign w:val="center"/>
          </w:tcPr>
          <w:p>
            <w:pPr>
              <w:snapToGrid w:val="0"/>
              <w:jc w:val="center"/>
              <w:rPr>
                <w:szCs w:val="21"/>
              </w:rPr>
            </w:pPr>
          </w:p>
        </w:tc>
        <w:tc>
          <w:tcPr>
            <w:tcW w:w="1601" w:type="dxa"/>
            <w:vMerge w:val="continue"/>
            <w:vAlign w:val="center"/>
          </w:tcPr>
          <w:p>
            <w:pPr>
              <w:snapToGrid w:val="0"/>
              <w:spacing w:line="320" w:lineRule="exact"/>
              <w:jc w:val="center"/>
              <w:rPr>
                <w:szCs w:val="21"/>
              </w:rPr>
            </w:pPr>
          </w:p>
        </w:tc>
        <w:tc>
          <w:tcPr>
            <w:tcW w:w="1275" w:type="dxa"/>
            <w:tcBorders>
              <w:top w:val="single" w:color="auto" w:sz="4" w:space="0"/>
              <w:bottom w:val="single" w:color="auto" w:sz="4" w:space="0"/>
            </w:tcBorders>
            <w:vAlign w:val="center"/>
          </w:tcPr>
          <w:p>
            <w:pPr>
              <w:spacing w:line="320" w:lineRule="exact"/>
              <w:jc w:val="center"/>
              <w:rPr>
                <w:szCs w:val="21"/>
              </w:rPr>
            </w:pPr>
            <w:r>
              <w:rPr>
                <w:szCs w:val="21"/>
              </w:rPr>
              <w:t xml:space="preserve">SS </w:t>
            </w:r>
          </w:p>
        </w:tc>
        <w:tc>
          <w:tcPr>
            <w:tcW w:w="1149" w:type="dxa"/>
            <w:tcBorders>
              <w:top w:val="single" w:color="auto" w:sz="4" w:space="0"/>
              <w:bottom w:val="single" w:color="auto" w:sz="4" w:space="0"/>
            </w:tcBorders>
            <w:vAlign w:val="center"/>
          </w:tcPr>
          <w:p>
            <w:pPr>
              <w:jc w:val="center"/>
              <w:rPr>
                <w:szCs w:val="21"/>
              </w:rPr>
            </w:pPr>
            <w:r>
              <w:rPr>
                <w:szCs w:val="21"/>
              </w:rPr>
              <w:t>2</w:t>
            </w:r>
            <w:r>
              <w:rPr>
                <w:rFonts w:hint="eastAsia"/>
                <w:szCs w:val="21"/>
              </w:rPr>
              <w:t>2</w:t>
            </w:r>
            <w:r>
              <w:rPr>
                <w:szCs w:val="21"/>
              </w:rPr>
              <w:t>0</w:t>
            </w:r>
          </w:p>
        </w:tc>
        <w:tc>
          <w:tcPr>
            <w:tcW w:w="1150" w:type="dxa"/>
            <w:tcBorders>
              <w:top w:val="single" w:color="auto" w:sz="4" w:space="0"/>
              <w:bottom w:val="single" w:color="auto" w:sz="4" w:space="0"/>
            </w:tcBorders>
            <w:vAlign w:val="center"/>
          </w:tcPr>
          <w:p>
            <w:pPr>
              <w:keepNext w:val="0"/>
              <w:keepLines w:val="0"/>
              <w:widowControl/>
              <w:suppressLineNumbers w:val="0"/>
              <w:jc w:val="center"/>
              <w:textAlignment w:val="center"/>
              <w:rPr>
                <w:color w:val="000000" w:themeColor="text1"/>
                <w:szCs w:val="21"/>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0.1200 </w:t>
            </w:r>
          </w:p>
        </w:tc>
        <w:tc>
          <w:tcPr>
            <w:tcW w:w="1283" w:type="dxa"/>
            <w:tcBorders>
              <w:top w:val="single" w:color="auto" w:sz="4" w:space="0"/>
              <w:bottom w:val="single" w:color="auto" w:sz="4" w:space="0"/>
            </w:tcBorders>
            <w:vAlign w:val="center"/>
          </w:tcPr>
          <w:p>
            <w:pPr>
              <w:jc w:val="center"/>
              <w:rPr>
                <w:szCs w:val="21"/>
              </w:rPr>
            </w:pPr>
            <w:r>
              <w:rPr>
                <w:rFonts w:hint="eastAsia"/>
                <w:szCs w:val="21"/>
              </w:rPr>
              <w:t>160</w:t>
            </w:r>
          </w:p>
        </w:tc>
        <w:tc>
          <w:tcPr>
            <w:tcW w:w="1283" w:type="dxa"/>
            <w:tcBorders>
              <w:top w:val="single" w:color="auto" w:sz="4" w:space="0"/>
              <w:bottom w:val="single" w:color="auto" w:sz="4" w:space="0"/>
            </w:tcBorders>
            <w:vAlign w:val="center"/>
          </w:tcPr>
          <w:p>
            <w:pPr>
              <w:keepNext w:val="0"/>
              <w:keepLines w:val="0"/>
              <w:widowControl/>
              <w:suppressLineNumbers w:val="0"/>
              <w:jc w:val="center"/>
              <w:textAlignment w:val="center"/>
              <w:rPr>
                <w:color w:val="000000" w:themeColor="text1"/>
                <w:szCs w:val="21"/>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0.0960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1331" w:type="dxa"/>
            <w:vMerge w:val="continue"/>
            <w:vAlign w:val="center"/>
          </w:tcPr>
          <w:p>
            <w:pPr>
              <w:snapToGrid w:val="0"/>
              <w:jc w:val="center"/>
              <w:rPr>
                <w:szCs w:val="21"/>
              </w:rPr>
            </w:pPr>
          </w:p>
        </w:tc>
        <w:tc>
          <w:tcPr>
            <w:tcW w:w="1601" w:type="dxa"/>
            <w:vMerge w:val="continue"/>
            <w:vAlign w:val="center"/>
          </w:tcPr>
          <w:p>
            <w:pPr>
              <w:snapToGrid w:val="0"/>
              <w:spacing w:line="320" w:lineRule="exact"/>
              <w:jc w:val="center"/>
              <w:rPr>
                <w:szCs w:val="21"/>
              </w:rPr>
            </w:pPr>
          </w:p>
        </w:tc>
        <w:tc>
          <w:tcPr>
            <w:tcW w:w="1275" w:type="dxa"/>
            <w:tcBorders>
              <w:top w:val="single" w:color="auto" w:sz="4" w:space="0"/>
            </w:tcBorders>
            <w:vAlign w:val="center"/>
          </w:tcPr>
          <w:p>
            <w:pPr>
              <w:spacing w:line="320" w:lineRule="exact"/>
              <w:jc w:val="center"/>
              <w:rPr>
                <w:szCs w:val="21"/>
              </w:rPr>
            </w:pPr>
            <w:r>
              <w:rPr>
                <w:szCs w:val="21"/>
              </w:rPr>
              <w:t>氨氮</w:t>
            </w:r>
          </w:p>
        </w:tc>
        <w:tc>
          <w:tcPr>
            <w:tcW w:w="1149" w:type="dxa"/>
            <w:tcBorders>
              <w:top w:val="single" w:color="auto" w:sz="4" w:space="0"/>
            </w:tcBorders>
            <w:vAlign w:val="center"/>
          </w:tcPr>
          <w:p>
            <w:pPr>
              <w:jc w:val="center"/>
              <w:rPr>
                <w:szCs w:val="21"/>
              </w:rPr>
            </w:pPr>
            <w:r>
              <w:rPr>
                <w:rFonts w:hint="eastAsia"/>
                <w:szCs w:val="21"/>
              </w:rPr>
              <w:t>25</w:t>
            </w:r>
          </w:p>
        </w:tc>
        <w:tc>
          <w:tcPr>
            <w:tcW w:w="1150" w:type="dxa"/>
            <w:tcBorders>
              <w:top w:val="single" w:color="auto" w:sz="4" w:space="0"/>
            </w:tcBorders>
            <w:vAlign w:val="center"/>
          </w:tcPr>
          <w:p>
            <w:pPr>
              <w:keepNext w:val="0"/>
              <w:keepLines w:val="0"/>
              <w:widowControl/>
              <w:suppressLineNumbers w:val="0"/>
              <w:jc w:val="center"/>
              <w:textAlignment w:val="center"/>
              <w:rPr>
                <w:color w:val="000000" w:themeColor="text1"/>
                <w:szCs w:val="21"/>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0.0150 </w:t>
            </w:r>
          </w:p>
        </w:tc>
        <w:tc>
          <w:tcPr>
            <w:tcW w:w="1283" w:type="dxa"/>
            <w:tcBorders>
              <w:top w:val="single" w:color="auto" w:sz="4" w:space="0"/>
            </w:tcBorders>
            <w:vAlign w:val="center"/>
          </w:tcPr>
          <w:p>
            <w:pPr>
              <w:jc w:val="center"/>
              <w:rPr>
                <w:szCs w:val="21"/>
              </w:rPr>
            </w:pPr>
            <w:r>
              <w:rPr>
                <w:rFonts w:hint="eastAsia"/>
                <w:szCs w:val="21"/>
              </w:rPr>
              <w:t>25</w:t>
            </w:r>
          </w:p>
        </w:tc>
        <w:tc>
          <w:tcPr>
            <w:tcW w:w="1283" w:type="dxa"/>
            <w:tcBorders>
              <w:top w:val="single" w:color="auto" w:sz="4" w:space="0"/>
            </w:tcBorders>
            <w:vAlign w:val="center"/>
          </w:tcPr>
          <w:p>
            <w:pPr>
              <w:keepNext w:val="0"/>
              <w:keepLines w:val="0"/>
              <w:widowControl/>
              <w:suppressLineNumbers w:val="0"/>
              <w:jc w:val="center"/>
              <w:textAlignment w:val="center"/>
              <w:rPr>
                <w:color w:val="000000" w:themeColor="text1"/>
                <w:szCs w:val="21"/>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0.0150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1331" w:type="dxa"/>
            <w:vMerge w:val="continue"/>
            <w:vAlign w:val="center"/>
          </w:tcPr>
          <w:p>
            <w:pPr>
              <w:snapToGrid w:val="0"/>
              <w:jc w:val="center"/>
              <w:rPr>
                <w:szCs w:val="21"/>
              </w:rPr>
            </w:pPr>
          </w:p>
        </w:tc>
        <w:tc>
          <w:tcPr>
            <w:tcW w:w="1601" w:type="dxa"/>
            <w:vMerge w:val="continue"/>
            <w:vAlign w:val="center"/>
          </w:tcPr>
          <w:p>
            <w:pPr>
              <w:snapToGrid w:val="0"/>
              <w:spacing w:line="320" w:lineRule="exact"/>
              <w:jc w:val="center"/>
              <w:rPr>
                <w:szCs w:val="21"/>
              </w:rPr>
            </w:pPr>
          </w:p>
        </w:tc>
        <w:tc>
          <w:tcPr>
            <w:tcW w:w="1275" w:type="dxa"/>
            <w:tcBorders>
              <w:top w:val="single" w:color="auto" w:sz="4" w:space="0"/>
            </w:tcBorders>
            <w:vAlign w:val="center"/>
          </w:tcPr>
          <w:p>
            <w:pPr>
              <w:spacing w:line="320" w:lineRule="exact"/>
              <w:jc w:val="center"/>
              <w:rPr>
                <w:szCs w:val="21"/>
              </w:rPr>
            </w:pPr>
            <w:r>
              <w:rPr>
                <w:szCs w:val="21"/>
              </w:rPr>
              <w:t>TP</w:t>
            </w:r>
          </w:p>
        </w:tc>
        <w:tc>
          <w:tcPr>
            <w:tcW w:w="1149" w:type="dxa"/>
            <w:vAlign w:val="center"/>
          </w:tcPr>
          <w:p>
            <w:pPr>
              <w:jc w:val="center"/>
              <w:rPr>
                <w:szCs w:val="21"/>
              </w:rPr>
            </w:pPr>
            <w:r>
              <w:rPr>
                <w:rFonts w:hint="eastAsia"/>
                <w:szCs w:val="21"/>
              </w:rPr>
              <w:t>3</w:t>
            </w:r>
          </w:p>
        </w:tc>
        <w:tc>
          <w:tcPr>
            <w:tcW w:w="1150" w:type="dxa"/>
            <w:vAlign w:val="center"/>
          </w:tcPr>
          <w:p>
            <w:pPr>
              <w:keepNext w:val="0"/>
              <w:keepLines w:val="0"/>
              <w:widowControl/>
              <w:suppressLineNumbers w:val="0"/>
              <w:jc w:val="center"/>
              <w:textAlignment w:val="center"/>
              <w:rPr>
                <w:color w:val="000000" w:themeColor="text1"/>
                <w:szCs w:val="21"/>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0.0018 </w:t>
            </w:r>
          </w:p>
        </w:tc>
        <w:tc>
          <w:tcPr>
            <w:tcW w:w="1283" w:type="dxa"/>
            <w:vAlign w:val="center"/>
          </w:tcPr>
          <w:p>
            <w:pPr>
              <w:jc w:val="center"/>
              <w:rPr>
                <w:szCs w:val="21"/>
              </w:rPr>
            </w:pPr>
            <w:r>
              <w:rPr>
                <w:szCs w:val="21"/>
              </w:rPr>
              <w:t>3</w:t>
            </w:r>
          </w:p>
        </w:tc>
        <w:tc>
          <w:tcPr>
            <w:tcW w:w="1283" w:type="dxa"/>
            <w:vAlign w:val="center"/>
          </w:tcPr>
          <w:p>
            <w:pPr>
              <w:keepNext w:val="0"/>
              <w:keepLines w:val="0"/>
              <w:widowControl/>
              <w:suppressLineNumbers w:val="0"/>
              <w:jc w:val="center"/>
              <w:textAlignment w:val="center"/>
              <w:rPr>
                <w:color w:val="000000" w:themeColor="text1"/>
                <w:szCs w:val="21"/>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0.0018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1331" w:type="dxa"/>
            <w:vMerge w:val="continue"/>
            <w:vAlign w:val="center"/>
          </w:tcPr>
          <w:p>
            <w:pPr>
              <w:snapToGrid w:val="0"/>
              <w:jc w:val="center"/>
              <w:rPr>
                <w:szCs w:val="21"/>
              </w:rPr>
            </w:pPr>
          </w:p>
        </w:tc>
        <w:tc>
          <w:tcPr>
            <w:tcW w:w="1601" w:type="dxa"/>
            <w:vMerge w:val="continue"/>
            <w:vAlign w:val="center"/>
          </w:tcPr>
          <w:p>
            <w:pPr>
              <w:snapToGrid w:val="0"/>
              <w:spacing w:line="320" w:lineRule="exact"/>
              <w:jc w:val="center"/>
              <w:rPr>
                <w:szCs w:val="21"/>
              </w:rPr>
            </w:pPr>
          </w:p>
        </w:tc>
        <w:tc>
          <w:tcPr>
            <w:tcW w:w="1275" w:type="dxa"/>
            <w:tcBorders>
              <w:top w:val="single" w:color="auto" w:sz="4" w:space="0"/>
            </w:tcBorders>
            <w:vAlign w:val="center"/>
          </w:tcPr>
          <w:p>
            <w:pPr>
              <w:spacing w:line="320" w:lineRule="exact"/>
              <w:jc w:val="center"/>
              <w:rPr>
                <w:szCs w:val="21"/>
              </w:rPr>
            </w:pPr>
            <w:r>
              <w:rPr>
                <w:rFonts w:hint="eastAsia"/>
                <w:szCs w:val="21"/>
              </w:rPr>
              <w:t>TN</w:t>
            </w:r>
          </w:p>
        </w:tc>
        <w:tc>
          <w:tcPr>
            <w:tcW w:w="1149" w:type="dxa"/>
            <w:vAlign w:val="center"/>
          </w:tcPr>
          <w:p>
            <w:pPr>
              <w:jc w:val="center"/>
              <w:rPr>
                <w:szCs w:val="21"/>
              </w:rPr>
            </w:pPr>
            <w:r>
              <w:rPr>
                <w:rFonts w:hint="eastAsia"/>
                <w:szCs w:val="21"/>
              </w:rPr>
              <w:t>35</w:t>
            </w:r>
          </w:p>
        </w:tc>
        <w:tc>
          <w:tcPr>
            <w:tcW w:w="1150" w:type="dxa"/>
            <w:vAlign w:val="center"/>
          </w:tcPr>
          <w:p>
            <w:pPr>
              <w:keepNext w:val="0"/>
              <w:keepLines w:val="0"/>
              <w:widowControl/>
              <w:suppressLineNumbers w:val="0"/>
              <w:jc w:val="center"/>
              <w:textAlignment w:val="center"/>
              <w:rPr>
                <w:color w:val="000000" w:themeColor="text1"/>
                <w:szCs w:val="21"/>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0.0210 </w:t>
            </w:r>
          </w:p>
        </w:tc>
        <w:tc>
          <w:tcPr>
            <w:tcW w:w="1283" w:type="dxa"/>
            <w:vAlign w:val="center"/>
          </w:tcPr>
          <w:p>
            <w:pPr>
              <w:jc w:val="center"/>
              <w:rPr>
                <w:szCs w:val="21"/>
              </w:rPr>
            </w:pPr>
            <w:r>
              <w:rPr>
                <w:rFonts w:hint="eastAsia"/>
                <w:szCs w:val="21"/>
              </w:rPr>
              <w:t>35</w:t>
            </w:r>
          </w:p>
        </w:tc>
        <w:tc>
          <w:tcPr>
            <w:tcW w:w="1283" w:type="dxa"/>
            <w:vAlign w:val="center"/>
          </w:tcPr>
          <w:p>
            <w:pPr>
              <w:keepNext w:val="0"/>
              <w:keepLines w:val="0"/>
              <w:widowControl/>
              <w:suppressLineNumbers w:val="0"/>
              <w:jc w:val="center"/>
              <w:textAlignment w:val="center"/>
              <w:rPr>
                <w:color w:val="000000" w:themeColor="text1"/>
                <w:szCs w:val="21"/>
                <w14:textFill>
                  <w14:solidFill>
                    <w14:schemeClr w14:val="tx1"/>
                  </w14:solidFill>
                </w14:textFill>
              </w:rPr>
            </w:pPr>
            <w:r>
              <w:rPr>
                <w:rFonts w:hint="default" w:ascii="Times New Roman" w:hAnsi="Times New Roman" w:eastAsia="宋体" w:cs="Times New Roman"/>
                <w:i w:val="0"/>
                <w:color w:val="000000"/>
                <w:kern w:val="0"/>
                <w:sz w:val="21"/>
                <w:szCs w:val="21"/>
                <w:u w:val="none"/>
                <w:lang w:val="en-US" w:eastAsia="zh-CN" w:bidi="ar"/>
              </w:rPr>
              <w:t xml:space="preserve">0.0210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1331" w:type="dxa"/>
            <w:vMerge w:val="restart"/>
            <w:tcBorders>
              <w:top w:val="single" w:color="auto" w:sz="4" w:space="0"/>
            </w:tcBorders>
            <w:vAlign w:val="center"/>
          </w:tcPr>
          <w:p>
            <w:pPr>
              <w:jc w:val="center"/>
              <w:rPr>
                <w:szCs w:val="21"/>
              </w:rPr>
            </w:pPr>
            <w:r>
              <w:rPr>
                <w:szCs w:val="21"/>
              </w:rPr>
              <w:t>固废</w:t>
            </w:r>
          </w:p>
        </w:tc>
        <w:tc>
          <w:tcPr>
            <w:tcW w:w="1601" w:type="dxa"/>
            <w:tcBorders>
              <w:top w:val="single" w:color="auto" w:sz="4" w:space="0"/>
            </w:tcBorders>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pPr>
            <w:r>
              <w:rPr>
                <w:rFonts w:hint="eastAsia"/>
                <w:bCs/>
                <w:color w:val="000000" w:themeColor="text1"/>
                <w:lang w:eastAsia="zh-CN"/>
                <w14:textFill>
                  <w14:solidFill>
                    <w14:schemeClr w14:val="tx1"/>
                  </w14:solidFill>
                </w14:textFill>
              </w:rPr>
              <w:t>废塑粉</w:t>
            </w:r>
          </w:p>
        </w:tc>
        <w:tc>
          <w:tcPr>
            <w:tcW w:w="1275" w:type="dxa"/>
            <w:vMerge w:val="restart"/>
            <w:tcBorders>
              <w:top w:val="single" w:color="auto" w:sz="4" w:space="0"/>
            </w:tcBorders>
            <w:vAlign w:val="center"/>
          </w:tcPr>
          <w:p>
            <w:pPr>
              <w:pStyle w:val="39"/>
            </w:pPr>
            <w:r>
              <w:t>生产过程</w:t>
            </w:r>
          </w:p>
        </w:tc>
        <w:tc>
          <w:tcPr>
            <w:tcW w:w="2299" w:type="dxa"/>
            <w:gridSpan w:val="2"/>
            <w:tcBorders>
              <w:top w:val="single" w:color="auto" w:sz="4" w:space="0"/>
            </w:tcBorders>
            <w:vAlign w:val="center"/>
          </w:tcPr>
          <w:p>
            <w:pPr>
              <w:pStyle w:val="39"/>
            </w:pPr>
            <w:r>
              <w:rPr>
                <w:rFonts w:hint="eastAsia"/>
                <w:bCs/>
                <w:color w:val="000000" w:themeColor="text1"/>
                <w14:textFill>
                  <w14:solidFill>
                    <w14:schemeClr w14:val="tx1"/>
                  </w14:solidFill>
                </w14:textFill>
              </w:rPr>
              <w:t>0.</w:t>
            </w:r>
            <w:r>
              <w:rPr>
                <w:rFonts w:hint="eastAsia"/>
                <w:bCs/>
                <w:color w:val="000000" w:themeColor="text1"/>
                <w:lang w:val="en-US" w:eastAsia="zh-CN"/>
                <w14:textFill>
                  <w14:solidFill>
                    <w14:schemeClr w14:val="tx1"/>
                  </w14:solidFill>
                </w14:textFill>
              </w:rPr>
              <w:t>33</w:t>
            </w:r>
            <w:r>
              <w:rPr>
                <w:bCs/>
              </w:rPr>
              <w:t>t/a</w:t>
            </w:r>
          </w:p>
        </w:tc>
        <w:tc>
          <w:tcPr>
            <w:tcW w:w="2566" w:type="dxa"/>
            <w:gridSpan w:val="2"/>
            <w:tcBorders>
              <w:top w:val="single" w:color="auto" w:sz="4" w:space="0"/>
            </w:tcBorders>
            <w:vAlign w:val="center"/>
          </w:tcPr>
          <w:p>
            <w:pPr>
              <w:spacing w:line="320" w:lineRule="exact"/>
              <w:jc w:val="center"/>
              <w:rPr>
                <w:szCs w:val="21"/>
              </w:rPr>
            </w:pPr>
            <w:r>
              <w:rPr>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1331" w:type="dxa"/>
            <w:vMerge w:val="continue"/>
            <w:vAlign w:val="center"/>
          </w:tcPr>
          <w:p>
            <w:pPr>
              <w:jc w:val="center"/>
              <w:rPr>
                <w:szCs w:val="21"/>
              </w:rPr>
            </w:pPr>
          </w:p>
        </w:tc>
        <w:tc>
          <w:tcPr>
            <w:tcW w:w="1601"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pPr>
            <w:r>
              <w:rPr>
                <w:rFonts w:hint="eastAsia"/>
                <w:bCs/>
                <w:color w:val="000000" w:themeColor="text1"/>
                <w:lang w:eastAsia="zh-CN"/>
                <w14:textFill>
                  <w14:solidFill>
                    <w14:schemeClr w14:val="tx1"/>
                  </w14:solidFill>
                </w14:textFill>
              </w:rPr>
              <w:t>废包装材料</w:t>
            </w:r>
          </w:p>
        </w:tc>
        <w:tc>
          <w:tcPr>
            <w:tcW w:w="1275" w:type="dxa"/>
            <w:vMerge w:val="continue"/>
            <w:vAlign w:val="center"/>
          </w:tcPr>
          <w:p>
            <w:pPr>
              <w:pStyle w:val="39"/>
            </w:pPr>
          </w:p>
        </w:tc>
        <w:tc>
          <w:tcPr>
            <w:tcW w:w="2299" w:type="dxa"/>
            <w:gridSpan w:val="2"/>
            <w:vAlign w:val="center"/>
          </w:tcPr>
          <w:p>
            <w:pPr>
              <w:pStyle w:val="39"/>
            </w:pPr>
            <w:r>
              <w:rPr>
                <w:rFonts w:hint="eastAsia"/>
                <w:bCs/>
                <w:color w:val="000000" w:themeColor="text1"/>
                <w:lang w:val="en-US" w:eastAsia="zh-CN"/>
                <w14:textFill>
                  <w14:solidFill>
                    <w14:schemeClr w14:val="tx1"/>
                  </w14:solidFill>
                </w14:textFill>
              </w:rPr>
              <w:t>0.1</w:t>
            </w:r>
            <w:r>
              <w:rPr>
                <w:bCs/>
              </w:rPr>
              <w:t>t/a</w:t>
            </w:r>
          </w:p>
        </w:tc>
        <w:tc>
          <w:tcPr>
            <w:tcW w:w="2566" w:type="dxa"/>
            <w:gridSpan w:val="2"/>
            <w:vAlign w:val="center"/>
          </w:tcPr>
          <w:p>
            <w:pPr>
              <w:spacing w:line="320" w:lineRule="exact"/>
              <w:jc w:val="center"/>
              <w:rPr>
                <w:szCs w:val="21"/>
              </w:rPr>
            </w:pPr>
            <w:r>
              <w:rPr>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1331" w:type="dxa"/>
            <w:vMerge w:val="continue"/>
            <w:vAlign w:val="center"/>
          </w:tcPr>
          <w:p>
            <w:pPr>
              <w:jc w:val="center"/>
              <w:rPr>
                <w:szCs w:val="21"/>
              </w:rPr>
            </w:pPr>
          </w:p>
        </w:tc>
        <w:tc>
          <w:tcPr>
            <w:tcW w:w="1601" w:type="dxa"/>
            <w:tcBorders>
              <w:top w:val="single" w:color="auto" w:sz="4" w:space="0"/>
            </w:tcBorders>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pPr>
            <w:r>
              <w:rPr>
                <w:rFonts w:hint="eastAsia"/>
                <w:bCs/>
                <w:color w:val="000000" w:themeColor="text1"/>
                <w:lang w:eastAsia="zh-CN"/>
                <w14:textFill>
                  <w14:solidFill>
                    <w14:schemeClr w14:val="tx1"/>
                  </w14:solidFill>
                </w14:textFill>
              </w:rPr>
              <w:t>含油抹布和手套</w:t>
            </w:r>
          </w:p>
        </w:tc>
        <w:tc>
          <w:tcPr>
            <w:tcW w:w="1275" w:type="dxa"/>
            <w:vMerge w:val="continue"/>
            <w:vAlign w:val="center"/>
          </w:tcPr>
          <w:p>
            <w:pPr>
              <w:pStyle w:val="39"/>
            </w:pPr>
          </w:p>
        </w:tc>
        <w:tc>
          <w:tcPr>
            <w:tcW w:w="2299" w:type="dxa"/>
            <w:gridSpan w:val="2"/>
            <w:tcBorders>
              <w:top w:val="single" w:color="auto" w:sz="4" w:space="0"/>
            </w:tcBorders>
            <w:vAlign w:val="center"/>
          </w:tcPr>
          <w:p>
            <w:pPr>
              <w:pStyle w:val="39"/>
              <w:rPr>
                <w:rFonts w:hint="default" w:eastAsia="宋体"/>
                <w:lang w:val="en-US" w:eastAsia="zh-CN"/>
              </w:rPr>
            </w:pPr>
            <w:r>
              <w:rPr>
                <w:rFonts w:hint="eastAsia"/>
                <w:bCs/>
                <w:color w:val="000000" w:themeColor="text1"/>
                <w:lang w:val="en-US" w:eastAsia="zh-CN"/>
                <w14:textFill>
                  <w14:solidFill>
                    <w14:schemeClr w14:val="tx1"/>
                  </w14:solidFill>
                </w14:textFill>
              </w:rPr>
              <w:t>0.1t/a</w:t>
            </w:r>
          </w:p>
        </w:tc>
        <w:tc>
          <w:tcPr>
            <w:tcW w:w="2566" w:type="dxa"/>
            <w:gridSpan w:val="2"/>
            <w:tcBorders>
              <w:top w:val="single" w:color="auto" w:sz="4" w:space="0"/>
            </w:tcBorders>
            <w:vAlign w:val="center"/>
          </w:tcPr>
          <w:p>
            <w:pPr>
              <w:spacing w:line="320" w:lineRule="exact"/>
              <w:jc w:val="center"/>
              <w:rPr>
                <w:szCs w:val="21"/>
              </w:rPr>
            </w:pPr>
            <w:r>
              <w:rPr>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1331" w:type="dxa"/>
            <w:vMerge w:val="continue"/>
            <w:vAlign w:val="center"/>
          </w:tcPr>
          <w:p>
            <w:pPr>
              <w:jc w:val="center"/>
              <w:rPr>
                <w:szCs w:val="21"/>
              </w:rPr>
            </w:pPr>
          </w:p>
        </w:tc>
        <w:tc>
          <w:tcPr>
            <w:tcW w:w="1601" w:type="dxa"/>
            <w:tcBorders>
              <w:top w:val="single" w:color="auto" w:sz="4" w:space="0"/>
            </w:tcBorders>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Cs/>
                <w:color w:val="000000" w:themeColor="text1"/>
                <w14:textFill>
                  <w14:solidFill>
                    <w14:schemeClr w14:val="tx1"/>
                  </w14:solidFill>
                </w14:textFill>
              </w:rPr>
            </w:pPr>
            <w:r>
              <w:rPr>
                <w:rFonts w:hint="eastAsia"/>
                <w:bCs/>
                <w:color w:val="000000" w:themeColor="text1"/>
                <w:lang w:eastAsia="zh-CN"/>
                <w14:textFill>
                  <w14:solidFill>
                    <w14:schemeClr w14:val="tx1"/>
                  </w14:solidFill>
                </w14:textFill>
              </w:rPr>
              <w:t>废包装桶</w:t>
            </w:r>
          </w:p>
        </w:tc>
        <w:tc>
          <w:tcPr>
            <w:tcW w:w="1275" w:type="dxa"/>
            <w:vMerge w:val="continue"/>
            <w:vAlign w:val="center"/>
          </w:tcPr>
          <w:p>
            <w:pPr>
              <w:pStyle w:val="39"/>
            </w:pPr>
          </w:p>
        </w:tc>
        <w:tc>
          <w:tcPr>
            <w:tcW w:w="2299" w:type="dxa"/>
            <w:gridSpan w:val="2"/>
            <w:tcBorders>
              <w:top w:val="single" w:color="auto" w:sz="4" w:space="0"/>
            </w:tcBorders>
            <w:vAlign w:val="center"/>
          </w:tcPr>
          <w:p>
            <w:pPr>
              <w:pStyle w:val="39"/>
              <w:rPr>
                <w:bCs/>
                <w:color w:val="000000" w:themeColor="text1"/>
                <w14:textFill>
                  <w14:solidFill>
                    <w14:schemeClr w14:val="tx1"/>
                  </w14:solidFill>
                </w14:textFill>
              </w:rPr>
            </w:pPr>
            <w:r>
              <w:rPr>
                <w:rFonts w:hint="eastAsia"/>
                <w:bCs/>
                <w:color w:val="000000" w:themeColor="text1"/>
                <w:lang w:val="en-US" w:eastAsia="zh-CN"/>
                <w14:textFill>
                  <w14:solidFill>
                    <w14:schemeClr w14:val="tx1"/>
                  </w14:solidFill>
                </w14:textFill>
              </w:rPr>
              <w:t>10只</w:t>
            </w:r>
            <w:r>
              <w:rPr>
                <w:bCs/>
              </w:rPr>
              <w:t>/a</w:t>
            </w:r>
          </w:p>
        </w:tc>
        <w:tc>
          <w:tcPr>
            <w:tcW w:w="2566" w:type="dxa"/>
            <w:gridSpan w:val="2"/>
            <w:tcBorders>
              <w:top w:val="single" w:color="auto" w:sz="4" w:space="0"/>
            </w:tcBorders>
            <w:vAlign w:val="center"/>
          </w:tcPr>
          <w:p>
            <w:pPr>
              <w:spacing w:line="320" w:lineRule="exact"/>
              <w:jc w:val="center"/>
              <w:rPr>
                <w:szCs w:val="21"/>
              </w:rPr>
            </w:pPr>
            <w:r>
              <w:rPr>
                <w:rFonts w:hint="eastAsia"/>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1331" w:type="dxa"/>
            <w:vMerge w:val="continue"/>
            <w:vAlign w:val="center"/>
          </w:tcPr>
          <w:p>
            <w:pPr>
              <w:jc w:val="center"/>
              <w:rPr>
                <w:szCs w:val="21"/>
              </w:rPr>
            </w:pPr>
          </w:p>
        </w:tc>
        <w:tc>
          <w:tcPr>
            <w:tcW w:w="1601" w:type="dxa"/>
            <w:tcBorders>
              <w:top w:val="single" w:color="auto" w:sz="4" w:space="0"/>
            </w:tcBorders>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pPr>
            <w:r>
              <w:rPr>
                <w:rFonts w:hint="eastAsia"/>
                <w:bCs/>
                <w:color w:val="000000" w:themeColor="text1"/>
                <w14:textFill>
                  <w14:solidFill>
                    <w14:schemeClr w14:val="tx1"/>
                  </w14:solidFill>
                </w14:textFill>
              </w:rPr>
              <w:t>废活性炭</w:t>
            </w:r>
          </w:p>
        </w:tc>
        <w:tc>
          <w:tcPr>
            <w:tcW w:w="1275" w:type="dxa"/>
            <w:vMerge w:val="continue"/>
            <w:vAlign w:val="center"/>
          </w:tcPr>
          <w:p>
            <w:pPr>
              <w:pStyle w:val="39"/>
            </w:pPr>
          </w:p>
        </w:tc>
        <w:tc>
          <w:tcPr>
            <w:tcW w:w="2299" w:type="dxa"/>
            <w:gridSpan w:val="2"/>
            <w:tcBorders>
              <w:top w:val="single" w:color="auto" w:sz="4" w:space="0"/>
            </w:tcBorders>
            <w:vAlign w:val="center"/>
          </w:tcPr>
          <w:p>
            <w:pPr>
              <w:pStyle w:val="39"/>
            </w:pPr>
            <w:r>
              <w:rPr>
                <w:rFonts w:hint="eastAsia"/>
                <w:bCs/>
                <w:color w:val="000000" w:themeColor="text1"/>
                <w14:textFill>
                  <w14:solidFill>
                    <w14:schemeClr w14:val="tx1"/>
                  </w14:solidFill>
                </w14:textFill>
              </w:rPr>
              <w:t>0.</w:t>
            </w:r>
            <w:r>
              <w:rPr>
                <w:rFonts w:hint="eastAsia"/>
                <w:bCs/>
                <w:color w:val="000000" w:themeColor="text1"/>
                <w:lang w:val="en-US" w:eastAsia="zh-CN"/>
                <w14:textFill>
                  <w14:solidFill>
                    <w14:schemeClr w14:val="tx1"/>
                  </w14:solidFill>
                </w14:textFill>
              </w:rPr>
              <w:t>826</w:t>
            </w:r>
            <w:r>
              <w:rPr>
                <w:bCs/>
              </w:rPr>
              <w:t>t/a</w:t>
            </w:r>
          </w:p>
        </w:tc>
        <w:tc>
          <w:tcPr>
            <w:tcW w:w="2566" w:type="dxa"/>
            <w:gridSpan w:val="2"/>
            <w:tcBorders>
              <w:top w:val="single" w:color="auto" w:sz="4" w:space="0"/>
            </w:tcBorders>
            <w:vAlign w:val="center"/>
          </w:tcPr>
          <w:p>
            <w:pPr>
              <w:spacing w:line="320" w:lineRule="exact"/>
              <w:jc w:val="center"/>
              <w:rPr>
                <w:szCs w:val="21"/>
              </w:rPr>
            </w:pPr>
            <w:r>
              <w:rPr>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1331" w:type="dxa"/>
            <w:vMerge w:val="continue"/>
            <w:vAlign w:val="center"/>
          </w:tcPr>
          <w:p>
            <w:pPr>
              <w:jc w:val="center"/>
              <w:rPr>
                <w:szCs w:val="21"/>
              </w:rPr>
            </w:pPr>
          </w:p>
        </w:tc>
        <w:tc>
          <w:tcPr>
            <w:tcW w:w="1601" w:type="dxa"/>
            <w:tcBorders>
              <w:top w:val="single" w:color="auto" w:sz="4" w:space="0"/>
            </w:tcBorders>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pPr>
            <w:r>
              <w:rPr>
                <w:rFonts w:hint="eastAsia"/>
                <w:bCs/>
                <w:color w:val="000000" w:themeColor="text1"/>
                <w14:textFill>
                  <w14:solidFill>
                    <w14:schemeClr w14:val="tx1"/>
                  </w14:solidFill>
                </w14:textFill>
              </w:rPr>
              <w:t>生活垃圾</w:t>
            </w:r>
          </w:p>
        </w:tc>
        <w:tc>
          <w:tcPr>
            <w:tcW w:w="1275" w:type="dxa"/>
            <w:tcBorders>
              <w:top w:val="single" w:color="auto" w:sz="4" w:space="0"/>
              <w:bottom w:val="single" w:color="auto" w:sz="4" w:space="0"/>
            </w:tcBorders>
            <w:vAlign w:val="center"/>
          </w:tcPr>
          <w:p>
            <w:pPr>
              <w:pStyle w:val="39"/>
            </w:pPr>
            <w:r>
              <w:t>职工生活</w:t>
            </w:r>
          </w:p>
        </w:tc>
        <w:tc>
          <w:tcPr>
            <w:tcW w:w="2299" w:type="dxa"/>
            <w:gridSpan w:val="2"/>
            <w:tcBorders>
              <w:top w:val="single" w:color="auto" w:sz="4" w:space="0"/>
            </w:tcBorders>
            <w:vAlign w:val="center"/>
          </w:tcPr>
          <w:p>
            <w:pPr>
              <w:pStyle w:val="39"/>
            </w:pPr>
            <w:r>
              <w:rPr>
                <w:rFonts w:hint="eastAsia"/>
                <w:bCs/>
                <w:color w:val="000000" w:themeColor="text1"/>
                <w:lang w:val="en-US" w:eastAsia="zh-CN"/>
                <w14:textFill>
                  <w14:solidFill>
                    <w14:schemeClr w14:val="tx1"/>
                  </w14:solidFill>
                </w14:textFill>
              </w:rPr>
              <w:t>7.</w:t>
            </w:r>
            <w:r>
              <w:rPr>
                <w:rFonts w:hint="eastAsia"/>
                <w:bCs/>
                <w:color w:val="000000" w:themeColor="text1"/>
                <w14:textFill>
                  <w14:solidFill>
                    <w14:schemeClr w14:val="tx1"/>
                  </w14:solidFill>
                </w14:textFill>
              </w:rPr>
              <w:t>5</w:t>
            </w:r>
            <w:r>
              <w:rPr>
                <w:bCs/>
              </w:rPr>
              <w:t>t/a</w:t>
            </w:r>
          </w:p>
        </w:tc>
        <w:tc>
          <w:tcPr>
            <w:tcW w:w="2566" w:type="dxa"/>
            <w:gridSpan w:val="2"/>
            <w:tcBorders>
              <w:top w:val="single" w:color="auto" w:sz="4" w:space="0"/>
            </w:tcBorders>
            <w:vAlign w:val="center"/>
          </w:tcPr>
          <w:p>
            <w:pPr>
              <w:spacing w:line="320" w:lineRule="exact"/>
              <w:jc w:val="center"/>
              <w:rPr>
                <w:szCs w:val="21"/>
              </w:rPr>
            </w:pPr>
            <w:r>
              <w:rPr>
                <w:szCs w:val="21"/>
              </w:rPr>
              <w:t>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1331" w:type="dxa"/>
            <w:tcBorders>
              <w:right w:val="single" w:color="auto" w:sz="4" w:space="0"/>
            </w:tcBorders>
            <w:vAlign w:val="center"/>
          </w:tcPr>
          <w:p>
            <w:pPr>
              <w:snapToGrid w:val="0"/>
              <w:spacing w:line="276" w:lineRule="auto"/>
              <w:jc w:val="center"/>
              <w:rPr>
                <w:szCs w:val="21"/>
              </w:rPr>
            </w:pPr>
            <w:r>
              <w:rPr>
                <w:szCs w:val="21"/>
              </w:rPr>
              <w:t>噪</w:t>
            </w:r>
          </w:p>
          <w:p>
            <w:pPr>
              <w:snapToGrid w:val="0"/>
              <w:spacing w:line="276" w:lineRule="auto"/>
              <w:jc w:val="center"/>
              <w:rPr>
                <w:szCs w:val="21"/>
              </w:rPr>
            </w:pPr>
            <w:r>
              <w:rPr>
                <w:szCs w:val="21"/>
              </w:rPr>
              <w:t>声</w:t>
            </w:r>
          </w:p>
        </w:tc>
        <w:tc>
          <w:tcPr>
            <w:tcW w:w="7741" w:type="dxa"/>
            <w:gridSpan w:val="6"/>
            <w:tcBorders>
              <w:left w:val="single" w:color="auto" w:sz="4" w:space="0"/>
            </w:tcBorders>
            <w:vAlign w:val="center"/>
          </w:tcPr>
          <w:p>
            <w:pPr>
              <w:spacing w:line="360" w:lineRule="auto"/>
              <w:ind w:firstLine="420" w:firstLineChars="200"/>
              <w:rPr>
                <w:bCs/>
                <w:szCs w:val="21"/>
              </w:rPr>
            </w:pPr>
            <w:r>
              <w:rPr>
                <w:szCs w:val="21"/>
              </w:rPr>
              <w:t>建设项目主要高噪声设备为</w:t>
            </w:r>
            <w:r>
              <w:rPr>
                <w:rFonts w:hint="eastAsia"/>
                <w:szCs w:val="21"/>
                <w:lang w:eastAsia="zh-CN"/>
              </w:rPr>
              <w:t>喷枪、风机</w:t>
            </w:r>
            <w:r>
              <w:rPr>
                <w:szCs w:val="21"/>
              </w:rPr>
              <w:t>等设备，经减振、隔声与距离衰减后，</w:t>
            </w:r>
            <w:r>
              <w:rPr>
                <w:bCs/>
                <w:szCs w:val="21"/>
              </w:rPr>
              <w:t>在经过隔声减振等措施和距离衰减之后，</w:t>
            </w:r>
            <w:r>
              <w:rPr>
                <w:szCs w:val="21"/>
              </w:rPr>
              <w:t>项目运营期噪声排放可满足《工业企业厂界环境噪声排放标准》（GB12348-2008）中的</w:t>
            </w:r>
            <w:r>
              <w:rPr>
                <w:rFonts w:hint="eastAsia"/>
                <w:szCs w:val="21"/>
              </w:rPr>
              <w:t>3</w:t>
            </w:r>
            <w:r>
              <w:rPr>
                <w:szCs w:val="21"/>
              </w:rPr>
              <w:t>类标准</w:t>
            </w:r>
            <w:r>
              <w:rPr>
                <w:bCs/>
                <w:szCs w:val="21"/>
              </w:rPr>
              <w:t>。对环境影响较小</w:t>
            </w:r>
            <w:r>
              <w:rPr>
                <w:szCs w:val="21"/>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1331" w:type="dxa"/>
            <w:vAlign w:val="center"/>
          </w:tcPr>
          <w:p>
            <w:pPr>
              <w:snapToGrid w:val="0"/>
              <w:jc w:val="center"/>
              <w:rPr>
                <w:szCs w:val="21"/>
              </w:rPr>
            </w:pPr>
            <w:r>
              <w:rPr>
                <w:szCs w:val="21"/>
              </w:rPr>
              <w:t>其它</w:t>
            </w:r>
          </w:p>
        </w:tc>
        <w:tc>
          <w:tcPr>
            <w:tcW w:w="7741" w:type="dxa"/>
            <w:gridSpan w:val="6"/>
            <w:vAlign w:val="center"/>
          </w:tcPr>
          <w:p>
            <w:pPr>
              <w:snapToGrid w:val="0"/>
              <w:ind w:firstLine="630" w:firstLineChars="300"/>
              <w:rPr>
                <w:szCs w:val="21"/>
              </w:rPr>
            </w:pPr>
            <w:r>
              <w:rPr>
                <w:szCs w:val="21"/>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atLeast"/>
          <w:jc w:val="center"/>
        </w:trPr>
        <w:tc>
          <w:tcPr>
            <w:tcW w:w="9072" w:type="dxa"/>
            <w:gridSpan w:val="7"/>
            <w:tcBorders>
              <w:bottom w:val="single" w:color="auto" w:sz="12" w:space="0"/>
            </w:tcBorders>
          </w:tcPr>
          <w:p>
            <w:pPr>
              <w:spacing w:line="360" w:lineRule="auto"/>
              <w:rPr>
                <w:b/>
                <w:szCs w:val="21"/>
              </w:rPr>
            </w:pPr>
            <w:r>
              <w:rPr>
                <w:b/>
                <w:szCs w:val="21"/>
              </w:rPr>
              <w:t>主要生态影响</w:t>
            </w:r>
          </w:p>
          <w:p>
            <w:pPr>
              <w:spacing w:line="360" w:lineRule="auto"/>
              <w:ind w:firstLine="420" w:firstLineChars="200"/>
              <w:rPr>
                <w:szCs w:val="21"/>
              </w:rPr>
            </w:pPr>
            <w:r>
              <w:rPr>
                <w:szCs w:val="21"/>
              </w:rPr>
              <w:t>无</w:t>
            </w:r>
          </w:p>
        </w:tc>
      </w:tr>
    </w:tbl>
    <w:p>
      <w:pPr>
        <w:pStyle w:val="23"/>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环境影响分析</w:t>
      </w:r>
    </w:p>
    <w:tbl>
      <w:tblPr>
        <w:tblStyle w:val="17"/>
        <w:tblW w:w="852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12" w:space="0"/>
        </w:tblBorders>
        <w:tblLayout w:type="fixed"/>
        <w:tblCellMar>
          <w:top w:w="0" w:type="dxa"/>
          <w:left w:w="108" w:type="dxa"/>
          <w:bottom w:w="0" w:type="dxa"/>
          <w:right w:w="108" w:type="dxa"/>
        </w:tblCellMar>
      </w:tblPr>
      <w:tblGrid>
        <w:gridCol w:w="852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12" w:space="0"/>
          </w:tblBorders>
          <w:tblCellMar>
            <w:top w:w="0" w:type="dxa"/>
            <w:left w:w="108" w:type="dxa"/>
            <w:bottom w:w="0" w:type="dxa"/>
            <w:right w:w="108" w:type="dxa"/>
          </w:tblCellMar>
        </w:tblPrEx>
        <w:trPr>
          <w:trHeight w:val="13285" w:hRule="atLeast"/>
          <w:jc w:val="center"/>
        </w:trPr>
        <w:tc>
          <w:tcPr>
            <w:tcW w:w="8528" w:type="dxa"/>
          </w:tcPr>
          <w:p>
            <w:pPr>
              <w:spacing w:line="360" w:lineRule="auto"/>
              <w:ind w:firstLine="480" w:firstLineChars="200"/>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一</w:t>
            </w:r>
            <w:r>
              <w:rPr>
                <w:b/>
                <w:color w:val="000000" w:themeColor="text1"/>
                <w:sz w:val="24"/>
                <w:szCs w:val="24"/>
                <w14:textFill>
                  <w14:solidFill>
                    <w14:schemeClr w14:val="tx1"/>
                  </w14:solidFill>
                </w14:textFill>
              </w:rPr>
              <w:t>、</w:t>
            </w:r>
            <w:r>
              <w:rPr>
                <w:rFonts w:hint="eastAsia"/>
                <w:b/>
                <w:color w:val="000000" w:themeColor="text1"/>
                <w:sz w:val="24"/>
                <w:szCs w:val="24"/>
                <w14:textFill>
                  <w14:solidFill>
                    <w14:schemeClr w14:val="tx1"/>
                  </w14:solidFill>
                </w14:textFill>
              </w:rPr>
              <w:t>施工期环境影响分析：</w:t>
            </w:r>
          </w:p>
          <w:p>
            <w:pPr>
              <w:spacing w:line="360" w:lineRule="auto"/>
              <w:ind w:firstLine="480"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本项目施工期仅涉及</w:t>
            </w:r>
            <w:r>
              <w:rPr>
                <w:rFonts w:hint="eastAsia"/>
                <w:color w:val="000000" w:themeColor="text1"/>
                <w:kern w:val="24"/>
                <w:sz w:val="24"/>
                <w14:textFill>
                  <w14:solidFill>
                    <w14:schemeClr w14:val="tx1"/>
                  </w14:solidFill>
                </w14:textFill>
              </w:rPr>
              <w:t>施工装饰，</w:t>
            </w:r>
            <w:r>
              <w:rPr>
                <w:color w:val="000000" w:themeColor="text1"/>
                <w:kern w:val="24"/>
                <w:sz w:val="24"/>
                <w14:textFill>
                  <w14:solidFill>
                    <w14:schemeClr w14:val="tx1"/>
                  </w14:solidFill>
                </w14:textFill>
              </w:rPr>
              <w:t>设备安装、调试。</w:t>
            </w:r>
            <w:r>
              <w:rPr>
                <w:rFonts w:hint="eastAsia"/>
                <w:color w:val="000000" w:themeColor="text1"/>
                <w:kern w:val="24"/>
                <w:sz w:val="24"/>
                <w14:textFill>
                  <w14:solidFill>
                    <w14:schemeClr w14:val="tx1"/>
                  </w14:solidFill>
                </w14:textFill>
              </w:rPr>
              <w:t>施工期较为简单，施工周期短，对环境影响较小，本次不再重点阐述。</w:t>
            </w:r>
          </w:p>
          <w:p>
            <w:pPr>
              <w:spacing w:line="360" w:lineRule="auto"/>
              <w:ind w:firstLine="480" w:firstLineChars="200"/>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二</w:t>
            </w:r>
            <w:r>
              <w:rPr>
                <w:b/>
                <w:color w:val="000000" w:themeColor="text1"/>
                <w:sz w:val="24"/>
                <w:szCs w:val="24"/>
                <w14:textFill>
                  <w14:solidFill>
                    <w14:schemeClr w14:val="tx1"/>
                  </w14:solidFill>
                </w14:textFill>
              </w:rPr>
              <w:t>、</w:t>
            </w:r>
            <w:r>
              <w:rPr>
                <w:rFonts w:hint="eastAsia"/>
                <w:b/>
                <w:color w:val="000000" w:themeColor="text1"/>
                <w:sz w:val="24"/>
                <w:szCs w:val="24"/>
                <w14:textFill>
                  <w14:solidFill>
                    <w14:schemeClr w14:val="tx1"/>
                  </w14:solidFill>
                </w14:textFill>
              </w:rPr>
              <w:t>营运期环境影响分析：</w:t>
            </w:r>
          </w:p>
          <w:p>
            <w:pPr>
              <w:spacing w:line="360" w:lineRule="auto"/>
              <w:ind w:firstLine="480" w:firstLineChars="200"/>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1、大气环境影响分析</w:t>
            </w:r>
          </w:p>
          <w:p>
            <w:pPr>
              <w:spacing w:line="360" w:lineRule="auto"/>
              <w:ind w:firstLine="480"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（1）项目废气达标排放情况：</w:t>
            </w:r>
          </w:p>
          <w:p>
            <w:pPr>
              <w:spacing w:line="360" w:lineRule="auto"/>
              <w:ind w:firstLine="480" w:firstLineChars="200"/>
              <w:rPr>
                <w:sz w:val="24"/>
              </w:rPr>
            </w:pPr>
            <w:r>
              <w:rPr>
                <w:rFonts w:hint="eastAsia"/>
                <w:sz w:val="24"/>
                <w:szCs w:val="24"/>
              </w:rPr>
              <w:t>本项目废气经处理后，颗粒物</w:t>
            </w:r>
            <w:r>
              <w:rPr>
                <w:sz w:val="24"/>
                <w:szCs w:val="24"/>
              </w:rPr>
              <w:t>排放</w:t>
            </w:r>
            <w:r>
              <w:rPr>
                <w:snapToGrid w:val="0"/>
                <w:kern w:val="18"/>
                <w:sz w:val="24"/>
                <w:szCs w:val="24"/>
              </w:rPr>
              <w:t>浓度</w:t>
            </w:r>
            <w:r>
              <w:rPr>
                <w:rFonts w:hint="eastAsia"/>
                <w:sz w:val="24"/>
                <w:szCs w:val="24"/>
              </w:rPr>
              <w:t>为</w:t>
            </w:r>
            <w:r>
              <w:rPr>
                <w:rFonts w:hint="eastAsia"/>
                <w:sz w:val="24"/>
                <w:szCs w:val="24"/>
                <w:lang w:val="en-US" w:eastAsia="zh-CN"/>
              </w:rPr>
              <w:t>1.46</w:t>
            </w:r>
            <w:r>
              <w:rPr>
                <w:snapToGrid w:val="0"/>
                <w:kern w:val="18"/>
                <w:sz w:val="24"/>
                <w:szCs w:val="24"/>
              </w:rPr>
              <w:t>mg/m</w:t>
            </w:r>
            <w:r>
              <w:rPr>
                <w:snapToGrid w:val="0"/>
                <w:kern w:val="18"/>
                <w:sz w:val="24"/>
                <w:szCs w:val="24"/>
                <w:vertAlign w:val="superscript"/>
              </w:rPr>
              <w:t>3</w:t>
            </w:r>
            <w:r>
              <w:rPr>
                <w:rFonts w:hint="eastAsia"/>
                <w:snapToGrid w:val="0"/>
                <w:kern w:val="18"/>
                <w:sz w:val="24"/>
                <w:szCs w:val="24"/>
              </w:rPr>
              <w:t>＜20</w:t>
            </w:r>
            <w:r>
              <w:rPr>
                <w:snapToGrid w:val="0"/>
                <w:kern w:val="18"/>
                <w:sz w:val="24"/>
                <w:szCs w:val="24"/>
              </w:rPr>
              <w:t>mg/m</w:t>
            </w:r>
            <w:r>
              <w:rPr>
                <w:snapToGrid w:val="0"/>
                <w:kern w:val="18"/>
                <w:sz w:val="24"/>
                <w:szCs w:val="24"/>
                <w:vertAlign w:val="superscript"/>
              </w:rPr>
              <w:t>3</w:t>
            </w:r>
            <w:r>
              <w:rPr>
                <w:snapToGrid w:val="0"/>
                <w:kern w:val="18"/>
                <w:sz w:val="24"/>
                <w:szCs w:val="24"/>
              </w:rPr>
              <w:t>，</w:t>
            </w:r>
            <w:r>
              <w:rPr>
                <w:rFonts w:hint="eastAsia"/>
                <w:snapToGrid w:val="0"/>
                <w:kern w:val="18"/>
                <w:sz w:val="24"/>
                <w:szCs w:val="24"/>
                <w:lang w:val="en-US" w:eastAsia="zh-CN"/>
              </w:rPr>
              <w:t>SO</w:t>
            </w:r>
            <w:r>
              <w:rPr>
                <w:rFonts w:hint="eastAsia"/>
                <w:snapToGrid w:val="0"/>
                <w:kern w:val="18"/>
                <w:sz w:val="24"/>
                <w:szCs w:val="24"/>
                <w:vertAlign w:val="subscript"/>
                <w:lang w:val="en-US" w:eastAsia="zh-CN"/>
              </w:rPr>
              <w:t>2</w:t>
            </w:r>
            <w:r>
              <w:rPr>
                <w:snapToGrid w:val="0"/>
                <w:kern w:val="18"/>
                <w:sz w:val="24"/>
                <w:szCs w:val="24"/>
              </w:rPr>
              <w:t>排放浓度</w:t>
            </w:r>
            <w:r>
              <w:rPr>
                <w:rFonts w:hint="eastAsia"/>
                <w:sz w:val="24"/>
                <w:szCs w:val="24"/>
              </w:rPr>
              <w:t>为0.</w:t>
            </w:r>
            <w:r>
              <w:rPr>
                <w:rFonts w:hint="eastAsia"/>
                <w:sz w:val="24"/>
                <w:szCs w:val="24"/>
                <w:lang w:val="en-US" w:eastAsia="zh-CN"/>
              </w:rPr>
              <w:t>65</w:t>
            </w:r>
            <w:r>
              <w:rPr>
                <w:snapToGrid w:val="0"/>
                <w:kern w:val="18"/>
                <w:sz w:val="24"/>
                <w:szCs w:val="24"/>
              </w:rPr>
              <w:t>mg/m</w:t>
            </w:r>
            <w:r>
              <w:rPr>
                <w:snapToGrid w:val="0"/>
                <w:kern w:val="18"/>
                <w:sz w:val="24"/>
                <w:szCs w:val="24"/>
                <w:vertAlign w:val="superscript"/>
              </w:rPr>
              <w:t>3</w:t>
            </w:r>
            <w:r>
              <w:rPr>
                <w:rFonts w:hint="eastAsia"/>
                <w:snapToGrid w:val="0"/>
                <w:kern w:val="18"/>
                <w:sz w:val="24"/>
                <w:szCs w:val="24"/>
              </w:rPr>
              <w:t>＜</w:t>
            </w:r>
            <w:r>
              <w:rPr>
                <w:rFonts w:hint="eastAsia"/>
                <w:snapToGrid w:val="0"/>
                <w:kern w:val="18"/>
                <w:sz w:val="24"/>
                <w:szCs w:val="24"/>
                <w:lang w:val="en-US" w:eastAsia="zh-CN"/>
              </w:rPr>
              <w:t>8</w:t>
            </w:r>
            <w:r>
              <w:rPr>
                <w:rFonts w:hint="eastAsia"/>
                <w:snapToGrid w:val="0"/>
                <w:kern w:val="18"/>
                <w:sz w:val="24"/>
                <w:szCs w:val="24"/>
              </w:rPr>
              <w:t>0</w:t>
            </w:r>
            <w:r>
              <w:rPr>
                <w:snapToGrid w:val="0"/>
                <w:kern w:val="18"/>
                <w:sz w:val="24"/>
                <w:szCs w:val="24"/>
              </w:rPr>
              <w:t>mg/m</w:t>
            </w:r>
            <w:r>
              <w:rPr>
                <w:snapToGrid w:val="0"/>
                <w:kern w:val="18"/>
                <w:sz w:val="24"/>
                <w:szCs w:val="24"/>
                <w:vertAlign w:val="superscript"/>
              </w:rPr>
              <w:t>3</w:t>
            </w:r>
            <w:r>
              <w:rPr>
                <w:rFonts w:hint="eastAsia"/>
                <w:snapToGrid w:val="0"/>
                <w:kern w:val="18"/>
                <w:sz w:val="24"/>
                <w:szCs w:val="24"/>
                <w:vertAlign w:val="baseline"/>
                <w:lang w:val="en-US" w:eastAsia="zh-CN"/>
              </w:rPr>
              <w:t>，NOx的排放浓度为1.08</w:t>
            </w:r>
            <w:r>
              <w:rPr>
                <w:rFonts w:hint="eastAsia"/>
                <w:snapToGrid w:val="0"/>
                <w:kern w:val="18"/>
                <w:sz w:val="24"/>
                <w:szCs w:val="24"/>
              </w:rPr>
              <w:t>＜</w:t>
            </w:r>
            <w:r>
              <w:rPr>
                <w:rFonts w:hint="eastAsia"/>
                <w:snapToGrid w:val="0"/>
                <w:kern w:val="18"/>
                <w:sz w:val="24"/>
                <w:szCs w:val="24"/>
                <w:lang w:val="en-US" w:eastAsia="zh-CN"/>
              </w:rPr>
              <w:t>50</w:t>
            </w:r>
            <w:r>
              <w:rPr>
                <w:snapToGrid w:val="0"/>
                <w:kern w:val="18"/>
                <w:sz w:val="24"/>
                <w:szCs w:val="24"/>
              </w:rPr>
              <w:t>mg/m</w:t>
            </w:r>
            <w:r>
              <w:rPr>
                <w:snapToGrid w:val="0"/>
                <w:kern w:val="18"/>
                <w:sz w:val="24"/>
                <w:szCs w:val="24"/>
                <w:vertAlign w:val="superscript"/>
              </w:rPr>
              <w:t>3</w:t>
            </w:r>
            <w:r>
              <w:rPr>
                <w:rFonts w:hint="eastAsia"/>
                <w:snapToGrid w:val="0"/>
                <w:kern w:val="18"/>
                <w:sz w:val="24"/>
                <w:szCs w:val="24"/>
                <w:vertAlign w:val="baseline"/>
                <w:lang w:val="en-US" w:eastAsia="zh-CN"/>
              </w:rPr>
              <w:t>，</w:t>
            </w:r>
            <w:r>
              <w:rPr>
                <w:rFonts w:hint="eastAsia"/>
                <w:snapToGrid w:val="0"/>
                <w:kern w:val="18"/>
                <w:sz w:val="24"/>
                <w:szCs w:val="24"/>
              </w:rPr>
              <w:t>满足</w:t>
            </w:r>
            <w:r>
              <w:rPr>
                <w:rFonts w:hint="default" w:ascii="Times New Roman" w:hAnsi="Times New Roman" w:eastAsia="宋体" w:cs="Times New Roman"/>
                <w:color w:val="auto"/>
                <w:sz w:val="24"/>
                <w:lang w:val="en-US" w:eastAsia="zh-CN"/>
              </w:rPr>
              <w:t>《工业炉窑大气污染物排放标准》（DB32/3728-2019）表1</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lang w:val="en-US" w:eastAsia="zh-CN"/>
              </w:rPr>
              <w:t>常规大气污染物排放限值</w:t>
            </w:r>
            <w:r>
              <w:rPr>
                <w:rFonts w:hint="eastAsia"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lang w:val="en-US" w:eastAsia="zh-CN"/>
              </w:rPr>
              <w:t>和《长三角地区2019-2020年秋冬季大气污染综合治理攻坚行动方案》中氮氧化物排放浓度不高于50mg/m</w:t>
            </w:r>
            <w:r>
              <w:rPr>
                <w:rFonts w:hint="default" w:ascii="Times New Roman" w:hAnsi="Times New Roman" w:eastAsia="宋体" w:cs="Times New Roman"/>
                <w:color w:val="auto"/>
                <w:sz w:val="24"/>
                <w:vertAlign w:val="superscript"/>
                <w:lang w:val="en-US" w:eastAsia="zh-CN"/>
              </w:rPr>
              <w:t>3</w:t>
            </w:r>
            <w:r>
              <w:rPr>
                <w:rFonts w:hint="default" w:ascii="Times New Roman" w:hAnsi="Times New Roman" w:eastAsia="宋体" w:cs="Times New Roman"/>
                <w:color w:val="auto"/>
                <w:sz w:val="24"/>
                <w:lang w:val="en-US" w:eastAsia="zh-CN"/>
              </w:rPr>
              <w:t>的要求</w:t>
            </w:r>
            <w:r>
              <w:rPr>
                <w:rFonts w:hint="eastAsia"/>
                <w:color w:val="000000"/>
                <w:sz w:val="24"/>
              </w:rPr>
              <w:t>；</w:t>
            </w:r>
            <w:r>
              <w:rPr>
                <w:rFonts w:hint="eastAsia"/>
                <w:color w:val="000000"/>
                <w:sz w:val="24"/>
                <w:lang w:eastAsia="zh-CN"/>
              </w:rPr>
              <w:t>非甲烷总烃的</w:t>
            </w:r>
            <w:r>
              <w:rPr>
                <w:snapToGrid w:val="0"/>
                <w:kern w:val="18"/>
                <w:sz w:val="24"/>
                <w:szCs w:val="24"/>
              </w:rPr>
              <w:t>排放浓度</w:t>
            </w:r>
            <w:r>
              <w:rPr>
                <w:rFonts w:hint="eastAsia"/>
                <w:sz w:val="24"/>
                <w:szCs w:val="24"/>
              </w:rPr>
              <w:t>为</w:t>
            </w:r>
            <w:r>
              <w:rPr>
                <w:rFonts w:hint="eastAsia"/>
                <w:sz w:val="24"/>
                <w:szCs w:val="24"/>
                <w:lang w:val="en-US" w:eastAsia="zh-CN"/>
              </w:rPr>
              <w:t>0.1</w:t>
            </w:r>
            <w:r>
              <w:rPr>
                <w:snapToGrid w:val="0"/>
                <w:kern w:val="18"/>
                <w:sz w:val="24"/>
                <w:szCs w:val="24"/>
              </w:rPr>
              <w:t>mg/m</w:t>
            </w:r>
            <w:r>
              <w:rPr>
                <w:snapToGrid w:val="0"/>
                <w:kern w:val="18"/>
                <w:sz w:val="24"/>
                <w:szCs w:val="24"/>
                <w:vertAlign w:val="superscript"/>
              </w:rPr>
              <w:t>3</w:t>
            </w:r>
            <w:r>
              <w:rPr>
                <w:rFonts w:hint="eastAsia"/>
                <w:snapToGrid w:val="0"/>
                <w:kern w:val="18"/>
                <w:sz w:val="24"/>
                <w:szCs w:val="24"/>
              </w:rPr>
              <w:t>＜</w:t>
            </w:r>
            <w:r>
              <w:rPr>
                <w:rFonts w:hint="eastAsia"/>
                <w:snapToGrid w:val="0"/>
                <w:kern w:val="18"/>
                <w:sz w:val="24"/>
                <w:szCs w:val="24"/>
                <w:lang w:val="en-US" w:eastAsia="zh-CN"/>
              </w:rPr>
              <w:t>60</w:t>
            </w:r>
            <w:r>
              <w:rPr>
                <w:snapToGrid w:val="0"/>
                <w:kern w:val="18"/>
                <w:sz w:val="24"/>
                <w:szCs w:val="24"/>
              </w:rPr>
              <w:t>mg/m</w:t>
            </w:r>
            <w:r>
              <w:rPr>
                <w:snapToGrid w:val="0"/>
                <w:kern w:val="18"/>
                <w:sz w:val="24"/>
                <w:szCs w:val="24"/>
                <w:vertAlign w:val="superscript"/>
              </w:rPr>
              <w:t>3</w:t>
            </w:r>
            <w:r>
              <w:rPr>
                <w:rFonts w:hint="eastAsia"/>
                <w:snapToGrid w:val="0"/>
                <w:kern w:val="18"/>
                <w:sz w:val="24"/>
                <w:szCs w:val="24"/>
              </w:rPr>
              <w:t>满足《合成树脂工业污染物排放标准》（GB31572-2015）中相关标准。</w:t>
            </w:r>
          </w:p>
          <w:p>
            <w:pPr>
              <w:spacing w:line="360" w:lineRule="auto"/>
              <w:ind w:firstLine="480" w:firstLineChars="200"/>
              <w:rPr>
                <w:b/>
                <w:sz w:val="24"/>
              </w:rPr>
            </w:pPr>
            <w:r>
              <w:rPr>
                <w:b/>
                <w:sz w:val="24"/>
              </w:rPr>
              <w:t>（2）影响预测</w:t>
            </w:r>
          </w:p>
          <w:p>
            <w:pPr>
              <w:spacing w:line="360" w:lineRule="auto"/>
              <w:ind w:firstLine="480" w:firstLineChars="200"/>
              <w:rPr>
                <w:rFonts w:ascii="宋体" w:cs="宋体"/>
                <w:sz w:val="24"/>
              </w:rPr>
            </w:pPr>
            <w:r>
              <w:rPr>
                <w:rFonts w:hint="eastAsia" w:ascii="宋体" w:cs="宋体"/>
                <w:sz w:val="24"/>
              </w:rPr>
              <w:t>①评价因子和评价标准筛选</w:t>
            </w:r>
          </w:p>
          <w:p>
            <w:pPr>
              <w:spacing w:line="360" w:lineRule="auto"/>
              <w:ind w:firstLine="480" w:firstLineChars="200"/>
              <w:rPr>
                <w:color w:val="000000" w:themeColor="text1"/>
                <w:sz w:val="24"/>
                <w:szCs w:val="24"/>
                <w14:textFill>
                  <w14:solidFill>
                    <w14:schemeClr w14:val="tx1"/>
                  </w14:solidFill>
                </w14:textFill>
              </w:rPr>
            </w:pPr>
            <w:r>
              <w:rPr>
                <w:rFonts w:hint="eastAsia" w:ascii="宋体" w:cs="宋体"/>
                <w:color w:val="000000" w:themeColor="text1"/>
                <w:sz w:val="24"/>
                <w14:textFill>
                  <w14:solidFill>
                    <w14:schemeClr w14:val="tx1"/>
                  </w14:solidFill>
                </w14:textFill>
              </w:rPr>
              <w:t>根据本项目特点以及工程分析内容，本项目评价因子为</w:t>
            </w:r>
            <w:r>
              <w:rPr>
                <w:rFonts w:hint="default" w:ascii="Times New Roman" w:hAnsi="Times New Roman" w:cs="Times New Roman"/>
                <w:color w:val="000000" w:themeColor="text1"/>
                <w:sz w:val="24"/>
                <w:szCs w:val="24"/>
                <w:lang w:val="en-US" w:eastAsia="zh-CN"/>
                <w14:textFill>
                  <w14:solidFill>
                    <w14:schemeClr w14:val="tx1"/>
                  </w14:solidFill>
                </w14:textFill>
              </w:rPr>
              <w:t>SO</w:t>
            </w:r>
            <w:r>
              <w:rPr>
                <w:rFonts w:hint="default" w:ascii="Times New Roman" w:hAnsi="Times New Roman" w:cs="Times New Roman"/>
                <w:color w:val="000000" w:themeColor="text1"/>
                <w:sz w:val="24"/>
                <w:szCs w:val="24"/>
                <w:vertAlign w:val="subscript"/>
                <w:lang w:val="en-US" w:eastAsia="zh-CN"/>
                <w14:textFill>
                  <w14:solidFill>
                    <w14:schemeClr w14:val="tx1"/>
                  </w14:solidFill>
                </w14:textFill>
              </w:rPr>
              <w:t>2</w:t>
            </w:r>
            <w:r>
              <w:rPr>
                <w:rFonts w:hint="default" w:ascii="Times New Roman" w:hAnsi="Times New Roman" w:cs="Times New Roman"/>
                <w:color w:val="000000" w:themeColor="text1"/>
                <w:sz w:val="24"/>
                <w:szCs w:val="24"/>
                <w:lang w:val="en-US" w:eastAsia="zh-CN"/>
                <w14:textFill>
                  <w14:solidFill>
                    <w14:schemeClr w14:val="tx1"/>
                  </w14:solidFill>
                </w14:textFill>
              </w:rPr>
              <w:t>、NOx</w:t>
            </w:r>
            <w:r>
              <w:rPr>
                <w:rFonts w:hint="eastAsia" w:ascii="Times New Roman" w:hAnsi="Times New Roman" w:cs="Times New Roman"/>
                <w:color w:val="000000" w:themeColor="text1"/>
                <w:sz w:val="24"/>
                <w:szCs w:val="24"/>
                <w:lang w:val="en-US" w:eastAsia="zh-CN"/>
                <w14:textFill>
                  <w14:solidFill>
                    <w14:schemeClr w14:val="tx1"/>
                  </w14:solidFill>
                </w14:textFill>
              </w:rPr>
              <w:t>、</w:t>
            </w:r>
            <w:r>
              <w:rPr>
                <w:rFonts w:hint="eastAsia" w:ascii="宋体" w:cs="宋体"/>
                <w:color w:val="000000" w:themeColor="text1"/>
                <w:sz w:val="24"/>
                <w14:textFill>
                  <w14:solidFill>
                    <w14:schemeClr w14:val="tx1"/>
                  </w14:solidFill>
                </w14:textFill>
              </w:rPr>
              <w:t>颗粒物</w:t>
            </w:r>
            <w:r>
              <w:rPr>
                <w:color w:val="000000" w:themeColor="text1"/>
                <w:sz w:val="24"/>
                <w14:textFill>
                  <w14:solidFill>
                    <w14:schemeClr w14:val="tx1"/>
                  </w14:solidFill>
                </w14:textFill>
              </w:rPr>
              <w:t>（PM</w:t>
            </w:r>
            <w:r>
              <w:rPr>
                <w:color w:val="000000" w:themeColor="text1"/>
                <w:sz w:val="24"/>
                <w:vertAlign w:val="subscript"/>
                <w14:textFill>
                  <w14:solidFill>
                    <w14:schemeClr w14:val="tx1"/>
                  </w14:solidFill>
                </w14:textFill>
              </w:rPr>
              <w:t>10</w:t>
            </w:r>
            <w:r>
              <w:rPr>
                <w:rFonts w:hint="eastAsia" w:ascii="宋体" w:cs="宋体"/>
                <w:color w:val="000000" w:themeColor="text1"/>
                <w:sz w:val="24"/>
                <w14:textFill>
                  <w14:solidFill>
                    <w14:schemeClr w14:val="tx1"/>
                  </w14:solidFill>
                </w14:textFill>
              </w:rPr>
              <w:t>）和</w:t>
            </w:r>
            <w:r>
              <w:rPr>
                <w:rFonts w:hint="eastAsia" w:ascii="宋体" w:cs="宋体"/>
                <w:color w:val="000000" w:themeColor="text1"/>
                <w:sz w:val="24"/>
                <w:lang w:eastAsia="zh-CN"/>
                <w14:textFill>
                  <w14:solidFill>
                    <w14:schemeClr w14:val="tx1"/>
                  </w14:solidFill>
                </w14:textFill>
              </w:rPr>
              <w:t>非甲烷总烃</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本项目评价</w:t>
            </w:r>
            <w:r>
              <w:rPr>
                <w:color w:val="000000" w:themeColor="text1"/>
                <w:sz w:val="24"/>
                <w:szCs w:val="24"/>
                <w14:textFill>
                  <w14:solidFill>
                    <w14:schemeClr w14:val="tx1"/>
                  </w14:solidFill>
                </w14:textFill>
              </w:rPr>
              <w:t>因子和评价标准表详见下表：</w:t>
            </w:r>
          </w:p>
          <w:p>
            <w:pPr>
              <w:ind w:firstLine="480" w:firstLineChars="200"/>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表7</w:t>
            </w:r>
            <w:r>
              <w:rPr>
                <w:b/>
                <w:color w:val="000000" w:themeColor="text1"/>
                <w:sz w:val="24"/>
                <w:szCs w:val="24"/>
                <w14:textFill>
                  <w14:solidFill>
                    <w14:schemeClr w14:val="tx1"/>
                  </w14:solidFill>
                </w14:textFill>
              </w:rPr>
              <w:t xml:space="preserve">-1   </w:t>
            </w:r>
            <w:r>
              <w:rPr>
                <w:rFonts w:hint="eastAsia"/>
                <w:b/>
                <w:color w:val="000000" w:themeColor="text1"/>
                <w:sz w:val="24"/>
                <w:szCs w:val="24"/>
                <w14:textFill>
                  <w14:solidFill>
                    <w14:schemeClr w14:val="tx1"/>
                  </w14:solidFill>
                </w14:textFill>
              </w:rPr>
              <w:t>评价</w:t>
            </w:r>
            <w:r>
              <w:rPr>
                <w:b/>
                <w:color w:val="000000" w:themeColor="text1"/>
                <w:sz w:val="24"/>
                <w:szCs w:val="24"/>
                <w14:textFill>
                  <w14:solidFill>
                    <w14:schemeClr w14:val="tx1"/>
                  </w14:solidFill>
                </w14:textFill>
              </w:rPr>
              <w:t>因子和评价标准表</w:t>
            </w:r>
          </w:p>
          <w:tbl>
            <w:tblPr>
              <w:tblStyle w:val="17"/>
              <w:tblW w:w="831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06"/>
              <w:gridCol w:w="1516"/>
              <w:gridCol w:w="1560"/>
              <w:gridCol w:w="363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06" w:type="dxa"/>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b/>
                      <w:color w:val="000000" w:themeColor="text1"/>
                      <w:szCs w:val="21"/>
                      <w14:textFill>
                        <w14:solidFill>
                          <w14:schemeClr w14:val="tx1"/>
                        </w14:solidFill>
                      </w14:textFill>
                    </w:rPr>
                  </w:pPr>
                  <w:r>
                    <w:rPr>
                      <w:b/>
                      <w:color w:val="000000" w:themeColor="text1"/>
                      <w:szCs w:val="21"/>
                      <w14:textFill>
                        <w14:solidFill>
                          <w14:schemeClr w14:val="tx1"/>
                        </w14:solidFill>
                      </w14:textFill>
                    </w:rPr>
                    <w:t>评价因子</w:t>
                  </w:r>
                </w:p>
              </w:tc>
              <w:tc>
                <w:tcPr>
                  <w:tcW w:w="1516" w:type="dxa"/>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平均时段</w:t>
                  </w:r>
                </w:p>
              </w:tc>
              <w:tc>
                <w:tcPr>
                  <w:tcW w:w="1560" w:type="dxa"/>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标准值/μg/m</w:t>
                  </w:r>
                  <w:r>
                    <w:rPr>
                      <w:b/>
                      <w:color w:val="000000" w:themeColor="text1"/>
                      <w:szCs w:val="21"/>
                      <w:vertAlign w:val="superscript"/>
                      <w14:textFill>
                        <w14:solidFill>
                          <w14:schemeClr w14:val="tx1"/>
                        </w14:solidFill>
                      </w14:textFill>
                    </w:rPr>
                    <w:t>3</w:t>
                  </w:r>
                </w:p>
              </w:tc>
              <w:tc>
                <w:tcPr>
                  <w:tcW w:w="3630" w:type="dxa"/>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06"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w:t>
                  </w:r>
                  <w:r>
                    <w:rPr>
                      <w:color w:val="000000" w:themeColor="text1"/>
                      <w:sz w:val="24"/>
                      <w14:textFill>
                        <w14:solidFill>
                          <w14:schemeClr w14:val="tx1"/>
                        </w14:solidFill>
                      </w14:textFill>
                    </w:rPr>
                    <w:t>（PM</w:t>
                  </w:r>
                  <w:r>
                    <w:rPr>
                      <w:color w:val="000000" w:themeColor="text1"/>
                      <w:sz w:val="24"/>
                      <w:vertAlign w:val="subscript"/>
                      <w14:textFill>
                        <w14:solidFill>
                          <w14:schemeClr w14:val="tx1"/>
                        </w14:solidFill>
                      </w14:textFill>
                    </w:rPr>
                    <w:t>10</w:t>
                  </w:r>
                  <w:r>
                    <w:rPr>
                      <w:rFonts w:hint="eastAsia" w:ascii="宋体" w:cs="宋体"/>
                      <w:color w:val="000000" w:themeColor="text1"/>
                      <w:sz w:val="24"/>
                      <w14:textFill>
                        <w14:solidFill>
                          <w14:schemeClr w14:val="tx1"/>
                        </w14:solidFill>
                      </w14:textFill>
                    </w:rPr>
                    <w:t>）</w:t>
                  </w:r>
                </w:p>
              </w:tc>
              <w:tc>
                <w:tcPr>
                  <w:tcW w:w="1516"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1小时平均</w:t>
                  </w:r>
                </w:p>
              </w:tc>
              <w:tc>
                <w:tcPr>
                  <w:tcW w:w="1560"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450</w:t>
                  </w:r>
                </w:p>
              </w:tc>
              <w:tc>
                <w:tcPr>
                  <w:tcW w:w="3630" w:type="dxa"/>
                  <w:vMerge w:val="restart"/>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color w:val="000000" w:themeColor="text1"/>
                      <w:szCs w:val="21"/>
                      <w:lang w:val="zh-CN"/>
                      <w14:textFill>
                        <w14:solidFill>
                          <w14:schemeClr w14:val="tx1"/>
                        </w14:solidFill>
                      </w14:textFill>
                    </w:rPr>
                  </w:pPr>
                  <w:r>
                    <w:rPr>
                      <w:color w:val="000000" w:themeColor="text1"/>
                      <w:szCs w:val="21"/>
                      <w14:textFill>
                        <w14:solidFill>
                          <w14:schemeClr w14:val="tx1"/>
                        </w14:solidFill>
                      </w14:textFill>
                    </w:rPr>
                    <w:t>《环境空气质量标准》（GB3095-2012）修改单中的二级标准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06"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default" w:ascii="Times New Roman" w:hAnsi="Times New Roman" w:eastAsia="宋体" w:cs="Times New Roman"/>
                      <w:color w:val="auto"/>
                      <w:szCs w:val="21"/>
                      <w:lang w:val="en-US" w:eastAsia="zh-CN"/>
                    </w:rPr>
                    <w:t>SO</w:t>
                  </w:r>
                  <w:r>
                    <w:rPr>
                      <w:rFonts w:hint="default" w:ascii="Times New Roman" w:hAnsi="Times New Roman" w:eastAsia="宋体" w:cs="Times New Roman"/>
                      <w:color w:val="auto"/>
                      <w:szCs w:val="21"/>
                      <w:vertAlign w:val="subscript"/>
                      <w:lang w:val="en-US" w:eastAsia="zh-CN"/>
                    </w:rPr>
                    <w:t>2</w:t>
                  </w:r>
                </w:p>
              </w:tc>
              <w:tc>
                <w:tcPr>
                  <w:tcW w:w="1516"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1小时平均</w:t>
                  </w:r>
                </w:p>
              </w:tc>
              <w:tc>
                <w:tcPr>
                  <w:tcW w:w="156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default" w:ascii="Times New Roman" w:hAnsi="Times New Roman" w:eastAsia="宋体" w:cs="Times New Roman"/>
                      <w:color w:val="auto"/>
                      <w:szCs w:val="21"/>
                      <w:lang w:val="en-US" w:eastAsia="zh-CN"/>
                    </w:rPr>
                    <w:t>500</w:t>
                  </w:r>
                </w:p>
              </w:tc>
              <w:tc>
                <w:tcPr>
                  <w:tcW w:w="3630"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color w:val="000000" w:themeColor="text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06"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default" w:ascii="Times New Roman" w:hAnsi="Times New Roman" w:eastAsia="宋体" w:cs="Times New Roman"/>
                      <w:color w:val="auto"/>
                      <w:szCs w:val="21"/>
                      <w:lang w:val="en-US" w:eastAsia="zh-CN"/>
                    </w:rPr>
                    <w:t>NOx</w:t>
                  </w:r>
                </w:p>
              </w:tc>
              <w:tc>
                <w:tcPr>
                  <w:tcW w:w="1516"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1小时平均</w:t>
                  </w:r>
                </w:p>
              </w:tc>
              <w:tc>
                <w:tcPr>
                  <w:tcW w:w="156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color w:val="000000" w:themeColor="text1"/>
                      <w:szCs w:val="21"/>
                      <w14:textFill>
                        <w14:solidFill>
                          <w14:schemeClr w14:val="tx1"/>
                        </w14:solidFill>
                      </w14:textFill>
                    </w:rPr>
                  </w:pPr>
                  <w:r>
                    <w:rPr>
                      <w:rFonts w:hint="default" w:ascii="Times New Roman" w:hAnsi="Times New Roman" w:eastAsia="宋体" w:cs="Times New Roman"/>
                      <w:color w:val="auto"/>
                      <w:szCs w:val="21"/>
                      <w:lang w:val="en-US" w:eastAsia="zh-CN"/>
                    </w:rPr>
                    <w:t>250</w:t>
                  </w:r>
                </w:p>
              </w:tc>
              <w:tc>
                <w:tcPr>
                  <w:tcW w:w="3630"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color w:val="000000" w:themeColor="text1"/>
                      <w:szCs w:val="21"/>
                      <w:lang w:val="zh-CN"/>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606"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非甲烷总烃</w:t>
                  </w:r>
                </w:p>
              </w:tc>
              <w:tc>
                <w:tcPr>
                  <w:tcW w:w="1516"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color w:val="000000" w:themeColor="text1"/>
                      <w:szCs w:val="21"/>
                      <w14:textFill>
                        <w14:solidFill>
                          <w14:schemeClr w14:val="tx1"/>
                        </w14:solidFill>
                      </w14:textFill>
                    </w:rPr>
                  </w:pPr>
                  <w:r>
                    <w:rPr>
                      <w:color w:val="000000" w:themeColor="text1"/>
                      <w:szCs w:val="21"/>
                      <w14:textFill>
                        <w14:solidFill>
                          <w14:schemeClr w14:val="tx1"/>
                        </w14:solidFill>
                      </w14:textFill>
                    </w:rPr>
                    <w:t>1小时平均</w:t>
                  </w:r>
                </w:p>
              </w:tc>
              <w:tc>
                <w:tcPr>
                  <w:tcW w:w="1560"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2000</w:t>
                  </w:r>
                </w:p>
              </w:tc>
              <w:tc>
                <w:tcPr>
                  <w:tcW w:w="3630" w:type="dxa"/>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color w:val="000000" w:themeColor="text1"/>
                      <w:szCs w:val="21"/>
                      <w:lang w:val="zh-CN"/>
                      <w14:textFill>
                        <w14:solidFill>
                          <w14:schemeClr w14:val="tx1"/>
                        </w14:solidFill>
                      </w14:textFill>
                    </w:rPr>
                  </w:pPr>
                  <w:r>
                    <w:rPr>
                      <w:color w:val="auto"/>
                      <w:szCs w:val="21"/>
                      <w:lang w:val="zh-CN"/>
                    </w:rPr>
                    <w:t>《大气污染物综合排放标准》（GBT16297-1996）详解</w:t>
                  </w:r>
                </w:p>
              </w:tc>
            </w:tr>
          </w:tbl>
          <w:p>
            <w:pPr>
              <w:spacing w:line="360" w:lineRule="auto"/>
              <w:ind w:firstLine="480" w:firstLineChars="200"/>
              <w:rPr>
                <w:color w:val="000000" w:themeColor="text1"/>
                <w:sz w:val="24"/>
                <w14:textFill>
                  <w14:solidFill>
                    <w14:schemeClr w14:val="tx1"/>
                  </w14:solidFill>
                </w14:textFill>
              </w:rPr>
            </w:pPr>
            <w:r>
              <w:rPr>
                <w:rFonts w:hint="eastAsia" w:ascii="宋体" w:cs="宋体"/>
                <w:color w:val="000000" w:themeColor="text1"/>
                <w:sz w:val="24"/>
                <w14:textFill>
                  <w14:solidFill>
                    <w14:schemeClr w14:val="tx1"/>
                  </w14:solidFill>
                </w14:textFill>
              </w:rPr>
              <w:t>②</w:t>
            </w:r>
            <w:r>
              <w:rPr>
                <w:color w:val="000000" w:themeColor="text1"/>
                <w:sz w:val="24"/>
                <w14:textFill>
                  <w14:solidFill>
                    <w14:schemeClr w14:val="tx1"/>
                  </w14:solidFill>
                </w14:textFill>
              </w:rPr>
              <w:t>源强</w:t>
            </w:r>
          </w:p>
          <w:p>
            <w:pPr>
              <w:spacing w:line="360" w:lineRule="auto"/>
              <w:ind w:firstLine="480" w:firstLineChars="200"/>
              <w:rPr>
                <w:b/>
                <w:color w:val="000000" w:themeColor="text1"/>
                <w:sz w:val="24"/>
                <w:szCs w:val="24"/>
                <w14:textFill>
                  <w14:solidFill>
                    <w14:schemeClr w14:val="tx1"/>
                  </w14:solidFill>
                </w14:textFill>
              </w:rPr>
            </w:pPr>
            <w:r>
              <w:rPr>
                <w:color w:val="000000" w:themeColor="text1"/>
                <w:sz w:val="24"/>
                <w14:textFill>
                  <w14:solidFill>
                    <w14:schemeClr w14:val="tx1"/>
                  </w14:solidFill>
                </w14:textFill>
              </w:rPr>
              <w:t>项目废气源强见下表7-2、</w:t>
            </w:r>
            <w:r>
              <w:rPr>
                <w:rFonts w:hint="eastAsia"/>
                <w:color w:val="000000" w:themeColor="text1"/>
                <w:sz w:val="24"/>
                <w14:textFill>
                  <w14:solidFill>
                    <w14:schemeClr w14:val="tx1"/>
                  </w14:solidFill>
                </w14:textFill>
              </w:rPr>
              <w:t>7</w:t>
            </w:r>
            <w:r>
              <w:rPr>
                <w:color w:val="000000" w:themeColor="text1"/>
                <w:sz w:val="24"/>
                <w14:textFill>
                  <w14:solidFill>
                    <w14:schemeClr w14:val="tx1"/>
                  </w14:solidFill>
                </w14:textFill>
              </w:rPr>
              <w:t>-3。</w:t>
            </w:r>
          </w:p>
          <w:p>
            <w:pPr>
              <w:ind w:firstLine="480" w:firstLineChars="200"/>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表7-2  项目污染源参数（点源）</w:t>
            </w:r>
          </w:p>
          <w:tbl>
            <w:tblPr>
              <w:tblStyle w:val="17"/>
              <w:tblpPr w:leftFromText="180" w:rightFromText="180" w:vertAnchor="text" w:tblpXSpec="center" w:tblpY="1"/>
              <w:tblOverlap w:val="never"/>
              <w:tblW w:w="831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3"/>
              <w:gridCol w:w="1111"/>
              <w:gridCol w:w="1004"/>
              <w:gridCol w:w="528"/>
              <w:gridCol w:w="624"/>
              <w:gridCol w:w="842"/>
              <w:gridCol w:w="800"/>
              <w:gridCol w:w="787"/>
              <w:gridCol w:w="596"/>
              <w:gridCol w:w="812"/>
              <w:gridCol w:w="7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1" w:hRule="atLeast"/>
              </w:trPr>
              <w:tc>
                <w:tcPr>
                  <w:tcW w:w="413" w:type="dxa"/>
                  <w:vMerge w:val="restar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名称</w:t>
                  </w:r>
                </w:p>
              </w:tc>
              <w:tc>
                <w:tcPr>
                  <w:tcW w:w="2115" w:type="dxa"/>
                  <w:gridSpan w:val="2"/>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排气筒底部中心坐标</w:t>
                  </w:r>
                </w:p>
              </w:tc>
              <w:tc>
                <w:tcPr>
                  <w:tcW w:w="528" w:type="dxa"/>
                  <w:vMerge w:val="restar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高度/m</w:t>
                  </w:r>
                </w:p>
              </w:tc>
              <w:tc>
                <w:tcPr>
                  <w:tcW w:w="624" w:type="dxa"/>
                  <w:vMerge w:val="restar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内径/m</w:t>
                  </w:r>
                </w:p>
              </w:tc>
              <w:tc>
                <w:tcPr>
                  <w:tcW w:w="842" w:type="dxa"/>
                  <w:vMerge w:val="restar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烟气流速/（m/s）</w:t>
                  </w:r>
                </w:p>
              </w:tc>
              <w:tc>
                <w:tcPr>
                  <w:tcW w:w="800" w:type="dxa"/>
                  <w:vMerge w:val="restar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烟气温度/</w:t>
                  </w:r>
                  <w:r>
                    <w:rPr>
                      <w:rFonts w:hint="eastAsia"/>
                      <w:b/>
                      <w:color w:val="000000" w:themeColor="text1"/>
                      <w:szCs w:val="21"/>
                      <w14:textFill>
                        <w14:solidFill>
                          <w14:schemeClr w14:val="tx1"/>
                        </w14:solidFill>
                      </w14:textFill>
                    </w:rPr>
                    <w:t>℃</w:t>
                  </w:r>
                </w:p>
              </w:tc>
              <w:tc>
                <w:tcPr>
                  <w:tcW w:w="787" w:type="dxa"/>
                  <w:vMerge w:val="restar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年排放小时数/h</w:t>
                  </w:r>
                </w:p>
              </w:tc>
              <w:tc>
                <w:tcPr>
                  <w:tcW w:w="596" w:type="dxa"/>
                  <w:vMerge w:val="restar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排放工况</w:t>
                  </w:r>
                </w:p>
              </w:tc>
              <w:tc>
                <w:tcPr>
                  <w:tcW w:w="1607" w:type="dxa"/>
                  <w:gridSpan w:val="2"/>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污染物排放速率kg/h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413" w:type="dxa"/>
                  <w:vMerge w:val="continue"/>
                  <w:vAlign w:val="center"/>
                </w:tcPr>
                <w:p>
                  <w:pPr>
                    <w:rPr>
                      <w:color w:val="000000" w:themeColor="text1"/>
                      <w14:textFill>
                        <w14:solidFill>
                          <w14:schemeClr w14:val="tx1"/>
                        </w14:solidFill>
                      </w14:textFill>
                    </w:rPr>
                  </w:pPr>
                </w:p>
              </w:tc>
              <w:tc>
                <w:tcPr>
                  <w:tcW w:w="1111" w:type="dxa"/>
                  <w:vAlign w:val="center"/>
                </w:tcPr>
                <w:p>
                  <w:pPr>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X</w:t>
                  </w:r>
                </w:p>
              </w:tc>
              <w:tc>
                <w:tcPr>
                  <w:tcW w:w="1004" w:type="dxa"/>
                  <w:vAlign w:val="center"/>
                </w:tcPr>
                <w:p>
                  <w:pPr>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Y</w:t>
                  </w:r>
                </w:p>
              </w:tc>
              <w:tc>
                <w:tcPr>
                  <w:tcW w:w="528" w:type="dxa"/>
                  <w:vMerge w:val="continue"/>
                  <w:vAlign w:val="center"/>
                </w:tcPr>
                <w:p>
                  <w:pPr>
                    <w:rPr>
                      <w:color w:val="000000" w:themeColor="text1"/>
                      <w14:textFill>
                        <w14:solidFill>
                          <w14:schemeClr w14:val="tx1"/>
                        </w14:solidFill>
                      </w14:textFill>
                    </w:rPr>
                  </w:pPr>
                </w:p>
              </w:tc>
              <w:tc>
                <w:tcPr>
                  <w:tcW w:w="624" w:type="dxa"/>
                  <w:vMerge w:val="continue"/>
                  <w:vAlign w:val="center"/>
                </w:tcPr>
                <w:p>
                  <w:pPr>
                    <w:rPr>
                      <w:color w:val="000000" w:themeColor="text1"/>
                      <w14:textFill>
                        <w14:solidFill>
                          <w14:schemeClr w14:val="tx1"/>
                        </w14:solidFill>
                      </w14:textFill>
                    </w:rPr>
                  </w:pPr>
                </w:p>
              </w:tc>
              <w:tc>
                <w:tcPr>
                  <w:tcW w:w="842" w:type="dxa"/>
                  <w:vMerge w:val="continue"/>
                  <w:vAlign w:val="center"/>
                </w:tcPr>
                <w:p>
                  <w:pPr>
                    <w:rPr>
                      <w:color w:val="000000" w:themeColor="text1"/>
                      <w14:textFill>
                        <w14:solidFill>
                          <w14:schemeClr w14:val="tx1"/>
                        </w14:solidFill>
                      </w14:textFill>
                    </w:rPr>
                  </w:pPr>
                </w:p>
              </w:tc>
              <w:tc>
                <w:tcPr>
                  <w:tcW w:w="800" w:type="dxa"/>
                  <w:vMerge w:val="continue"/>
                  <w:vAlign w:val="center"/>
                </w:tcPr>
                <w:p>
                  <w:pPr>
                    <w:rPr>
                      <w:color w:val="000000" w:themeColor="text1"/>
                      <w14:textFill>
                        <w14:solidFill>
                          <w14:schemeClr w14:val="tx1"/>
                        </w14:solidFill>
                      </w14:textFill>
                    </w:rPr>
                  </w:pPr>
                </w:p>
              </w:tc>
              <w:tc>
                <w:tcPr>
                  <w:tcW w:w="787" w:type="dxa"/>
                  <w:vMerge w:val="continue"/>
                  <w:vAlign w:val="center"/>
                </w:tcPr>
                <w:p>
                  <w:pPr>
                    <w:rPr>
                      <w:color w:val="000000" w:themeColor="text1"/>
                      <w14:textFill>
                        <w14:solidFill>
                          <w14:schemeClr w14:val="tx1"/>
                        </w14:solidFill>
                      </w14:textFill>
                    </w:rPr>
                  </w:pPr>
                </w:p>
              </w:tc>
              <w:tc>
                <w:tcPr>
                  <w:tcW w:w="596" w:type="dxa"/>
                  <w:vMerge w:val="continue"/>
                  <w:vAlign w:val="center"/>
                </w:tcPr>
                <w:p>
                  <w:pPr>
                    <w:rPr>
                      <w:color w:val="000000" w:themeColor="text1"/>
                      <w14:textFill>
                        <w14:solidFill>
                          <w14:schemeClr w14:val="tx1"/>
                        </w14:solidFill>
                      </w14:textFill>
                    </w:rPr>
                  </w:pPr>
                </w:p>
              </w:tc>
              <w:tc>
                <w:tcPr>
                  <w:tcW w:w="812" w:type="dxa"/>
                  <w:vAlign w:val="center"/>
                </w:tcPr>
                <w:p>
                  <w:pPr>
                    <w:pStyle w:val="2"/>
                    <w:jc w:val="center"/>
                    <w:rPr>
                      <w:b/>
                      <w:bCs/>
                      <w:color w:val="000000" w:themeColor="text1"/>
                      <w14:textFill>
                        <w14:solidFill>
                          <w14:schemeClr w14:val="tx1"/>
                        </w14:solidFill>
                      </w14:textFill>
                    </w:rPr>
                  </w:pPr>
                  <w:r>
                    <w:rPr>
                      <w:rFonts w:hint="eastAsia"/>
                      <w:b/>
                      <w:bCs/>
                      <w:color w:val="000000" w:themeColor="text1"/>
                      <w14:textFill>
                        <w14:solidFill>
                          <w14:schemeClr w14:val="tx1"/>
                        </w14:solidFill>
                      </w14:textFill>
                    </w:rPr>
                    <w:t>颗粒物</w:t>
                  </w:r>
                </w:p>
              </w:tc>
              <w:tc>
                <w:tcPr>
                  <w:tcW w:w="795" w:type="dxa"/>
                  <w:vAlign w:val="center"/>
                </w:tcPr>
                <w:p>
                  <w:pPr>
                    <w:pStyle w:val="2"/>
                    <w:jc w:val="center"/>
                    <w:rPr>
                      <w:rFonts w:hint="default" w:eastAsia="宋体"/>
                      <w:b/>
                      <w:bCs/>
                      <w:color w:val="000000" w:themeColor="text1"/>
                      <w:lang w:val="en-US" w:eastAsia="zh-CN"/>
                      <w14:textFill>
                        <w14:solidFill>
                          <w14:schemeClr w14:val="tx1"/>
                        </w14:solidFill>
                      </w14:textFill>
                    </w:rPr>
                  </w:pPr>
                  <w:r>
                    <w:rPr>
                      <w:rFonts w:hint="eastAsia"/>
                      <w:b/>
                      <w:bCs/>
                      <w:color w:val="000000" w:themeColor="text1"/>
                      <w:lang w:val="en-US" w:eastAsia="zh-CN"/>
                      <w14:textFill>
                        <w14:solidFill>
                          <w14:schemeClr w14:val="tx1"/>
                        </w14:solidFill>
                      </w14:textFill>
                    </w:rPr>
                    <w:t>非甲烷总烃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413" w:type="dxa"/>
                  <w:vMerge w:val="restart"/>
                  <w:vAlign w:val="center"/>
                </w:tcPr>
                <w:p>
                  <w:pPr>
                    <w:widowControl/>
                    <w:jc w:val="center"/>
                    <w:rPr>
                      <w:bCs/>
                      <w:color w:val="000000" w:themeColor="text1"/>
                      <w:kern w:val="0"/>
                      <w:szCs w:val="21"/>
                      <w14:textFill>
                        <w14:solidFill>
                          <w14:schemeClr w14:val="tx1"/>
                        </w14:solidFill>
                      </w14:textFill>
                    </w:rPr>
                  </w:pPr>
                  <w:r>
                    <w:rPr>
                      <w:rFonts w:hint="eastAsia"/>
                      <w:bCs/>
                      <w:color w:val="000000" w:themeColor="text1"/>
                      <w:kern w:val="0"/>
                      <w:szCs w:val="21"/>
                      <w14:textFill>
                        <w14:solidFill>
                          <w14:schemeClr w14:val="tx1"/>
                        </w14:solidFill>
                      </w14:textFill>
                    </w:rPr>
                    <w:t>1#</w:t>
                  </w:r>
                </w:p>
              </w:tc>
              <w:tc>
                <w:tcPr>
                  <w:tcW w:w="1111" w:type="dxa"/>
                  <w:vMerge w:val="restart"/>
                  <w:vAlign w:val="center"/>
                </w:tcPr>
                <w:p>
                  <w:pPr>
                    <w:widowControl/>
                    <w:jc w:val="center"/>
                    <w:rPr>
                      <w:bCs/>
                      <w:kern w:val="0"/>
                      <w:szCs w:val="21"/>
                    </w:rPr>
                  </w:pPr>
                  <w:r>
                    <w:rPr>
                      <w:rFonts w:hint="eastAsia"/>
                      <w:bCs/>
                      <w:kern w:val="0"/>
                      <w:szCs w:val="21"/>
                    </w:rPr>
                    <w:t>119.4595</w:t>
                  </w:r>
                </w:p>
              </w:tc>
              <w:tc>
                <w:tcPr>
                  <w:tcW w:w="1004" w:type="dxa"/>
                  <w:vMerge w:val="restart"/>
                  <w:vAlign w:val="center"/>
                </w:tcPr>
                <w:p>
                  <w:pPr>
                    <w:widowControl/>
                    <w:jc w:val="center"/>
                    <w:rPr>
                      <w:bCs/>
                      <w:kern w:val="0"/>
                      <w:szCs w:val="21"/>
                    </w:rPr>
                  </w:pPr>
                  <w:r>
                    <w:rPr>
                      <w:rFonts w:hint="eastAsia"/>
                      <w:bCs/>
                      <w:kern w:val="0"/>
                      <w:szCs w:val="21"/>
                    </w:rPr>
                    <w:t>31.7804</w:t>
                  </w:r>
                </w:p>
              </w:tc>
              <w:tc>
                <w:tcPr>
                  <w:tcW w:w="528" w:type="dxa"/>
                  <w:vMerge w:val="restart"/>
                  <w:vAlign w:val="center"/>
                </w:tcPr>
                <w:p>
                  <w:pPr>
                    <w:widowControl/>
                    <w:jc w:val="center"/>
                    <w:rPr>
                      <w:bCs/>
                      <w:color w:val="000000" w:themeColor="text1"/>
                      <w:kern w:val="0"/>
                      <w:szCs w:val="21"/>
                      <w14:textFill>
                        <w14:solidFill>
                          <w14:schemeClr w14:val="tx1"/>
                        </w14:solidFill>
                      </w14:textFill>
                    </w:rPr>
                  </w:pPr>
                  <w:r>
                    <w:rPr>
                      <w:rFonts w:hint="eastAsia"/>
                      <w:bCs/>
                      <w:color w:val="000000" w:themeColor="text1"/>
                      <w:kern w:val="0"/>
                      <w:szCs w:val="21"/>
                      <w14:textFill>
                        <w14:solidFill>
                          <w14:schemeClr w14:val="tx1"/>
                        </w14:solidFill>
                      </w14:textFill>
                    </w:rPr>
                    <w:t>15</w:t>
                  </w:r>
                </w:p>
              </w:tc>
              <w:tc>
                <w:tcPr>
                  <w:tcW w:w="624" w:type="dxa"/>
                  <w:vMerge w:val="restart"/>
                  <w:vAlign w:val="center"/>
                </w:tcPr>
                <w:p>
                  <w:pPr>
                    <w:widowControl/>
                    <w:jc w:val="center"/>
                    <w:rPr>
                      <w:bCs/>
                      <w:kern w:val="0"/>
                      <w:szCs w:val="21"/>
                    </w:rPr>
                  </w:pPr>
                  <w:r>
                    <w:rPr>
                      <w:rFonts w:hint="eastAsia"/>
                      <w:bCs/>
                      <w:kern w:val="0"/>
                      <w:szCs w:val="21"/>
                    </w:rPr>
                    <w:t>0.46</w:t>
                  </w:r>
                </w:p>
              </w:tc>
              <w:tc>
                <w:tcPr>
                  <w:tcW w:w="842" w:type="dxa"/>
                  <w:vMerge w:val="restart"/>
                  <w:vAlign w:val="center"/>
                </w:tcPr>
                <w:p>
                  <w:pPr>
                    <w:widowControl/>
                    <w:jc w:val="center"/>
                    <w:rPr>
                      <w:bCs/>
                      <w:kern w:val="0"/>
                      <w:szCs w:val="21"/>
                    </w:rPr>
                  </w:pPr>
                  <w:r>
                    <w:rPr>
                      <w:rFonts w:hint="eastAsia"/>
                      <w:bCs/>
                      <w:kern w:val="0"/>
                      <w:szCs w:val="21"/>
                    </w:rPr>
                    <w:t>15.05</w:t>
                  </w:r>
                </w:p>
              </w:tc>
              <w:tc>
                <w:tcPr>
                  <w:tcW w:w="800" w:type="dxa"/>
                  <w:vMerge w:val="restart"/>
                  <w:vAlign w:val="center"/>
                </w:tcPr>
                <w:p>
                  <w:pPr>
                    <w:widowControl/>
                    <w:jc w:val="center"/>
                    <w:rPr>
                      <w:bCs/>
                      <w:color w:val="000000" w:themeColor="text1"/>
                      <w:kern w:val="0"/>
                      <w:szCs w:val="21"/>
                      <w14:textFill>
                        <w14:solidFill>
                          <w14:schemeClr w14:val="tx1"/>
                        </w14:solidFill>
                      </w14:textFill>
                    </w:rPr>
                  </w:pPr>
                  <w:r>
                    <w:rPr>
                      <w:rFonts w:hint="eastAsia"/>
                      <w:bCs/>
                      <w:color w:val="000000" w:themeColor="text1"/>
                      <w:kern w:val="0"/>
                      <w:szCs w:val="21"/>
                      <w14:textFill>
                        <w14:solidFill>
                          <w14:schemeClr w14:val="tx1"/>
                        </w14:solidFill>
                      </w14:textFill>
                    </w:rPr>
                    <w:t>30</w:t>
                  </w:r>
                </w:p>
              </w:tc>
              <w:tc>
                <w:tcPr>
                  <w:tcW w:w="787" w:type="dxa"/>
                  <w:vMerge w:val="restart"/>
                  <w:vAlign w:val="center"/>
                </w:tcPr>
                <w:p>
                  <w:pPr>
                    <w:widowControl/>
                    <w:jc w:val="center"/>
                    <w:rPr>
                      <w:bCs/>
                      <w:color w:val="000000" w:themeColor="text1"/>
                      <w:kern w:val="0"/>
                      <w:szCs w:val="21"/>
                      <w14:textFill>
                        <w14:solidFill>
                          <w14:schemeClr w14:val="tx1"/>
                        </w14:solidFill>
                      </w14:textFill>
                    </w:rPr>
                  </w:pPr>
                  <w:r>
                    <w:rPr>
                      <w:rFonts w:hint="eastAsia"/>
                      <w:bCs/>
                      <w:kern w:val="0"/>
                      <w:szCs w:val="21"/>
                    </w:rPr>
                    <w:t>6000</w:t>
                  </w:r>
                </w:p>
              </w:tc>
              <w:tc>
                <w:tcPr>
                  <w:tcW w:w="596" w:type="dxa"/>
                  <w:vMerge w:val="restart"/>
                  <w:vAlign w:val="center"/>
                </w:tcPr>
                <w:p>
                  <w:pPr>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连续</w:t>
                  </w:r>
                </w:p>
              </w:tc>
              <w:tc>
                <w:tcPr>
                  <w:tcW w:w="812" w:type="dxa"/>
                  <w:vAlign w:val="center"/>
                </w:tcPr>
                <w:p>
                  <w:pPr>
                    <w:jc w:val="center"/>
                    <w:rPr>
                      <w:rFonts w:hint="default" w:eastAsia="宋体"/>
                      <w:szCs w:val="21"/>
                      <w:lang w:val="en-US" w:eastAsia="zh-CN"/>
                    </w:rPr>
                  </w:pPr>
                  <w:r>
                    <w:rPr>
                      <w:rFonts w:hint="eastAsia"/>
                      <w:szCs w:val="21"/>
                      <w:lang w:val="en-US" w:eastAsia="zh-CN"/>
                    </w:rPr>
                    <w:t>0.023</w:t>
                  </w:r>
                </w:p>
              </w:tc>
              <w:tc>
                <w:tcPr>
                  <w:tcW w:w="795" w:type="dxa"/>
                  <w:vAlign w:val="center"/>
                </w:tcPr>
                <w:p>
                  <w:pPr>
                    <w:jc w:val="center"/>
                    <w:rPr>
                      <w:rFonts w:hint="default" w:eastAsia="宋体"/>
                      <w:szCs w:val="21"/>
                      <w:lang w:val="en-US" w:eastAsia="zh-CN"/>
                    </w:rPr>
                  </w:pPr>
                  <w:r>
                    <w:rPr>
                      <w:rFonts w:hint="eastAsia"/>
                      <w:szCs w:val="21"/>
                      <w:lang w:val="en-US" w:eastAsia="zh-CN"/>
                    </w:rPr>
                    <w:t>0.003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413" w:type="dxa"/>
                  <w:vMerge w:val="continue"/>
                  <w:vAlign w:val="center"/>
                </w:tcPr>
                <w:p>
                  <w:pPr>
                    <w:jc w:val="center"/>
                  </w:pPr>
                </w:p>
              </w:tc>
              <w:tc>
                <w:tcPr>
                  <w:tcW w:w="1111" w:type="dxa"/>
                  <w:vMerge w:val="continue"/>
                  <w:vAlign w:val="center"/>
                </w:tcPr>
                <w:p>
                  <w:pPr>
                    <w:jc w:val="center"/>
                  </w:pPr>
                </w:p>
              </w:tc>
              <w:tc>
                <w:tcPr>
                  <w:tcW w:w="1004" w:type="dxa"/>
                  <w:vMerge w:val="continue"/>
                  <w:vAlign w:val="center"/>
                </w:tcPr>
                <w:p>
                  <w:pPr>
                    <w:jc w:val="center"/>
                  </w:pPr>
                </w:p>
              </w:tc>
              <w:tc>
                <w:tcPr>
                  <w:tcW w:w="528" w:type="dxa"/>
                  <w:vMerge w:val="continue"/>
                  <w:vAlign w:val="center"/>
                </w:tcPr>
                <w:p>
                  <w:pPr>
                    <w:jc w:val="center"/>
                  </w:pPr>
                </w:p>
              </w:tc>
              <w:tc>
                <w:tcPr>
                  <w:tcW w:w="624" w:type="dxa"/>
                  <w:vMerge w:val="continue"/>
                  <w:vAlign w:val="center"/>
                </w:tcPr>
                <w:p>
                  <w:pPr>
                    <w:jc w:val="center"/>
                  </w:pPr>
                </w:p>
              </w:tc>
              <w:tc>
                <w:tcPr>
                  <w:tcW w:w="842" w:type="dxa"/>
                  <w:vMerge w:val="continue"/>
                  <w:vAlign w:val="center"/>
                </w:tcPr>
                <w:p>
                  <w:pPr>
                    <w:jc w:val="center"/>
                  </w:pPr>
                </w:p>
              </w:tc>
              <w:tc>
                <w:tcPr>
                  <w:tcW w:w="800" w:type="dxa"/>
                  <w:vMerge w:val="continue"/>
                  <w:vAlign w:val="center"/>
                </w:tcPr>
                <w:p>
                  <w:pPr>
                    <w:jc w:val="center"/>
                  </w:pPr>
                </w:p>
              </w:tc>
              <w:tc>
                <w:tcPr>
                  <w:tcW w:w="787" w:type="dxa"/>
                  <w:vMerge w:val="continue"/>
                  <w:vAlign w:val="center"/>
                </w:tcPr>
                <w:p>
                  <w:pPr>
                    <w:jc w:val="center"/>
                  </w:pPr>
                </w:p>
              </w:tc>
              <w:tc>
                <w:tcPr>
                  <w:tcW w:w="596" w:type="dxa"/>
                  <w:vMerge w:val="continue"/>
                  <w:vAlign w:val="center"/>
                </w:tcPr>
                <w:p>
                  <w:pPr>
                    <w:jc w:val="center"/>
                  </w:pPr>
                </w:p>
              </w:tc>
              <w:tc>
                <w:tcPr>
                  <w:tcW w:w="812" w:type="dxa"/>
                  <w:vAlign w:val="center"/>
                </w:tcPr>
                <w:p>
                  <w:pPr>
                    <w:jc w:val="center"/>
                    <w:rPr>
                      <w:rFonts w:hint="default" w:eastAsia="宋体"/>
                      <w:b/>
                      <w:bCs/>
                      <w:szCs w:val="21"/>
                      <w:lang w:val="en-US" w:eastAsia="zh-CN"/>
                    </w:rPr>
                  </w:pPr>
                  <w:r>
                    <w:rPr>
                      <w:rFonts w:hint="eastAsia"/>
                      <w:b/>
                      <w:bCs/>
                      <w:szCs w:val="21"/>
                      <w:lang w:val="en-US" w:eastAsia="zh-CN"/>
                    </w:rPr>
                    <w:t>SO</w:t>
                  </w:r>
                  <w:r>
                    <w:rPr>
                      <w:rFonts w:hint="eastAsia"/>
                      <w:b/>
                      <w:bCs/>
                      <w:szCs w:val="21"/>
                      <w:vertAlign w:val="subscript"/>
                      <w:lang w:val="en-US" w:eastAsia="zh-CN"/>
                    </w:rPr>
                    <w:t>2</w:t>
                  </w:r>
                </w:p>
              </w:tc>
              <w:tc>
                <w:tcPr>
                  <w:tcW w:w="795" w:type="dxa"/>
                  <w:vAlign w:val="center"/>
                </w:tcPr>
                <w:p>
                  <w:pPr>
                    <w:jc w:val="center"/>
                    <w:rPr>
                      <w:rFonts w:hint="default" w:eastAsia="宋体"/>
                      <w:b/>
                      <w:bCs/>
                      <w:szCs w:val="21"/>
                      <w:lang w:val="en-US" w:eastAsia="zh-CN"/>
                    </w:rPr>
                  </w:pPr>
                  <w:r>
                    <w:rPr>
                      <w:rFonts w:hint="eastAsia"/>
                      <w:b/>
                      <w:bCs/>
                      <w:szCs w:val="21"/>
                      <w:lang w:val="en-US" w:eastAsia="zh-CN"/>
                    </w:rPr>
                    <w:t>NOx</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9" w:hRule="atLeast"/>
              </w:trPr>
              <w:tc>
                <w:tcPr>
                  <w:tcW w:w="413" w:type="dxa"/>
                  <w:vMerge w:val="continue"/>
                  <w:vAlign w:val="center"/>
                </w:tcPr>
                <w:p>
                  <w:pPr>
                    <w:jc w:val="center"/>
                    <w:rPr>
                      <w:color w:val="FF0000"/>
                      <w:szCs w:val="21"/>
                    </w:rPr>
                  </w:pPr>
                </w:p>
              </w:tc>
              <w:tc>
                <w:tcPr>
                  <w:tcW w:w="1111" w:type="dxa"/>
                  <w:vMerge w:val="continue"/>
                  <w:vAlign w:val="center"/>
                </w:tcPr>
                <w:p>
                  <w:pPr>
                    <w:jc w:val="center"/>
                    <w:rPr>
                      <w:color w:val="FF0000"/>
                      <w:szCs w:val="21"/>
                    </w:rPr>
                  </w:pPr>
                </w:p>
              </w:tc>
              <w:tc>
                <w:tcPr>
                  <w:tcW w:w="1004" w:type="dxa"/>
                  <w:vMerge w:val="continue"/>
                  <w:vAlign w:val="center"/>
                </w:tcPr>
                <w:p>
                  <w:pPr>
                    <w:jc w:val="center"/>
                    <w:rPr>
                      <w:color w:val="FF0000"/>
                      <w:szCs w:val="21"/>
                    </w:rPr>
                  </w:pPr>
                </w:p>
              </w:tc>
              <w:tc>
                <w:tcPr>
                  <w:tcW w:w="528" w:type="dxa"/>
                  <w:vMerge w:val="continue"/>
                  <w:vAlign w:val="center"/>
                </w:tcPr>
                <w:p>
                  <w:pPr>
                    <w:jc w:val="center"/>
                    <w:rPr>
                      <w:color w:val="FF0000"/>
                      <w:szCs w:val="21"/>
                    </w:rPr>
                  </w:pPr>
                </w:p>
              </w:tc>
              <w:tc>
                <w:tcPr>
                  <w:tcW w:w="624" w:type="dxa"/>
                  <w:vMerge w:val="continue"/>
                  <w:vAlign w:val="center"/>
                </w:tcPr>
                <w:p>
                  <w:pPr>
                    <w:jc w:val="center"/>
                    <w:rPr>
                      <w:color w:val="FF0000"/>
                      <w:szCs w:val="21"/>
                    </w:rPr>
                  </w:pPr>
                </w:p>
              </w:tc>
              <w:tc>
                <w:tcPr>
                  <w:tcW w:w="842" w:type="dxa"/>
                  <w:vMerge w:val="continue"/>
                  <w:vAlign w:val="center"/>
                </w:tcPr>
                <w:p>
                  <w:pPr>
                    <w:jc w:val="center"/>
                    <w:rPr>
                      <w:color w:val="FF0000"/>
                      <w:szCs w:val="21"/>
                    </w:rPr>
                  </w:pPr>
                </w:p>
              </w:tc>
              <w:tc>
                <w:tcPr>
                  <w:tcW w:w="800" w:type="dxa"/>
                  <w:vMerge w:val="continue"/>
                  <w:vAlign w:val="center"/>
                </w:tcPr>
                <w:p>
                  <w:pPr>
                    <w:jc w:val="center"/>
                    <w:rPr>
                      <w:color w:val="FF0000"/>
                      <w:szCs w:val="21"/>
                    </w:rPr>
                  </w:pPr>
                </w:p>
              </w:tc>
              <w:tc>
                <w:tcPr>
                  <w:tcW w:w="787" w:type="dxa"/>
                  <w:vMerge w:val="continue"/>
                  <w:vAlign w:val="center"/>
                </w:tcPr>
                <w:p>
                  <w:pPr>
                    <w:jc w:val="center"/>
                    <w:rPr>
                      <w:color w:val="FF0000"/>
                      <w:szCs w:val="21"/>
                    </w:rPr>
                  </w:pPr>
                </w:p>
              </w:tc>
              <w:tc>
                <w:tcPr>
                  <w:tcW w:w="596" w:type="dxa"/>
                  <w:vMerge w:val="continue"/>
                  <w:vAlign w:val="center"/>
                </w:tcPr>
                <w:p>
                  <w:pPr>
                    <w:jc w:val="center"/>
                    <w:rPr>
                      <w:color w:val="FF0000"/>
                      <w:szCs w:val="21"/>
                    </w:rPr>
                  </w:pPr>
                </w:p>
              </w:tc>
              <w:tc>
                <w:tcPr>
                  <w:tcW w:w="812" w:type="dxa"/>
                  <w:vAlign w:val="center"/>
                </w:tcPr>
                <w:p>
                  <w:pPr>
                    <w:jc w:val="center"/>
                    <w:rPr>
                      <w:rFonts w:hint="default" w:eastAsia="宋体"/>
                      <w:szCs w:val="21"/>
                      <w:lang w:val="en-US" w:eastAsia="zh-CN"/>
                    </w:rPr>
                  </w:pPr>
                  <w:r>
                    <w:rPr>
                      <w:rFonts w:hint="eastAsia"/>
                      <w:szCs w:val="21"/>
                      <w:lang w:val="en-US" w:eastAsia="zh-CN"/>
                    </w:rPr>
                    <w:t>0.01</w:t>
                  </w:r>
                </w:p>
              </w:tc>
              <w:tc>
                <w:tcPr>
                  <w:tcW w:w="795" w:type="dxa"/>
                  <w:vAlign w:val="center"/>
                </w:tcPr>
                <w:p>
                  <w:pPr>
                    <w:jc w:val="center"/>
                    <w:rPr>
                      <w:rFonts w:hint="default" w:eastAsia="宋体"/>
                      <w:szCs w:val="21"/>
                      <w:lang w:val="en-US" w:eastAsia="zh-CN"/>
                    </w:rPr>
                  </w:pPr>
                  <w:r>
                    <w:rPr>
                      <w:rFonts w:hint="eastAsia"/>
                      <w:szCs w:val="21"/>
                      <w:lang w:val="en-US" w:eastAsia="zh-CN"/>
                    </w:rPr>
                    <w:t>0.017</w:t>
                  </w:r>
                </w:p>
              </w:tc>
            </w:tr>
          </w:tbl>
          <w:p>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表7-3  项目污染源参数（面源）</w:t>
            </w:r>
          </w:p>
          <w:tbl>
            <w:tblPr>
              <w:tblStyle w:val="17"/>
              <w:tblW w:w="831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3"/>
              <w:gridCol w:w="1004"/>
              <w:gridCol w:w="899"/>
              <w:gridCol w:w="686"/>
              <w:gridCol w:w="778"/>
              <w:gridCol w:w="676"/>
              <w:gridCol w:w="960"/>
              <w:gridCol w:w="777"/>
              <w:gridCol w:w="527"/>
              <w:gridCol w:w="794"/>
              <w:gridCol w:w="74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463" w:type="dxa"/>
                  <w:vMerge w:val="restar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名称</w:t>
                  </w:r>
                </w:p>
              </w:tc>
              <w:tc>
                <w:tcPr>
                  <w:tcW w:w="1903" w:type="dxa"/>
                  <w:gridSpan w:val="2"/>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面源起点坐标</w:t>
                  </w:r>
                </w:p>
              </w:tc>
              <w:tc>
                <w:tcPr>
                  <w:tcW w:w="686" w:type="dxa"/>
                  <w:vMerge w:val="restar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面源长度/m</w:t>
                  </w:r>
                </w:p>
              </w:tc>
              <w:tc>
                <w:tcPr>
                  <w:tcW w:w="778" w:type="dxa"/>
                  <w:vMerge w:val="restar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面源宽度/m</w:t>
                  </w:r>
                </w:p>
              </w:tc>
              <w:tc>
                <w:tcPr>
                  <w:tcW w:w="676" w:type="dxa"/>
                  <w:vMerge w:val="restar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与正北向夹角/°</w:t>
                  </w:r>
                </w:p>
              </w:tc>
              <w:tc>
                <w:tcPr>
                  <w:tcW w:w="960" w:type="dxa"/>
                  <w:vMerge w:val="restar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面源有效排放高度/m</w:t>
                  </w:r>
                </w:p>
              </w:tc>
              <w:tc>
                <w:tcPr>
                  <w:tcW w:w="777" w:type="dxa"/>
                  <w:vMerge w:val="restar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年排放小时数/h</w:t>
                  </w:r>
                </w:p>
              </w:tc>
              <w:tc>
                <w:tcPr>
                  <w:tcW w:w="527" w:type="dxa"/>
                  <w:vMerge w:val="restar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排放工况</w:t>
                  </w:r>
                </w:p>
              </w:tc>
              <w:tc>
                <w:tcPr>
                  <w:tcW w:w="1542" w:type="dxa"/>
                  <w:gridSpan w:val="2"/>
                  <w:vMerge w:val="restart"/>
                  <w:vAlign w:val="center"/>
                </w:tcPr>
                <w:p>
                  <w:pPr>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污染物排放速率/（kg/h</w:t>
                  </w:r>
                  <w:r>
                    <w:rPr>
                      <w:rFonts w:hint="eastAsia"/>
                      <w:b/>
                      <w:color w:val="000000" w:themeColor="text1"/>
                      <w:szCs w:val="2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3" w:type="dxa"/>
                  <w:vMerge w:val="continue"/>
                  <w:vAlign w:val="center"/>
                </w:tcPr>
                <w:p>
                  <w:pPr>
                    <w:rPr>
                      <w:color w:val="000000" w:themeColor="text1"/>
                      <w14:textFill>
                        <w14:solidFill>
                          <w14:schemeClr w14:val="tx1"/>
                        </w14:solidFill>
                      </w14:textFill>
                    </w:rPr>
                  </w:pPr>
                </w:p>
              </w:tc>
              <w:tc>
                <w:tcPr>
                  <w:tcW w:w="1004" w:type="dxa"/>
                  <w:vMerge w:val="restart"/>
                  <w:vAlign w:val="center"/>
                </w:tcPr>
                <w:p>
                  <w:pPr>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X</w:t>
                  </w:r>
                </w:p>
              </w:tc>
              <w:tc>
                <w:tcPr>
                  <w:tcW w:w="899" w:type="dxa"/>
                  <w:vMerge w:val="restart"/>
                  <w:vAlign w:val="center"/>
                </w:tcPr>
                <w:p>
                  <w:pPr>
                    <w:jc w:val="center"/>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Y</w:t>
                  </w:r>
                </w:p>
              </w:tc>
              <w:tc>
                <w:tcPr>
                  <w:tcW w:w="686" w:type="dxa"/>
                  <w:vMerge w:val="continue"/>
                  <w:vAlign w:val="center"/>
                </w:tcPr>
                <w:p>
                  <w:pPr>
                    <w:rPr>
                      <w:color w:val="000000" w:themeColor="text1"/>
                      <w14:textFill>
                        <w14:solidFill>
                          <w14:schemeClr w14:val="tx1"/>
                        </w14:solidFill>
                      </w14:textFill>
                    </w:rPr>
                  </w:pPr>
                </w:p>
              </w:tc>
              <w:tc>
                <w:tcPr>
                  <w:tcW w:w="778" w:type="dxa"/>
                  <w:vMerge w:val="continue"/>
                  <w:vAlign w:val="center"/>
                </w:tcPr>
                <w:p>
                  <w:pPr>
                    <w:rPr>
                      <w:color w:val="000000" w:themeColor="text1"/>
                      <w14:textFill>
                        <w14:solidFill>
                          <w14:schemeClr w14:val="tx1"/>
                        </w14:solidFill>
                      </w14:textFill>
                    </w:rPr>
                  </w:pPr>
                </w:p>
              </w:tc>
              <w:tc>
                <w:tcPr>
                  <w:tcW w:w="676" w:type="dxa"/>
                  <w:vMerge w:val="continue"/>
                  <w:vAlign w:val="center"/>
                </w:tcPr>
                <w:p>
                  <w:pPr>
                    <w:rPr>
                      <w:color w:val="000000" w:themeColor="text1"/>
                      <w14:textFill>
                        <w14:solidFill>
                          <w14:schemeClr w14:val="tx1"/>
                        </w14:solidFill>
                      </w14:textFill>
                    </w:rPr>
                  </w:pPr>
                </w:p>
              </w:tc>
              <w:tc>
                <w:tcPr>
                  <w:tcW w:w="960" w:type="dxa"/>
                  <w:vMerge w:val="continue"/>
                  <w:vAlign w:val="center"/>
                </w:tcPr>
                <w:p>
                  <w:pPr>
                    <w:rPr>
                      <w:color w:val="000000" w:themeColor="text1"/>
                      <w14:textFill>
                        <w14:solidFill>
                          <w14:schemeClr w14:val="tx1"/>
                        </w14:solidFill>
                      </w14:textFill>
                    </w:rPr>
                  </w:pPr>
                </w:p>
              </w:tc>
              <w:tc>
                <w:tcPr>
                  <w:tcW w:w="777" w:type="dxa"/>
                  <w:vMerge w:val="continue"/>
                  <w:vAlign w:val="center"/>
                </w:tcPr>
                <w:p>
                  <w:pPr>
                    <w:rPr>
                      <w:color w:val="000000" w:themeColor="text1"/>
                      <w14:textFill>
                        <w14:solidFill>
                          <w14:schemeClr w14:val="tx1"/>
                        </w14:solidFill>
                      </w14:textFill>
                    </w:rPr>
                  </w:pPr>
                </w:p>
              </w:tc>
              <w:tc>
                <w:tcPr>
                  <w:tcW w:w="527" w:type="dxa"/>
                  <w:vMerge w:val="continue"/>
                  <w:vAlign w:val="center"/>
                </w:tcPr>
                <w:p>
                  <w:pPr>
                    <w:rPr>
                      <w:color w:val="000000" w:themeColor="text1"/>
                      <w14:textFill>
                        <w14:solidFill>
                          <w14:schemeClr w14:val="tx1"/>
                        </w14:solidFill>
                      </w14:textFill>
                    </w:rPr>
                  </w:pPr>
                </w:p>
              </w:tc>
              <w:tc>
                <w:tcPr>
                  <w:tcW w:w="1542" w:type="dxa"/>
                  <w:gridSpan w:val="2"/>
                  <w:vMerge w:val="continue"/>
                  <w:vAlign w:val="center"/>
                </w:tcPr>
                <w:p>
                  <w:pPr>
                    <w:jc w:val="center"/>
                    <w:rPr>
                      <w:b/>
                      <w:color w:val="000000" w:themeColor="text1"/>
                      <w:sz w:val="18"/>
                      <w:szCs w:val="18"/>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63" w:type="dxa"/>
                  <w:vMerge w:val="continue"/>
                  <w:vAlign w:val="center"/>
                </w:tcPr>
                <w:p>
                  <w:pPr>
                    <w:jc w:val="center"/>
                    <w:rPr>
                      <w:color w:val="000000" w:themeColor="text1"/>
                      <w:sz w:val="18"/>
                      <w:szCs w:val="18"/>
                      <w14:textFill>
                        <w14:solidFill>
                          <w14:schemeClr w14:val="tx1"/>
                        </w14:solidFill>
                      </w14:textFill>
                    </w:rPr>
                  </w:pPr>
                </w:p>
              </w:tc>
              <w:tc>
                <w:tcPr>
                  <w:tcW w:w="1004" w:type="dxa"/>
                  <w:vMerge w:val="continue"/>
                  <w:vAlign w:val="center"/>
                </w:tcPr>
                <w:p>
                  <w:pPr>
                    <w:jc w:val="center"/>
                    <w:rPr>
                      <w:color w:val="000000" w:themeColor="text1"/>
                      <w:sz w:val="20"/>
                      <w:szCs w:val="21"/>
                      <w14:textFill>
                        <w14:solidFill>
                          <w14:schemeClr w14:val="tx1"/>
                        </w14:solidFill>
                      </w14:textFill>
                    </w:rPr>
                  </w:pPr>
                </w:p>
              </w:tc>
              <w:tc>
                <w:tcPr>
                  <w:tcW w:w="899" w:type="dxa"/>
                  <w:vMerge w:val="continue"/>
                  <w:vAlign w:val="center"/>
                </w:tcPr>
                <w:p>
                  <w:pPr>
                    <w:jc w:val="center"/>
                    <w:rPr>
                      <w:color w:val="000000" w:themeColor="text1"/>
                      <w:sz w:val="20"/>
                      <w:szCs w:val="21"/>
                      <w14:textFill>
                        <w14:solidFill>
                          <w14:schemeClr w14:val="tx1"/>
                        </w14:solidFill>
                      </w14:textFill>
                    </w:rPr>
                  </w:pPr>
                </w:p>
              </w:tc>
              <w:tc>
                <w:tcPr>
                  <w:tcW w:w="686" w:type="dxa"/>
                  <w:vMerge w:val="continue"/>
                  <w:vAlign w:val="center"/>
                </w:tcPr>
                <w:p>
                  <w:pPr>
                    <w:jc w:val="center"/>
                    <w:rPr>
                      <w:color w:val="000000" w:themeColor="text1"/>
                      <w:sz w:val="18"/>
                      <w:szCs w:val="18"/>
                      <w14:textFill>
                        <w14:solidFill>
                          <w14:schemeClr w14:val="tx1"/>
                        </w14:solidFill>
                      </w14:textFill>
                    </w:rPr>
                  </w:pPr>
                </w:p>
              </w:tc>
              <w:tc>
                <w:tcPr>
                  <w:tcW w:w="778" w:type="dxa"/>
                  <w:vMerge w:val="continue"/>
                  <w:vAlign w:val="center"/>
                </w:tcPr>
                <w:p>
                  <w:pPr>
                    <w:jc w:val="center"/>
                    <w:rPr>
                      <w:color w:val="000000" w:themeColor="text1"/>
                      <w:sz w:val="18"/>
                      <w:szCs w:val="18"/>
                      <w14:textFill>
                        <w14:solidFill>
                          <w14:schemeClr w14:val="tx1"/>
                        </w14:solidFill>
                      </w14:textFill>
                    </w:rPr>
                  </w:pPr>
                </w:p>
              </w:tc>
              <w:tc>
                <w:tcPr>
                  <w:tcW w:w="676" w:type="dxa"/>
                  <w:vMerge w:val="continue"/>
                  <w:vAlign w:val="center"/>
                </w:tcPr>
                <w:p>
                  <w:pPr>
                    <w:jc w:val="center"/>
                    <w:rPr>
                      <w:color w:val="000000" w:themeColor="text1"/>
                      <w:sz w:val="18"/>
                      <w:szCs w:val="18"/>
                      <w14:textFill>
                        <w14:solidFill>
                          <w14:schemeClr w14:val="tx1"/>
                        </w14:solidFill>
                      </w14:textFill>
                    </w:rPr>
                  </w:pPr>
                </w:p>
              </w:tc>
              <w:tc>
                <w:tcPr>
                  <w:tcW w:w="960" w:type="dxa"/>
                  <w:vMerge w:val="continue"/>
                  <w:vAlign w:val="center"/>
                </w:tcPr>
                <w:p>
                  <w:pPr>
                    <w:jc w:val="center"/>
                    <w:rPr>
                      <w:color w:val="000000" w:themeColor="text1"/>
                      <w:sz w:val="18"/>
                      <w:szCs w:val="18"/>
                      <w14:textFill>
                        <w14:solidFill>
                          <w14:schemeClr w14:val="tx1"/>
                        </w14:solidFill>
                      </w14:textFill>
                    </w:rPr>
                  </w:pPr>
                </w:p>
              </w:tc>
              <w:tc>
                <w:tcPr>
                  <w:tcW w:w="777" w:type="dxa"/>
                  <w:vMerge w:val="continue"/>
                  <w:vAlign w:val="center"/>
                </w:tcPr>
                <w:p>
                  <w:pPr>
                    <w:jc w:val="center"/>
                    <w:rPr>
                      <w:color w:val="000000" w:themeColor="text1"/>
                      <w:sz w:val="18"/>
                      <w:szCs w:val="18"/>
                      <w14:textFill>
                        <w14:solidFill>
                          <w14:schemeClr w14:val="tx1"/>
                        </w14:solidFill>
                      </w14:textFill>
                    </w:rPr>
                  </w:pPr>
                </w:p>
              </w:tc>
              <w:tc>
                <w:tcPr>
                  <w:tcW w:w="527" w:type="dxa"/>
                  <w:vMerge w:val="continue"/>
                  <w:vAlign w:val="center"/>
                </w:tcPr>
                <w:p>
                  <w:pPr>
                    <w:jc w:val="center"/>
                    <w:rPr>
                      <w:color w:val="000000" w:themeColor="text1"/>
                      <w:sz w:val="18"/>
                      <w:szCs w:val="18"/>
                      <w14:textFill>
                        <w14:solidFill>
                          <w14:schemeClr w14:val="tx1"/>
                        </w14:solidFill>
                      </w14:textFill>
                    </w:rPr>
                  </w:pPr>
                </w:p>
              </w:tc>
              <w:tc>
                <w:tcPr>
                  <w:tcW w:w="794" w:type="dxa"/>
                  <w:vAlign w:val="center"/>
                </w:tcPr>
                <w:p>
                  <w:pPr>
                    <w:pStyle w:val="2"/>
                    <w:jc w:val="center"/>
                    <w:rPr>
                      <w:b/>
                      <w:bCs/>
                      <w:color w:val="000000" w:themeColor="text1"/>
                      <w:szCs w:val="21"/>
                      <w14:textFill>
                        <w14:solidFill>
                          <w14:schemeClr w14:val="tx1"/>
                        </w14:solidFill>
                      </w14:textFill>
                    </w:rPr>
                  </w:pPr>
                  <w:r>
                    <w:rPr>
                      <w:rFonts w:hint="eastAsia"/>
                      <w:b/>
                      <w:bCs/>
                      <w:color w:val="000000" w:themeColor="text1"/>
                      <w14:textFill>
                        <w14:solidFill>
                          <w14:schemeClr w14:val="tx1"/>
                        </w14:solidFill>
                      </w14:textFill>
                    </w:rPr>
                    <w:t>颗粒物</w:t>
                  </w:r>
                </w:p>
              </w:tc>
              <w:tc>
                <w:tcPr>
                  <w:tcW w:w="748" w:type="dxa"/>
                  <w:vAlign w:val="center"/>
                </w:tcPr>
                <w:p>
                  <w:pPr>
                    <w:pStyle w:val="2"/>
                    <w:jc w:val="center"/>
                    <w:rPr>
                      <w:rFonts w:hint="eastAsia" w:eastAsia="宋体"/>
                      <w:b/>
                      <w:bCs/>
                      <w:color w:val="000000" w:themeColor="text1"/>
                      <w:szCs w:val="21"/>
                      <w:lang w:eastAsia="zh-CN"/>
                      <w14:textFill>
                        <w14:solidFill>
                          <w14:schemeClr w14:val="tx1"/>
                        </w14:solidFill>
                      </w14:textFill>
                    </w:rPr>
                  </w:pPr>
                  <w:r>
                    <w:rPr>
                      <w:rFonts w:hint="eastAsia"/>
                      <w:b/>
                      <w:bCs/>
                      <w:color w:val="000000" w:themeColor="text1"/>
                      <w:szCs w:val="21"/>
                      <w:lang w:eastAsia="zh-CN"/>
                      <w14:textFill>
                        <w14:solidFill>
                          <w14:schemeClr w14:val="tx1"/>
                        </w14:solidFill>
                      </w14:textFill>
                    </w:rPr>
                    <w:t>非甲烷总烃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8" w:hRule="atLeast"/>
              </w:trPr>
              <w:tc>
                <w:tcPr>
                  <w:tcW w:w="463" w:type="dxa"/>
                  <w:vAlign w:val="center"/>
                </w:tcPr>
                <w:p>
                  <w:pPr>
                    <w:jc w:val="center"/>
                    <w:rPr>
                      <w:rFonts w:hint="eastAsia" w:eastAsia="宋体"/>
                      <w:b/>
                      <w:color w:val="000000" w:themeColor="text1"/>
                      <w:spacing w:val="-20"/>
                      <w:sz w:val="18"/>
                      <w:szCs w:val="18"/>
                      <w:lang w:eastAsia="zh-CN"/>
                      <w14:textFill>
                        <w14:solidFill>
                          <w14:schemeClr w14:val="tx1"/>
                        </w14:solidFill>
                      </w14:textFill>
                    </w:rPr>
                  </w:pPr>
                  <w:r>
                    <w:rPr>
                      <w:rFonts w:hint="eastAsia"/>
                      <w:b/>
                      <w:color w:val="000000" w:themeColor="text1"/>
                      <w:spacing w:val="-20"/>
                      <w:szCs w:val="21"/>
                      <w14:textFill>
                        <w14:solidFill>
                          <w14:schemeClr w14:val="tx1"/>
                        </w14:solidFill>
                      </w14:textFill>
                    </w:rPr>
                    <w:t>生产车间</w:t>
                  </w:r>
                  <w:r>
                    <w:rPr>
                      <w:rFonts w:hint="eastAsia"/>
                      <w:b/>
                      <w:color w:val="000000" w:themeColor="text1"/>
                      <w:spacing w:val="-20"/>
                      <w:szCs w:val="21"/>
                      <w:lang w:eastAsia="zh-CN"/>
                      <w14:textFill>
                        <w14:solidFill>
                          <w14:schemeClr w14:val="tx1"/>
                        </w14:solidFill>
                      </w14:textFill>
                    </w:rPr>
                    <w:t>二</w:t>
                  </w:r>
                </w:p>
              </w:tc>
              <w:tc>
                <w:tcPr>
                  <w:tcW w:w="1004" w:type="dxa"/>
                  <w:vAlign w:val="center"/>
                </w:tcPr>
                <w:p>
                  <w:pPr>
                    <w:widowControl/>
                    <w:jc w:val="center"/>
                    <w:rPr>
                      <w:szCs w:val="21"/>
                    </w:rPr>
                  </w:pPr>
                  <w:r>
                    <w:rPr>
                      <w:rFonts w:hint="eastAsia"/>
                      <w:bCs/>
                      <w:kern w:val="0"/>
                      <w:szCs w:val="21"/>
                    </w:rPr>
                    <w:t>119.4595</w:t>
                  </w:r>
                </w:p>
              </w:tc>
              <w:tc>
                <w:tcPr>
                  <w:tcW w:w="899" w:type="dxa"/>
                  <w:vAlign w:val="center"/>
                </w:tcPr>
                <w:p>
                  <w:pPr>
                    <w:widowControl/>
                    <w:jc w:val="center"/>
                    <w:rPr>
                      <w:szCs w:val="21"/>
                    </w:rPr>
                  </w:pPr>
                  <w:r>
                    <w:rPr>
                      <w:rFonts w:hint="eastAsia"/>
                      <w:bCs/>
                      <w:kern w:val="0"/>
                      <w:szCs w:val="21"/>
                    </w:rPr>
                    <w:t>31.7804</w:t>
                  </w:r>
                </w:p>
              </w:tc>
              <w:tc>
                <w:tcPr>
                  <w:tcW w:w="686" w:type="dxa"/>
                  <w:vAlign w:val="center"/>
                </w:tcPr>
                <w:p>
                  <w:pPr>
                    <w:jc w:val="center"/>
                    <w:rPr>
                      <w:rFonts w:hint="default" w:eastAsia="宋体"/>
                      <w:szCs w:val="21"/>
                      <w:lang w:val="en-US" w:eastAsia="zh-CN"/>
                    </w:rPr>
                  </w:pPr>
                  <w:r>
                    <w:rPr>
                      <w:rFonts w:hint="eastAsia"/>
                      <w:szCs w:val="21"/>
                      <w:lang w:val="en-US" w:eastAsia="zh-CN"/>
                    </w:rPr>
                    <w:t>48</w:t>
                  </w:r>
                </w:p>
              </w:tc>
              <w:tc>
                <w:tcPr>
                  <w:tcW w:w="778" w:type="dxa"/>
                  <w:vAlign w:val="center"/>
                </w:tcPr>
                <w:p>
                  <w:pPr>
                    <w:jc w:val="center"/>
                    <w:rPr>
                      <w:rFonts w:hint="default" w:eastAsia="宋体"/>
                      <w:szCs w:val="21"/>
                      <w:lang w:val="en-US" w:eastAsia="zh-CN"/>
                    </w:rPr>
                  </w:pPr>
                  <w:r>
                    <w:rPr>
                      <w:rFonts w:hint="eastAsia"/>
                      <w:szCs w:val="21"/>
                      <w:lang w:val="en-US" w:eastAsia="zh-CN"/>
                    </w:rPr>
                    <w:t>18</w:t>
                  </w:r>
                </w:p>
              </w:tc>
              <w:tc>
                <w:tcPr>
                  <w:tcW w:w="676" w:type="dxa"/>
                  <w:vAlign w:val="center"/>
                </w:tcPr>
                <w:p>
                  <w:pPr>
                    <w:jc w:val="center"/>
                    <w:rPr>
                      <w:szCs w:val="21"/>
                    </w:rPr>
                  </w:pPr>
                  <w:r>
                    <w:rPr>
                      <w:rFonts w:hint="eastAsia"/>
                      <w:szCs w:val="21"/>
                    </w:rPr>
                    <w:t>-5</w:t>
                  </w:r>
                </w:p>
              </w:tc>
              <w:tc>
                <w:tcPr>
                  <w:tcW w:w="960" w:type="dxa"/>
                  <w:vAlign w:val="center"/>
                </w:tcPr>
                <w:p>
                  <w:pPr>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9</w:t>
                  </w:r>
                </w:p>
              </w:tc>
              <w:tc>
                <w:tcPr>
                  <w:tcW w:w="777"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6000</w:t>
                  </w:r>
                </w:p>
              </w:tc>
              <w:tc>
                <w:tcPr>
                  <w:tcW w:w="527" w:type="dxa"/>
                  <w:vAlign w:val="center"/>
                </w:tcPr>
                <w:p>
                  <w:pPr>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连续</w:t>
                  </w:r>
                </w:p>
              </w:tc>
              <w:tc>
                <w:tcPr>
                  <w:tcW w:w="794" w:type="dxa"/>
                  <w:vAlign w:val="center"/>
                </w:tcPr>
                <w:p>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0.025</w:t>
                  </w:r>
                </w:p>
              </w:tc>
              <w:tc>
                <w:tcPr>
                  <w:tcW w:w="748" w:type="dxa"/>
                  <w:vAlign w:val="center"/>
                </w:tcPr>
                <w:p>
                  <w:pPr>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0.0005</w:t>
                  </w:r>
                </w:p>
              </w:tc>
            </w:tr>
          </w:tbl>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根据《环境影响评价技术导则 大气环境》（HJ2.2-2018）中的相关规定及要求，采用</w:t>
            </w:r>
            <w:r>
              <w:rPr>
                <w:rFonts w:hint="eastAsia"/>
                <w:color w:val="000000" w:themeColor="text1"/>
                <w:sz w:val="24"/>
                <w14:textFill>
                  <w14:solidFill>
                    <w14:schemeClr w14:val="tx1"/>
                  </w14:solidFill>
                </w14:textFill>
              </w:rPr>
              <w:t>AER</w:t>
            </w:r>
            <w:r>
              <w:rPr>
                <w:color w:val="000000" w:themeColor="text1"/>
                <w:sz w:val="24"/>
                <w14:textFill>
                  <w14:solidFill>
                    <w14:schemeClr w14:val="tx1"/>
                  </w14:solidFill>
                </w14:textFill>
              </w:rPr>
              <w:t>SCREEN模型对项目废气进行预测。</w:t>
            </w:r>
          </w:p>
          <w:p>
            <w:pPr>
              <w:ind w:firstLine="480" w:firstLineChars="200"/>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表 7-4 估算模型参数表</w:t>
            </w:r>
          </w:p>
          <w:tbl>
            <w:tblPr>
              <w:tblStyle w:val="17"/>
              <w:tblW w:w="831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770"/>
              <w:gridCol w:w="2771"/>
              <w:gridCol w:w="277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41" w:type="dxa"/>
                  <w:gridSpan w:val="2"/>
                  <w:vAlign w:val="center"/>
                </w:tcPr>
                <w:p>
                  <w:pPr>
                    <w:pStyle w:val="43"/>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rFonts w:hint="eastAsia"/>
                      <w:b/>
                      <w:color w:val="000000" w:themeColor="text1"/>
                      <w14:textFill>
                        <w14:solidFill>
                          <w14:schemeClr w14:val="tx1"/>
                        </w14:solidFill>
                      </w14:textFill>
                    </w:rPr>
                    <w:t>参数</w:t>
                  </w:r>
                </w:p>
              </w:tc>
              <w:tc>
                <w:tcPr>
                  <w:tcW w:w="2771" w:type="dxa"/>
                  <w:vAlign w:val="center"/>
                </w:tcPr>
                <w:p>
                  <w:pPr>
                    <w:pStyle w:val="43"/>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rFonts w:hint="eastAsia"/>
                      <w:b/>
                      <w:color w:val="000000" w:themeColor="text1"/>
                      <w14:textFill>
                        <w14:solidFill>
                          <w14:schemeClr w14:val="tx1"/>
                        </w14:solidFill>
                      </w14:textFill>
                    </w:rPr>
                    <w:t>取值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70" w:type="dxa"/>
                  <w:vMerge w:val="restart"/>
                  <w:vAlign w:val="center"/>
                </w:tcPr>
                <w:p>
                  <w:pPr>
                    <w:pStyle w:val="43"/>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城市/农村选项</w:t>
                  </w:r>
                </w:p>
              </w:tc>
              <w:tc>
                <w:tcPr>
                  <w:tcW w:w="2771" w:type="dxa"/>
                  <w:vAlign w:val="center"/>
                </w:tcPr>
                <w:p>
                  <w:pPr>
                    <w:pStyle w:val="43"/>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城市/农村</w:t>
                  </w:r>
                </w:p>
              </w:tc>
              <w:tc>
                <w:tcPr>
                  <w:tcW w:w="2771" w:type="dxa"/>
                  <w:vAlign w:val="center"/>
                </w:tcPr>
                <w:p>
                  <w:pPr>
                    <w:pStyle w:val="43"/>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城市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70"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p>
              </w:tc>
              <w:tc>
                <w:tcPr>
                  <w:tcW w:w="2771" w:type="dxa"/>
                  <w:vAlign w:val="center"/>
                </w:tcPr>
                <w:p>
                  <w:pPr>
                    <w:pStyle w:val="43"/>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人口数（城市选项）</w:t>
                  </w:r>
                </w:p>
              </w:tc>
              <w:tc>
                <w:tcPr>
                  <w:tcW w:w="2771" w:type="dxa"/>
                  <w:vAlign w:val="center"/>
                </w:tcPr>
                <w:p>
                  <w:pPr>
                    <w:pStyle w:val="43"/>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lang w:val="en-US"/>
                      <w14:textFill>
                        <w14:solidFill>
                          <w14:schemeClr w14:val="tx1"/>
                        </w14:solidFill>
                      </w14:textFill>
                    </w:rPr>
                  </w:pPr>
                  <w:r>
                    <w:rPr>
                      <w:rFonts w:hint="eastAsia"/>
                      <w:color w:val="000000" w:themeColor="text1"/>
                      <w:lang w:val="en-US"/>
                      <w14:textFill>
                        <w14:solidFill>
                          <w14:schemeClr w14:val="tx1"/>
                        </w14:solidFill>
                      </w14:textFill>
                    </w:rPr>
                    <w:t>56万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41" w:type="dxa"/>
                  <w:gridSpan w:val="2"/>
                  <w:vAlign w:val="center"/>
                </w:tcPr>
                <w:p>
                  <w:pPr>
                    <w:pStyle w:val="43"/>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最高环境温度/℃</w:t>
                  </w:r>
                </w:p>
              </w:tc>
              <w:tc>
                <w:tcPr>
                  <w:tcW w:w="2771" w:type="dxa"/>
                  <w:vAlign w:val="center"/>
                </w:tcPr>
                <w:p>
                  <w:pPr>
                    <w:pStyle w:val="43"/>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color w:val="000000" w:themeColor="text1"/>
                      <w14:textFill>
                        <w14:solidFill>
                          <w14:schemeClr w14:val="tx1"/>
                        </w14:solidFill>
                      </w14:textFill>
                    </w:rPr>
                    <w:t>38.9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41" w:type="dxa"/>
                  <w:gridSpan w:val="2"/>
                  <w:vAlign w:val="center"/>
                </w:tcPr>
                <w:p>
                  <w:pPr>
                    <w:pStyle w:val="43"/>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最低环境温度/℃</w:t>
                  </w:r>
                </w:p>
              </w:tc>
              <w:tc>
                <w:tcPr>
                  <w:tcW w:w="2771" w:type="dxa"/>
                  <w:vAlign w:val="center"/>
                </w:tcPr>
                <w:p>
                  <w:pPr>
                    <w:pStyle w:val="43"/>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12.5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41" w:type="dxa"/>
                  <w:gridSpan w:val="2"/>
                  <w:vAlign w:val="center"/>
                </w:tcPr>
                <w:p>
                  <w:pPr>
                    <w:pStyle w:val="43"/>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土地利用类型</w:t>
                  </w:r>
                </w:p>
              </w:tc>
              <w:tc>
                <w:tcPr>
                  <w:tcW w:w="2771" w:type="dxa"/>
                  <w:vAlign w:val="center"/>
                </w:tcPr>
                <w:p>
                  <w:pPr>
                    <w:pStyle w:val="43"/>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城市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41" w:type="dxa"/>
                  <w:gridSpan w:val="2"/>
                  <w:vAlign w:val="center"/>
                </w:tcPr>
                <w:p>
                  <w:pPr>
                    <w:pStyle w:val="43"/>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区域湿度条件</w:t>
                  </w:r>
                </w:p>
              </w:tc>
              <w:tc>
                <w:tcPr>
                  <w:tcW w:w="2771" w:type="dxa"/>
                  <w:vAlign w:val="center"/>
                </w:tcPr>
                <w:p>
                  <w:pPr>
                    <w:pStyle w:val="43"/>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平均湿度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70" w:type="dxa"/>
                  <w:vMerge w:val="restart"/>
                  <w:vAlign w:val="center"/>
                </w:tcPr>
                <w:p>
                  <w:pPr>
                    <w:pStyle w:val="43"/>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是否考虑地形</w:t>
                  </w:r>
                </w:p>
              </w:tc>
              <w:tc>
                <w:tcPr>
                  <w:tcW w:w="2771" w:type="dxa"/>
                  <w:vAlign w:val="center"/>
                </w:tcPr>
                <w:p>
                  <w:pPr>
                    <w:pStyle w:val="43"/>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考虑地形</w:t>
                  </w:r>
                </w:p>
              </w:tc>
              <w:tc>
                <w:tcPr>
                  <w:tcW w:w="2771" w:type="dxa"/>
                  <w:vAlign w:val="center"/>
                </w:tcPr>
                <w:p>
                  <w:pPr>
                    <w:pStyle w:val="43"/>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是□  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70"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p>
              </w:tc>
              <w:tc>
                <w:tcPr>
                  <w:tcW w:w="2771" w:type="dxa"/>
                  <w:vAlign w:val="center"/>
                </w:tcPr>
                <w:p>
                  <w:pPr>
                    <w:pStyle w:val="43"/>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地形数据分辨率/m</w:t>
                  </w:r>
                </w:p>
              </w:tc>
              <w:tc>
                <w:tcPr>
                  <w:tcW w:w="2771" w:type="dxa"/>
                  <w:vAlign w:val="center"/>
                </w:tcPr>
                <w:p>
                  <w:pPr>
                    <w:pStyle w:val="43"/>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70" w:type="dxa"/>
                  <w:vMerge w:val="restart"/>
                  <w:vAlign w:val="center"/>
                </w:tcPr>
                <w:p>
                  <w:pPr>
                    <w:pStyle w:val="43"/>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是否考虑岸线熏烟</w:t>
                  </w:r>
                </w:p>
              </w:tc>
              <w:tc>
                <w:tcPr>
                  <w:tcW w:w="2771" w:type="dxa"/>
                  <w:vAlign w:val="center"/>
                </w:tcPr>
                <w:p>
                  <w:pPr>
                    <w:pStyle w:val="43"/>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考虑岸线熏烟</w:t>
                  </w:r>
                </w:p>
              </w:tc>
              <w:tc>
                <w:tcPr>
                  <w:tcW w:w="2771" w:type="dxa"/>
                  <w:vAlign w:val="center"/>
                </w:tcPr>
                <w:p>
                  <w:pPr>
                    <w:pStyle w:val="43"/>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是□  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70"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p>
              </w:tc>
              <w:tc>
                <w:tcPr>
                  <w:tcW w:w="2771" w:type="dxa"/>
                  <w:vAlign w:val="center"/>
                </w:tcPr>
                <w:p>
                  <w:pPr>
                    <w:pStyle w:val="43"/>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岸线距离/km</w:t>
                  </w:r>
                </w:p>
              </w:tc>
              <w:tc>
                <w:tcPr>
                  <w:tcW w:w="2771" w:type="dxa"/>
                  <w:vAlign w:val="center"/>
                </w:tcPr>
                <w:p>
                  <w:pPr>
                    <w:pStyle w:val="43"/>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770"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p>
              </w:tc>
              <w:tc>
                <w:tcPr>
                  <w:tcW w:w="2771" w:type="dxa"/>
                  <w:vAlign w:val="center"/>
                </w:tcPr>
                <w:p>
                  <w:pPr>
                    <w:pStyle w:val="43"/>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岸线方向/°</w:t>
                  </w:r>
                </w:p>
              </w:tc>
              <w:tc>
                <w:tcPr>
                  <w:tcW w:w="2771" w:type="dxa"/>
                  <w:vAlign w:val="center"/>
                </w:tcPr>
                <w:p>
                  <w:pPr>
                    <w:pStyle w:val="43"/>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color w:val="000000" w:themeColor="text1"/>
                      <w14:textFill>
                        <w14:solidFill>
                          <w14:schemeClr w14:val="tx1"/>
                        </w14:solidFill>
                      </w14:textFill>
                    </w:rPr>
                    <w:t>-</w:t>
                  </w:r>
                </w:p>
              </w:tc>
            </w:tr>
          </w:tbl>
          <w:p>
            <w:pPr>
              <w:widowControl/>
              <w:spacing w:line="360" w:lineRule="auto"/>
              <w:ind w:firstLine="480" w:firstLineChars="200"/>
              <w:rPr>
                <w:color w:val="000000" w:themeColor="text1"/>
                <w:sz w:val="24"/>
                <w:lang w:eastAsia="ja-JP"/>
                <w14:textFill>
                  <w14:solidFill>
                    <w14:schemeClr w14:val="tx1"/>
                  </w14:solidFill>
                </w14:textFill>
              </w:rPr>
            </w:pPr>
            <w:r>
              <w:rPr>
                <w:rFonts w:hint="eastAsia" w:ascii="宋体"/>
                <w:color w:val="000000" w:themeColor="text1"/>
                <w:sz w:val="24"/>
                <w14:textFill>
                  <w14:solidFill>
                    <w14:schemeClr w14:val="tx1"/>
                  </w14:solidFill>
                </w14:textFill>
              </w:rPr>
              <w:t>④</w:t>
            </w:r>
            <w:r>
              <w:rPr>
                <w:rFonts w:hint="eastAsia"/>
                <w:color w:val="000000" w:themeColor="text1"/>
                <w:sz w:val="24"/>
                <w14:textFill>
                  <w14:solidFill>
                    <w14:schemeClr w14:val="tx1"/>
                  </w14:solidFill>
                </w14:textFill>
              </w:rPr>
              <w:t>评价等级判定</w:t>
            </w:r>
          </w:p>
          <w:p>
            <w:pPr>
              <w:pStyle w:val="44"/>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根据《环境影响评价技术导则 大气环境》（HJ2.2-2018），采用推荐模式中的估算模型AERSCREEN对污染物的最大地面占标率Pi（第i个污染物）及第i个污染物的地面浓度达标准限值10%时所对应的最远距离D</w:t>
            </w:r>
            <w:r>
              <w:rPr>
                <w:color w:val="000000" w:themeColor="text1"/>
                <w:sz w:val="15"/>
                <w:szCs w:val="15"/>
                <w14:textFill>
                  <w14:solidFill>
                    <w14:schemeClr w14:val="tx1"/>
                  </w14:solidFill>
                </w14:textFill>
              </w:rPr>
              <w:t>10%</w:t>
            </w:r>
            <w:r>
              <w:rPr>
                <w:color w:val="000000" w:themeColor="text1"/>
                <w:szCs w:val="24"/>
                <w14:textFill>
                  <w14:solidFill>
                    <w14:schemeClr w14:val="tx1"/>
                  </w14:solidFill>
                </w14:textFill>
              </w:rPr>
              <w:t>进行计算。其中</w:t>
            </w:r>
            <w:r>
              <w:rPr>
                <w:color w:val="000000" w:themeColor="text1"/>
                <w14:textFill>
                  <w14:solidFill>
                    <w14:schemeClr w14:val="tx1"/>
                  </w14:solidFill>
                </w14:textFill>
              </w:rPr>
              <w:t>Pi定义如下：</w:t>
            </w:r>
          </w:p>
          <w:p>
            <w:pPr>
              <w:pStyle w:val="44"/>
              <w:ind w:firstLine="480"/>
              <w:jc w:val="center"/>
              <w:rPr>
                <w:color w:val="000000" w:themeColor="text1"/>
                <w14:textFill>
                  <w14:solidFill>
                    <w14:schemeClr w14:val="tx1"/>
                  </w14:solidFill>
                </w14:textFill>
              </w:rPr>
            </w:pPr>
            <w:r>
              <w:rPr>
                <w:i/>
                <w:iCs/>
                <w:color w:val="000000" w:themeColor="text1"/>
                <w:position w:val="-24"/>
                <w14:textFill>
                  <w14:solidFill>
                    <w14:schemeClr w14:val="tx1"/>
                  </w14:solidFill>
                </w14:textFill>
              </w:rPr>
              <w:object>
                <v:shape id="_x0000_i1025" o:spt="75" type="#_x0000_t75" style="height:30.7pt;width:41.3pt;" o:ole="t" filled="f" o:preferrelative="t" stroked="f" coordsize="21600,21600">
                  <v:path/>
                  <v:fill on="f" focussize="0,0"/>
                  <v:stroke on="f" joinstyle="miter"/>
                  <v:imagedata r:id="rId12" o:title="203514921556505032489"/>
                  <o:lock v:ext="edit" aspectratio="t"/>
                  <w10:wrap type="none"/>
                  <w10:anchorlock/>
                </v:shape>
                <o:OLEObject Type="Embed" ProgID="Excel.Sheet.8" ShapeID="_x0000_i1025" DrawAspect="Content" ObjectID="_1468075725" r:id="rId11">
                  <o:LockedField>false</o:LockedField>
                </o:OLEObject>
              </w:object>
            </w:r>
            <w:r>
              <w:rPr>
                <w:iCs/>
                <w:color w:val="000000" w:themeColor="text1"/>
                <w14:textFill>
                  <w14:solidFill>
                    <w14:schemeClr w14:val="tx1"/>
                  </w14:solidFill>
                </w14:textFill>
              </w:rPr>
              <w:t>×100%</w:t>
            </w:r>
          </w:p>
          <w:p>
            <w:pPr>
              <w:pStyle w:val="44"/>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Pi—第i个污染物的最大地面浓度占标率，%；</w:t>
            </w:r>
          </w:p>
          <w:p>
            <w:pPr>
              <w:pStyle w:val="44"/>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Ci—采用估算模式计算出的第i个污染物的最大地面浓度，mg/m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w:t>
            </w:r>
          </w:p>
          <w:p>
            <w:pPr>
              <w:pStyle w:val="44"/>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C0i—第i 个污染物的环境空气质量标准，mg/m</w:t>
            </w:r>
            <w:r>
              <w:rPr>
                <w:color w:val="000000" w:themeColor="text1"/>
                <w:vertAlign w:val="superscript"/>
                <w14:textFill>
                  <w14:solidFill>
                    <w14:schemeClr w14:val="tx1"/>
                  </w14:solidFill>
                </w14:textFill>
              </w:rPr>
              <w:t>3</w:t>
            </w:r>
            <w:r>
              <w:rPr>
                <w:color w:val="000000" w:themeColor="text1"/>
                <w14:textFill>
                  <w14:solidFill>
                    <w14:schemeClr w14:val="tx1"/>
                  </w14:solidFill>
                </w14:textFill>
              </w:rPr>
              <w:t>。</w:t>
            </w:r>
          </w:p>
          <w:p>
            <w:pPr>
              <w:ind w:firstLine="480" w:firstLineChars="200"/>
              <w:jc w:val="center"/>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表 7-5 大气环境评价工作等级分级判据</w:t>
            </w:r>
          </w:p>
          <w:tbl>
            <w:tblPr>
              <w:tblStyle w:val="17"/>
              <w:tblW w:w="831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98"/>
              <w:gridCol w:w="621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98"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b/>
                      <w:color w:val="000000" w:themeColor="text1"/>
                      <w14:textFill>
                        <w14:solidFill>
                          <w14:schemeClr w14:val="tx1"/>
                        </w14:solidFill>
                      </w14:textFill>
                    </w:rPr>
                  </w:pPr>
                  <w:r>
                    <w:rPr>
                      <w:b/>
                      <w:color w:val="000000" w:themeColor="text1"/>
                      <w14:textFill>
                        <w14:solidFill>
                          <w14:schemeClr w14:val="tx1"/>
                        </w14:solidFill>
                      </w14:textFill>
                    </w:rPr>
                    <w:t>评价工作等级</w:t>
                  </w:r>
                </w:p>
              </w:tc>
              <w:tc>
                <w:tcPr>
                  <w:tcW w:w="6214"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b/>
                      <w:color w:val="000000" w:themeColor="text1"/>
                      <w14:textFill>
                        <w14:solidFill>
                          <w14:schemeClr w14:val="tx1"/>
                        </w14:solidFill>
                      </w14:textFill>
                    </w:rPr>
                  </w:pPr>
                  <w:r>
                    <w:rPr>
                      <w:b/>
                      <w:color w:val="000000" w:themeColor="text1"/>
                      <w14:textFill>
                        <w14:solidFill>
                          <w14:schemeClr w14:val="tx1"/>
                        </w14:solidFill>
                      </w14:textFill>
                    </w:rPr>
                    <w:t>评价工作分级判据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98"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000000" w:themeColor="text1"/>
                      <w14:textFill>
                        <w14:solidFill>
                          <w14:schemeClr w14:val="tx1"/>
                        </w14:solidFill>
                      </w14:textFill>
                    </w:rPr>
                  </w:pPr>
                  <w:r>
                    <w:rPr>
                      <w:color w:val="000000" w:themeColor="text1"/>
                      <w14:textFill>
                        <w14:solidFill>
                          <w14:schemeClr w14:val="tx1"/>
                        </w14:solidFill>
                      </w14:textFill>
                    </w:rPr>
                    <w:t>一级</w:t>
                  </w:r>
                </w:p>
              </w:tc>
              <w:tc>
                <w:tcPr>
                  <w:tcW w:w="6214"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000000" w:themeColor="text1"/>
                      <w14:textFill>
                        <w14:solidFill>
                          <w14:schemeClr w14:val="tx1"/>
                        </w14:solidFill>
                      </w14:textFill>
                    </w:rPr>
                  </w:pPr>
                  <w:r>
                    <w:rPr>
                      <w:color w:val="000000" w:themeColor="text1"/>
                      <w14:textFill>
                        <w14:solidFill>
                          <w14:schemeClr w14:val="tx1"/>
                        </w14:solidFill>
                      </w14:textFill>
                    </w:rPr>
                    <w:t>Pmax≥10%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98"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000000" w:themeColor="text1"/>
                      <w14:textFill>
                        <w14:solidFill>
                          <w14:schemeClr w14:val="tx1"/>
                        </w14:solidFill>
                      </w14:textFill>
                    </w:rPr>
                  </w:pPr>
                  <w:r>
                    <w:rPr>
                      <w:color w:val="000000" w:themeColor="text1"/>
                      <w14:textFill>
                        <w14:solidFill>
                          <w14:schemeClr w14:val="tx1"/>
                        </w14:solidFill>
                      </w14:textFill>
                    </w:rPr>
                    <w:t>二级</w:t>
                  </w:r>
                </w:p>
              </w:tc>
              <w:tc>
                <w:tcPr>
                  <w:tcW w:w="6214"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000000" w:themeColor="text1"/>
                      <w14:textFill>
                        <w14:solidFill>
                          <w14:schemeClr w14:val="tx1"/>
                        </w14:solidFill>
                      </w14:textFill>
                    </w:rPr>
                  </w:pPr>
                  <w:r>
                    <w:rPr>
                      <w:color w:val="000000" w:themeColor="text1"/>
                      <w14:textFill>
                        <w14:solidFill>
                          <w14:schemeClr w14:val="tx1"/>
                        </w14:solidFill>
                      </w14:textFill>
                    </w:rPr>
                    <w:t>1%≤Pmax＜10%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98"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000000" w:themeColor="text1"/>
                      <w14:textFill>
                        <w14:solidFill>
                          <w14:schemeClr w14:val="tx1"/>
                        </w14:solidFill>
                      </w14:textFill>
                    </w:rPr>
                  </w:pPr>
                  <w:r>
                    <w:rPr>
                      <w:color w:val="000000" w:themeColor="text1"/>
                      <w14:textFill>
                        <w14:solidFill>
                          <w14:schemeClr w14:val="tx1"/>
                        </w14:solidFill>
                      </w14:textFill>
                    </w:rPr>
                    <w:t>三级</w:t>
                  </w:r>
                </w:p>
              </w:tc>
              <w:tc>
                <w:tcPr>
                  <w:tcW w:w="6214"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000000" w:themeColor="text1"/>
                      <w14:textFill>
                        <w14:solidFill>
                          <w14:schemeClr w14:val="tx1"/>
                        </w14:solidFill>
                      </w14:textFill>
                    </w:rPr>
                  </w:pPr>
                  <w:r>
                    <w:rPr>
                      <w:color w:val="000000" w:themeColor="text1"/>
                      <w14:textFill>
                        <w14:solidFill>
                          <w14:schemeClr w14:val="tx1"/>
                        </w14:solidFill>
                      </w14:textFill>
                    </w:rPr>
                    <w:t>Pmax＜1%</w:t>
                  </w:r>
                </w:p>
              </w:tc>
            </w:tr>
          </w:tbl>
          <w:p>
            <w:pPr>
              <w:spacing w:line="360" w:lineRule="auto"/>
              <w:ind w:firstLine="480" w:firstLineChars="200"/>
              <w:rPr>
                <w:color w:val="000000" w:themeColor="text1"/>
                <w:sz w:val="24"/>
                <w:lang w:eastAsia="ja-JP"/>
                <w14:textFill>
                  <w14:solidFill>
                    <w14:schemeClr w14:val="tx1"/>
                  </w14:solidFill>
                </w14:textFill>
              </w:rPr>
            </w:pPr>
            <w:r>
              <w:rPr>
                <w:rFonts w:hint="eastAsia" w:ascii="宋体"/>
                <w:color w:val="000000" w:themeColor="text1"/>
                <w:sz w:val="24"/>
                <w14:textFill>
                  <w14:solidFill>
                    <w14:schemeClr w14:val="tx1"/>
                  </w14:solidFill>
                </w14:textFill>
              </w:rPr>
              <w:t>⑤</w:t>
            </w:r>
            <w:r>
              <w:rPr>
                <w:rFonts w:hint="eastAsia"/>
                <w:color w:val="000000" w:themeColor="text1"/>
                <w:sz w:val="24"/>
                <w14:textFill>
                  <w14:solidFill>
                    <w14:schemeClr w14:val="tx1"/>
                  </w14:solidFill>
                </w14:textFill>
              </w:rPr>
              <w:t>预测结果</w:t>
            </w:r>
          </w:p>
          <w:p>
            <w:pPr>
              <w:adjustRightInd w:val="0"/>
              <w:snapToGrid w:val="0"/>
              <w:spacing w:line="360" w:lineRule="auto"/>
              <w:ind w:firstLine="480" w:firstLineChars="200"/>
              <w:rPr>
                <w:b/>
                <w:bCs/>
                <w:color w:val="000000" w:themeColor="text1"/>
                <w14:textFill>
                  <w14:solidFill>
                    <w14:schemeClr w14:val="tx1"/>
                  </w14:solidFill>
                </w14:textFill>
              </w:rPr>
            </w:pPr>
            <w:r>
              <w:rPr>
                <w:bCs/>
                <w:color w:val="000000" w:themeColor="text1"/>
                <w:sz w:val="24"/>
                <w14:textFill>
                  <w14:solidFill>
                    <w14:schemeClr w14:val="tx1"/>
                  </w14:solidFill>
                </w14:textFill>
              </w:rPr>
              <w:t>废气正常工况下排放废气预测结果详见表7-6和表7-7。预测结果汇总表详见表7-8。</w:t>
            </w:r>
          </w:p>
          <w:p>
            <w:pPr>
              <w:adjustRightInd w:val="0"/>
              <w:snapToGrid w:val="0"/>
              <w:jc w:val="center"/>
              <w:rPr>
                <w:b/>
                <w:bCs/>
                <w:color w:val="000000" w:themeColor="text1"/>
                <w:sz w:val="24"/>
                <w:szCs w:val="24"/>
                <w14:textFill>
                  <w14:solidFill>
                    <w14:schemeClr w14:val="tx1"/>
                  </w14:solidFill>
                </w14:textFill>
              </w:rPr>
            </w:pPr>
            <w:r>
              <w:rPr>
                <w:b/>
                <w:bCs/>
                <w:color w:val="000000" w:themeColor="text1"/>
                <w:sz w:val="24"/>
                <w:szCs w:val="24"/>
                <w14:textFill>
                  <w14:solidFill>
                    <w14:schemeClr w14:val="tx1"/>
                  </w14:solidFill>
                </w14:textFill>
              </w:rPr>
              <w:t>表7-6</w:t>
            </w:r>
            <w:r>
              <w:rPr>
                <w:rFonts w:hint="eastAsia"/>
                <w:b/>
                <w:bCs/>
                <w:color w:val="000000" w:themeColor="text1"/>
                <w:sz w:val="24"/>
                <w:szCs w:val="24"/>
                <w14:textFill>
                  <w14:solidFill>
                    <w14:schemeClr w14:val="tx1"/>
                  </w14:solidFill>
                </w14:textFill>
              </w:rPr>
              <w:t xml:space="preserve">  </w:t>
            </w:r>
            <w:r>
              <w:rPr>
                <w:b/>
                <w:bCs/>
                <w:color w:val="000000" w:themeColor="text1"/>
                <w:sz w:val="24"/>
                <w:szCs w:val="24"/>
                <w14:textFill>
                  <w14:solidFill>
                    <w14:schemeClr w14:val="tx1"/>
                  </w14:solidFill>
                </w14:textFill>
              </w:rPr>
              <w:t>有组织排放最大地面浓度及占标率表</w:t>
            </w:r>
          </w:p>
          <w:tbl>
            <w:tblPr>
              <w:tblStyle w:val="1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52"/>
              <w:gridCol w:w="893"/>
              <w:gridCol w:w="895"/>
              <w:gridCol w:w="893"/>
              <w:gridCol w:w="895"/>
              <w:gridCol w:w="893"/>
              <w:gridCol w:w="895"/>
              <w:gridCol w:w="893"/>
              <w:gridCol w:w="90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vMerge w:val="restart"/>
                  <w:tcBorders>
                    <w:top w:val="single" w:color="auto" w:sz="12" w:space="0"/>
                    <w:left w:val="nil"/>
                    <w:bottom w:val="single" w:color="auto" w:sz="4" w:space="0"/>
                    <w:right w:val="single" w:color="auto" w:sz="4" w:space="0"/>
                  </w:tcBorders>
                  <w:vAlign w:val="center"/>
                </w:tcPr>
                <w:p>
                  <w:pPr>
                    <w:pStyle w:val="43"/>
                    <w:spacing w:before="62" w:beforeLines="20" w:after="62" w:afterLines="20"/>
                    <w:rPr>
                      <w:b/>
                      <w:color w:val="000000" w:themeColor="text1"/>
                      <w:szCs w:val="21"/>
                      <w14:textFill>
                        <w14:solidFill>
                          <w14:schemeClr w14:val="tx1"/>
                        </w14:solidFill>
                      </w14:textFill>
                    </w:rPr>
                  </w:pPr>
                  <w:r>
                    <w:rPr>
                      <w:b/>
                      <w:color w:val="000000" w:themeColor="text1"/>
                      <w:szCs w:val="21"/>
                      <w14:textFill>
                        <w14:solidFill>
                          <w14:schemeClr w14:val="tx1"/>
                        </w14:solidFill>
                      </w14:textFill>
                    </w:rPr>
                    <w:t>下风向距离D/m</w:t>
                  </w:r>
                </w:p>
              </w:tc>
              <w:tc>
                <w:tcPr>
                  <w:tcW w:w="1075" w:type="pct"/>
                  <w:gridSpan w:val="2"/>
                  <w:tcBorders>
                    <w:top w:val="single" w:color="auto" w:sz="12" w:space="0"/>
                    <w:left w:val="single" w:color="auto" w:sz="4" w:space="0"/>
                    <w:bottom w:val="single" w:color="auto" w:sz="4" w:space="0"/>
                    <w:right w:val="nil"/>
                  </w:tcBorders>
                  <w:vAlign w:val="center"/>
                </w:tcPr>
                <w:p>
                  <w:pPr>
                    <w:pStyle w:val="43"/>
                    <w:spacing w:before="62" w:beforeLines="20" w:after="62" w:afterLines="20"/>
                    <w:rPr>
                      <w:b/>
                      <w:color w:val="000000" w:themeColor="text1"/>
                      <w:szCs w:val="21"/>
                      <w14:textFill>
                        <w14:solidFill>
                          <w14:schemeClr w14:val="tx1"/>
                        </w14:solidFill>
                      </w14:textFill>
                    </w:rPr>
                  </w:pPr>
                  <w:r>
                    <w:rPr>
                      <w:rFonts w:hint="eastAsia"/>
                      <w:b/>
                      <w:color w:val="000000" w:themeColor="text1"/>
                      <w:szCs w:val="21"/>
                      <w:lang w:val="en-US" w:eastAsia="zh-CN"/>
                      <w14:textFill>
                        <w14:solidFill>
                          <w14:schemeClr w14:val="tx1"/>
                        </w14:solidFill>
                      </w14:textFill>
                    </w:rPr>
                    <w:t>SO</w:t>
                  </w:r>
                  <w:r>
                    <w:rPr>
                      <w:rFonts w:hint="eastAsia"/>
                      <w:b/>
                      <w:color w:val="000000" w:themeColor="text1"/>
                      <w:szCs w:val="21"/>
                      <w:vertAlign w:val="subscript"/>
                      <w:lang w:val="en-US" w:eastAsia="zh-CN"/>
                      <w14:textFill>
                        <w14:solidFill>
                          <w14:schemeClr w14:val="tx1"/>
                        </w14:solidFill>
                      </w14:textFill>
                    </w:rPr>
                    <w:t>2</w:t>
                  </w:r>
                  <w:r>
                    <w:rPr>
                      <w:b/>
                      <w:color w:val="000000" w:themeColor="text1"/>
                      <w:szCs w:val="21"/>
                      <w14:textFill>
                        <w14:solidFill>
                          <w14:schemeClr w14:val="tx1"/>
                        </w14:solidFill>
                      </w14:textFill>
                    </w:rPr>
                    <w:t>（排气筒</w:t>
                  </w:r>
                  <w:r>
                    <w:rPr>
                      <w:rFonts w:hint="eastAsia"/>
                      <w:b/>
                      <w:color w:val="000000" w:themeColor="text1"/>
                      <w:szCs w:val="21"/>
                      <w:lang w:val="en-US"/>
                      <w14:textFill>
                        <w14:solidFill>
                          <w14:schemeClr w14:val="tx1"/>
                        </w14:solidFill>
                      </w14:textFill>
                    </w:rPr>
                    <w:t>1#</w:t>
                  </w:r>
                  <w:r>
                    <w:rPr>
                      <w:b/>
                      <w:color w:val="000000" w:themeColor="text1"/>
                      <w:szCs w:val="21"/>
                      <w14:textFill>
                        <w14:solidFill>
                          <w14:schemeClr w14:val="tx1"/>
                        </w14:solidFill>
                      </w14:textFill>
                    </w:rPr>
                    <w:t>）</w:t>
                  </w:r>
                </w:p>
              </w:tc>
              <w:tc>
                <w:tcPr>
                  <w:tcW w:w="1075" w:type="pct"/>
                  <w:gridSpan w:val="2"/>
                  <w:tcBorders>
                    <w:top w:val="single" w:color="auto" w:sz="12" w:space="0"/>
                    <w:left w:val="single" w:color="auto" w:sz="4" w:space="0"/>
                    <w:bottom w:val="single" w:color="auto" w:sz="4" w:space="0"/>
                    <w:right w:val="nil"/>
                  </w:tcBorders>
                  <w:vAlign w:val="center"/>
                </w:tcPr>
                <w:p>
                  <w:pPr>
                    <w:pStyle w:val="43"/>
                    <w:spacing w:before="62" w:beforeLines="20" w:after="62" w:afterLines="20"/>
                    <w:rPr>
                      <w:b/>
                      <w:color w:val="000000" w:themeColor="text1"/>
                      <w:szCs w:val="21"/>
                      <w:lang w:val="en-US"/>
                      <w14:textFill>
                        <w14:solidFill>
                          <w14:schemeClr w14:val="tx1"/>
                        </w14:solidFill>
                      </w14:textFill>
                    </w:rPr>
                  </w:pPr>
                  <w:r>
                    <w:rPr>
                      <w:rFonts w:hint="eastAsia"/>
                      <w:b/>
                      <w:color w:val="000000" w:themeColor="text1"/>
                      <w:szCs w:val="21"/>
                      <w:lang w:val="en-US" w:eastAsia="zh-CN"/>
                      <w14:textFill>
                        <w14:solidFill>
                          <w14:schemeClr w14:val="tx1"/>
                        </w14:solidFill>
                      </w14:textFill>
                    </w:rPr>
                    <w:t>NOx</w:t>
                  </w:r>
                  <w:r>
                    <w:rPr>
                      <w:b/>
                      <w:color w:val="000000" w:themeColor="text1"/>
                      <w:szCs w:val="21"/>
                      <w14:textFill>
                        <w14:solidFill>
                          <w14:schemeClr w14:val="tx1"/>
                        </w14:solidFill>
                      </w14:textFill>
                    </w:rPr>
                    <w:t>排气筒</w:t>
                  </w:r>
                  <w:r>
                    <w:rPr>
                      <w:rFonts w:hint="eastAsia"/>
                      <w:b/>
                      <w:color w:val="000000" w:themeColor="text1"/>
                      <w:szCs w:val="21"/>
                      <w:lang w:val="en-US"/>
                      <w14:textFill>
                        <w14:solidFill>
                          <w14:schemeClr w14:val="tx1"/>
                        </w14:solidFill>
                      </w14:textFill>
                    </w:rPr>
                    <w:t>1#</w:t>
                  </w:r>
                  <w:r>
                    <w:rPr>
                      <w:b/>
                      <w:color w:val="000000" w:themeColor="text1"/>
                      <w:szCs w:val="21"/>
                      <w14:textFill>
                        <w14:solidFill>
                          <w14:schemeClr w14:val="tx1"/>
                        </w14:solidFill>
                      </w14:textFill>
                    </w:rPr>
                    <w:t>）</w:t>
                  </w:r>
                </w:p>
              </w:tc>
              <w:tc>
                <w:tcPr>
                  <w:tcW w:w="1075" w:type="pct"/>
                  <w:gridSpan w:val="2"/>
                  <w:tcBorders>
                    <w:top w:val="single" w:color="auto" w:sz="12" w:space="0"/>
                    <w:left w:val="single" w:color="auto" w:sz="4" w:space="0"/>
                    <w:bottom w:val="single" w:color="auto" w:sz="4" w:space="0"/>
                    <w:right w:val="nil"/>
                  </w:tcBorders>
                  <w:vAlign w:val="center"/>
                </w:tcPr>
                <w:p>
                  <w:pPr>
                    <w:pStyle w:val="43"/>
                    <w:spacing w:before="62" w:beforeLines="20" w:after="62" w:afterLines="20"/>
                    <w:rPr>
                      <w:b/>
                      <w:color w:val="000000" w:themeColor="text1"/>
                      <w:szCs w:val="21"/>
                      <w:lang w:val="en-US"/>
                      <w14:textFill>
                        <w14:solidFill>
                          <w14:schemeClr w14:val="tx1"/>
                        </w14:solidFill>
                      </w14:textFill>
                    </w:rPr>
                  </w:pPr>
                  <w:r>
                    <w:rPr>
                      <w:rFonts w:hint="eastAsia"/>
                      <w:b/>
                      <w:color w:val="000000" w:themeColor="text1"/>
                      <w:szCs w:val="21"/>
                      <w:lang w:eastAsia="zh-CN"/>
                      <w14:textFill>
                        <w14:solidFill>
                          <w14:schemeClr w14:val="tx1"/>
                        </w14:solidFill>
                      </w14:textFill>
                    </w:rPr>
                    <w:t>颗粒物</w:t>
                  </w:r>
                  <w:r>
                    <w:rPr>
                      <w:b/>
                      <w:color w:val="000000" w:themeColor="text1"/>
                      <w:szCs w:val="21"/>
                      <w14:textFill>
                        <w14:solidFill>
                          <w14:schemeClr w14:val="tx1"/>
                        </w14:solidFill>
                      </w14:textFill>
                    </w:rPr>
                    <w:t>（排气筒</w:t>
                  </w:r>
                  <w:r>
                    <w:rPr>
                      <w:rFonts w:hint="eastAsia"/>
                      <w:b/>
                      <w:color w:val="000000" w:themeColor="text1"/>
                      <w:szCs w:val="21"/>
                      <w:lang w:val="en-US"/>
                      <w14:textFill>
                        <w14:solidFill>
                          <w14:schemeClr w14:val="tx1"/>
                        </w14:solidFill>
                      </w14:textFill>
                    </w:rPr>
                    <w:t>1#</w:t>
                  </w:r>
                  <w:r>
                    <w:rPr>
                      <w:b/>
                      <w:color w:val="000000" w:themeColor="text1"/>
                      <w:szCs w:val="21"/>
                      <w14:textFill>
                        <w14:solidFill>
                          <w14:schemeClr w14:val="tx1"/>
                        </w14:solidFill>
                      </w14:textFill>
                    </w:rPr>
                    <w:t>）</w:t>
                  </w:r>
                </w:p>
              </w:tc>
              <w:tc>
                <w:tcPr>
                  <w:tcW w:w="1078" w:type="pct"/>
                  <w:gridSpan w:val="2"/>
                  <w:tcBorders>
                    <w:top w:val="single" w:color="auto" w:sz="12" w:space="0"/>
                    <w:left w:val="single" w:color="auto" w:sz="4" w:space="0"/>
                    <w:bottom w:val="single" w:color="auto" w:sz="4" w:space="0"/>
                    <w:right w:val="nil"/>
                  </w:tcBorders>
                  <w:vAlign w:val="center"/>
                </w:tcPr>
                <w:p>
                  <w:pPr>
                    <w:pStyle w:val="43"/>
                    <w:spacing w:before="62" w:beforeLines="20" w:after="62" w:afterLines="20"/>
                    <w:rPr>
                      <w:b/>
                      <w:color w:val="000000" w:themeColor="text1"/>
                      <w:szCs w:val="21"/>
                      <w:lang w:val="en-US"/>
                      <w14:textFill>
                        <w14:solidFill>
                          <w14:schemeClr w14:val="tx1"/>
                        </w14:solidFill>
                      </w14:textFill>
                    </w:rPr>
                  </w:pPr>
                  <w:r>
                    <w:rPr>
                      <w:rFonts w:hint="eastAsia"/>
                      <w:b/>
                      <w:color w:val="000000" w:themeColor="text1"/>
                      <w:szCs w:val="21"/>
                      <w:lang w:val="en-US" w:eastAsia="zh-CN"/>
                      <w14:textFill>
                        <w14:solidFill>
                          <w14:schemeClr w14:val="tx1"/>
                        </w14:solidFill>
                      </w14:textFill>
                    </w:rPr>
                    <w:t>非甲烷总烃</w:t>
                  </w:r>
                  <w:r>
                    <w:rPr>
                      <w:b/>
                      <w:color w:val="000000" w:themeColor="text1"/>
                      <w:szCs w:val="21"/>
                      <w14:textFill>
                        <w14:solidFill>
                          <w14:schemeClr w14:val="tx1"/>
                        </w14:solidFill>
                      </w14:textFill>
                    </w:rPr>
                    <w:t>（排气筒</w:t>
                  </w:r>
                  <w:r>
                    <w:rPr>
                      <w:rFonts w:hint="eastAsia"/>
                      <w:b/>
                      <w:color w:val="000000" w:themeColor="text1"/>
                      <w:szCs w:val="21"/>
                      <w:lang w:val="en-US"/>
                      <w14:textFill>
                        <w14:solidFill>
                          <w14:schemeClr w14:val="tx1"/>
                        </w14:solidFill>
                      </w14:textFill>
                    </w:rPr>
                    <w:t>1#</w:t>
                  </w:r>
                  <w:r>
                    <w:rPr>
                      <w:b/>
                      <w:color w:val="000000" w:themeColor="text1"/>
                      <w:szCs w:val="2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vMerge w:val="continue"/>
                  <w:tcBorders>
                    <w:top w:val="single" w:color="auto" w:sz="12" w:space="0"/>
                    <w:left w:val="nil"/>
                    <w:bottom w:val="single" w:color="auto" w:sz="4" w:space="0"/>
                    <w:right w:val="single" w:color="auto" w:sz="4" w:space="0"/>
                  </w:tcBorders>
                  <w:vAlign w:val="center"/>
                </w:tcPr>
                <w:p>
                  <w:pPr>
                    <w:spacing w:before="62" w:beforeLines="20" w:after="62" w:afterLines="20"/>
                    <w:jc w:val="center"/>
                    <w:rPr>
                      <w:color w:val="000000" w:themeColor="text1"/>
                      <w:szCs w:val="21"/>
                      <w14:textFill>
                        <w14:solidFill>
                          <w14:schemeClr w14:val="tx1"/>
                        </w14:solidFill>
                      </w14:textFill>
                    </w:rPr>
                  </w:pPr>
                </w:p>
              </w:tc>
              <w:tc>
                <w:tcPr>
                  <w:tcW w:w="537" w:type="pct"/>
                  <w:tcBorders>
                    <w:top w:val="single" w:color="auto" w:sz="4" w:space="0"/>
                    <w:left w:val="single" w:color="auto" w:sz="4" w:space="0"/>
                    <w:bottom w:val="single" w:color="auto" w:sz="4" w:space="0"/>
                    <w:right w:val="single" w:color="auto" w:sz="4" w:space="0"/>
                  </w:tcBorders>
                  <w:vAlign w:val="center"/>
                </w:tcPr>
                <w:p>
                  <w:pPr>
                    <w:pStyle w:val="43"/>
                    <w:spacing w:before="62" w:beforeLines="20" w:after="62" w:afterLines="20"/>
                    <w:rPr>
                      <w:b/>
                      <w:color w:val="000000" w:themeColor="text1"/>
                      <w:szCs w:val="21"/>
                      <w:lang w:val="en-US"/>
                      <w14:textFill>
                        <w14:solidFill>
                          <w14:schemeClr w14:val="tx1"/>
                        </w14:solidFill>
                      </w14:textFill>
                    </w:rPr>
                  </w:pPr>
                  <w:r>
                    <w:rPr>
                      <w:b/>
                      <w:color w:val="000000" w:themeColor="text1"/>
                      <w:szCs w:val="21"/>
                      <w:lang w:val="en-US"/>
                      <w14:textFill>
                        <w14:solidFill>
                          <w14:schemeClr w14:val="tx1"/>
                        </w14:solidFill>
                      </w14:textFill>
                    </w:rPr>
                    <w:t>Ci</w:t>
                  </w:r>
                  <w:r>
                    <w:rPr>
                      <w:b/>
                      <w:color w:val="000000" w:themeColor="text1"/>
                      <w:szCs w:val="21"/>
                      <w14:textFill>
                        <w14:solidFill>
                          <w14:schemeClr w14:val="tx1"/>
                        </w14:solidFill>
                      </w14:textFill>
                    </w:rPr>
                    <w:t>浓度值</w:t>
                  </w:r>
                  <w:r>
                    <w:rPr>
                      <w:rFonts w:hint="eastAsia"/>
                      <w:b/>
                      <w:color w:val="000000" w:themeColor="text1"/>
                      <w:szCs w:val="21"/>
                      <w:lang w:val="en-US"/>
                      <w14:textFill>
                        <w14:solidFill>
                          <w14:schemeClr w14:val="tx1"/>
                        </w14:solidFill>
                      </w14:textFill>
                    </w:rPr>
                    <w:t>u</w:t>
                  </w:r>
                  <w:r>
                    <w:rPr>
                      <w:b/>
                      <w:color w:val="000000" w:themeColor="text1"/>
                      <w:szCs w:val="21"/>
                      <w:lang w:val="en-US"/>
                      <w14:textFill>
                        <w14:solidFill>
                          <w14:schemeClr w14:val="tx1"/>
                        </w14:solidFill>
                      </w14:textFill>
                    </w:rPr>
                    <w:t>g/m</w:t>
                  </w:r>
                  <w:r>
                    <w:rPr>
                      <w:b/>
                      <w:color w:val="000000" w:themeColor="text1"/>
                      <w:szCs w:val="21"/>
                      <w:vertAlign w:val="superscript"/>
                      <w:lang w:val="en-US"/>
                      <w14:textFill>
                        <w14:solidFill>
                          <w14:schemeClr w14:val="tx1"/>
                        </w14:solidFill>
                      </w14:textFill>
                    </w:rPr>
                    <w:t>3</w:t>
                  </w:r>
                </w:p>
              </w:tc>
              <w:tc>
                <w:tcPr>
                  <w:tcW w:w="538" w:type="pct"/>
                  <w:tcBorders>
                    <w:top w:val="single" w:color="auto" w:sz="4" w:space="0"/>
                    <w:left w:val="single" w:color="auto" w:sz="4" w:space="0"/>
                    <w:bottom w:val="single" w:color="auto" w:sz="4" w:space="0"/>
                    <w:right w:val="nil"/>
                  </w:tcBorders>
                  <w:vAlign w:val="center"/>
                </w:tcPr>
                <w:p>
                  <w:pPr>
                    <w:pStyle w:val="43"/>
                    <w:spacing w:before="62" w:beforeLines="20" w:after="62" w:afterLines="20"/>
                    <w:rPr>
                      <w:b/>
                      <w:color w:val="000000" w:themeColor="text1"/>
                      <w:szCs w:val="21"/>
                      <w:lang w:val="en-US"/>
                      <w14:textFill>
                        <w14:solidFill>
                          <w14:schemeClr w14:val="tx1"/>
                        </w14:solidFill>
                      </w14:textFill>
                    </w:rPr>
                  </w:pPr>
                  <w:r>
                    <w:rPr>
                      <w:b/>
                      <w:color w:val="000000" w:themeColor="text1"/>
                      <w:szCs w:val="21"/>
                      <w:lang w:val="en-US"/>
                      <w14:textFill>
                        <w14:solidFill>
                          <w14:schemeClr w14:val="tx1"/>
                        </w14:solidFill>
                      </w14:textFill>
                    </w:rPr>
                    <w:t>Pi</w:t>
                  </w:r>
                  <w:r>
                    <w:rPr>
                      <w:b/>
                      <w:color w:val="000000" w:themeColor="text1"/>
                      <w:szCs w:val="21"/>
                      <w14:textFill>
                        <w14:solidFill>
                          <w14:schemeClr w14:val="tx1"/>
                        </w14:solidFill>
                      </w14:textFill>
                    </w:rPr>
                    <w:t>占标率</w:t>
                  </w:r>
                  <w:r>
                    <w:rPr>
                      <w:b/>
                      <w:color w:val="000000" w:themeColor="text1"/>
                      <w:szCs w:val="21"/>
                      <w:lang w:val="en-US"/>
                      <w14:textFill>
                        <w14:solidFill>
                          <w14:schemeClr w14:val="tx1"/>
                        </w14:solidFill>
                      </w14:textFill>
                    </w:rPr>
                    <w:t>%</w:t>
                  </w:r>
                </w:p>
              </w:tc>
              <w:tc>
                <w:tcPr>
                  <w:tcW w:w="537" w:type="pct"/>
                  <w:tcBorders>
                    <w:top w:val="single" w:color="auto" w:sz="4" w:space="0"/>
                    <w:left w:val="single" w:color="auto" w:sz="4" w:space="0"/>
                    <w:bottom w:val="single" w:color="auto" w:sz="4" w:space="0"/>
                    <w:right w:val="nil"/>
                  </w:tcBorders>
                  <w:vAlign w:val="center"/>
                </w:tcPr>
                <w:p>
                  <w:pPr>
                    <w:pStyle w:val="43"/>
                    <w:spacing w:before="62" w:beforeLines="20" w:after="62" w:afterLines="20"/>
                  </w:pPr>
                  <w:r>
                    <w:rPr>
                      <w:b/>
                      <w:color w:val="000000" w:themeColor="text1"/>
                      <w:szCs w:val="21"/>
                      <w:lang w:val="en-US"/>
                      <w14:textFill>
                        <w14:solidFill>
                          <w14:schemeClr w14:val="tx1"/>
                        </w14:solidFill>
                      </w14:textFill>
                    </w:rPr>
                    <w:t>Ci</w:t>
                  </w:r>
                  <w:r>
                    <w:rPr>
                      <w:b/>
                      <w:color w:val="000000" w:themeColor="text1"/>
                      <w:szCs w:val="21"/>
                      <w14:textFill>
                        <w14:solidFill>
                          <w14:schemeClr w14:val="tx1"/>
                        </w14:solidFill>
                      </w14:textFill>
                    </w:rPr>
                    <w:t>浓度值</w:t>
                  </w:r>
                  <w:r>
                    <w:rPr>
                      <w:rFonts w:hint="eastAsia"/>
                      <w:b/>
                      <w:color w:val="000000" w:themeColor="text1"/>
                      <w:szCs w:val="21"/>
                      <w:lang w:val="en-US"/>
                      <w14:textFill>
                        <w14:solidFill>
                          <w14:schemeClr w14:val="tx1"/>
                        </w14:solidFill>
                      </w14:textFill>
                    </w:rPr>
                    <w:t>u</w:t>
                  </w:r>
                  <w:r>
                    <w:rPr>
                      <w:b/>
                      <w:color w:val="000000" w:themeColor="text1"/>
                      <w:szCs w:val="21"/>
                      <w:lang w:val="en-US"/>
                      <w14:textFill>
                        <w14:solidFill>
                          <w14:schemeClr w14:val="tx1"/>
                        </w14:solidFill>
                      </w14:textFill>
                    </w:rPr>
                    <w:t>g/m</w:t>
                  </w:r>
                  <w:r>
                    <w:rPr>
                      <w:b/>
                      <w:color w:val="000000" w:themeColor="text1"/>
                      <w:szCs w:val="21"/>
                      <w:vertAlign w:val="superscript"/>
                      <w:lang w:val="en-US"/>
                      <w14:textFill>
                        <w14:solidFill>
                          <w14:schemeClr w14:val="tx1"/>
                        </w14:solidFill>
                      </w14:textFill>
                    </w:rPr>
                    <w:t>3</w:t>
                  </w:r>
                </w:p>
              </w:tc>
              <w:tc>
                <w:tcPr>
                  <w:tcW w:w="538" w:type="pct"/>
                  <w:tcBorders>
                    <w:top w:val="single" w:color="auto" w:sz="4" w:space="0"/>
                    <w:left w:val="single" w:color="auto" w:sz="4" w:space="0"/>
                    <w:bottom w:val="single" w:color="auto" w:sz="4" w:space="0"/>
                    <w:right w:val="nil"/>
                  </w:tcBorders>
                  <w:vAlign w:val="center"/>
                </w:tcPr>
                <w:p>
                  <w:pPr>
                    <w:pStyle w:val="43"/>
                    <w:spacing w:before="62" w:beforeLines="20" w:after="62" w:afterLines="20"/>
                    <w:rPr>
                      <w:b/>
                      <w:color w:val="000000" w:themeColor="text1"/>
                      <w:szCs w:val="21"/>
                      <w:lang w:val="en-US"/>
                      <w14:textFill>
                        <w14:solidFill>
                          <w14:schemeClr w14:val="tx1"/>
                        </w14:solidFill>
                      </w14:textFill>
                    </w:rPr>
                  </w:pPr>
                  <w:r>
                    <w:rPr>
                      <w:b/>
                      <w:color w:val="000000" w:themeColor="text1"/>
                      <w:szCs w:val="21"/>
                      <w:lang w:val="en-US"/>
                      <w14:textFill>
                        <w14:solidFill>
                          <w14:schemeClr w14:val="tx1"/>
                        </w14:solidFill>
                      </w14:textFill>
                    </w:rPr>
                    <w:t>Pi</w:t>
                  </w:r>
                  <w:r>
                    <w:rPr>
                      <w:b/>
                      <w:color w:val="000000" w:themeColor="text1"/>
                      <w:szCs w:val="21"/>
                      <w14:textFill>
                        <w14:solidFill>
                          <w14:schemeClr w14:val="tx1"/>
                        </w14:solidFill>
                      </w14:textFill>
                    </w:rPr>
                    <w:t>占标率</w:t>
                  </w:r>
                  <w:r>
                    <w:rPr>
                      <w:b/>
                      <w:color w:val="000000" w:themeColor="text1"/>
                      <w:szCs w:val="21"/>
                      <w:lang w:val="en-US"/>
                      <w14:textFill>
                        <w14:solidFill>
                          <w14:schemeClr w14:val="tx1"/>
                        </w14:solidFill>
                      </w14:textFill>
                    </w:rPr>
                    <w:t>%</w:t>
                  </w:r>
                </w:p>
              </w:tc>
              <w:tc>
                <w:tcPr>
                  <w:tcW w:w="537" w:type="pct"/>
                  <w:tcBorders>
                    <w:top w:val="single" w:color="auto" w:sz="4" w:space="0"/>
                    <w:left w:val="single" w:color="auto" w:sz="4" w:space="0"/>
                    <w:bottom w:val="single" w:color="auto" w:sz="4" w:space="0"/>
                    <w:right w:val="single" w:color="auto" w:sz="4" w:space="0"/>
                  </w:tcBorders>
                  <w:vAlign w:val="center"/>
                </w:tcPr>
                <w:p>
                  <w:pPr>
                    <w:pStyle w:val="43"/>
                    <w:spacing w:before="62" w:beforeLines="20" w:after="62" w:afterLines="20"/>
                    <w:rPr>
                      <w:b/>
                      <w:color w:val="000000" w:themeColor="text1"/>
                      <w:szCs w:val="21"/>
                      <w:lang w:val="en-US"/>
                      <w14:textFill>
                        <w14:solidFill>
                          <w14:schemeClr w14:val="tx1"/>
                        </w14:solidFill>
                      </w14:textFill>
                    </w:rPr>
                  </w:pPr>
                  <w:r>
                    <w:rPr>
                      <w:b/>
                      <w:color w:val="000000" w:themeColor="text1"/>
                      <w:szCs w:val="21"/>
                      <w:lang w:val="en-US"/>
                      <w14:textFill>
                        <w14:solidFill>
                          <w14:schemeClr w14:val="tx1"/>
                        </w14:solidFill>
                      </w14:textFill>
                    </w:rPr>
                    <w:t>Ci</w:t>
                  </w:r>
                  <w:r>
                    <w:rPr>
                      <w:b/>
                      <w:color w:val="000000" w:themeColor="text1"/>
                      <w:szCs w:val="21"/>
                      <w14:textFill>
                        <w14:solidFill>
                          <w14:schemeClr w14:val="tx1"/>
                        </w14:solidFill>
                      </w14:textFill>
                    </w:rPr>
                    <w:t>浓度值</w:t>
                  </w:r>
                  <w:r>
                    <w:rPr>
                      <w:rFonts w:hint="eastAsia"/>
                      <w:b/>
                      <w:color w:val="000000" w:themeColor="text1"/>
                      <w:szCs w:val="21"/>
                      <w:lang w:val="en-US"/>
                      <w14:textFill>
                        <w14:solidFill>
                          <w14:schemeClr w14:val="tx1"/>
                        </w14:solidFill>
                      </w14:textFill>
                    </w:rPr>
                    <w:t>u</w:t>
                  </w:r>
                  <w:r>
                    <w:rPr>
                      <w:b/>
                      <w:color w:val="000000" w:themeColor="text1"/>
                      <w:szCs w:val="21"/>
                      <w:lang w:val="en-US"/>
                      <w14:textFill>
                        <w14:solidFill>
                          <w14:schemeClr w14:val="tx1"/>
                        </w14:solidFill>
                      </w14:textFill>
                    </w:rPr>
                    <w:t>g/m</w:t>
                  </w:r>
                  <w:r>
                    <w:rPr>
                      <w:b/>
                      <w:color w:val="000000" w:themeColor="text1"/>
                      <w:szCs w:val="21"/>
                      <w:vertAlign w:val="superscript"/>
                      <w:lang w:val="en-US"/>
                      <w14:textFill>
                        <w14:solidFill>
                          <w14:schemeClr w14:val="tx1"/>
                        </w14:solidFill>
                      </w14:textFill>
                    </w:rPr>
                    <w:t>3</w:t>
                  </w:r>
                </w:p>
              </w:tc>
              <w:tc>
                <w:tcPr>
                  <w:tcW w:w="538" w:type="pct"/>
                  <w:tcBorders>
                    <w:top w:val="single" w:color="auto" w:sz="4" w:space="0"/>
                    <w:left w:val="single" w:color="auto" w:sz="4" w:space="0"/>
                    <w:bottom w:val="single" w:color="auto" w:sz="4" w:space="0"/>
                    <w:right w:val="single" w:color="auto" w:sz="4" w:space="0"/>
                  </w:tcBorders>
                  <w:vAlign w:val="center"/>
                </w:tcPr>
                <w:p>
                  <w:pPr>
                    <w:pStyle w:val="43"/>
                    <w:spacing w:before="62" w:beforeLines="20" w:after="62" w:afterLines="20"/>
                    <w:rPr>
                      <w:b/>
                      <w:color w:val="000000" w:themeColor="text1"/>
                      <w:szCs w:val="21"/>
                      <w:lang w:val="en-US"/>
                      <w14:textFill>
                        <w14:solidFill>
                          <w14:schemeClr w14:val="tx1"/>
                        </w14:solidFill>
                      </w14:textFill>
                    </w:rPr>
                  </w:pPr>
                  <w:r>
                    <w:rPr>
                      <w:b/>
                      <w:color w:val="000000" w:themeColor="text1"/>
                      <w:szCs w:val="21"/>
                      <w:lang w:val="en-US"/>
                      <w14:textFill>
                        <w14:solidFill>
                          <w14:schemeClr w14:val="tx1"/>
                        </w14:solidFill>
                      </w14:textFill>
                    </w:rPr>
                    <w:t>Pi</w:t>
                  </w:r>
                  <w:r>
                    <w:rPr>
                      <w:b/>
                      <w:color w:val="000000" w:themeColor="text1"/>
                      <w:szCs w:val="21"/>
                      <w14:textFill>
                        <w14:solidFill>
                          <w14:schemeClr w14:val="tx1"/>
                        </w14:solidFill>
                      </w14:textFill>
                    </w:rPr>
                    <w:t>占标率</w:t>
                  </w:r>
                  <w:r>
                    <w:rPr>
                      <w:b/>
                      <w:color w:val="000000" w:themeColor="text1"/>
                      <w:szCs w:val="21"/>
                      <w:lang w:val="en-US"/>
                      <w14:textFill>
                        <w14:solidFill>
                          <w14:schemeClr w14:val="tx1"/>
                        </w14:solidFill>
                      </w14:textFill>
                    </w:rPr>
                    <w:t>%</w:t>
                  </w:r>
                </w:p>
              </w:tc>
              <w:tc>
                <w:tcPr>
                  <w:tcW w:w="537" w:type="pct"/>
                  <w:tcBorders>
                    <w:top w:val="single" w:color="auto" w:sz="4" w:space="0"/>
                    <w:left w:val="single" w:color="auto" w:sz="4" w:space="0"/>
                    <w:bottom w:val="single" w:color="auto" w:sz="4" w:space="0"/>
                    <w:right w:val="single" w:color="auto" w:sz="4" w:space="0"/>
                  </w:tcBorders>
                  <w:vAlign w:val="center"/>
                </w:tcPr>
                <w:p>
                  <w:pPr>
                    <w:pStyle w:val="43"/>
                    <w:spacing w:before="62" w:beforeLines="20" w:after="62" w:afterLines="20"/>
                    <w:rPr>
                      <w:lang w:val="en-US"/>
                    </w:rPr>
                  </w:pPr>
                  <w:r>
                    <w:rPr>
                      <w:b/>
                      <w:color w:val="000000" w:themeColor="text1"/>
                      <w:szCs w:val="21"/>
                      <w:lang w:val="en-US"/>
                      <w14:textFill>
                        <w14:solidFill>
                          <w14:schemeClr w14:val="tx1"/>
                        </w14:solidFill>
                      </w14:textFill>
                    </w:rPr>
                    <w:t>Ci</w:t>
                  </w:r>
                  <w:r>
                    <w:rPr>
                      <w:b/>
                      <w:color w:val="000000" w:themeColor="text1"/>
                      <w:szCs w:val="21"/>
                      <w14:textFill>
                        <w14:solidFill>
                          <w14:schemeClr w14:val="tx1"/>
                        </w14:solidFill>
                      </w14:textFill>
                    </w:rPr>
                    <w:t>浓度值</w:t>
                  </w:r>
                  <w:r>
                    <w:rPr>
                      <w:rFonts w:hint="eastAsia"/>
                      <w:b/>
                      <w:color w:val="000000" w:themeColor="text1"/>
                      <w:szCs w:val="21"/>
                      <w:lang w:val="en-US"/>
                      <w14:textFill>
                        <w14:solidFill>
                          <w14:schemeClr w14:val="tx1"/>
                        </w14:solidFill>
                      </w14:textFill>
                    </w:rPr>
                    <w:t>u</w:t>
                  </w:r>
                  <w:r>
                    <w:rPr>
                      <w:b/>
                      <w:color w:val="000000" w:themeColor="text1"/>
                      <w:szCs w:val="21"/>
                      <w:lang w:val="en-US"/>
                      <w14:textFill>
                        <w14:solidFill>
                          <w14:schemeClr w14:val="tx1"/>
                        </w14:solidFill>
                      </w14:textFill>
                    </w:rPr>
                    <w:t>g/m</w:t>
                  </w:r>
                  <w:r>
                    <w:rPr>
                      <w:b/>
                      <w:color w:val="000000" w:themeColor="text1"/>
                      <w:szCs w:val="21"/>
                      <w:vertAlign w:val="superscript"/>
                      <w:lang w:val="en-US"/>
                      <w14:textFill>
                        <w14:solidFill>
                          <w14:schemeClr w14:val="tx1"/>
                        </w14:solidFill>
                      </w14:textFill>
                    </w:rPr>
                    <w:t>3</w:t>
                  </w:r>
                </w:p>
              </w:tc>
              <w:tc>
                <w:tcPr>
                  <w:tcW w:w="541" w:type="pct"/>
                  <w:tcBorders>
                    <w:top w:val="single" w:color="auto" w:sz="4" w:space="0"/>
                    <w:left w:val="single" w:color="auto" w:sz="4" w:space="0"/>
                    <w:bottom w:val="single" w:color="auto" w:sz="4" w:space="0"/>
                    <w:right w:val="single" w:color="auto" w:sz="4" w:space="0"/>
                  </w:tcBorders>
                  <w:vAlign w:val="center"/>
                </w:tcPr>
                <w:p>
                  <w:pPr>
                    <w:pStyle w:val="43"/>
                    <w:spacing w:before="62" w:beforeLines="20" w:after="62" w:afterLines="20"/>
                    <w:rPr>
                      <w:b/>
                      <w:color w:val="000000" w:themeColor="text1"/>
                      <w:szCs w:val="21"/>
                      <w:lang w:val="en-US"/>
                      <w14:textFill>
                        <w14:solidFill>
                          <w14:schemeClr w14:val="tx1"/>
                        </w14:solidFill>
                      </w14:textFill>
                    </w:rPr>
                  </w:pPr>
                  <w:r>
                    <w:rPr>
                      <w:b/>
                      <w:color w:val="000000" w:themeColor="text1"/>
                      <w:szCs w:val="21"/>
                      <w:lang w:val="en-US"/>
                      <w14:textFill>
                        <w14:solidFill>
                          <w14:schemeClr w14:val="tx1"/>
                        </w14:solidFill>
                      </w14:textFill>
                    </w:rPr>
                    <w:t>Pi</w:t>
                  </w:r>
                  <w:r>
                    <w:rPr>
                      <w:b/>
                      <w:color w:val="000000" w:themeColor="text1"/>
                      <w:szCs w:val="21"/>
                      <w14:textFill>
                        <w14:solidFill>
                          <w14:schemeClr w14:val="tx1"/>
                        </w14:solidFill>
                      </w14:textFill>
                    </w:rPr>
                    <w:t>占标率</w:t>
                  </w:r>
                  <w:r>
                    <w:rPr>
                      <w:b/>
                      <w:color w:val="000000" w:themeColor="text1"/>
                      <w:szCs w:val="21"/>
                      <w:lang w:val="en-US"/>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kern w:val="0"/>
                      <w:szCs w:val="21"/>
                      <w14:textFill>
                        <w14:solidFill>
                          <w14:schemeClr w14:val="tx1"/>
                        </w14:solidFill>
                      </w14:textFill>
                    </w:rPr>
                  </w:pPr>
                  <w:r>
                    <w:rPr>
                      <w:color w:val="000000"/>
                      <w:kern w:val="0"/>
                      <w:szCs w:val="21"/>
                      <w:lang w:bidi="ar"/>
                    </w:rPr>
                    <w:t>10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0.02</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0.00</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0.04</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0.02</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0.05</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0.01</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0.01</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color w:val="000000"/>
                      <w:kern w:val="0"/>
                      <w:szCs w:val="21"/>
                      <w:lang w:bidi="ar"/>
                    </w:rPr>
                    <w:t>25</w:t>
                  </w:r>
                </w:p>
              </w:tc>
              <w:tc>
                <w:tcPr>
                  <w:tcW w:w="53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0.17</w:t>
                  </w:r>
                </w:p>
              </w:tc>
              <w:tc>
                <w:tcPr>
                  <w:tcW w:w="538"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0.03</w:t>
                  </w:r>
                </w:p>
              </w:tc>
              <w:tc>
                <w:tcPr>
                  <w:tcW w:w="537"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FF0000"/>
                      <w:kern w:val="0"/>
                      <w:szCs w:val="21"/>
                      <w:lang w:bidi="ar"/>
                    </w:rPr>
                  </w:pPr>
                  <w:r>
                    <w:rPr>
                      <w:rFonts w:hint="eastAsia"/>
                    </w:rPr>
                    <w:t>0.29</w:t>
                  </w:r>
                </w:p>
              </w:tc>
              <w:tc>
                <w:tcPr>
                  <w:tcW w:w="538"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FF0000"/>
                      <w:kern w:val="0"/>
                      <w:szCs w:val="21"/>
                      <w:lang w:bidi="ar"/>
                    </w:rPr>
                  </w:pPr>
                  <w:r>
                    <w:rPr>
                      <w:rFonts w:hint="eastAsia"/>
                    </w:rPr>
                    <w:t>0.15</w:t>
                  </w:r>
                </w:p>
              </w:tc>
              <w:tc>
                <w:tcPr>
                  <w:tcW w:w="53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pPr>
                  <w:r>
                    <w:rPr>
                      <w:rFonts w:hint="eastAsia"/>
                    </w:rPr>
                    <w:t>0.39</w:t>
                  </w:r>
                </w:p>
              </w:tc>
              <w:tc>
                <w:tcPr>
                  <w:tcW w:w="53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000000"/>
                      <w:kern w:val="0"/>
                      <w:szCs w:val="21"/>
                      <w:lang w:bidi="ar"/>
                    </w:rPr>
                  </w:pPr>
                  <w:r>
                    <w:rPr>
                      <w:rFonts w:hint="eastAsia"/>
                    </w:rPr>
                    <w:t>0.09</w:t>
                  </w:r>
                </w:p>
              </w:tc>
              <w:tc>
                <w:tcPr>
                  <w:tcW w:w="53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pPr>
                  <w:r>
                    <w:rPr>
                      <w:rFonts w:hint="eastAsia"/>
                    </w:rPr>
                    <w:t>0.05</w:t>
                  </w:r>
                </w:p>
              </w:tc>
              <w:tc>
                <w:tcPr>
                  <w:tcW w:w="54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pPr>
                  <w:r>
                    <w:rPr>
                      <w:rFonts w:hint="eastAsia"/>
                    </w:rPr>
                    <w:t>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color w:val="000000"/>
                      <w:kern w:val="0"/>
                      <w:szCs w:val="21"/>
                      <w:lang w:bidi="ar"/>
                    </w:rPr>
                    <w:t>50</w:t>
                  </w:r>
                </w:p>
              </w:tc>
              <w:tc>
                <w:tcPr>
                  <w:tcW w:w="53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1.02</w:t>
                  </w:r>
                </w:p>
              </w:tc>
              <w:tc>
                <w:tcPr>
                  <w:tcW w:w="538"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0.20</w:t>
                  </w:r>
                </w:p>
              </w:tc>
              <w:tc>
                <w:tcPr>
                  <w:tcW w:w="537"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FF0000"/>
                      <w:kern w:val="0"/>
                      <w:szCs w:val="21"/>
                      <w:lang w:bidi="ar"/>
                    </w:rPr>
                  </w:pPr>
                  <w:r>
                    <w:rPr>
                      <w:rFonts w:hint="eastAsia"/>
                    </w:rPr>
                    <w:t>1.73</w:t>
                  </w:r>
                </w:p>
              </w:tc>
              <w:tc>
                <w:tcPr>
                  <w:tcW w:w="538"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FF0000"/>
                      <w:kern w:val="0"/>
                      <w:szCs w:val="21"/>
                      <w:lang w:bidi="ar"/>
                    </w:rPr>
                  </w:pPr>
                  <w:r>
                    <w:rPr>
                      <w:rFonts w:hint="eastAsia"/>
                    </w:rPr>
                    <w:t>0.87</w:t>
                  </w:r>
                </w:p>
              </w:tc>
              <w:tc>
                <w:tcPr>
                  <w:tcW w:w="53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pPr>
                  <w:r>
                    <w:rPr>
                      <w:rFonts w:hint="eastAsia"/>
                    </w:rPr>
                    <w:t>2.34</w:t>
                  </w:r>
                </w:p>
              </w:tc>
              <w:tc>
                <w:tcPr>
                  <w:tcW w:w="53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000000"/>
                      <w:kern w:val="0"/>
                      <w:szCs w:val="21"/>
                      <w:lang w:bidi="ar"/>
                    </w:rPr>
                  </w:pPr>
                  <w:r>
                    <w:rPr>
                      <w:rFonts w:hint="eastAsia"/>
                    </w:rPr>
                    <w:t>0.52</w:t>
                  </w:r>
                </w:p>
              </w:tc>
              <w:tc>
                <w:tcPr>
                  <w:tcW w:w="53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pPr>
                  <w:r>
                    <w:rPr>
                      <w:rFonts w:hint="eastAsia"/>
                    </w:rPr>
                    <w:t>0.31</w:t>
                  </w:r>
                </w:p>
              </w:tc>
              <w:tc>
                <w:tcPr>
                  <w:tcW w:w="54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pPr>
                  <w:r>
                    <w:rPr>
                      <w:rFonts w:hint="eastAsia"/>
                    </w:rPr>
                    <w:t>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color w:val="000000"/>
                      <w:kern w:val="0"/>
                      <w:szCs w:val="21"/>
                      <w:lang w:bidi="ar"/>
                    </w:rPr>
                    <w:t>75</w:t>
                  </w:r>
                </w:p>
              </w:tc>
              <w:tc>
                <w:tcPr>
                  <w:tcW w:w="53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1.71</w:t>
                  </w:r>
                </w:p>
              </w:tc>
              <w:tc>
                <w:tcPr>
                  <w:tcW w:w="538"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0.34</w:t>
                  </w:r>
                </w:p>
              </w:tc>
              <w:tc>
                <w:tcPr>
                  <w:tcW w:w="537"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FF0000"/>
                      <w:kern w:val="0"/>
                      <w:szCs w:val="21"/>
                      <w:lang w:bidi="ar"/>
                    </w:rPr>
                  </w:pPr>
                  <w:r>
                    <w:rPr>
                      <w:rFonts w:hint="eastAsia"/>
                    </w:rPr>
                    <w:t>2.90</w:t>
                  </w:r>
                </w:p>
              </w:tc>
              <w:tc>
                <w:tcPr>
                  <w:tcW w:w="538"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FF0000"/>
                      <w:kern w:val="0"/>
                      <w:szCs w:val="21"/>
                      <w:lang w:bidi="ar"/>
                    </w:rPr>
                  </w:pPr>
                  <w:r>
                    <w:rPr>
                      <w:rFonts w:hint="eastAsia"/>
                    </w:rPr>
                    <w:t>1.45</w:t>
                  </w:r>
                </w:p>
              </w:tc>
              <w:tc>
                <w:tcPr>
                  <w:tcW w:w="53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pPr>
                  <w:r>
                    <w:rPr>
                      <w:rFonts w:hint="eastAsia"/>
                    </w:rPr>
                    <w:t>3.92</w:t>
                  </w:r>
                </w:p>
              </w:tc>
              <w:tc>
                <w:tcPr>
                  <w:tcW w:w="53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000000"/>
                      <w:kern w:val="0"/>
                      <w:szCs w:val="21"/>
                      <w:lang w:bidi="ar"/>
                    </w:rPr>
                  </w:pPr>
                  <w:r>
                    <w:rPr>
                      <w:rFonts w:hint="eastAsia"/>
                    </w:rPr>
                    <w:t>0.87</w:t>
                  </w:r>
                </w:p>
              </w:tc>
              <w:tc>
                <w:tcPr>
                  <w:tcW w:w="53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pPr>
                  <w:r>
                    <w:rPr>
                      <w:rFonts w:hint="eastAsia"/>
                    </w:rPr>
                    <w:t>0.51</w:t>
                  </w:r>
                </w:p>
              </w:tc>
              <w:tc>
                <w:tcPr>
                  <w:tcW w:w="54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pPr>
                  <w:r>
                    <w:rPr>
                      <w:rFonts w:hint="eastAsia"/>
                    </w:rPr>
                    <w:t>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color w:val="000000"/>
                      <w:kern w:val="0"/>
                      <w:szCs w:val="21"/>
                      <w:lang w:bidi="ar"/>
                    </w:rPr>
                    <w:t>100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1.91</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0.38</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3.25</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1.62</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4.39</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0.98</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0.57</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pct"/>
                  <w:tcBorders>
                    <w:top w:val="single" w:color="auto" w:sz="4" w:space="0"/>
                    <w:left w:val="nil"/>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szCs w:val="21"/>
                    </w:rPr>
                  </w:pPr>
                  <w:r>
                    <w:rPr>
                      <w:kern w:val="0"/>
                      <w:szCs w:val="21"/>
                      <w:lang w:bidi="ar"/>
                    </w:rPr>
                    <w:t>10</w:t>
                  </w:r>
                  <w:r>
                    <w:rPr>
                      <w:rFonts w:hint="eastAsia"/>
                      <w:kern w:val="0"/>
                      <w:szCs w:val="21"/>
                      <w:lang w:bidi="ar"/>
                    </w:rPr>
                    <w:t>1</w:t>
                  </w:r>
                </w:p>
              </w:tc>
              <w:tc>
                <w:tcPr>
                  <w:tcW w:w="53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szCs w:val="21"/>
                    </w:rPr>
                  </w:pPr>
                  <w:r>
                    <w:rPr>
                      <w:rFonts w:hint="eastAsia"/>
                    </w:rPr>
                    <w:t>1.91</w:t>
                  </w:r>
                </w:p>
              </w:tc>
              <w:tc>
                <w:tcPr>
                  <w:tcW w:w="538"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szCs w:val="21"/>
                    </w:rPr>
                  </w:pPr>
                  <w:r>
                    <w:rPr>
                      <w:rFonts w:hint="eastAsia"/>
                    </w:rPr>
                    <w:t>0.38</w:t>
                  </w:r>
                </w:p>
              </w:tc>
              <w:tc>
                <w:tcPr>
                  <w:tcW w:w="537"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FF0000"/>
                      <w:kern w:val="0"/>
                      <w:szCs w:val="21"/>
                      <w:lang w:bidi="ar"/>
                    </w:rPr>
                  </w:pPr>
                  <w:r>
                    <w:rPr>
                      <w:rFonts w:hint="eastAsia"/>
                    </w:rPr>
                    <w:t>3.25</w:t>
                  </w:r>
                </w:p>
              </w:tc>
              <w:tc>
                <w:tcPr>
                  <w:tcW w:w="538"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FF0000"/>
                      <w:kern w:val="0"/>
                      <w:szCs w:val="21"/>
                      <w:lang w:bidi="ar"/>
                    </w:rPr>
                  </w:pPr>
                  <w:r>
                    <w:rPr>
                      <w:rFonts w:hint="eastAsia"/>
                    </w:rPr>
                    <w:t>1.62</w:t>
                  </w:r>
                </w:p>
              </w:tc>
              <w:tc>
                <w:tcPr>
                  <w:tcW w:w="53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pPr>
                  <w:r>
                    <w:rPr>
                      <w:rFonts w:hint="eastAsia"/>
                    </w:rPr>
                    <w:t>4.39</w:t>
                  </w:r>
                </w:p>
              </w:tc>
              <w:tc>
                <w:tcPr>
                  <w:tcW w:w="53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000000"/>
                      <w:kern w:val="0"/>
                      <w:szCs w:val="21"/>
                      <w:lang w:bidi="ar"/>
                    </w:rPr>
                  </w:pPr>
                  <w:r>
                    <w:rPr>
                      <w:rFonts w:hint="eastAsia"/>
                    </w:rPr>
                    <w:t>0.98</w:t>
                  </w:r>
                </w:p>
              </w:tc>
              <w:tc>
                <w:tcPr>
                  <w:tcW w:w="53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pPr>
                  <w:r>
                    <w:rPr>
                      <w:rFonts w:hint="eastAsia"/>
                    </w:rPr>
                    <w:t>0.57</w:t>
                  </w:r>
                </w:p>
              </w:tc>
              <w:tc>
                <w:tcPr>
                  <w:tcW w:w="54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pPr>
                  <w:r>
                    <w:rPr>
                      <w:rFonts w:hint="eastAsia"/>
                    </w:rPr>
                    <w:t>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color w:val="000000"/>
                      <w:kern w:val="0"/>
                      <w:szCs w:val="21"/>
                      <w:lang w:bidi="ar"/>
                    </w:rPr>
                    <w:t>125</w:t>
                  </w:r>
                </w:p>
              </w:tc>
              <w:tc>
                <w:tcPr>
                  <w:tcW w:w="53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1.83</w:t>
                  </w:r>
                </w:p>
              </w:tc>
              <w:tc>
                <w:tcPr>
                  <w:tcW w:w="538"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0.37</w:t>
                  </w:r>
                </w:p>
              </w:tc>
              <w:tc>
                <w:tcPr>
                  <w:tcW w:w="537"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FF0000"/>
                      <w:kern w:val="0"/>
                      <w:szCs w:val="21"/>
                      <w:lang w:bidi="ar"/>
                    </w:rPr>
                  </w:pPr>
                  <w:r>
                    <w:rPr>
                      <w:rFonts w:hint="eastAsia"/>
                    </w:rPr>
                    <w:t>3.11</w:t>
                  </w:r>
                </w:p>
              </w:tc>
              <w:tc>
                <w:tcPr>
                  <w:tcW w:w="538"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FF0000"/>
                      <w:kern w:val="0"/>
                      <w:szCs w:val="21"/>
                      <w:lang w:bidi="ar"/>
                    </w:rPr>
                  </w:pPr>
                  <w:r>
                    <w:rPr>
                      <w:rFonts w:hint="eastAsia"/>
                    </w:rPr>
                    <w:t>1.55</w:t>
                  </w:r>
                </w:p>
              </w:tc>
              <w:tc>
                <w:tcPr>
                  <w:tcW w:w="53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pPr>
                  <w:r>
                    <w:rPr>
                      <w:rFonts w:hint="eastAsia"/>
                    </w:rPr>
                    <w:t>4.21</w:t>
                  </w:r>
                </w:p>
              </w:tc>
              <w:tc>
                <w:tcPr>
                  <w:tcW w:w="53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000000"/>
                      <w:kern w:val="0"/>
                      <w:szCs w:val="21"/>
                      <w:lang w:bidi="ar"/>
                    </w:rPr>
                  </w:pPr>
                  <w:r>
                    <w:rPr>
                      <w:rFonts w:hint="eastAsia"/>
                    </w:rPr>
                    <w:t>0.93</w:t>
                  </w:r>
                </w:p>
              </w:tc>
              <w:tc>
                <w:tcPr>
                  <w:tcW w:w="53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pPr>
                  <w:r>
                    <w:rPr>
                      <w:rFonts w:hint="eastAsia"/>
                    </w:rPr>
                    <w:t>0.55</w:t>
                  </w:r>
                </w:p>
              </w:tc>
              <w:tc>
                <w:tcPr>
                  <w:tcW w:w="54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pPr>
                  <w:r>
                    <w:rPr>
                      <w:rFonts w:hint="eastAsia"/>
                    </w:rPr>
                    <w:t>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color w:val="000000"/>
                      <w:kern w:val="0"/>
                      <w:szCs w:val="21"/>
                      <w:lang w:bidi="ar"/>
                    </w:rPr>
                    <w:t>150</w:t>
                  </w:r>
                </w:p>
              </w:tc>
              <w:tc>
                <w:tcPr>
                  <w:tcW w:w="53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1.67</w:t>
                  </w:r>
                </w:p>
              </w:tc>
              <w:tc>
                <w:tcPr>
                  <w:tcW w:w="538"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0.33</w:t>
                  </w:r>
                </w:p>
              </w:tc>
              <w:tc>
                <w:tcPr>
                  <w:tcW w:w="537"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FF0000"/>
                      <w:kern w:val="0"/>
                      <w:szCs w:val="21"/>
                      <w:lang w:bidi="ar"/>
                    </w:rPr>
                  </w:pPr>
                  <w:r>
                    <w:rPr>
                      <w:rFonts w:hint="eastAsia"/>
                    </w:rPr>
                    <w:t>2.83</w:t>
                  </w:r>
                </w:p>
              </w:tc>
              <w:tc>
                <w:tcPr>
                  <w:tcW w:w="538"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FF0000"/>
                      <w:kern w:val="0"/>
                      <w:szCs w:val="21"/>
                      <w:lang w:bidi="ar"/>
                    </w:rPr>
                  </w:pPr>
                  <w:r>
                    <w:rPr>
                      <w:rFonts w:hint="eastAsia"/>
                    </w:rPr>
                    <w:t>1.42</w:t>
                  </w:r>
                </w:p>
              </w:tc>
              <w:tc>
                <w:tcPr>
                  <w:tcW w:w="53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pPr>
                  <w:r>
                    <w:rPr>
                      <w:rFonts w:hint="eastAsia"/>
                    </w:rPr>
                    <w:t>3.83</w:t>
                  </w:r>
                </w:p>
              </w:tc>
              <w:tc>
                <w:tcPr>
                  <w:tcW w:w="53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000000"/>
                      <w:kern w:val="0"/>
                      <w:szCs w:val="21"/>
                      <w:lang w:bidi="ar"/>
                    </w:rPr>
                  </w:pPr>
                  <w:r>
                    <w:rPr>
                      <w:rFonts w:hint="eastAsia"/>
                    </w:rPr>
                    <w:t>0.85</w:t>
                  </w:r>
                </w:p>
              </w:tc>
              <w:tc>
                <w:tcPr>
                  <w:tcW w:w="53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pPr>
                  <w:r>
                    <w:rPr>
                      <w:rFonts w:hint="eastAsia"/>
                    </w:rPr>
                    <w:t>0.50</w:t>
                  </w:r>
                </w:p>
              </w:tc>
              <w:tc>
                <w:tcPr>
                  <w:tcW w:w="54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pPr>
                  <w:r>
                    <w:rPr>
                      <w:rFonts w:hint="eastAsia"/>
                    </w:rPr>
                    <w:t>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color w:val="000000"/>
                      <w:kern w:val="0"/>
                      <w:szCs w:val="21"/>
                      <w:lang w:bidi="ar"/>
                    </w:rPr>
                    <w:t>175</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1.49</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0.30</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2.54</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1.27</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3.44</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0.76</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0.45</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color w:val="000000"/>
                      <w:kern w:val="0"/>
                      <w:szCs w:val="21"/>
                      <w:lang w:bidi="ar"/>
                    </w:rPr>
                    <w:t>200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1.34</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0.27</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2.27</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1.14</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3.07</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0.68</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0.40</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color w:val="000000"/>
                      <w:kern w:val="0"/>
                      <w:szCs w:val="21"/>
                      <w:lang w:bidi="ar"/>
                    </w:rPr>
                    <w:t>225</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1.20</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0.24</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2.04</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1.02</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2.76</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0.61</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0.36</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color w:val="000000"/>
                      <w:kern w:val="0"/>
                      <w:szCs w:val="21"/>
                      <w:lang w:bidi="ar"/>
                    </w:rPr>
                    <w:t>250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1.08</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0.22</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1.83</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0.92</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2.48</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0.55</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0.32</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color w:val="000000"/>
                      <w:kern w:val="0"/>
                      <w:szCs w:val="21"/>
                      <w:lang w:bidi="ar"/>
                    </w:rPr>
                    <w:t>275</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0.98</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0.20</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1.66</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0.83</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2.24</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0.50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0.29</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color w:val="000000"/>
                      <w:kern w:val="0"/>
                      <w:szCs w:val="21"/>
                      <w:lang w:bidi="ar"/>
                    </w:rPr>
                    <w:t>300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0.89</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0.18</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1.51</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0.75</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2.04</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0.45</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0.27</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color w:val="000000"/>
                      <w:kern w:val="0"/>
                      <w:szCs w:val="21"/>
                      <w:lang w:bidi="ar"/>
                    </w:rPr>
                    <w:t>325</w:t>
                  </w:r>
                </w:p>
              </w:tc>
              <w:tc>
                <w:tcPr>
                  <w:tcW w:w="53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0.81</w:t>
                  </w:r>
                </w:p>
              </w:tc>
              <w:tc>
                <w:tcPr>
                  <w:tcW w:w="538"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0.16</w:t>
                  </w:r>
                </w:p>
              </w:tc>
              <w:tc>
                <w:tcPr>
                  <w:tcW w:w="537"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FF0000"/>
                      <w:kern w:val="0"/>
                      <w:szCs w:val="21"/>
                      <w:lang w:bidi="ar"/>
                    </w:rPr>
                  </w:pPr>
                  <w:r>
                    <w:rPr>
                      <w:rFonts w:hint="eastAsia"/>
                    </w:rPr>
                    <w:t>1.38</w:t>
                  </w:r>
                </w:p>
              </w:tc>
              <w:tc>
                <w:tcPr>
                  <w:tcW w:w="538"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FF0000"/>
                      <w:kern w:val="0"/>
                      <w:szCs w:val="21"/>
                      <w:lang w:bidi="ar"/>
                    </w:rPr>
                  </w:pPr>
                  <w:r>
                    <w:rPr>
                      <w:rFonts w:hint="eastAsia"/>
                    </w:rPr>
                    <w:t>0.69</w:t>
                  </w:r>
                </w:p>
              </w:tc>
              <w:tc>
                <w:tcPr>
                  <w:tcW w:w="53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pPr>
                  <w:r>
                    <w:rPr>
                      <w:rFonts w:hint="eastAsia"/>
                    </w:rPr>
                    <w:t>1.87</w:t>
                  </w:r>
                </w:p>
              </w:tc>
              <w:tc>
                <w:tcPr>
                  <w:tcW w:w="53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000000"/>
                      <w:kern w:val="0"/>
                      <w:szCs w:val="21"/>
                      <w:lang w:bidi="ar"/>
                    </w:rPr>
                  </w:pPr>
                  <w:r>
                    <w:rPr>
                      <w:rFonts w:hint="eastAsia"/>
                    </w:rPr>
                    <w:t>0.41</w:t>
                  </w:r>
                </w:p>
              </w:tc>
              <w:tc>
                <w:tcPr>
                  <w:tcW w:w="53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pPr>
                  <w:r>
                    <w:rPr>
                      <w:rFonts w:hint="eastAsia"/>
                    </w:rPr>
                    <w:t>0.24</w:t>
                  </w:r>
                </w:p>
              </w:tc>
              <w:tc>
                <w:tcPr>
                  <w:tcW w:w="54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pPr>
                  <w:r>
                    <w:rPr>
                      <w:rFonts w:hint="eastAsia"/>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color w:val="000000"/>
                      <w:kern w:val="0"/>
                      <w:szCs w:val="21"/>
                      <w:lang w:bidi="ar"/>
                    </w:rPr>
                    <w:t>350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0.75</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0.15</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1.27</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0.63</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1.71</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0.38</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0.22</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color w:val="000000"/>
                      <w:kern w:val="0"/>
                      <w:szCs w:val="21"/>
                      <w:lang w:bidi="ar"/>
                    </w:rPr>
                    <w:t>375</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0.69</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0.14</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1.17</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0.58</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1.58</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0.35</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0.21</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color w:val="000000"/>
                      <w:kern w:val="0"/>
                      <w:szCs w:val="21"/>
                      <w:lang w:bidi="ar"/>
                    </w:rPr>
                    <w:t>400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0.64</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0.13</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1.08</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0.54</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1.46</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0.33</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0.19</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color w:val="000000"/>
                      <w:kern w:val="0"/>
                      <w:szCs w:val="21"/>
                      <w:lang w:bidi="ar"/>
                    </w:rPr>
                    <w:t>425</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0.59</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0.12</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1.01</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0.50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1.36</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0.30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0.18</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color w:val="000000"/>
                      <w:kern w:val="0"/>
                      <w:szCs w:val="21"/>
                      <w:lang w:bidi="ar"/>
                    </w:rPr>
                    <w:t>450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0.55</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0.11</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0.94</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0.47</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1.27</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0.28</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0.17</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color w:val="000000"/>
                      <w:kern w:val="0"/>
                      <w:szCs w:val="21"/>
                      <w:lang w:bidi="ar"/>
                    </w:rPr>
                    <w:t>475</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0.52</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0.10</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0.88</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0.44</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1.19</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0.26</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0.15</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color w:val="000000"/>
                      <w:kern w:val="0"/>
                      <w:szCs w:val="21"/>
                      <w:lang w:bidi="ar"/>
                    </w:rPr>
                    <w:t>500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0.48</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0.10</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0.82</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0.41</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1.11</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0.25</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0.15</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kern w:val="0"/>
                      <w:szCs w:val="21"/>
                      <w14:textFill>
                        <w14:solidFill>
                          <w14:schemeClr w14:val="tx1"/>
                        </w14:solidFill>
                      </w14:textFill>
                    </w:rPr>
                  </w:pPr>
                  <w:r>
                    <w:rPr>
                      <w:rFonts w:hint="eastAsia"/>
                      <w:color w:val="000000"/>
                      <w:kern w:val="0"/>
                      <w:szCs w:val="21"/>
                      <w:lang w:bidi="ar"/>
                    </w:rPr>
                    <w:t>525</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0.46</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0.09</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0.77</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0.39</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1.05</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0.23</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0.14</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color w:val="000000"/>
                      <w:kern w:val="0"/>
                      <w:szCs w:val="21"/>
                      <w:lang w:bidi="ar"/>
                    </w:rPr>
                    <w:t>550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0.43</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0.09</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0.73</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rPr>
                  </w:pPr>
                  <w:r>
                    <w:rPr>
                      <w:rFonts w:hint="eastAsia"/>
                    </w:rPr>
                    <w:t>0.36</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0.99</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0.22</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0.13</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kern w:val="0"/>
                      <w:szCs w:val="21"/>
                      <w14:textFill>
                        <w14:solidFill>
                          <w14:schemeClr w14:val="tx1"/>
                        </w14:solidFill>
                      </w14:textFill>
                    </w:rPr>
                  </w:pPr>
                  <w:r>
                    <w:rPr>
                      <w:rFonts w:hint="eastAsia"/>
                      <w:color w:val="000000"/>
                      <w:kern w:val="0"/>
                      <w:szCs w:val="21"/>
                      <w:lang w:bidi="ar"/>
                    </w:rPr>
                    <w:t>575</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0.41</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0.08</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0.69</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0.34</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0.93</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0.21</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0.12</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kern w:val="0"/>
                      <w:szCs w:val="21"/>
                      <w14:textFill>
                        <w14:solidFill>
                          <w14:schemeClr w14:val="tx1"/>
                        </w14:solidFill>
                      </w14:textFill>
                    </w:rPr>
                  </w:pPr>
                  <w:r>
                    <w:rPr>
                      <w:rFonts w:hint="eastAsia"/>
                      <w:color w:val="000000"/>
                      <w:kern w:val="0"/>
                      <w:szCs w:val="21"/>
                      <w:lang w:bidi="ar"/>
                    </w:rPr>
                    <w:t>600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0.38</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themeColor="text1"/>
                      <w:szCs w:val="21"/>
                      <w14:textFill>
                        <w14:solidFill>
                          <w14:schemeClr w14:val="tx1"/>
                        </w14:solidFill>
                      </w14:textFill>
                    </w:rPr>
                  </w:pPr>
                  <w:r>
                    <w:rPr>
                      <w:rFonts w:hint="eastAsia"/>
                    </w:rPr>
                    <w:t>0.08</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0.65</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0.33</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0.88</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0.20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0.12</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color w:val="000000"/>
                      <w:kern w:val="0"/>
                      <w:szCs w:val="21"/>
                      <w:lang w:bidi="ar"/>
                    </w:rPr>
                    <w:t>625</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0.36</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kern w:val="0"/>
                      <w:szCs w:val="21"/>
                      <w:lang w:bidi="ar"/>
                    </w:rPr>
                  </w:pPr>
                  <w:r>
                    <w:rPr>
                      <w:rFonts w:hint="eastAsia"/>
                    </w:rPr>
                    <w:t>0.07</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0.62</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0.31</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0.84</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0.19</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0.11</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color w:val="000000"/>
                      <w:kern w:val="0"/>
                      <w:szCs w:val="21"/>
                      <w:lang w:bidi="ar"/>
                    </w:rPr>
                    <w:t>650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0.35</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kern w:val="0"/>
                      <w:szCs w:val="21"/>
                      <w:lang w:bidi="ar"/>
                    </w:rPr>
                  </w:pPr>
                  <w:r>
                    <w:rPr>
                      <w:rFonts w:hint="eastAsia"/>
                    </w:rPr>
                    <w:t>0.07</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0.59</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0.29</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0.80</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0.18</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0.10</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color w:val="000000"/>
                      <w:kern w:val="0"/>
                      <w:szCs w:val="21"/>
                      <w:lang w:bidi="ar"/>
                    </w:rPr>
                    <w:t>675</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0.33</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kern w:val="0"/>
                      <w:szCs w:val="21"/>
                      <w:lang w:bidi="ar"/>
                    </w:rPr>
                  </w:pPr>
                  <w:r>
                    <w:rPr>
                      <w:rFonts w:hint="eastAsia"/>
                    </w:rPr>
                    <w:t>0.07</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0.56</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0.28</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0.76</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0.17</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0.10</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color w:val="000000"/>
                      <w:kern w:val="0"/>
                      <w:szCs w:val="21"/>
                      <w:lang w:bidi="ar"/>
                    </w:rPr>
                    <w:t>700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0.31</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kern w:val="0"/>
                      <w:szCs w:val="21"/>
                      <w:lang w:bidi="ar"/>
                    </w:rPr>
                  </w:pPr>
                  <w:r>
                    <w:rPr>
                      <w:rFonts w:hint="eastAsia"/>
                    </w:rPr>
                    <w:t>0.06</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0.54</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0.27</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0.72</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0.16</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0.09</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color w:val="000000"/>
                      <w:kern w:val="0"/>
                      <w:szCs w:val="21"/>
                      <w:lang w:bidi="ar"/>
                    </w:rPr>
                    <w:t>725</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0.30</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kern w:val="0"/>
                      <w:szCs w:val="21"/>
                      <w:lang w:bidi="ar"/>
                    </w:rPr>
                  </w:pPr>
                  <w:r>
                    <w:rPr>
                      <w:rFonts w:hint="eastAsia"/>
                    </w:rPr>
                    <w:t>0.06</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0.51</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0.26</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0.69</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0.15</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0.09</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color w:val="000000"/>
                      <w:kern w:val="0"/>
                      <w:szCs w:val="21"/>
                      <w:lang w:bidi="ar"/>
                    </w:rPr>
                    <w:t>750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0.29</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kern w:val="0"/>
                      <w:szCs w:val="21"/>
                      <w:lang w:bidi="ar"/>
                    </w:rPr>
                  </w:pPr>
                  <w:r>
                    <w:rPr>
                      <w:rFonts w:hint="eastAsia"/>
                    </w:rPr>
                    <w:t>0.06</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0.49</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0.24</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0.66</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0.15</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0.09</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color w:val="000000"/>
                      <w:kern w:val="0"/>
                      <w:szCs w:val="21"/>
                      <w:lang w:bidi="ar"/>
                    </w:rPr>
                    <w:t>775</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0.28</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kern w:val="0"/>
                      <w:szCs w:val="21"/>
                      <w:lang w:bidi="ar"/>
                    </w:rPr>
                  </w:pPr>
                  <w:r>
                    <w:rPr>
                      <w:rFonts w:hint="eastAsia"/>
                    </w:rPr>
                    <w:t>0.06</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0.47</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0.23</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0.63</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0.14</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0.08</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color w:val="000000"/>
                      <w:kern w:val="0"/>
                      <w:szCs w:val="21"/>
                      <w:lang w:bidi="ar"/>
                    </w:rPr>
                    <w:t>800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0.26</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kern w:val="0"/>
                      <w:szCs w:val="21"/>
                      <w:lang w:bidi="ar"/>
                    </w:rPr>
                  </w:pPr>
                  <w:r>
                    <w:rPr>
                      <w:rFonts w:hint="eastAsia"/>
                    </w:rPr>
                    <w:t>0.05</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0.45</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0.22</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0.61</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0.14</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0.08</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color w:val="000000"/>
                      <w:kern w:val="0"/>
                      <w:szCs w:val="21"/>
                      <w:lang w:bidi="ar"/>
                    </w:rPr>
                    <w:t>825</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0.25</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kern w:val="0"/>
                      <w:szCs w:val="21"/>
                      <w:lang w:bidi="ar"/>
                    </w:rPr>
                  </w:pPr>
                  <w:r>
                    <w:rPr>
                      <w:rFonts w:hint="eastAsia"/>
                    </w:rPr>
                    <w:t>0.05</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0.43</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0.22</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0.58</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0.13</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0.08</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color w:val="000000"/>
                      <w:kern w:val="0"/>
                      <w:szCs w:val="21"/>
                      <w:lang w:bidi="ar"/>
                    </w:rPr>
                    <w:t>850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0.24</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kern w:val="0"/>
                      <w:szCs w:val="21"/>
                      <w:lang w:bidi="ar"/>
                    </w:rPr>
                  </w:pPr>
                  <w:r>
                    <w:rPr>
                      <w:rFonts w:hint="eastAsia"/>
                    </w:rPr>
                    <w:t>0.05</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0.41</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0.21</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0.56</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0.12</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0.07</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color w:val="000000"/>
                      <w:kern w:val="0"/>
                      <w:szCs w:val="21"/>
                      <w:lang w:bidi="ar"/>
                    </w:rPr>
                    <w:t>875</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0.23</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kern w:val="0"/>
                      <w:szCs w:val="21"/>
                      <w:lang w:bidi="ar"/>
                    </w:rPr>
                  </w:pPr>
                  <w:r>
                    <w:rPr>
                      <w:rFonts w:hint="eastAsia"/>
                    </w:rPr>
                    <w:t>0.05</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0.40</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0.20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0.54</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0.12</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0.07</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color w:val="000000"/>
                      <w:kern w:val="0"/>
                      <w:szCs w:val="21"/>
                      <w:lang w:bidi="ar"/>
                    </w:rPr>
                    <w:t>900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0.23</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kern w:val="0"/>
                      <w:szCs w:val="21"/>
                      <w:lang w:bidi="ar"/>
                    </w:rPr>
                  </w:pPr>
                  <w:r>
                    <w:rPr>
                      <w:rFonts w:hint="eastAsia"/>
                    </w:rPr>
                    <w:t>0.05</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0.38</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0.19</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0.52</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0.12</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0.07</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color w:val="000000"/>
                      <w:kern w:val="0"/>
                      <w:szCs w:val="21"/>
                      <w:lang w:bidi="ar"/>
                    </w:rPr>
                    <w:t>925</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0.22</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kern w:val="0"/>
                      <w:szCs w:val="21"/>
                      <w:lang w:bidi="ar"/>
                    </w:rPr>
                  </w:pPr>
                  <w:r>
                    <w:rPr>
                      <w:rFonts w:hint="eastAsia"/>
                    </w:rPr>
                    <w:t>0.04</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0.37</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0.19</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0.50</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0.11</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0.07</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color w:val="000000"/>
                      <w:kern w:val="0"/>
                      <w:szCs w:val="21"/>
                      <w:lang w:bidi="ar"/>
                    </w:rPr>
                    <w:t>950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0.21</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kern w:val="0"/>
                      <w:szCs w:val="21"/>
                      <w:lang w:bidi="ar"/>
                    </w:rPr>
                  </w:pPr>
                  <w:r>
                    <w:rPr>
                      <w:rFonts w:hint="eastAsia"/>
                    </w:rPr>
                    <w:t>0.04</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0.36</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0.18</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0.48</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0.11</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0.06</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color w:val="000000"/>
                      <w:kern w:val="0"/>
                      <w:szCs w:val="21"/>
                      <w:lang w:bidi="ar"/>
                    </w:rPr>
                    <w:t>975</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0.20</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kern w:val="0"/>
                      <w:szCs w:val="21"/>
                      <w:lang w:bidi="ar"/>
                    </w:rPr>
                  </w:pPr>
                  <w:r>
                    <w:rPr>
                      <w:rFonts w:hint="eastAsia"/>
                    </w:rPr>
                    <w:t>0.04</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0.35</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0.17</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0.47</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0.10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0.06</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color w:val="000000"/>
                      <w:kern w:val="0"/>
                      <w:szCs w:val="21"/>
                      <w:lang w:bidi="ar"/>
                    </w:rPr>
                    <w:t>1000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0.20</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000000"/>
                      <w:kern w:val="0"/>
                      <w:szCs w:val="21"/>
                      <w:lang w:bidi="ar"/>
                    </w:rPr>
                  </w:pPr>
                  <w:r>
                    <w:rPr>
                      <w:rFonts w:hint="eastAsia"/>
                    </w:rPr>
                    <w:t>0.04</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0.33</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FF0000"/>
                      <w:kern w:val="0"/>
                      <w:szCs w:val="21"/>
                      <w:lang w:bidi="ar"/>
                    </w:rPr>
                  </w:pPr>
                  <w:r>
                    <w:rPr>
                      <w:rFonts w:hint="eastAsia"/>
                    </w:rPr>
                    <w:t>0.17</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0.45</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rPr>
                    <w:t>0.10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pPr>
                  <w:r>
                    <w:rPr>
                      <w:rFonts w:hint="eastAsia"/>
                    </w:rPr>
                    <w:t>0.06</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color w:val="000000"/>
                      <w:kern w:val="0"/>
                      <w:szCs w:val="21"/>
                      <w:lang w:bidi="ar"/>
                    </w:rPr>
                    <w:t>1500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hint="default" w:eastAsia="宋体"/>
                      <w:color w:val="000000"/>
                      <w:kern w:val="0"/>
                      <w:szCs w:val="21"/>
                      <w:lang w:val="en-US" w:eastAsia="zh-CN" w:bidi="ar"/>
                    </w:rPr>
                  </w:pPr>
                  <w:r>
                    <w:rPr>
                      <w:rFonts w:hint="eastAsia"/>
                      <w:color w:val="000000"/>
                      <w:kern w:val="0"/>
                      <w:szCs w:val="21"/>
                      <w:lang w:val="en-US" w:eastAsia="zh-CN" w:bidi="ar"/>
                    </w:rPr>
                    <w:t>0.11</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hint="default" w:eastAsia="宋体"/>
                      <w:color w:val="000000"/>
                      <w:kern w:val="0"/>
                      <w:szCs w:val="21"/>
                      <w:lang w:val="en-US" w:eastAsia="zh-CN" w:bidi="ar"/>
                    </w:rPr>
                  </w:pPr>
                  <w:r>
                    <w:rPr>
                      <w:rFonts w:hint="eastAsia"/>
                      <w:color w:val="000000"/>
                      <w:kern w:val="0"/>
                      <w:szCs w:val="21"/>
                      <w:lang w:val="en-US" w:eastAsia="zh-CN" w:bidi="ar"/>
                    </w:rPr>
                    <w:t>0.02</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hint="default" w:eastAsia="宋体"/>
                      <w:color w:val="auto"/>
                      <w:kern w:val="0"/>
                      <w:szCs w:val="21"/>
                      <w:lang w:val="en-US" w:eastAsia="zh-CN" w:bidi="ar"/>
                    </w:rPr>
                  </w:pPr>
                  <w:r>
                    <w:rPr>
                      <w:rFonts w:hint="eastAsia"/>
                      <w:color w:val="auto"/>
                      <w:kern w:val="0"/>
                      <w:szCs w:val="21"/>
                      <w:lang w:val="en-US" w:eastAsia="zh-CN" w:bidi="ar"/>
                    </w:rPr>
                    <w:t>0.19</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hint="default" w:eastAsia="宋体"/>
                      <w:color w:val="auto"/>
                      <w:kern w:val="0"/>
                      <w:szCs w:val="21"/>
                      <w:lang w:val="en-US" w:eastAsia="zh-CN" w:bidi="ar"/>
                    </w:rPr>
                  </w:pPr>
                  <w:r>
                    <w:rPr>
                      <w:rFonts w:hint="eastAsia"/>
                      <w:color w:val="auto"/>
                      <w:kern w:val="0"/>
                      <w:szCs w:val="21"/>
                      <w:lang w:val="en-US" w:eastAsia="zh-CN" w:bidi="ar"/>
                    </w:rPr>
                    <w:t>0.09</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hint="default" w:eastAsia="宋体"/>
                      <w:color w:val="000000"/>
                      <w:kern w:val="0"/>
                      <w:szCs w:val="21"/>
                      <w:lang w:val="en-US" w:eastAsia="zh-CN" w:bidi="ar"/>
                    </w:rPr>
                  </w:pPr>
                  <w:r>
                    <w:rPr>
                      <w:rFonts w:hint="eastAsia"/>
                      <w:color w:val="000000"/>
                      <w:kern w:val="0"/>
                      <w:szCs w:val="21"/>
                      <w:lang w:val="en-US" w:eastAsia="zh-CN" w:bidi="ar"/>
                    </w:rPr>
                    <w:t>0.26</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hint="default" w:eastAsia="宋体"/>
                      <w:color w:val="000000"/>
                      <w:kern w:val="0"/>
                      <w:szCs w:val="21"/>
                      <w:lang w:val="en-US" w:eastAsia="zh-CN" w:bidi="ar"/>
                    </w:rPr>
                  </w:pPr>
                  <w:r>
                    <w:rPr>
                      <w:rFonts w:hint="eastAsia"/>
                      <w:color w:val="000000"/>
                      <w:kern w:val="0"/>
                      <w:szCs w:val="21"/>
                      <w:lang w:val="en-US" w:eastAsia="zh-CN" w:bidi="ar"/>
                    </w:rPr>
                    <w:t>0.06</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hint="default" w:eastAsia="宋体"/>
                      <w:color w:val="000000"/>
                      <w:kern w:val="0"/>
                      <w:szCs w:val="21"/>
                      <w:lang w:val="en-US" w:eastAsia="zh-CN" w:bidi="ar"/>
                    </w:rPr>
                  </w:pPr>
                  <w:r>
                    <w:rPr>
                      <w:rFonts w:hint="eastAsia"/>
                      <w:color w:val="000000"/>
                      <w:kern w:val="0"/>
                      <w:szCs w:val="21"/>
                      <w:lang w:val="en-US" w:eastAsia="zh-CN" w:bidi="ar"/>
                    </w:rPr>
                    <w:t>0.03</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kern w:val="0"/>
                      <w:szCs w:val="21"/>
                      <w:lang w:bidi="ar"/>
                    </w:rPr>
                  </w:pPr>
                  <w:r>
                    <w:rPr>
                      <w:rFonts w:hint="eastAsia"/>
                      <w:color w:val="000000"/>
                      <w:kern w:val="0"/>
                      <w:szCs w:val="21"/>
                      <w:lang w:bidi="ar"/>
                    </w:rPr>
                    <w:t>2000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hint="default" w:eastAsia="宋体"/>
                      <w:color w:val="000000"/>
                      <w:kern w:val="0"/>
                      <w:szCs w:val="21"/>
                      <w:lang w:val="en-US" w:eastAsia="zh-CN" w:bidi="ar"/>
                    </w:rPr>
                  </w:pPr>
                  <w:r>
                    <w:rPr>
                      <w:rFonts w:hint="eastAsia"/>
                      <w:color w:val="000000"/>
                      <w:kern w:val="0"/>
                      <w:szCs w:val="21"/>
                      <w:lang w:val="en-US" w:eastAsia="zh-CN" w:bidi="ar"/>
                    </w:rPr>
                    <w:t>0.08</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hint="default" w:eastAsia="宋体"/>
                      <w:color w:val="000000"/>
                      <w:kern w:val="0"/>
                      <w:szCs w:val="21"/>
                      <w:lang w:val="en-US" w:eastAsia="zh-CN" w:bidi="ar"/>
                    </w:rPr>
                  </w:pPr>
                  <w:r>
                    <w:rPr>
                      <w:rFonts w:hint="eastAsia"/>
                      <w:color w:val="000000"/>
                      <w:kern w:val="0"/>
                      <w:szCs w:val="21"/>
                      <w:lang w:val="en-US" w:eastAsia="zh-CN" w:bidi="ar"/>
                    </w:rPr>
                    <w:t>0.02</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hint="default" w:eastAsia="宋体"/>
                      <w:color w:val="auto"/>
                      <w:kern w:val="0"/>
                      <w:szCs w:val="21"/>
                      <w:lang w:val="en-US" w:eastAsia="zh-CN" w:bidi="ar"/>
                    </w:rPr>
                  </w:pPr>
                  <w:r>
                    <w:rPr>
                      <w:rFonts w:hint="eastAsia"/>
                      <w:color w:val="auto"/>
                      <w:kern w:val="0"/>
                      <w:szCs w:val="21"/>
                      <w:lang w:val="en-US" w:eastAsia="zh-CN" w:bidi="ar"/>
                    </w:rPr>
                    <w:t>0.13</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hint="default" w:eastAsia="宋体"/>
                      <w:color w:val="auto"/>
                      <w:kern w:val="0"/>
                      <w:szCs w:val="21"/>
                      <w:lang w:val="en-US" w:eastAsia="zh-CN" w:bidi="ar"/>
                    </w:rPr>
                  </w:pPr>
                  <w:r>
                    <w:rPr>
                      <w:rFonts w:hint="eastAsia"/>
                      <w:color w:val="auto"/>
                      <w:kern w:val="0"/>
                      <w:szCs w:val="21"/>
                      <w:lang w:val="en-US" w:eastAsia="zh-CN" w:bidi="ar"/>
                    </w:rPr>
                    <w:t>0.06</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hint="default" w:eastAsia="宋体"/>
                      <w:color w:val="000000"/>
                      <w:kern w:val="0"/>
                      <w:szCs w:val="21"/>
                      <w:lang w:val="en-US" w:eastAsia="zh-CN" w:bidi="ar"/>
                    </w:rPr>
                  </w:pPr>
                  <w:r>
                    <w:rPr>
                      <w:rFonts w:hint="eastAsia"/>
                      <w:color w:val="000000"/>
                      <w:kern w:val="0"/>
                      <w:szCs w:val="21"/>
                      <w:lang w:val="en-US" w:eastAsia="zh-CN" w:bidi="ar"/>
                    </w:rPr>
                    <w:t>0.17</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hint="default" w:eastAsia="宋体"/>
                      <w:color w:val="000000"/>
                      <w:kern w:val="0"/>
                      <w:szCs w:val="21"/>
                      <w:lang w:val="en-US" w:eastAsia="zh-CN" w:bidi="ar"/>
                    </w:rPr>
                  </w:pPr>
                  <w:r>
                    <w:rPr>
                      <w:rFonts w:hint="eastAsia"/>
                      <w:color w:val="000000"/>
                      <w:kern w:val="0"/>
                      <w:szCs w:val="21"/>
                      <w:lang w:val="en-US" w:eastAsia="zh-CN" w:bidi="ar"/>
                    </w:rPr>
                    <w:t>0.04</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hint="default" w:eastAsia="宋体"/>
                      <w:color w:val="000000"/>
                      <w:kern w:val="0"/>
                      <w:szCs w:val="21"/>
                      <w:lang w:val="en-US" w:eastAsia="zh-CN" w:bidi="ar"/>
                    </w:rPr>
                  </w:pPr>
                  <w:r>
                    <w:rPr>
                      <w:rFonts w:hint="eastAsia"/>
                      <w:color w:val="000000"/>
                      <w:kern w:val="0"/>
                      <w:szCs w:val="21"/>
                      <w:lang w:val="en-US" w:eastAsia="zh-CN" w:bidi="ar"/>
                    </w:rPr>
                    <w:t>0.02</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693"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2500</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0.06</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0.01</w:t>
                  </w:r>
                </w:p>
              </w:tc>
              <w:tc>
                <w:tcPr>
                  <w:tcW w:w="53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hint="default" w:eastAsia="宋体"/>
                      <w:color w:val="auto"/>
                      <w:kern w:val="0"/>
                      <w:szCs w:val="21"/>
                      <w:lang w:val="en-US" w:eastAsia="zh-CN" w:bidi="ar"/>
                    </w:rPr>
                  </w:pPr>
                  <w:r>
                    <w:rPr>
                      <w:rFonts w:hint="eastAsia"/>
                      <w:color w:val="auto"/>
                      <w:kern w:val="0"/>
                      <w:szCs w:val="21"/>
                      <w:lang w:val="en-US" w:eastAsia="zh-CN" w:bidi="ar"/>
                    </w:rPr>
                    <w:t>0.10</w:t>
                  </w:r>
                </w:p>
              </w:tc>
              <w:tc>
                <w:tcPr>
                  <w:tcW w:w="538"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hint="default" w:eastAsia="宋体"/>
                      <w:color w:val="auto"/>
                      <w:kern w:val="0"/>
                      <w:szCs w:val="21"/>
                      <w:lang w:val="en-US" w:eastAsia="zh-CN" w:bidi="ar"/>
                    </w:rPr>
                  </w:pPr>
                  <w:r>
                    <w:rPr>
                      <w:rFonts w:hint="eastAsia"/>
                      <w:color w:val="auto"/>
                      <w:kern w:val="0"/>
                      <w:szCs w:val="21"/>
                      <w:lang w:val="en-US" w:eastAsia="zh-CN" w:bidi="ar"/>
                    </w:rPr>
                    <w:t>0.05</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hint="default" w:eastAsia="宋体"/>
                      <w:color w:val="000000"/>
                      <w:kern w:val="0"/>
                      <w:szCs w:val="21"/>
                      <w:lang w:val="en-US" w:eastAsia="zh-CN" w:bidi="ar"/>
                    </w:rPr>
                  </w:pPr>
                  <w:r>
                    <w:rPr>
                      <w:rFonts w:hint="eastAsia"/>
                      <w:color w:val="000000"/>
                      <w:kern w:val="0"/>
                      <w:szCs w:val="21"/>
                      <w:lang w:val="en-US" w:eastAsia="zh-CN" w:bidi="ar"/>
                    </w:rPr>
                    <w:t>0.13</w:t>
                  </w:r>
                </w:p>
              </w:tc>
              <w:tc>
                <w:tcPr>
                  <w:tcW w:w="538"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hint="default" w:eastAsia="宋体"/>
                      <w:color w:val="000000"/>
                      <w:kern w:val="0"/>
                      <w:szCs w:val="21"/>
                      <w:lang w:val="en-US" w:eastAsia="zh-CN" w:bidi="ar"/>
                    </w:rPr>
                  </w:pPr>
                  <w:r>
                    <w:rPr>
                      <w:rFonts w:hint="eastAsia"/>
                      <w:color w:val="000000"/>
                      <w:kern w:val="0"/>
                      <w:szCs w:val="21"/>
                      <w:lang w:val="en-US" w:eastAsia="zh-CN" w:bidi="ar"/>
                    </w:rPr>
                    <w:t>0.03</w:t>
                  </w:r>
                </w:p>
              </w:tc>
              <w:tc>
                <w:tcPr>
                  <w:tcW w:w="53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hint="default" w:eastAsia="宋体"/>
                      <w:color w:val="000000" w:themeColor="text1"/>
                      <w:kern w:val="0"/>
                      <w:szCs w:val="21"/>
                      <w:lang w:val="en-US" w:eastAsia="zh-CN" w:bidi="ar"/>
                      <w14:textFill>
                        <w14:solidFill>
                          <w14:schemeClr w14:val="tx1"/>
                        </w14:solidFill>
                      </w14:textFill>
                    </w:rPr>
                  </w:pPr>
                  <w:r>
                    <w:rPr>
                      <w:rFonts w:hint="eastAsia"/>
                      <w:color w:val="000000" w:themeColor="text1"/>
                      <w:kern w:val="0"/>
                      <w:szCs w:val="21"/>
                      <w:lang w:val="en-US" w:eastAsia="zh-CN" w:bidi="ar"/>
                      <w14:textFill>
                        <w14:solidFill>
                          <w14:schemeClr w14:val="tx1"/>
                        </w14:solidFill>
                      </w14:textFill>
                    </w:rPr>
                    <w:t>0.02</w:t>
                  </w:r>
                </w:p>
              </w:tc>
              <w:tc>
                <w:tcPr>
                  <w:tcW w:w="541"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000000" w:themeColor="text1"/>
                      <w:kern w:val="0"/>
                      <w:szCs w:val="21"/>
                      <w:lang w:bidi="ar"/>
                      <w14:textFill>
                        <w14:solidFill>
                          <w14:schemeClr w14:val="tx1"/>
                        </w14:solidFill>
                      </w14:textFill>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693" w:type="pct"/>
                  <w:tcBorders>
                    <w:top w:val="single" w:color="auto" w:sz="4" w:space="0"/>
                    <w:left w:val="nil"/>
                    <w:bottom w:val="single" w:color="auto" w:sz="4" w:space="0"/>
                    <w:right w:val="single" w:color="auto" w:sz="4" w:space="0"/>
                  </w:tcBorders>
                  <w:shd w:val="clear" w:color="auto" w:fill="auto"/>
                  <w:vAlign w:val="center"/>
                </w:tcPr>
                <w:p>
                  <w:pPr>
                    <w:pStyle w:val="43"/>
                    <w:spacing w:before="62" w:beforeLines="20" w:after="62" w:afterLines="20"/>
                    <w:rPr>
                      <w:color w:val="000000" w:themeColor="text1"/>
                      <w:szCs w:val="21"/>
                      <w:lang w:val="en-US"/>
                      <w14:textFill>
                        <w14:solidFill>
                          <w14:schemeClr w14:val="tx1"/>
                        </w14:solidFill>
                      </w14:textFill>
                    </w:rPr>
                  </w:pPr>
                  <w:r>
                    <w:rPr>
                      <w:color w:val="000000" w:themeColor="text1"/>
                      <w:szCs w:val="21"/>
                      <w14:textFill>
                        <w14:solidFill>
                          <w14:schemeClr w14:val="tx1"/>
                        </w14:solidFill>
                      </w14:textFill>
                    </w:rPr>
                    <w:t>最大地面浓度</w:t>
                  </w:r>
                </w:p>
              </w:tc>
              <w:tc>
                <w:tcPr>
                  <w:tcW w:w="53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rPr>
                    <w:t>1.02</w:t>
                  </w:r>
                </w:p>
              </w:tc>
              <w:tc>
                <w:tcPr>
                  <w:tcW w:w="538"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rPr>
                    <w:t>0.20</w:t>
                  </w:r>
                </w:p>
              </w:tc>
              <w:tc>
                <w:tcPr>
                  <w:tcW w:w="537"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rFonts w:ascii="Times New Roman" w:hAnsi="Times New Roman" w:eastAsia="宋体" w:cs="Times New Roman"/>
                      <w:color w:val="FF0000"/>
                      <w:kern w:val="0"/>
                      <w:sz w:val="21"/>
                      <w:szCs w:val="21"/>
                      <w:lang w:val="en-US" w:eastAsia="zh-CN" w:bidi="ar"/>
                    </w:rPr>
                  </w:pPr>
                  <w:r>
                    <w:rPr>
                      <w:rFonts w:hint="eastAsia"/>
                    </w:rPr>
                    <w:t>1.73</w:t>
                  </w:r>
                </w:p>
              </w:tc>
              <w:tc>
                <w:tcPr>
                  <w:tcW w:w="538"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rFonts w:ascii="Times New Roman" w:hAnsi="Times New Roman" w:eastAsia="宋体" w:cs="Times New Roman"/>
                      <w:color w:val="FF0000"/>
                      <w:kern w:val="0"/>
                      <w:sz w:val="21"/>
                      <w:szCs w:val="21"/>
                      <w:lang w:val="en-US" w:eastAsia="zh-CN" w:bidi="ar"/>
                    </w:rPr>
                  </w:pPr>
                  <w:r>
                    <w:rPr>
                      <w:rFonts w:hint="eastAsia"/>
                    </w:rPr>
                    <w:t>0.87</w:t>
                  </w:r>
                </w:p>
              </w:tc>
              <w:tc>
                <w:tcPr>
                  <w:tcW w:w="53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rFonts w:ascii="Times New Roman" w:hAnsi="Times New Roman" w:eastAsia="宋体" w:cs="Times New Roman"/>
                      <w:kern w:val="2"/>
                      <w:sz w:val="21"/>
                      <w:lang w:val="en-US" w:eastAsia="zh-CN" w:bidi="ar-SA"/>
                    </w:rPr>
                  </w:pPr>
                  <w:r>
                    <w:rPr>
                      <w:rFonts w:hint="eastAsia"/>
                    </w:rPr>
                    <w:t>2.34</w:t>
                  </w:r>
                </w:p>
              </w:tc>
              <w:tc>
                <w:tcPr>
                  <w:tcW w:w="538"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rFonts w:ascii="Times New Roman" w:hAnsi="Times New Roman" w:eastAsia="宋体" w:cs="Times New Roman"/>
                      <w:color w:val="000000"/>
                      <w:kern w:val="0"/>
                      <w:sz w:val="21"/>
                      <w:szCs w:val="21"/>
                      <w:lang w:val="en-US" w:eastAsia="zh-CN" w:bidi="ar"/>
                    </w:rPr>
                  </w:pPr>
                  <w:r>
                    <w:rPr>
                      <w:rFonts w:hint="eastAsia"/>
                    </w:rPr>
                    <w:t>0.52</w:t>
                  </w:r>
                </w:p>
              </w:tc>
              <w:tc>
                <w:tcPr>
                  <w:tcW w:w="53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rFonts w:ascii="Times New Roman" w:hAnsi="Times New Roman" w:eastAsia="宋体" w:cs="Times New Roman"/>
                      <w:kern w:val="2"/>
                      <w:sz w:val="21"/>
                      <w:lang w:val="en-US" w:eastAsia="zh-CN" w:bidi="ar-SA"/>
                    </w:rPr>
                  </w:pPr>
                  <w:r>
                    <w:rPr>
                      <w:rFonts w:hint="eastAsia"/>
                    </w:rPr>
                    <w:t>0.31</w:t>
                  </w:r>
                </w:p>
              </w:tc>
              <w:tc>
                <w:tcPr>
                  <w:tcW w:w="54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rFonts w:ascii="Times New Roman" w:hAnsi="Times New Roman" w:eastAsia="宋体" w:cs="Times New Roman"/>
                      <w:kern w:val="2"/>
                      <w:sz w:val="21"/>
                      <w:lang w:val="en-US" w:eastAsia="zh-CN" w:bidi="ar-SA"/>
                    </w:rPr>
                  </w:pPr>
                  <w:r>
                    <w:rPr>
                      <w:rFonts w:hint="eastAsia"/>
                    </w:rPr>
                    <w:t>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93" w:type="pct"/>
                  <w:tcBorders>
                    <w:top w:val="single" w:color="auto" w:sz="4" w:space="0"/>
                    <w:left w:val="nil"/>
                    <w:bottom w:val="single" w:color="auto" w:sz="12" w:space="0"/>
                    <w:right w:val="single" w:color="auto" w:sz="4" w:space="0"/>
                  </w:tcBorders>
                  <w:vAlign w:val="center"/>
                </w:tcPr>
                <w:p>
                  <w:pPr>
                    <w:pStyle w:val="43"/>
                    <w:spacing w:before="62" w:beforeLines="20" w:after="62" w:afterLines="20"/>
                    <w:rPr>
                      <w:color w:val="000000" w:themeColor="text1"/>
                      <w:szCs w:val="21"/>
                      <w:lang w:val="en-US"/>
                      <w14:textFill>
                        <w14:solidFill>
                          <w14:schemeClr w14:val="tx1"/>
                        </w14:solidFill>
                      </w14:textFill>
                    </w:rPr>
                  </w:pPr>
                  <w:r>
                    <w:rPr>
                      <w:color w:val="000000" w:themeColor="text1"/>
                      <w:szCs w:val="21"/>
                      <w:lang w:val="en-US"/>
                      <w14:textFill>
                        <w14:solidFill>
                          <w14:schemeClr w14:val="tx1"/>
                        </w14:solidFill>
                      </w14:textFill>
                    </w:rPr>
                    <w:t>D10%</w:t>
                  </w:r>
                  <w:r>
                    <w:rPr>
                      <w:rFonts w:hint="eastAsia"/>
                      <w:color w:val="000000" w:themeColor="text1"/>
                      <w:szCs w:val="21"/>
                      <w:lang w:val="en-US" w:eastAsia="zh-CN"/>
                      <w14:textFill>
                        <w14:solidFill>
                          <w14:schemeClr w14:val="tx1"/>
                        </w14:solidFill>
                      </w14:textFill>
                    </w:rPr>
                    <w:t>，</w:t>
                  </w:r>
                  <w:r>
                    <w:rPr>
                      <w:color w:val="000000" w:themeColor="text1"/>
                      <w:szCs w:val="21"/>
                      <w:lang w:val="en-US"/>
                      <w14:textFill>
                        <w14:solidFill>
                          <w14:schemeClr w14:val="tx1"/>
                        </w14:solidFill>
                      </w14:textFill>
                    </w:rPr>
                    <w:t>m</w:t>
                  </w:r>
                </w:p>
              </w:tc>
              <w:tc>
                <w:tcPr>
                  <w:tcW w:w="537" w:type="pct"/>
                  <w:tcBorders>
                    <w:top w:val="single" w:color="auto" w:sz="4" w:space="0"/>
                    <w:left w:val="single" w:color="auto" w:sz="4" w:space="0"/>
                    <w:bottom w:val="single" w:color="auto" w:sz="12" w:space="0"/>
                    <w:right w:val="single" w:color="auto" w:sz="4" w:space="0"/>
                  </w:tcBorders>
                  <w:vAlign w:val="center"/>
                </w:tcPr>
                <w:p>
                  <w:pPr>
                    <w:pStyle w:val="43"/>
                    <w:spacing w:before="62" w:beforeLines="20" w:after="62" w:afterLines="20"/>
                    <w:rPr>
                      <w:color w:val="auto"/>
                      <w:szCs w:val="21"/>
                      <w:lang w:val="en-US"/>
                    </w:rPr>
                  </w:pPr>
                  <w:r>
                    <w:rPr>
                      <w:color w:val="auto"/>
                      <w:szCs w:val="21"/>
                      <w:lang w:val="en-US"/>
                    </w:rPr>
                    <w:t>/</w:t>
                  </w:r>
                </w:p>
              </w:tc>
              <w:tc>
                <w:tcPr>
                  <w:tcW w:w="538" w:type="pct"/>
                  <w:tcBorders>
                    <w:top w:val="single" w:color="auto" w:sz="4" w:space="0"/>
                    <w:left w:val="single" w:color="auto" w:sz="4" w:space="0"/>
                    <w:bottom w:val="single" w:color="auto" w:sz="12" w:space="0"/>
                    <w:right w:val="nil"/>
                  </w:tcBorders>
                  <w:vAlign w:val="center"/>
                </w:tcPr>
                <w:p>
                  <w:pPr>
                    <w:pStyle w:val="43"/>
                    <w:spacing w:before="62" w:beforeLines="20" w:after="62" w:afterLines="20"/>
                    <w:rPr>
                      <w:color w:val="auto"/>
                      <w:szCs w:val="21"/>
                      <w:lang w:val="en-US"/>
                    </w:rPr>
                  </w:pPr>
                  <w:r>
                    <w:rPr>
                      <w:color w:val="auto"/>
                      <w:szCs w:val="21"/>
                      <w:lang w:val="en-US"/>
                    </w:rPr>
                    <w:t>/</w:t>
                  </w:r>
                </w:p>
              </w:tc>
              <w:tc>
                <w:tcPr>
                  <w:tcW w:w="537" w:type="pct"/>
                  <w:tcBorders>
                    <w:top w:val="single" w:color="auto" w:sz="4" w:space="0"/>
                    <w:left w:val="single" w:color="auto" w:sz="4" w:space="0"/>
                    <w:bottom w:val="single" w:color="auto" w:sz="12" w:space="0"/>
                    <w:right w:val="nil"/>
                  </w:tcBorders>
                  <w:vAlign w:val="center"/>
                </w:tcPr>
                <w:p>
                  <w:pPr>
                    <w:pStyle w:val="43"/>
                    <w:spacing w:before="62" w:beforeLines="20" w:after="62" w:afterLines="20"/>
                    <w:rPr>
                      <w:color w:val="auto"/>
                      <w:szCs w:val="21"/>
                      <w:lang w:val="en-US"/>
                    </w:rPr>
                  </w:pPr>
                  <w:r>
                    <w:rPr>
                      <w:color w:val="auto"/>
                      <w:szCs w:val="21"/>
                      <w:lang w:val="en-US"/>
                    </w:rPr>
                    <w:t>/</w:t>
                  </w:r>
                </w:p>
              </w:tc>
              <w:tc>
                <w:tcPr>
                  <w:tcW w:w="538" w:type="pct"/>
                  <w:tcBorders>
                    <w:top w:val="single" w:color="auto" w:sz="4" w:space="0"/>
                    <w:left w:val="single" w:color="auto" w:sz="4" w:space="0"/>
                    <w:bottom w:val="single" w:color="auto" w:sz="12" w:space="0"/>
                    <w:right w:val="nil"/>
                  </w:tcBorders>
                  <w:vAlign w:val="center"/>
                </w:tcPr>
                <w:p>
                  <w:pPr>
                    <w:pStyle w:val="43"/>
                    <w:spacing w:before="62" w:beforeLines="20" w:after="62" w:afterLines="20"/>
                    <w:rPr>
                      <w:color w:val="auto"/>
                      <w:szCs w:val="21"/>
                      <w:lang w:val="en-US"/>
                    </w:rPr>
                  </w:pPr>
                  <w:r>
                    <w:rPr>
                      <w:color w:val="auto"/>
                      <w:szCs w:val="21"/>
                      <w:lang w:val="en-US"/>
                    </w:rPr>
                    <w:t>/</w:t>
                  </w:r>
                </w:p>
              </w:tc>
              <w:tc>
                <w:tcPr>
                  <w:tcW w:w="537" w:type="pct"/>
                  <w:tcBorders>
                    <w:top w:val="single" w:color="auto" w:sz="4" w:space="0"/>
                    <w:left w:val="single" w:color="auto" w:sz="4" w:space="0"/>
                    <w:bottom w:val="single" w:color="auto" w:sz="12" w:space="0"/>
                    <w:right w:val="single" w:color="auto" w:sz="4" w:space="0"/>
                  </w:tcBorders>
                  <w:vAlign w:val="center"/>
                </w:tcPr>
                <w:p>
                  <w:pPr>
                    <w:pStyle w:val="43"/>
                    <w:spacing w:before="62" w:beforeLines="20" w:after="62" w:afterLines="20"/>
                    <w:rPr>
                      <w:rFonts w:ascii="Times New Roman" w:hAnsi="Times New Roman" w:eastAsia="宋体" w:cs="Times New Roman"/>
                      <w:color w:val="auto"/>
                      <w:kern w:val="2"/>
                      <w:sz w:val="21"/>
                      <w:szCs w:val="21"/>
                      <w:lang w:val="en-US" w:eastAsia="zh-CN" w:bidi="ar-SA"/>
                    </w:rPr>
                  </w:pPr>
                  <w:r>
                    <w:rPr>
                      <w:color w:val="auto"/>
                      <w:szCs w:val="21"/>
                      <w:lang w:val="en-US"/>
                    </w:rPr>
                    <w:t>/</w:t>
                  </w:r>
                </w:p>
              </w:tc>
              <w:tc>
                <w:tcPr>
                  <w:tcW w:w="538" w:type="pct"/>
                  <w:tcBorders>
                    <w:top w:val="single" w:color="auto" w:sz="4" w:space="0"/>
                    <w:left w:val="single" w:color="auto" w:sz="4" w:space="0"/>
                    <w:bottom w:val="single" w:color="auto" w:sz="12" w:space="0"/>
                    <w:right w:val="single" w:color="auto" w:sz="4" w:space="0"/>
                  </w:tcBorders>
                  <w:vAlign w:val="center"/>
                </w:tcPr>
                <w:p>
                  <w:pPr>
                    <w:pStyle w:val="43"/>
                    <w:spacing w:before="62" w:beforeLines="20" w:after="62" w:afterLines="20"/>
                    <w:rPr>
                      <w:rFonts w:ascii="Times New Roman" w:hAnsi="Times New Roman" w:eastAsia="宋体" w:cs="Times New Roman"/>
                      <w:color w:val="auto"/>
                      <w:kern w:val="2"/>
                      <w:sz w:val="21"/>
                      <w:szCs w:val="21"/>
                      <w:lang w:val="en-US" w:eastAsia="zh-CN" w:bidi="ar-SA"/>
                    </w:rPr>
                  </w:pPr>
                  <w:r>
                    <w:rPr>
                      <w:color w:val="auto"/>
                      <w:szCs w:val="21"/>
                      <w:lang w:val="en-US"/>
                    </w:rPr>
                    <w:t>/</w:t>
                  </w:r>
                </w:p>
              </w:tc>
              <w:tc>
                <w:tcPr>
                  <w:tcW w:w="537" w:type="pct"/>
                  <w:tcBorders>
                    <w:top w:val="single" w:color="auto" w:sz="4" w:space="0"/>
                    <w:left w:val="single" w:color="auto" w:sz="4" w:space="0"/>
                    <w:bottom w:val="single" w:color="auto" w:sz="12" w:space="0"/>
                    <w:right w:val="single" w:color="auto" w:sz="4" w:space="0"/>
                  </w:tcBorders>
                  <w:vAlign w:val="center"/>
                </w:tcPr>
                <w:p>
                  <w:pPr>
                    <w:pStyle w:val="43"/>
                    <w:spacing w:before="62" w:beforeLines="20" w:after="62" w:afterLines="20"/>
                    <w:rPr>
                      <w:rFonts w:ascii="Times New Roman" w:hAnsi="Times New Roman" w:eastAsia="宋体" w:cs="Times New Roman"/>
                      <w:color w:val="auto"/>
                      <w:kern w:val="2"/>
                      <w:sz w:val="21"/>
                      <w:szCs w:val="21"/>
                      <w:lang w:val="en-US" w:eastAsia="zh-CN" w:bidi="ar-SA"/>
                    </w:rPr>
                  </w:pPr>
                  <w:r>
                    <w:rPr>
                      <w:color w:val="auto"/>
                      <w:szCs w:val="21"/>
                      <w:lang w:val="en-US"/>
                    </w:rPr>
                    <w:t>/</w:t>
                  </w:r>
                </w:p>
              </w:tc>
              <w:tc>
                <w:tcPr>
                  <w:tcW w:w="541" w:type="pct"/>
                  <w:tcBorders>
                    <w:top w:val="single" w:color="auto" w:sz="4" w:space="0"/>
                    <w:left w:val="single" w:color="auto" w:sz="4" w:space="0"/>
                    <w:bottom w:val="single" w:color="auto" w:sz="12" w:space="0"/>
                    <w:right w:val="single" w:color="auto" w:sz="4" w:space="0"/>
                  </w:tcBorders>
                  <w:vAlign w:val="center"/>
                </w:tcPr>
                <w:p>
                  <w:pPr>
                    <w:pStyle w:val="43"/>
                    <w:spacing w:before="62" w:beforeLines="20" w:after="62" w:afterLines="20"/>
                    <w:rPr>
                      <w:rFonts w:ascii="Times New Roman" w:hAnsi="Times New Roman" w:eastAsia="宋体" w:cs="Times New Roman"/>
                      <w:color w:val="auto"/>
                      <w:kern w:val="2"/>
                      <w:sz w:val="21"/>
                      <w:szCs w:val="21"/>
                      <w:lang w:val="en-US" w:eastAsia="zh-CN" w:bidi="ar-SA"/>
                    </w:rPr>
                  </w:pPr>
                  <w:r>
                    <w:rPr>
                      <w:color w:val="auto"/>
                      <w:szCs w:val="21"/>
                      <w:lang w:val="en-US"/>
                    </w:rPr>
                    <w:t>/</w:t>
                  </w:r>
                </w:p>
              </w:tc>
            </w:tr>
          </w:tbl>
          <w:p>
            <w:pPr>
              <w:adjustRightInd w:val="0"/>
              <w:snapToGrid w:val="0"/>
              <w:jc w:val="center"/>
              <w:rPr>
                <w:b/>
                <w:bCs/>
                <w:color w:val="000000" w:themeColor="text1"/>
                <w14:textFill>
                  <w14:solidFill>
                    <w14:schemeClr w14:val="tx1"/>
                  </w14:solidFill>
                </w14:textFill>
              </w:rPr>
            </w:pPr>
          </w:p>
          <w:p>
            <w:pPr>
              <w:adjustRightInd w:val="0"/>
              <w:snapToGrid w:val="0"/>
              <w:jc w:val="center"/>
              <w:rPr>
                <w:b/>
                <w:bCs/>
                <w:color w:val="000000" w:themeColor="text1"/>
                <w:sz w:val="24"/>
                <w:szCs w:val="24"/>
                <w14:textFill>
                  <w14:solidFill>
                    <w14:schemeClr w14:val="tx1"/>
                  </w14:solidFill>
                </w14:textFill>
              </w:rPr>
            </w:pPr>
            <w:r>
              <w:rPr>
                <w:b/>
                <w:bCs/>
                <w:color w:val="000000" w:themeColor="text1"/>
                <w:sz w:val="24"/>
                <w:szCs w:val="24"/>
                <w14:textFill>
                  <w14:solidFill>
                    <w14:schemeClr w14:val="tx1"/>
                  </w14:solidFill>
                </w14:textFill>
              </w:rPr>
              <w:t>表</w:t>
            </w:r>
            <w:r>
              <w:rPr>
                <w:rFonts w:hint="eastAsia"/>
                <w:b/>
                <w:bCs/>
                <w:color w:val="000000" w:themeColor="text1"/>
                <w:sz w:val="24"/>
                <w:szCs w:val="24"/>
                <w14:textFill>
                  <w14:solidFill>
                    <w14:schemeClr w14:val="tx1"/>
                  </w14:solidFill>
                </w14:textFill>
              </w:rPr>
              <w:t>7-</w:t>
            </w:r>
            <w:r>
              <w:rPr>
                <w:b/>
                <w:bCs/>
                <w:color w:val="000000" w:themeColor="text1"/>
                <w:sz w:val="24"/>
                <w:szCs w:val="24"/>
                <w14:textFill>
                  <w14:solidFill>
                    <w14:schemeClr w14:val="tx1"/>
                  </w14:solidFill>
                </w14:textFill>
              </w:rPr>
              <w:t>7</w:t>
            </w:r>
            <w:r>
              <w:rPr>
                <w:rFonts w:hint="eastAsia"/>
                <w:b/>
                <w:bCs/>
                <w:color w:val="000000" w:themeColor="text1"/>
                <w:sz w:val="24"/>
                <w:szCs w:val="24"/>
                <w14:textFill>
                  <w14:solidFill>
                    <w14:schemeClr w14:val="tx1"/>
                  </w14:solidFill>
                </w14:textFill>
              </w:rPr>
              <w:t xml:space="preserve">  无组织生产车间</w:t>
            </w:r>
            <w:r>
              <w:rPr>
                <w:b/>
                <w:bCs/>
                <w:color w:val="000000" w:themeColor="text1"/>
                <w:sz w:val="24"/>
                <w:szCs w:val="24"/>
                <w14:textFill>
                  <w14:solidFill>
                    <w14:schemeClr w14:val="tx1"/>
                  </w14:solidFill>
                </w14:textFill>
              </w:rPr>
              <w:t>最大地面浓度及占标率表</w:t>
            </w:r>
          </w:p>
          <w:tbl>
            <w:tblPr>
              <w:tblStyle w:val="17"/>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23"/>
              <w:gridCol w:w="1569"/>
              <w:gridCol w:w="1574"/>
              <w:gridCol w:w="1569"/>
              <w:gridCol w:w="157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vMerge w:val="restart"/>
                  <w:tcBorders>
                    <w:top w:val="single" w:color="auto" w:sz="12" w:space="0"/>
                    <w:left w:val="nil"/>
                    <w:bottom w:val="single" w:color="auto" w:sz="4" w:space="0"/>
                    <w:right w:val="single" w:color="auto" w:sz="4" w:space="0"/>
                  </w:tcBorders>
                  <w:vAlign w:val="center"/>
                </w:tcPr>
                <w:p>
                  <w:pPr>
                    <w:pStyle w:val="43"/>
                    <w:spacing w:before="62" w:beforeLines="20" w:after="62" w:afterLines="20"/>
                    <w:rPr>
                      <w:b/>
                      <w:color w:val="auto"/>
                      <w:szCs w:val="21"/>
                    </w:rPr>
                  </w:pPr>
                  <w:r>
                    <w:rPr>
                      <w:b/>
                      <w:color w:val="auto"/>
                      <w:szCs w:val="21"/>
                    </w:rPr>
                    <w:t>下风向距离D/m</w:t>
                  </w:r>
                </w:p>
              </w:tc>
              <w:tc>
                <w:tcPr>
                  <w:tcW w:w="1891" w:type="pct"/>
                  <w:gridSpan w:val="2"/>
                  <w:tcBorders>
                    <w:top w:val="single" w:color="auto" w:sz="12" w:space="0"/>
                    <w:left w:val="single" w:color="auto" w:sz="4" w:space="0"/>
                    <w:bottom w:val="single" w:color="auto" w:sz="4" w:space="0"/>
                    <w:right w:val="nil"/>
                  </w:tcBorders>
                  <w:vAlign w:val="center"/>
                </w:tcPr>
                <w:p>
                  <w:pPr>
                    <w:pStyle w:val="43"/>
                    <w:spacing w:before="62" w:beforeLines="20" w:after="62" w:afterLines="20"/>
                    <w:rPr>
                      <w:b/>
                      <w:color w:val="auto"/>
                      <w:szCs w:val="21"/>
                      <w:lang w:val="en-US"/>
                    </w:rPr>
                  </w:pPr>
                  <w:r>
                    <w:rPr>
                      <w:rFonts w:hint="eastAsia"/>
                      <w:b/>
                      <w:color w:val="auto"/>
                      <w:szCs w:val="21"/>
                      <w:lang w:val="en-US"/>
                    </w:rPr>
                    <w:t>颗粒物</w:t>
                  </w:r>
                  <w:r>
                    <w:rPr>
                      <w:b/>
                      <w:color w:val="auto"/>
                      <w:szCs w:val="21"/>
                    </w:rPr>
                    <w:t>（</w:t>
                  </w:r>
                  <w:r>
                    <w:rPr>
                      <w:rFonts w:hint="eastAsia"/>
                      <w:b/>
                      <w:color w:val="auto"/>
                      <w:szCs w:val="21"/>
                      <w:lang w:val="en-US"/>
                    </w:rPr>
                    <w:t>生产车间</w:t>
                  </w:r>
                  <w:r>
                    <w:rPr>
                      <w:b/>
                      <w:color w:val="auto"/>
                      <w:szCs w:val="21"/>
                    </w:rPr>
                    <w:t>）</w:t>
                  </w:r>
                </w:p>
              </w:tc>
              <w:tc>
                <w:tcPr>
                  <w:tcW w:w="1891" w:type="pct"/>
                  <w:gridSpan w:val="2"/>
                  <w:tcBorders>
                    <w:top w:val="single" w:color="auto" w:sz="12" w:space="0"/>
                    <w:left w:val="single" w:color="auto" w:sz="4" w:space="0"/>
                    <w:bottom w:val="single" w:color="auto" w:sz="4" w:space="0"/>
                    <w:right w:val="nil"/>
                  </w:tcBorders>
                  <w:vAlign w:val="center"/>
                </w:tcPr>
                <w:p>
                  <w:pPr>
                    <w:pStyle w:val="43"/>
                    <w:spacing w:before="62" w:beforeLines="20" w:after="62" w:afterLines="20"/>
                    <w:rPr>
                      <w:b/>
                      <w:color w:val="auto"/>
                      <w:szCs w:val="21"/>
                      <w:lang w:val="en-US"/>
                    </w:rPr>
                  </w:pPr>
                  <w:r>
                    <w:rPr>
                      <w:rFonts w:hint="eastAsia"/>
                      <w:b/>
                      <w:color w:val="auto"/>
                      <w:szCs w:val="21"/>
                      <w:lang w:val="en-US" w:eastAsia="zh-CN"/>
                    </w:rPr>
                    <w:t>非甲烷总烃</w:t>
                  </w:r>
                  <w:r>
                    <w:rPr>
                      <w:b/>
                      <w:color w:val="auto"/>
                      <w:szCs w:val="21"/>
                    </w:rPr>
                    <w:t>（</w:t>
                  </w:r>
                  <w:r>
                    <w:rPr>
                      <w:rFonts w:hint="eastAsia"/>
                      <w:b/>
                      <w:color w:val="auto"/>
                      <w:szCs w:val="21"/>
                      <w:lang w:val="en-US"/>
                    </w:rPr>
                    <w:t>生产车间</w:t>
                  </w:r>
                  <w:r>
                    <w:rPr>
                      <w:b/>
                      <w:color w:val="auto"/>
                      <w:szCs w:val="21"/>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vMerge w:val="continue"/>
                  <w:tcBorders>
                    <w:top w:val="single" w:color="auto" w:sz="12" w:space="0"/>
                    <w:left w:val="nil"/>
                    <w:bottom w:val="single" w:color="auto" w:sz="4" w:space="0"/>
                    <w:right w:val="single" w:color="auto" w:sz="4" w:space="0"/>
                  </w:tcBorders>
                  <w:vAlign w:val="center"/>
                </w:tcPr>
                <w:p>
                  <w:pPr>
                    <w:spacing w:before="62" w:beforeLines="20" w:after="62" w:afterLines="20"/>
                    <w:jc w:val="center"/>
                    <w:rPr>
                      <w:color w:val="auto"/>
                      <w:szCs w:val="21"/>
                    </w:rPr>
                  </w:pPr>
                </w:p>
              </w:tc>
              <w:tc>
                <w:tcPr>
                  <w:tcW w:w="944" w:type="pct"/>
                  <w:tcBorders>
                    <w:top w:val="single" w:color="auto" w:sz="4" w:space="0"/>
                    <w:left w:val="single" w:color="auto" w:sz="4" w:space="0"/>
                    <w:bottom w:val="single" w:color="auto" w:sz="4" w:space="0"/>
                    <w:right w:val="nil"/>
                  </w:tcBorders>
                  <w:vAlign w:val="center"/>
                </w:tcPr>
                <w:p>
                  <w:pPr>
                    <w:pStyle w:val="43"/>
                    <w:spacing w:before="62" w:beforeLines="20" w:after="62" w:afterLines="20"/>
                    <w:rPr>
                      <w:color w:val="auto"/>
                    </w:rPr>
                  </w:pPr>
                  <w:r>
                    <w:rPr>
                      <w:b/>
                      <w:color w:val="auto"/>
                      <w:szCs w:val="21"/>
                      <w:lang w:val="en-US"/>
                    </w:rPr>
                    <w:t>Ci</w:t>
                  </w:r>
                  <w:r>
                    <w:rPr>
                      <w:b/>
                      <w:color w:val="auto"/>
                      <w:szCs w:val="21"/>
                    </w:rPr>
                    <w:t>浓度值</w:t>
                  </w:r>
                  <w:r>
                    <w:rPr>
                      <w:rFonts w:hint="eastAsia"/>
                      <w:b/>
                      <w:color w:val="auto"/>
                      <w:szCs w:val="21"/>
                      <w:lang w:val="en-US"/>
                    </w:rPr>
                    <w:t>u</w:t>
                  </w:r>
                  <w:r>
                    <w:rPr>
                      <w:b/>
                      <w:color w:val="auto"/>
                      <w:szCs w:val="21"/>
                      <w:lang w:val="en-US"/>
                    </w:rPr>
                    <w:t>g/m</w:t>
                  </w:r>
                  <w:r>
                    <w:rPr>
                      <w:b/>
                      <w:color w:val="auto"/>
                      <w:szCs w:val="21"/>
                      <w:vertAlign w:val="superscript"/>
                      <w:lang w:val="en-US"/>
                    </w:rPr>
                    <w:t>3</w:t>
                  </w:r>
                </w:p>
              </w:tc>
              <w:tc>
                <w:tcPr>
                  <w:tcW w:w="947" w:type="pct"/>
                  <w:tcBorders>
                    <w:top w:val="single" w:color="auto" w:sz="4" w:space="0"/>
                    <w:left w:val="single" w:color="auto" w:sz="4" w:space="0"/>
                    <w:bottom w:val="single" w:color="auto" w:sz="4" w:space="0"/>
                    <w:right w:val="nil"/>
                  </w:tcBorders>
                  <w:vAlign w:val="center"/>
                </w:tcPr>
                <w:p>
                  <w:pPr>
                    <w:pStyle w:val="43"/>
                    <w:spacing w:before="62" w:beforeLines="20" w:after="62" w:afterLines="20"/>
                    <w:rPr>
                      <w:b/>
                      <w:color w:val="auto"/>
                      <w:szCs w:val="21"/>
                      <w:lang w:val="en-US"/>
                    </w:rPr>
                  </w:pPr>
                  <w:r>
                    <w:rPr>
                      <w:b/>
                      <w:color w:val="auto"/>
                      <w:szCs w:val="21"/>
                      <w:lang w:val="en-US"/>
                    </w:rPr>
                    <w:t>Pi</w:t>
                  </w:r>
                  <w:r>
                    <w:rPr>
                      <w:b/>
                      <w:color w:val="auto"/>
                      <w:szCs w:val="21"/>
                    </w:rPr>
                    <w:t>占标率</w:t>
                  </w:r>
                  <w:r>
                    <w:rPr>
                      <w:b/>
                      <w:color w:val="auto"/>
                      <w:szCs w:val="21"/>
                      <w:lang w:val="en-US"/>
                    </w:rPr>
                    <w:t>%</w:t>
                  </w:r>
                </w:p>
              </w:tc>
              <w:tc>
                <w:tcPr>
                  <w:tcW w:w="944" w:type="pct"/>
                  <w:tcBorders>
                    <w:top w:val="single" w:color="auto" w:sz="4" w:space="0"/>
                    <w:left w:val="single" w:color="auto" w:sz="4" w:space="0"/>
                    <w:bottom w:val="single" w:color="auto" w:sz="4" w:space="0"/>
                    <w:right w:val="single" w:color="auto" w:sz="4" w:space="0"/>
                  </w:tcBorders>
                  <w:vAlign w:val="center"/>
                </w:tcPr>
                <w:p>
                  <w:pPr>
                    <w:pStyle w:val="43"/>
                    <w:spacing w:before="62" w:beforeLines="20" w:after="62" w:afterLines="20"/>
                    <w:rPr>
                      <w:b/>
                      <w:color w:val="auto"/>
                      <w:szCs w:val="21"/>
                      <w:lang w:val="en-US"/>
                    </w:rPr>
                  </w:pPr>
                  <w:r>
                    <w:rPr>
                      <w:b/>
                      <w:color w:val="auto"/>
                      <w:szCs w:val="21"/>
                      <w:lang w:val="en-US"/>
                    </w:rPr>
                    <w:t>Ci</w:t>
                  </w:r>
                  <w:r>
                    <w:rPr>
                      <w:b/>
                      <w:color w:val="auto"/>
                      <w:szCs w:val="21"/>
                    </w:rPr>
                    <w:t>浓度值</w:t>
                  </w:r>
                  <w:r>
                    <w:rPr>
                      <w:rFonts w:hint="eastAsia"/>
                      <w:b/>
                      <w:color w:val="auto"/>
                      <w:szCs w:val="21"/>
                      <w:lang w:val="en-US"/>
                    </w:rPr>
                    <w:t>u</w:t>
                  </w:r>
                  <w:r>
                    <w:rPr>
                      <w:b/>
                      <w:color w:val="auto"/>
                      <w:szCs w:val="21"/>
                      <w:lang w:val="en-US"/>
                    </w:rPr>
                    <w:t>g/m</w:t>
                  </w:r>
                  <w:r>
                    <w:rPr>
                      <w:b/>
                      <w:color w:val="auto"/>
                      <w:szCs w:val="21"/>
                      <w:vertAlign w:val="superscript"/>
                      <w:lang w:val="en-US"/>
                    </w:rPr>
                    <w:t>3</w:t>
                  </w:r>
                </w:p>
              </w:tc>
              <w:tc>
                <w:tcPr>
                  <w:tcW w:w="947" w:type="pct"/>
                  <w:tcBorders>
                    <w:top w:val="single" w:color="auto" w:sz="4" w:space="0"/>
                    <w:left w:val="single" w:color="auto" w:sz="4" w:space="0"/>
                    <w:bottom w:val="single" w:color="auto" w:sz="4" w:space="0"/>
                    <w:right w:val="single" w:color="auto" w:sz="4" w:space="0"/>
                  </w:tcBorders>
                  <w:vAlign w:val="center"/>
                </w:tcPr>
                <w:p>
                  <w:pPr>
                    <w:pStyle w:val="43"/>
                    <w:spacing w:before="62" w:beforeLines="20" w:after="62" w:afterLines="20"/>
                    <w:rPr>
                      <w:b/>
                      <w:color w:val="auto"/>
                      <w:szCs w:val="21"/>
                      <w:lang w:val="en-US"/>
                    </w:rPr>
                  </w:pPr>
                  <w:r>
                    <w:rPr>
                      <w:b/>
                      <w:color w:val="auto"/>
                      <w:szCs w:val="21"/>
                      <w:lang w:val="en-US"/>
                    </w:rPr>
                    <w:t>Pi</w:t>
                  </w:r>
                  <w:r>
                    <w:rPr>
                      <w:b/>
                      <w:color w:val="auto"/>
                      <w:szCs w:val="21"/>
                    </w:rPr>
                    <w:t>占标率</w:t>
                  </w:r>
                  <w:r>
                    <w:rPr>
                      <w:b/>
                      <w:color w:val="auto"/>
                      <w:szCs w:val="21"/>
                      <w:lang w:val="en-US"/>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rPr>
                  </w:pPr>
                  <w:r>
                    <w:rPr>
                      <w:color w:val="auto"/>
                      <w:kern w:val="0"/>
                      <w:szCs w:val="21"/>
                      <w:lang w:bidi="ar"/>
                    </w:rPr>
                    <w:t>10</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color w:val="auto"/>
                    </w:rPr>
                    <w:t>6.46</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color w:val="auto"/>
                    </w:rPr>
                    <w:t>1.43</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0.13</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auto"/>
                      <w:szCs w:val="21"/>
                    </w:rPr>
                  </w:pPr>
                  <w:r>
                    <w:rPr>
                      <w:color w:val="auto"/>
                      <w:kern w:val="0"/>
                      <w:szCs w:val="21"/>
                      <w:lang w:bidi="ar"/>
                    </w:rPr>
                    <w:t>25</w:t>
                  </w:r>
                </w:p>
              </w:tc>
              <w:tc>
                <w:tcPr>
                  <w:tcW w:w="944"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auto"/>
                      <w:kern w:val="0"/>
                      <w:szCs w:val="21"/>
                      <w:lang w:bidi="ar"/>
                    </w:rPr>
                  </w:pPr>
                  <w:r>
                    <w:rPr>
                      <w:rFonts w:hint="eastAsia"/>
                    </w:rPr>
                    <w:t>9.29</w:t>
                  </w:r>
                </w:p>
              </w:tc>
              <w:tc>
                <w:tcPr>
                  <w:tcW w:w="947"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auto"/>
                      <w:kern w:val="0"/>
                      <w:szCs w:val="21"/>
                      <w:lang w:bidi="ar"/>
                    </w:rPr>
                  </w:pPr>
                  <w:r>
                    <w:rPr>
                      <w:rFonts w:hint="eastAsia"/>
                    </w:rPr>
                    <w:t>2.06</w:t>
                  </w:r>
                </w:p>
              </w:tc>
              <w:tc>
                <w:tcPr>
                  <w:tcW w:w="94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auto"/>
                    </w:rPr>
                  </w:pPr>
                  <w:r>
                    <w:rPr>
                      <w:rFonts w:hint="eastAsia"/>
                    </w:rPr>
                    <w:t>0.19</w:t>
                  </w:r>
                </w:p>
              </w:tc>
              <w:tc>
                <w:tcPr>
                  <w:tcW w:w="94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auto"/>
                    </w:rPr>
                  </w:pPr>
                  <w:r>
                    <w:rPr>
                      <w:rFonts w:hint="eastAsia"/>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rFonts w:hint="default" w:eastAsia="宋体"/>
                      <w:color w:val="auto"/>
                      <w:szCs w:val="21"/>
                      <w:lang w:val="en-US" w:eastAsia="zh-CN"/>
                    </w:rPr>
                  </w:pPr>
                  <w:r>
                    <w:rPr>
                      <w:rFonts w:hint="eastAsia"/>
                      <w:color w:val="auto"/>
                      <w:kern w:val="0"/>
                      <w:szCs w:val="21"/>
                      <w:lang w:val="en-US" w:eastAsia="zh-CN" w:bidi="ar"/>
                    </w:rPr>
                    <w:t>40</w:t>
                  </w:r>
                </w:p>
              </w:tc>
              <w:tc>
                <w:tcPr>
                  <w:tcW w:w="944"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auto"/>
                      <w:kern w:val="0"/>
                      <w:szCs w:val="21"/>
                      <w:lang w:bidi="ar"/>
                    </w:rPr>
                  </w:pPr>
                  <w:r>
                    <w:rPr>
                      <w:rFonts w:hint="eastAsia"/>
                    </w:rPr>
                    <w:t>10.28</w:t>
                  </w:r>
                </w:p>
              </w:tc>
              <w:tc>
                <w:tcPr>
                  <w:tcW w:w="947"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auto"/>
                      <w:kern w:val="0"/>
                      <w:szCs w:val="21"/>
                      <w:lang w:bidi="ar"/>
                    </w:rPr>
                  </w:pPr>
                  <w:r>
                    <w:rPr>
                      <w:rFonts w:hint="eastAsia"/>
                    </w:rPr>
                    <w:t>2.28</w:t>
                  </w:r>
                </w:p>
              </w:tc>
              <w:tc>
                <w:tcPr>
                  <w:tcW w:w="94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auto"/>
                    </w:rPr>
                  </w:pPr>
                  <w:r>
                    <w:rPr>
                      <w:rFonts w:hint="eastAsia"/>
                    </w:rPr>
                    <w:t>0.21</w:t>
                  </w:r>
                </w:p>
              </w:tc>
              <w:tc>
                <w:tcPr>
                  <w:tcW w:w="94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auto"/>
                    </w:rPr>
                  </w:pPr>
                  <w:r>
                    <w:rPr>
                      <w:rFonts w:hint="eastAsia"/>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rFonts w:hint="default" w:eastAsia="宋体"/>
                      <w:color w:val="auto"/>
                      <w:szCs w:val="21"/>
                      <w:lang w:val="en-US" w:eastAsia="zh-CN"/>
                    </w:rPr>
                  </w:pPr>
                  <w:r>
                    <w:rPr>
                      <w:rFonts w:hint="eastAsia"/>
                      <w:color w:val="auto"/>
                      <w:kern w:val="0"/>
                      <w:szCs w:val="21"/>
                      <w:lang w:val="en-US" w:eastAsia="zh-CN" w:bidi="ar"/>
                    </w:rPr>
                    <w:t>50</w:t>
                  </w:r>
                </w:p>
              </w:tc>
              <w:tc>
                <w:tcPr>
                  <w:tcW w:w="944"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auto"/>
                      <w:kern w:val="0"/>
                      <w:szCs w:val="21"/>
                      <w:lang w:bidi="ar"/>
                    </w:rPr>
                  </w:pPr>
                  <w:r>
                    <w:rPr>
                      <w:rFonts w:hint="eastAsia"/>
                    </w:rPr>
                    <w:t>10.13</w:t>
                  </w:r>
                </w:p>
              </w:tc>
              <w:tc>
                <w:tcPr>
                  <w:tcW w:w="947"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auto"/>
                      <w:kern w:val="0"/>
                      <w:szCs w:val="21"/>
                      <w:lang w:bidi="ar"/>
                    </w:rPr>
                  </w:pPr>
                  <w:r>
                    <w:rPr>
                      <w:rFonts w:hint="eastAsia"/>
                    </w:rPr>
                    <w:t>2.25</w:t>
                  </w:r>
                </w:p>
              </w:tc>
              <w:tc>
                <w:tcPr>
                  <w:tcW w:w="94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auto"/>
                    </w:rPr>
                  </w:pPr>
                  <w:r>
                    <w:rPr>
                      <w:rFonts w:hint="eastAsia"/>
                    </w:rPr>
                    <w:t>0.20</w:t>
                  </w:r>
                </w:p>
              </w:tc>
              <w:tc>
                <w:tcPr>
                  <w:tcW w:w="94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auto"/>
                    </w:rPr>
                  </w:pPr>
                  <w:r>
                    <w:rPr>
                      <w:rFonts w:hint="eastAsia"/>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szCs w:val="21"/>
                    </w:rPr>
                  </w:pPr>
                  <w:r>
                    <w:rPr>
                      <w:rFonts w:hint="eastAsia"/>
                      <w:color w:val="auto"/>
                      <w:kern w:val="0"/>
                      <w:szCs w:val="21"/>
                      <w:lang w:bidi="ar"/>
                    </w:rPr>
                    <w:t>75</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9.24</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2.05</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0.19</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17" w:type="pct"/>
                  <w:tcBorders>
                    <w:top w:val="single" w:color="auto" w:sz="4" w:space="0"/>
                    <w:left w:val="nil"/>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auto"/>
                      <w:szCs w:val="21"/>
                    </w:rPr>
                  </w:pPr>
                  <w:r>
                    <w:rPr>
                      <w:color w:val="auto"/>
                      <w:kern w:val="0"/>
                      <w:szCs w:val="21"/>
                      <w:lang w:bidi="ar"/>
                    </w:rPr>
                    <w:t>10</w:t>
                  </w:r>
                  <w:r>
                    <w:rPr>
                      <w:rFonts w:hint="eastAsia"/>
                      <w:color w:val="auto"/>
                      <w:kern w:val="0"/>
                      <w:szCs w:val="21"/>
                      <w:lang w:bidi="ar"/>
                    </w:rPr>
                    <w:t>0</w:t>
                  </w:r>
                </w:p>
              </w:tc>
              <w:tc>
                <w:tcPr>
                  <w:tcW w:w="944"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auto"/>
                      <w:kern w:val="0"/>
                      <w:szCs w:val="21"/>
                      <w:lang w:bidi="ar"/>
                    </w:rPr>
                  </w:pPr>
                  <w:r>
                    <w:rPr>
                      <w:rFonts w:hint="eastAsia"/>
                    </w:rPr>
                    <w:t>8.54</w:t>
                  </w:r>
                </w:p>
              </w:tc>
              <w:tc>
                <w:tcPr>
                  <w:tcW w:w="947"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auto"/>
                      <w:kern w:val="0"/>
                      <w:szCs w:val="21"/>
                      <w:lang w:bidi="ar"/>
                    </w:rPr>
                  </w:pPr>
                  <w:r>
                    <w:rPr>
                      <w:rFonts w:hint="eastAsia"/>
                    </w:rPr>
                    <w:t>1.90</w:t>
                  </w:r>
                </w:p>
              </w:tc>
              <w:tc>
                <w:tcPr>
                  <w:tcW w:w="94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auto"/>
                    </w:rPr>
                  </w:pPr>
                  <w:r>
                    <w:rPr>
                      <w:rFonts w:hint="eastAsia"/>
                    </w:rPr>
                    <w:t>0.17</w:t>
                  </w:r>
                </w:p>
              </w:tc>
              <w:tc>
                <w:tcPr>
                  <w:tcW w:w="94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auto"/>
                    </w:rPr>
                  </w:pPr>
                  <w:r>
                    <w:rPr>
                      <w:rFonts w:hint="eastAsia"/>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auto"/>
                      <w:szCs w:val="21"/>
                    </w:rPr>
                  </w:pPr>
                  <w:r>
                    <w:rPr>
                      <w:color w:val="auto"/>
                      <w:kern w:val="0"/>
                      <w:szCs w:val="21"/>
                      <w:lang w:bidi="ar"/>
                    </w:rPr>
                    <w:t>125</w:t>
                  </w:r>
                </w:p>
              </w:tc>
              <w:tc>
                <w:tcPr>
                  <w:tcW w:w="944"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auto"/>
                      <w:kern w:val="0"/>
                      <w:szCs w:val="21"/>
                      <w:lang w:bidi="ar"/>
                    </w:rPr>
                  </w:pPr>
                  <w:r>
                    <w:rPr>
                      <w:rFonts w:hint="eastAsia"/>
                    </w:rPr>
                    <w:t>7.69</w:t>
                  </w:r>
                </w:p>
              </w:tc>
              <w:tc>
                <w:tcPr>
                  <w:tcW w:w="947"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auto"/>
                      <w:kern w:val="0"/>
                      <w:szCs w:val="21"/>
                      <w:lang w:bidi="ar"/>
                    </w:rPr>
                  </w:pPr>
                  <w:r>
                    <w:rPr>
                      <w:rFonts w:hint="eastAsia"/>
                    </w:rPr>
                    <w:t>1.71</w:t>
                  </w:r>
                </w:p>
              </w:tc>
              <w:tc>
                <w:tcPr>
                  <w:tcW w:w="94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auto"/>
                    </w:rPr>
                  </w:pPr>
                  <w:r>
                    <w:rPr>
                      <w:rFonts w:hint="eastAsia"/>
                    </w:rPr>
                    <w:t>0.15</w:t>
                  </w:r>
                </w:p>
              </w:tc>
              <w:tc>
                <w:tcPr>
                  <w:tcW w:w="94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auto"/>
                    </w:rPr>
                  </w:pPr>
                  <w:r>
                    <w:rPr>
                      <w:rFonts w:hint="eastAsia"/>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auto"/>
                      <w:szCs w:val="21"/>
                    </w:rPr>
                  </w:pPr>
                  <w:r>
                    <w:rPr>
                      <w:color w:val="auto"/>
                      <w:kern w:val="0"/>
                      <w:szCs w:val="21"/>
                      <w:lang w:bidi="ar"/>
                    </w:rPr>
                    <w:t>150</w:t>
                  </w:r>
                </w:p>
              </w:tc>
              <w:tc>
                <w:tcPr>
                  <w:tcW w:w="944"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auto"/>
                      <w:kern w:val="0"/>
                      <w:szCs w:val="21"/>
                      <w:lang w:bidi="ar"/>
                    </w:rPr>
                  </w:pPr>
                  <w:r>
                    <w:rPr>
                      <w:rFonts w:hint="eastAsia"/>
                    </w:rPr>
                    <w:t>6.85</w:t>
                  </w:r>
                </w:p>
              </w:tc>
              <w:tc>
                <w:tcPr>
                  <w:tcW w:w="947"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auto"/>
                      <w:kern w:val="0"/>
                      <w:szCs w:val="21"/>
                      <w:lang w:bidi="ar"/>
                    </w:rPr>
                  </w:pPr>
                  <w:r>
                    <w:rPr>
                      <w:rFonts w:hint="eastAsia"/>
                    </w:rPr>
                    <w:t>1.52</w:t>
                  </w:r>
                </w:p>
              </w:tc>
              <w:tc>
                <w:tcPr>
                  <w:tcW w:w="94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auto"/>
                    </w:rPr>
                  </w:pPr>
                  <w:r>
                    <w:rPr>
                      <w:rFonts w:hint="eastAsia"/>
                    </w:rPr>
                    <w:t>0.14</w:t>
                  </w:r>
                </w:p>
              </w:tc>
              <w:tc>
                <w:tcPr>
                  <w:tcW w:w="94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auto"/>
                    </w:rPr>
                  </w:pPr>
                  <w:r>
                    <w:rPr>
                      <w:rFonts w:hint="eastAsia"/>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szCs w:val="21"/>
                    </w:rPr>
                  </w:pPr>
                  <w:r>
                    <w:rPr>
                      <w:color w:val="auto"/>
                      <w:kern w:val="0"/>
                      <w:szCs w:val="21"/>
                      <w:lang w:bidi="ar"/>
                    </w:rPr>
                    <w:t>175</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6.10</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1.36</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0.12</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szCs w:val="21"/>
                    </w:rPr>
                  </w:pPr>
                  <w:r>
                    <w:rPr>
                      <w:color w:val="auto"/>
                      <w:kern w:val="0"/>
                      <w:szCs w:val="21"/>
                      <w:lang w:bidi="ar"/>
                    </w:rPr>
                    <w:t>200</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5.46</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1.21</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0.11</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szCs w:val="21"/>
                    </w:rPr>
                  </w:pPr>
                  <w:r>
                    <w:rPr>
                      <w:color w:val="auto"/>
                      <w:kern w:val="0"/>
                      <w:szCs w:val="21"/>
                      <w:lang w:bidi="ar"/>
                    </w:rPr>
                    <w:t>225</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4.90</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1.09</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0.10</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szCs w:val="21"/>
                    </w:rPr>
                  </w:pPr>
                  <w:r>
                    <w:rPr>
                      <w:color w:val="auto"/>
                      <w:kern w:val="0"/>
                      <w:szCs w:val="21"/>
                      <w:lang w:bidi="ar"/>
                    </w:rPr>
                    <w:t>250</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4.43</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0.98</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0.09</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szCs w:val="21"/>
                    </w:rPr>
                  </w:pPr>
                  <w:r>
                    <w:rPr>
                      <w:color w:val="auto"/>
                      <w:kern w:val="0"/>
                      <w:szCs w:val="21"/>
                      <w:lang w:bidi="ar"/>
                    </w:rPr>
                    <w:t>275</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4.02</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0.89</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0.08</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szCs w:val="21"/>
                    </w:rPr>
                  </w:pPr>
                  <w:r>
                    <w:rPr>
                      <w:color w:val="auto"/>
                      <w:kern w:val="0"/>
                      <w:szCs w:val="21"/>
                      <w:lang w:bidi="ar"/>
                    </w:rPr>
                    <w:t>300</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3.68</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0.82</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0.07</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auto"/>
                      <w:szCs w:val="21"/>
                    </w:rPr>
                  </w:pPr>
                  <w:r>
                    <w:rPr>
                      <w:color w:val="auto"/>
                      <w:kern w:val="0"/>
                      <w:szCs w:val="21"/>
                      <w:lang w:bidi="ar"/>
                    </w:rPr>
                    <w:t>325</w:t>
                  </w:r>
                </w:p>
              </w:tc>
              <w:tc>
                <w:tcPr>
                  <w:tcW w:w="944"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auto"/>
                      <w:kern w:val="0"/>
                      <w:szCs w:val="21"/>
                      <w:lang w:bidi="ar"/>
                    </w:rPr>
                  </w:pPr>
                  <w:r>
                    <w:rPr>
                      <w:rFonts w:hint="eastAsia"/>
                    </w:rPr>
                    <w:t>3.37</w:t>
                  </w:r>
                </w:p>
              </w:tc>
              <w:tc>
                <w:tcPr>
                  <w:tcW w:w="947"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color w:val="auto"/>
                      <w:kern w:val="0"/>
                      <w:szCs w:val="21"/>
                      <w:lang w:bidi="ar"/>
                    </w:rPr>
                  </w:pPr>
                  <w:r>
                    <w:rPr>
                      <w:rFonts w:hint="eastAsia"/>
                    </w:rPr>
                    <w:t>0.75</w:t>
                  </w:r>
                </w:p>
              </w:tc>
              <w:tc>
                <w:tcPr>
                  <w:tcW w:w="94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auto"/>
                    </w:rPr>
                  </w:pPr>
                  <w:r>
                    <w:rPr>
                      <w:rFonts w:hint="eastAsia"/>
                    </w:rPr>
                    <w:t>0.07</w:t>
                  </w:r>
                </w:p>
              </w:tc>
              <w:tc>
                <w:tcPr>
                  <w:tcW w:w="94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color w:val="auto"/>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szCs w:val="21"/>
                    </w:rPr>
                  </w:pPr>
                  <w:r>
                    <w:rPr>
                      <w:color w:val="auto"/>
                      <w:kern w:val="0"/>
                      <w:szCs w:val="21"/>
                      <w:lang w:bidi="ar"/>
                    </w:rPr>
                    <w:t>350</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3.11</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0.69</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0.06</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szCs w:val="21"/>
                    </w:rPr>
                  </w:pPr>
                  <w:r>
                    <w:rPr>
                      <w:color w:val="auto"/>
                      <w:kern w:val="0"/>
                      <w:szCs w:val="21"/>
                      <w:lang w:bidi="ar"/>
                    </w:rPr>
                    <w:t>375</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2.87</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0.64</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0.06</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szCs w:val="21"/>
                    </w:rPr>
                  </w:pPr>
                  <w:r>
                    <w:rPr>
                      <w:color w:val="auto"/>
                      <w:kern w:val="0"/>
                      <w:szCs w:val="21"/>
                      <w:lang w:bidi="ar"/>
                    </w:rPr>
                    <w:t>400</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2.67</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rPr>
                    <w:t>0.59</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0.05</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szCs w:val="21"/>
                    </w:rPr>
                  </w:pPr>
                  <w:r>
                    <w:rPr>
                      <w:color w:val="auto"/>
                      <w:kern w:val="0"/>
                      <w:szCs w:val="21"/>
                      <w:lang w:bidi="ar"/>
                    </w:rPr>
                    <w:t>425</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2.49</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rPr>
                    <w:t>0.55</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0.05</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szCs w:val="21"/>
                    </w:rPr>
                  </w:pPr>
                  <w:r>
                    <w:rPr>
                      <w:color w:val="auto"/>
                      <w:kern w:val="0"/>
                      <w:szCs w:val="21"/>
                      <w:lang w:bidi="ar"/>
                    </w:rPr>
                    <w:t>450</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2.33</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rPr>
                    <w:t>0.52</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0.05</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szCs w:val="21"/>
                    </w:rPr>
                  </w:pPr>
                  <w:r>
                    <w:rPr>
                      <w:color w:val="auto"/>
                      <w:kern w:val="0"/>
                      <w:szCs w:val="21"/>
                      <w:lang w:bidi="ar"/>
                    </w:rPr>
                    <w:t>475</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2.20</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rPr>
                    <w:t>0.49</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0.04</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szCs w:val="21"/>
                    </w:rPr>
                  </w:pPr>
                  <w:r>
                    <w:rPr>
                      <w:color w:val="auto"/>
                      <w:kern w:val="0"/>
                      <w:szCs w:val="21"/>
                      <w:lang w:bidi="ar"/>
                    </w:rPr>
                    <w:t>500</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2.07</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rPr>
                    <w:t>0.46</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0.04</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rPr>
                  </w:pPr>
                  <w:r>
                    <w:rPr>
                      <w:rFonts w:hint="eastAsia"/>
                      <w:color w:val="auto"/>
                      <w:kern w:val="0"/>
                      <w:szCs w:val="21"/>
                      <w:lang w:bidi="ar"/>
                    </w:rPr>
                    <w:t>525</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1.95</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rPr>
                    <w:t>0.43</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0.04</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550</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1.84</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rPr>
                    <w:t>0.41</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0.04</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rPr>
                  </w:pPr>
                  <w:r>
                    <w:rPr>
                      <w:rFonts w:hint="eastAsia"/>
                      <w:color w:val="auto"/>
                      <w:kern w:val="0"/>
                      <w:szCs w:val="21"/>
                      <w:lang w:bidi="ar"/>
                    </w:rPr>
                    <w:t>575</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1.74</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rPr>
                    <w:t>0.39</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0.03</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rPr>
                  </w:pPr>
                  <w:r>
                    <w:rPr>
                      <w:rFonts w:hint="eastAsia"/>
                      <w:color w:val="auto"/>
                      <w:kern w:val="0"/>
                      <w:szCs w:val="21"/>
                      <w:lang w:bidi="ar"/>
                    </w:rPr>
                    <w:t>600</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1.65</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rPr>
                    <w:t>0.37</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0.03</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625</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1.57</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rPr>
                    <w:t>0.35</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0.03</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650</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1.50</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rPr>
                    <w:t>0.33</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0.03</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675</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1.43</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rPr>
                    <w:t>0.32</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0.03</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700</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1.36</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rPr>
                    <w:t>0.30</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0.03</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725</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1.30</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rPr>
                    <w:t>0.29</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0.03</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750</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1.25</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rPr>
                    <w:t>0.28</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0.03</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775</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1.20</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rPr>
                    <w:t>0.27</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0.02</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800</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1.15</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rPr>
                    <w:t>0.26</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0.02</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825</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1.11</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rPr>
                    <w:t>0.25</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0.02</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850</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1.06</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rPr>
                    <w:t>0.24</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0.02</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875</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1.02</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rPr>
                    <w:t>0.23</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0.02</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900</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0.99</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rPr>
                    <w:t>0.22</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0.02</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925</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0.95</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rPr>
                    <w:t>0.21</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0.02</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950</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0.92</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rPr>
                    <w:t>0.20</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0.02</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975</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0.89</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rPr>
                    <w:t>0.20</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0.02</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1000</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color w:val="auto"/>
                      <w:kern w:val="0"/>
                      <w:szCs w:val="21"/>
                      <w:lang w:bidi="ar"/>
                    </w:rPr>
                  </w:pPr>
                  <w:r>
                    <w:rPr>
                      <w:rFonts w:hint="eastAsia"/>
                    </w:rPr>
                    <w:t>0.86</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rPr>
                    <w:t>0.19</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rPr>
                  </w:pPr>
                  <w:r>
                    <w:rPr>
                      <w:rFonts w:hint="eastAsia"/>
                    </w:rPr>
                    <w:t>0.02</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1500</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hint="default"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0.51</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hint="default"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0.11</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rFonts w:hint="eastAsia" w:eastAsia="宋体"/>
                      <w:color w:val="auto"/>
                      <w:kern w:val="0"/>
                      <w:szCs w:val="21"/>
                      <w:lang w:eastAsia="zh-CN" w:bidi="ar"/>
                    </w:rPr>
                  </w:pPr>
                  <w:r>
                    <w:rPr>
                      <w:rFonts w:hint="eastAsia"/>
                      <w:color w:val="auto"/>
                      <w:kern w:val="0"/>
                      <w:szCs w:val="21"/>
                      <w:lang w:bidi="ar"/>
                    </w:rPr>
                    <w:t>0.0</w:t>
                  </w:r>
                  <w:r>
                    <w:rPr>
                      <w:rFonts w:hint="eastAsia"/>
                      <w:color w:val="auto"/>
                      <w:kern w:val="0"/>
                      <w:szCs w:val="21"/>
                      <w:lang w:val="en-US" w:eastAsia="zh-CN" w:bidi="ar"/>
                    </w:rPr>
                    <w:t>1</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2000</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hint="default"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0.36</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hint="default"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0.08</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0.01</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rPr>
                  </w:pPr>
                  <w:r>
                    <w:rPr>
                      <w:rFonts w:hint="eastAsia"/>
                      <w:color w:val="auto"/>
                      <w:kern w:val="0"/>
                      <w:szCs w:val="21"/>
                    </w:rPr>
                    <w:t>2500</w:t>
                  </w:r>
                </w:p>
              </w:tc>
              <w:tc>
                <w:tcPr>
                  <w:tcW w:w="944"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hint="default" w:ascii="Times New Roman" w:hAnsi="Times New Roman" w:eastAsia="宋体" w:cs="Times New Roman"/>
                      <w:color w:val="auto"/>
                      <w:kern w:val="0"/>
                      <w:sz w:val="21"/>
                      <w:szCs w:val="21"/>
                      <w:lang w:val="en-US" w:eastAsia="zh-CN" w:bidi="ar"/>
                    </w:rPr>
                  </w:pPr>
                  <w:r>
                    <w:rPr>
                      <w:rFonts w:hint="eastAsia"/>
                      <w:color w:val="auto"/>
                      <w:kern w:val="0"/>
                      <w:szCs w:val="21"/>
                      <w:lang w:val="en-US" w:eastAsia="zh-CN" w:bidi="ar"/>
                    </w:rPr>
                    <w:t>0.30</w:t>
                  </w:r>
                </w:p>
              </w:tc>
              <w:tc>
                <w:tcPr>
                  <w:tcW w:w="947" w:type="pct"/>
                  <w:tcBorders>
                    <w:top w:val="single" w:color="auto" w:sz="4" w:space="0"/>
                    <w:left w:val="single" w:color="auto" w:sz="4" w:space="0"/>
                    <w:bottom w:val="single" w:color="auto" w:sz="4" w:space="0"/>
                    <w:right w:val="nil"/>
                  </w:tcBorders>
                  <w:vAlign w:val="center"/>
                </w:tcPr>
                <w:p>
                  <w:pPr>
                    <w:widowControl/>
                    <w:spacing w:before="62" w:beforeLines="20" w:after="62" w:afterLines="20"/>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auto"/>
                      <w:kern w:val="0"/>
                      <w:sz w:val="21"/>
                      <w:szCs w:val="21"/>
                      <w:lang w:val="en-US" w:eastAsia="zh-CN" w:bidi="ar"/>
                    </w:rPr>
                    <w:t>0.06</w:t>
                  </w:r>
                </w:p>
              </w:tc>
              <w:tc>
                <w:tcPr>
                  <w:tcW w:w="944"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b/>
                      <w:bCs/>
                      <w:color w:val="auto"/>
                      <w:kern w:val="0"/>
                      <w:szCs w:val="21"/>
                      <w:lang w:bidi="ar"/>
                    </w:rPr>
                  </w:pPr>
                  <w:r>
                    <w:rPr>
                      <w:rFonts w:hint="eastAsia"/>
                      <w:color w:val="auto"/>
                      <w:kern w:val="0"/>
                      <w:szCs w:val="21"/>
                      <w:lang w:bidi="ar"/>
                    </w:rPr>
                    <w:t>&lt;0.01</w:t>
                  </w:r>
                </w:p>
              </w:tc>
              <w:tc>
                <w:tcPr>
                  <w:tcW w:w="947" w:type="pct"/>
                  <w:tcBorders>
                    <w:top w:val="single" w:color="auto" w:sz="4" w:space="0"/>
                    <w:left w:val="single" w:color="auto" w:sz="4" w:space="0"/>
                    <w:bottom w:val="single" w:color="auto" w:sz="4" w:space="0"/>
                    <w:right w:val="single" w:color="auto" w:sz="4" w:space="0"/>
                  </w:tcBorders>
                  <w:vAlign w:val="center"/>
                </w:tcPr>
                <w:p>
                  <w:pPr>
                    <w:widowControl/>
                    <w:spacing w:before="62" w:beforeLines="20" w:after="62" w:afterLines="20"/>
                    <w:jc w:val="center"/>
                    <w:textAlignment w:val="center"/>
                    <w:rPr>
                      <w:color w:val="auto"/>
                      <w:kern w:val="0"/>
                      <w:szCs w:val="21"/>
                      <w:lang w:bidi="ar"/>
                    </w:rPr>
                  </w:pPr>
                  <w:r>
                    <w:rPr>
                      <w:rFonts w:hint="eastAsia"/>
                      <w:color w:val="auto"/>
                      <w:kern w:val="0"/>
                      <w:szCs w:val="21"/>
                      <w:lang w:bidi="ar"/>
                    </w:rPr>
                    <w:t>&lt;0.01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217" w:type="pct"/>
                  <w:tcBorders>
                    <w:top w:val="single" w:color="auto" w:sz="4" w:space="0"/>
                    <w:left w:val="nil"/>
                    <w:bottom w:val="single" w:color="auto" w:sz="4" w:space="0"/>
                    <w:right w:val="single" w:color="auto" w:sz="4" w:space="0"/>
                  </w:tcBorders>
                  <w:shd w:val="clear" w:color="auto" w:fill="auto"/>
                  <w:vAlign w:val="center"/>
                </w:tcPr>
                <w:p>
                  <w:pPr>
                    <w:pStyle w:val="43"/>
                    <w:spacing w:before="62" w:beforeLines="20" w:after="62" w:afterLines="20"/>
                    <w:rPr>
                      <w:color w:val="auto"/>
                      <w:szCs w:val="21"/>
                      <w:lang w:val="en-US"/>
                    </w:rPr>
                  </w:pPr>
                  <w:r>
                    <w:rPr>
                      <w:color w:val="auto"/>
                      <w:szCs w:val="21"/>
                    </w:rPr>
                    <w:t>最大地面浓度</w:t>
                  </w:r>
                </w:p>
              </w:tc>
              <w:tc>
                <w:tcPr>
                  <w:tcW w:w="944"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rPr>
                    <w:t>10.28</w:t>
                  </w:r>
                </w:p>
              </w:tc>
              <w:tc>
                <w:tcPr>
                  <w:tcW w:w="947" w:type="pct"/>
                  <w:tcBorders>
                    <w:top w:val="single" w:color="auto" w:sz="4" w:space="0"/>
                    <w:left w:val="single" w:color="auto" w:sz="4" w:space="0"/>
                    <w:bottom w:val="single" w:color="auto" w:sz="4" w:space="0"/>
                    <w:right w:val="nil"/>
                  </w:tcBorders>
                  <w:shd w:val="clear" w:color="auto" w:fill="auto"/>
                  <w:vAlign w:val="center"/>
                </w:tcPr>
                <w:p>
                  <w:pPr>
                    <w:widowControl/>
                    <w:spacing w:before="62" w:beforeLines="20" w:after="62" w:afterLines="20"/>
                    <w:jc w:val="center"/>
                    <w:textAlignment w:val="center"/>
                    <w:rPr>
                      <w:rFonts w:ascii="Times New Roman" w:hAnsi="Times New Roman" w:eastAsia="宋体" w:cs="Times New Roman"/>
                      <w:color w:val="auto"/>
                      <w:kern w:val="0"/>
                      <w:sz w:val="21"/>
                      <w:szCs w:val="21"/>
                      <w:lang w:val="en-US" w:eastAsia="zh-CN" w:bidi="ar"/>
                    </w:rPr>
                  </w:pPr>
                  <w:r>
                    <w:rPr>
                      <w:rFonts w:hint="eastAsia"/>
                    </w:rPr>
                    <w:t>2.28</w:t>
                  </w:r>
                </w:p>
              </w:tc>
              <w:tc>
                <w:tcPr>
                  <w:tcW w:w="94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rFonts w:ascii="Times New Roman" w:hAnsi="Times New Roman" w:eastAsia="宋体" w:cs="Times New Roman"/>
                      <w:color w:val="auto"/>
                      <w:kern w:val="2"/>
                      <w:sz w:val="21"/>
                      <w:lang w:val="en-US" w:eastAsia="zh-CN" w:bidi="ar-SA"/>
                    </w:rPr>
                  </w:pPr>
                  <w:r>
                    <w:rPr>
                      <w:rFonts w:hint="eastAsia"/>
                    </w:rPr>
                    <w:t>0.21</w:t>
                  </w:r>
                </w:p>
              </w:tc>
              <w:tc>
                <w:tcPr>
                  <w:tcW w:w="94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before="62" w:beforeLines="20" w:after="62" w:afterLines="20"/>
                    <w:jc w:val="center"/>
                    <w:textAlignment w:val="center"/>
                    <w:rPr>
                      <w:rFonts w:ascii="Times New Roman" w:hAnsi="Times New Roman" w:eastAsia="宋体" w:cs="Times New Roman"/>
                      <w:color w:val="auto"/>
                      <w:kern w:val="2"/>
                      <w:sz w:val="21"/>
                      <w:lang w:val="en-US" w:eastAsia="zh-CN" w:bidi="ar-SA"/>
                    </w:rPr>
                  </w:pPr>
                  <w:r>
                    <w:rPr>
                      <w:rFonts w:hint="eastAsia"/>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17" w:type="pct"/>
                  <w:tcBorders>
                    <w:top w:val="single" w:color="auto" w:sz="4" w:space="0"/>
                    <w:left w:val="nil"/>
                    <w:bottom w:val="single" w:color="auto" w:sz="12" w:space="0"/>
                    <w:right w:val="single" w:color="auto" w:sz="4" w:space="0"/>
                  </w:tcBorders>
                  <w:vAlign w:val="center"/>
                </w:tcPr>
                <w:p>
                  <w:pPr>
                    <w:pStyle w:val="43"/>
                    <w:spacing w:before="62" w:beforeLines="20" w:after="62" w:afterLines="20"/>
                    <w:rPr>
                      <w:color w:val="auto"/>
                      <w:szCs w:val="21"/>
                      <w:lang w:val="en-US"/>
                    </w:rPr>
                  </w:pPr>
                  <w:r>
                    <w:rPr>
                      <w:color w:val="auto"/>
                      <w:szCs w:val="21"/>
                      <w:lang w:val="en-US"/>
                    </w:rPr>
                    <w:t>D10%</w:t>
                  </w:r>
                  <w:r>
                    <w:rPr>
                      <w:rFonts w:hint="eastAsia"/>
                      <w:color w:val="auto"/>
                      <w:szCs w:val="21"/>
                      <w:lang w:val="en-US" w:eastAsia="zh-CN"/>
                    </w:rPr>
                    <w:t>，</w:t>
                  </w:r>
                  <w:r>
                    <w:rPr>
                      <w:color w:val="auto"/>
                      <w:szCs w:val="21"/>
                      <w:lang w:val="en-US"/>
                    </w:rPr>
                    <w:t>m</w:t>
                  </w:r>
                </w:p>
              </w:tc>
              <w:tc>
                <w:tcPr>
                  <w:tcW w:w="944" w:type="pct"/>
                  <w:tcBorders>
                    <w:top w:val="single" w:color="auto" w:sz="4" w:space="0"/>
                    <w:left w:val="single" w:color="auto" w:sz="4" w:space="0"/>
                    <w:bottom w:val="single" w:color="auto" w:sz="12" w:space="0"/>
                    <w:right w:val="nil"/>
                  </w:tcBorders>
                  <w:vAlign w:val="center"/>
                </w:tcPr>
                <w:p>
                  <w:pPr>
                    <w:pStyle w:val="43"/>
                    <w:spacing w:before="62" w:beforeLines="20" w:after="62" w:afterLines="20"/>
                    <w:rPr>
                      <w:color w:val="auto"/>
                      <w:szCs w:val="21"/>
                      <w:lang w:val="en-US"/>
                    </w:rPr>
                  </w:pPr>
                  <w:r>
                    <w:rPr>
                      <w:color w:val="auto"/>
                      <w:szCs w:val="21"/>
                      <w:lang w:val="en-US"/>
                    </w:rPr>
                    <w:t>/</w:t>
                  </w:r>
                </w:p>
              </w:tc>
              <w:tc>
                <w:tcPr>
                  <w:tcW w:w="947" w:type="pct"/>
                  <w:tcBorders>
                    <w:top w:val="single" w:color="auto" w:sz="4" w:space="0"/>
                    <w:left w:val="single" w:color="auto" w:sz="4" w:space="0"/>
                    <w:bottom w:val="single" w:color="auto" w:sz="12" w:space="0"/>
                    <w:right w:val="nil"/>
                  </w:tcBorders>
                  <w:vAlign w:val="center"/>
                </w:tcPr>
                <w:p>
                  <w:pPr>
                    <w:pStyle w:val="43"/>
                    <w:spacing w:before="62" w:beforeLines="20" w:after="62" w:afterLines="20"/>
                    <w:rPr>
                      <w:color w:val="auto"/>
                      <w:szCs w:val="21"/>
                      <w:lang w:val="en-US"/>
                    </w:rPr>
                  </w:pPr>
                  <w:r>
                    <w:rPr>
                      <w:color w:val="auto"/>
                      <w:szCs w:val="21"/>
                      <w:lang w:val="en-US"/>
                    </w:rPr>
                    <w:t>/</w:t>
                  </w:r>
                </w:p>
              </w:tc>
              <w:tc>
                <w:tcPr>
                  <w:tcW w:w="944" w:type="pct"/>
                  <w:tcBorders>
                    <w:top w:val="single" w:color="auto" w:sz="4" w:space="0"/>
                    <w:left w:val="single" w:color="auto" w:sz="4" w:space="0"/>
                    <w:bottom w:val="single" w:color="auto" w:sz="12" w:space="0"/>
                    <w:right w:val="single" w:color="auto" w:sz="4" w:space="0"/>
                  </w:tcBorders>
                  <w:vAlign w:val="center"/>
                </w:tcPr>
                <w:p>
                  <w:pPr>
                    <w:pStyle w:val="43"/>
                    <w:spacing w:before="62" w:beforeLines="20" w:after="62" w:afterLines="20"/>
                    <w:rPr>
                      <w:color w:val="auto"/>
                      <w:szCs w:val="21"/>
                      <w:lang w:val="en-US"/>
                    </w:rPr>
                  </w:pPr>
                  <w:r>
                    <w:rPr>
                      <w:color w:val="auto"/>
                      <w:szCs w:val="21"/>
                      <w:lang w:val="en-US"/>
                    </w:rPr>
                    <w:t>/</w:t>
                  </w:r>
                </w:p>
              </w:tc>
              <w:tc>
                <w:tcPr>
                  <w:tcW w:w="947" w:type="pct"/>
                  <w:tcBorders>
                    <w:top w:val="single" w:color="auto" w:sz="4" w:space="0"/>
                    <w:left w:val="single" w:color="auto" w:sz="4" w:space="0"/>
                    <w:bottom w:val="single" w:color="auto" w:sz="12" w:space="0"/>
                    <w:right w:val="single" w:color="auto" w:sz="4" w:space="0"/>
                  </w:tcBorders>
                  <w:vAlign w:val="center"/>
                </w:tcPr>
                <w:p>
                  <w:pPr>
                    <w:pStyle w:val="43"/>
                    <w:spacing w:before="62" w:beforeLines="20" w:after="62" w:afterLines="20"/>
                    <w:rPr>
                      <w:color w:val="auto"/>
                      <w:szCs w:val="21"/>
                      <w:lang w:val="en-US"/>
                    </w:rPr>
                  </w:pPr>
                  <w:r>
                    <w:rPr>
                      <w:color w:val="auto"/>
                      <w:szCs w:val="21"/>
                      <w:lang w:val="en-US"/>
                    </w:rPr>
                    <w:t>/</w:t>
                  </w:r>
                </w:p>
              </w:tc>
            </w:tr>
          </w:tbl>
          <w:p>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表7-8  项目排放污染物预测结果</w:t>
            </w:r>
          </w:p>
          <w:tbl>
            <w:tblPr>
              <w:tblStyle w:val="17"/>
              <w:tblW w:w="831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221"/>
              <w:gridCol w:w="1204"/>
              <w:gridCol w:w="1192"/>
              <w:gridCol w:w="1064"/>
              <w:gridCol w:w="914"/>
              <w:gridCol w:w="926"/>
              <w:gridCol w:w="103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4"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污染源</w:t>
                  </w:r>
                </w:p>
              </w:tc>
              <w:tc>
                <w:tcPr>
                  <w:tcW w:w="1221"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污染因子</w:t>
                  </w:r>
                </w:p>
              </w:tc>
              <w:tc>
                <w:tcPr>
                  <w:tcW w:w="1204"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最大落地浓度μg/m</w:t>
                  </w:r>
                  <w:r>
                    <w:rPr>
                      <w:b/>
                      <w:bCs/>
                      <w:color w:val="000000" w:themeColor="text1"/>
                      <w:szCs w:val="21"/>
                      <w:vertAlign w:val="superscript"/>
                      <w14:textFill>
                        <w14:solidFill>
                          <w14:schemeClr w14:val="tx1"/>
                        </w14:solidFill>
                      </w14:textFill>
                    </w:rPr>
                    <w:t>3</w:t>
                  </w:r>
                </w:p>
              </w:tc>
              <w:tc>
                <w:tcPr>
                  <w:tcW w:w="1192"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最大落地浓度距离m</w:t>
                  </w:r>
                </w:p>
              </w:tc>
              <w:tc>
                <w:tcPr>
                  <w:tcW w:w="1064"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评价标准</w:t>
                  </w:r>
                </w:p>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μg/m</w:t>
                  </w:r>
                  <w:r>
                    <w:rPr>
                      <w:b/>
                      <w:bCs/>
                      <w:color w:val="000000" w:themeColor="text1"/>
                      <w:szCs w:val="21"/>
                      <w:vertAlign w:val="superscript"/>
                      <w14:textFill>
                        <w14:solidFill>
                          <w14:schemeClr w14:val="tx1"/>
                        </w14:solidFill>
                      </w14:textFill>
                    </w:rPr>
                    <w:t>3</w:t>
                  </w:r>
                </w:p>
              </w:tc>
              <w:tc>
                <w:tcPr>
                  <w:tcW w:w="914"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占标率%</w:t>
                  </w:r>
                </w:p>
              </w:tc>
              <w:tc>
                <w:tcPr>
                  <w:tcW w:w="926"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D10%</w:t>
                  </w:r>
                </w:p>
              </w:tc>
              <w:tc>
                <w:tcPr>
                  <w:tcW w:w="1037"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jc w:val="center"/>
                    <w:textAlignment w:val="auto"/>
                    <w:rPr>
                      <w:b/>
                      <w:bCs/>
                      <w:color w:val="000000" w:themeColor="text1"/>
                      <w:szCs w:val="21"/>
                      <w14:textFill>
                        <w14:solidFill>
                          <w14:schemeClr w14:val="tx1"/>
                        </w14:solidFill>
                      </w14:textFill>
                    </w:rPr>
                  </w:pPr>
                  <w:r>
                    <w:rPr>
                      <w:b/>
                      <w:bCs/>
                      <w:color w:val="000000" w:themeColor="text1"/>
                      <w:szCs w:val="21"/>
                      <w14:textFill>
                        <w14:solidFill>
                          <w14:schemeClr w14:val="tx1"/>
                        </w14:solidFill>
                      </w14:textFill>
                    </w:rPr>
                    <w:t>推荐评价等级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4" w:type="dxa"/>
                  <w:vMerge w:val="restart"/>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auto"/>
                      <w:szCs w:val="21"/>
                      <w:lang w:val="en-US"/>
                    </w:rPr>
                  </w:pPr>
                  <w:r>
                    <w:rPr>
                      <w:rFonts w:hint="eastAsia"/>
                      <w:color w:val="auto"/>
                      <w:szCs w:val="21"/>
                      <w:lang w:val="en-US"/>
                    </w:rPr>
                    <w:t>1#</w:t>
                  </w:r>
                </w:p>
              </w:tc>
              <w:tc>
                <w:tcPr>
                  <w:tcW w:w="1221"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auto"/>
                      <w:szCs w:val="21"/>
                    </w:rPr>
                  </w:pPr>
                  <w:r>
                    <w:rPr>
                      <w:rFonts w:hint="eastAsia"/>
                      <w:color w:val="auto"/>
                      <w:szCs w:val="21"/>
                    </w:rPr>
                    <w:t>颗粒物</w:t>
                  </w:r>
                </w:p>
              </w:tc>
              <w:tc>
                <w:tcPr>
                  <w:tcW w:w="1204"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rFonts w:hint="default" w:eastAsia="宋体"/>
                      <w:color w:val="auto"/>
                      <w:szCs w:val="21"/>
                      <w:lang w:val="en-US" w:eastAsia="zh-CN"/>
                    </w:rPr>
                  </w:pPr>
                  <w:r>
                    <w:rPr>
                      <w:rFonts w:hint="eastAsia"/>
                      <w:color w:val="auto"/>
                      <w:szCs w:val="21"/>
                      <w:lang w:val="en-US" w:eastAsia="zh-CN"/>
                    </w:rPr>
                    <w:t>2.34</w:t>
                  </w:r>
                </w:p>
              </w:tc>
              <w:tc>
                <w:tcPr>
                  <w:tcW w:w="1192"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auto"/>
                      <w:szCs w:val="21"/>
                      <w:lang w:val="en-US"/>
                    </w:rPr>
                  </w:pPr>
                  <w:r>
                    <w:rPr>
                      <w:rFonts w:hint="eastAsia"/>
                      <w:color w:val="auto"/>
                      <w:szCs w:val="21"/>
                      <w:lang w:val="en-US"/>
                    </w:rPr>
                    <w:t>101</w:t>
                  </w:r>
                </w:p>
              </w:tc>
              <w:tc>
                <w:tcPr>
                  <w:tcW w:w="1064"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auto"/>
                      <w:szCs w:val="21"/>
                      <w:lang w:val="en-US"/>
                    </w:rPr>
                  </w:pPr>
                  <w:r>
                    <w:rPr>
                      <w:rFonts w:hint="eastAsia"/>
                      <w:color w:val="auto"/>
                      <w:szCs w:val="21"/>
                      <w:lang w:val="en-US"/>
                    </w:rPr>
                    <w:t>450</w:t>
                  </w:r>
                </w:p>
              </w:tc>
              <w:tc>
                <w:tcPr>
                  <w:tcW w:w="914"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rFonts w:hint="default" w:eastAsia="宋体"/>
                      <w:color w:val="auto"/>
                      <w:szCs w:val="21"/>
                      <w:lang w:val="en-US" w:eastAsia="zh-CN"/>
                    </w:rPr>
                  </w:pPr>
                  <w:r>
                    <w:rPr>
                      <w:rFonts w:hint="eastAsia"/>
                      <w:color w:val="auto"/>
                      <w:szCs w:val="21"/>
                      <w:lang w:val="en-US" w:eastAsia="zh-CN"/>
                    </w:rPr>
                    <w:t>0.52</w:t>
                  </w:r>
                </w:p>
              </w:tc>
              <w:tc>
                <w:tcPr>
                  <w:tcW w:w="926"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auto"/>
                      <w:szCs w:val="21"/>
                      <w:lang w:val="en-US"/>
                    </w:rPr>
                  </w:pPr>
                  <w:r>
                    <w:rPr>
                      <w:rFonts w:hint="eastAsia"/>
                      <w:color w:val="auto"/>
                      <w:szCs w:val="21"/>
                      <w:lang w:val="en-US"/>
                    </w:rPr>
                    <w:t>/</w:t>
                  </w:r>
                </w:p>
              </w:tc>
              <w:tc>
                <w:tcPr>
                  <w:tcW w:w="1037"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auto"/>
                      <w:szCs w:val="21"/>
                    </w:rPr>
                  </w:pPr>
                  <w:r>
                    <w:rPr>
                      <w:rFonts w:hint="eastAsia"/>
                      <w:color w:val="auto"/>
                      <w:szCs w:val="21"/>
                      <w:lang w:val="en-US"/>
                    </w:rPr>
                    <w:t>三</w:t>
                  </w:r>
                  <w:r>
                    <w:rPr>
                      <w:color w:val="auto"/>
                      <w:szCs w:val="21"/>
                    </w:rPr>
                    <w:t>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54" w:type="dxa"/>
                  <w:vMerge w:val="continue"/>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auto"/>
                      <w:szCs w:val="21"/>
                      <w:lang w:val="en-US"/>
                    </w:rPr>
                  </w:pPr>
                </w:p>
              </w:tc>
              <w:tc>
                <w:tcPr>
                  <w:tcW w:w="1221"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auto"/>
                      <w:szCs w:val="21"/>
                      <w:lang w:val="en-US"/>
                    </w:rPr>
                  </w:pPr>
                  <w:r>
                    <w:rPr>
                      <w:rFonts w:hint="eastAsia"/>
                      <w:color w:val="auto"/>
                      <w:szCs w:val="21"/>
                      <w:lang w:val="en-US" w:eastAsia="zh-CN"/>
                    </w:rPr>
                    <w:t>非甲烷总烃</w:t>
                  </w:r>
                </w:p>
              </w:tc>
              <w:tc>
                <w:tcPr>
                  <w:tcW w:w="1204"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rFonts w:hint="default" w:eastAsia="宋体"/>
                      <w:color w:val="auto"/>
                      <w:szCs w:val="21"/>
                      <w:lang w:val="en-US" w:eastAsia="zh-CN"/>
                    </w:rPr>
                  </w:pPr>
                  <w:r>
                    <w:rPr>
                      <w:rFonts w:hint="eastAsia"/>
                      <w:color w:val="auto"/>
                      <w:szCs w:val="21"/>
                      <w:lang w:val="en-US" w:eastAsia="zh-CN"/>
                    </w:rPr>
                    <w:t>0.31</w:t>
                  </w:r>
                </w:p>
              </w:tc>
              <w:tc>
                <w:tcPr>
                  <w:tcW w:w="1192"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auto"/>
                      <w:szCs w:val="21"/>
                      <w:lang w:val="en-US"/>
                    </w:rPr>
                  </w:pPr>
                  <w:r>
                    <w:rPr>
                      <w:rFonts w:hint="eastAsia"/>
                      <w:color w:val="auto"/>
                      <w:szCs w:val="21"/>
                      <w:lang w:val="en-US"/>
                    </w:rPr>
                    <w:t>101</w:t>
                  </w:r>
                </w:p>
              </w:tc>
              <w:tc>
                <w:tcPr>
                  <w:tcW w:w="1064"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auto"/>
                      <w:szCs w:val="21"/>
                      <w:lang w:val="en-US"/>
                    </w:rPr>
                  </w:pPr>
                  <w:r>
                    <w:rPr>
                      <w:rFonts w:hint="eastAsia"/>
                      <w:color w:val="auto"/>
                      <w:szCs w:val="21"/>
                      <w:lang w:val="en-US" w:eastAsia="zh-CN"/>
                    </w:rPr>
                    <w:t>20</w:t>
                  </w:r>
                  <w:r>
                    <w:rPr>
                      <w:rFonts w:hint="eastAsia"/>
                      <w:color w:val="auto"/>
                      <w:szCs w:val="21"/>
                      <w:lang w:val="en-US"/>
                    </w:rPr>
                    <w:t>00</w:t>
                  </w:r>
                </w:p>
              </w:tc>
              <w:tc>
                <w:tcPr>
                  <w:tcW w:w="914"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rFonts w:hint="default" w:eastAsia="宋体"/>
                      <w:color w:val="auto"/>
                      <w:szCs w:val="21"/>
                      <w:lang w:val="en-US" w:eastAsia="zh-CN"/>
                    </w:rPr>
                  </w:pPr>
                  <w:r>
                    <w:rPr>
                      <w:rFonts w:hint="eastAsia"/>
                      <w:color w:val="auto"/>
                      <w:szCs w:val="21"/>
                      <w:lang w:val="en-US"/>
                    </w:rPr>
                    <w:t>0</w:t>
                  </w:r>
                  <w:r>
                    <w:rPr>
                      <w:rFonts w:hint="eastAsia"/>
                      <w:color w:val="auto"/>
                      <w:szCs w:val="21"/>
                      <w:lang w:val="en-US" w:eastAsia="zh-CN"/>
                    </w:rPr>
                    <w:t>.02</w:t>
                  </w:r>
                </w:p>
              </w:tc>
              <w:tc>
                <w:tcPr>
                  <w:tcW w:w="926"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auto"/>
                      <w:szCs w:val="21"/>
                      <w:lang w:val="en-US"/>
                    </w:rPr>
                  </w:pPr>
                  <w:r>
                    <w:rPr>
                      <w:rFonts w:hint="eastAsia"/>
                      <w:color w:val="auto"/>
                      <w:szCs w:val="21"/>
                      <w:lang w:val="en-US"/>
                    </w:rPr>
                    <w:t>/</w:t>
                  </w:r>
                </w:p>
              </w:tc>
              <w:tc>
                <w:tcPr>
                  <w:tcW w:w="1037"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auto"/>
                      <w:szCs w:val="21"/>
                    </w:rPr>
                  </w:pPr>
                  <w:r>
                    <w:rPr>
                      <w:rFonts w:hint="eastAsia"/>
                      <w:color w:val="auto"/>
                      <w:szCs w:val="21"/>
                      <w:lang w:val="en-US"/>
                    </w:rPr>
                    <w:t>三</w:t>
                  </w:r>
                  <w:r>
                    <w:rPr>
                      <w:color w:val="auto"/>
                      <w:szCs w:val="21"/>
                    </w:rPr>
                    <w:t>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54" w:type="dxa"/>
                  <w:vMerge w:val="continue"/>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auto"/>
                      <w:szCs w:val="21"/>
                      <w:lang w:val="en-US"/>
                    </w:rPr>
                  </w:pPr>
                </w:p>
              </w:tc>
              <w:tc>
                <w:tcPr>
                  <w:tcW w:w="1221"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color w:val="auto"/>
                      <w:szCs w:val="21"/>
                      <w:lang w:val="en-US"/>
                    </w:rPr>
                  </w:pPr>
                  <w:r>
                    <w:rPr>
                      <w:rFonts w:hint="eastAsia"/>
                      <w:color w:val="auto"/>
                      <w:szCs w:val="21"/>
                      <w:lang w:val="en-US" w:eastAsia="zh-CN"/>
                    </w:rPr>
                    <w:t>SO</w:t>
                  </w:r>
                  <w:r>
                    <w:rPr>
                      <w:rFonts w:hint="eastAsia"/>
                      <w:color w:val="auto"/>
                      <w:szCs w:val="21"/>
                      <w:vertAlign w:val="subscript"/>
                      <w:lang w:val="en-US" w:eastAsia="zh-CN"/>
                    </w:rPr>
                    <w:t>2</w:t>
                  </w:r>
                </w:p>
              </w:tc>
              <w:tc>
                <w:tcPr>
                  <w:tcW w:w="1204"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rFonts w:hint="default" w:eastAsia="宋体"/>
                      <w:color w:val="auto"/>
                      <w:szCs w:val="21"/>
                      <w:lang w:val="en-US" w:eastAsia="zh-CN"/>
                    </w:rPr>
                  </w:pPr>
                  <w:r>
                    <w:rPr>
                      <w:rFonts w:hint="eastAsia"/>
                      <w:color w:val="auto"/>
                      <w:szCs w:val="21"/>
                      <w:lang w:val="en-US" w:eastAsia="zh-CN"/>
                    </w:rPr>
                    <w:t>1.02</w:t>
                  </w:r>
                </w:p>
              </w:tc>
              <w:tc>
                <w:tcPr>
                  <w:tcW w:w="1192"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auto"/>
                      <w:szCs w:val="21"/>
                      <w:lang w:val="en-US"/>
                    </w:rPr>
                  </w:pPr>
                  <w:r>
                    <w:rPr>
                      <w:rFonts w:hint="eastAsia"/>
                      <w:color w:val="auto"/>
                      <w:szCs w:val="21"/>
                      <w:lang w:val="en-US"/>
                    </w:rPr>
                    <w:t>101</w:t>
                  </w:r>
                </w:p>
              </w:tc>
              <w:tc>
                <w:tcPr>
                  <w:tcW w:w="1064"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rFonts w:hint="eastAsia" w:eastAsia="宋体"/>
                      <w:color w:val="auto"/>
                      <w:szCs w:val="21"/>
                      <w:lang w:val="en-US" w:eastAsia="zh-CN"/>
                    </w:rPr>
                  </w:pPr>
                  <w:r>
                    <w:rPr>
                      <w:rFonts w:hint="eastAsia"/>
                      <w:color w:val="auto"/>
                      <w:szCs w:val="21"/>
                      <w:lang w:val="en-US"/>
                    </w:rPr>
                    <w:t>50</w:t>
                  </w:r>
                  <w:r>
                    <w:rPr>
                      <w:rFonts w:hint="eastAsia"/>
                      <w:color w:val="auto"/>
                      <w:szCs w:val="21"/>
                      <w:lang w:val="en-US" w:eastAsia="zh-CN"/>
                    </w:rPr>
                    <w:t>0</w:t>
                  </w:r>
                </w:p>
              </w:tc>
              <w:tc>
                <w:tcPr>
                  <w:tcW w:w="914"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rFonts w:hint="default" w:eastAsia="宋体"/>
                      <w:color w:val="auto"/>
                      <w:szCs w:val="21"/>
                      <w:lang w:val="en-US" w:eastAsia="zh-CN"/>
                    </w:rPr>
                  </w:pPr>
                  <w:r>
                    <w:rPr>
                      <w:rFonts w:hint="eastAsia"/>
                      <w:color w:val="auto"/>
                      <w:kern w:val="0"/>
                      <w:szCs w:val="21"/>
                      <w:lang w:val="en-US" w:eastAsia="zh-CN" w:bidi="ar"/>
                    </w:rPr>
                    <w:t>0.20</w:t>
                  </w:r>
                </w:p>
              </w:tc>
              <w:tc>
                <w:tcPr>
                  <w:tcW w:w="926"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auto"/>
                      <w:szCs w:val="21"/>
                      <w:lang w:val="en-US"/>
                    </w:rPr>
                  </w:pPr>
                  <w:r>
                    <w:rPr>
                      <w:rFonts w:hint="eastAsia"/>
                      <w:color w:val="auto"/>
                      <w:szCs w:val="21"/>
                      <w:lang w:val="en-US"/>
                    </w:rPr>
                    <w:t>/</w:t>
                  </w:r>
                </w:p>
              </w:tc>
              <w:tc>
                <w:tcPr>
                  <w:tcW w:w="1037"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auto"/>
                      <w:szCs w:val="21"/>
                      <w:lang w:val="en-US"/>
                    </w:rPr>
                  </w:pPr>
                  <w:r>
                    <w:rPr>
                      <w:rFonts w:hint="eastAsia"/>
                      <w:color w:val="auto"/>
                      <w:szCs w:val="21"/>
                      <w:lang w:val="en-US"/>
                    </w:rPr>
                    <w:t>三</w:t>
                  </w:r>
                  <w:r>
                    <w:rPr>
                      <w:color w:val="auto"/>
                      <w:szCs w:val="21"/>
                    </w:rPr>
                    <w:t>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754" w:type="dxa"/>
                  <w:vMerge w:val="continue"/>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auto"/>
                      <w:szCs w:val="21"/>
                      <w:lang w:val="en-US"/>
                    </w:rPr>
                  </w:pPr>
                </w:p>
              </w:tc>
              <w:tc>
                <w:tcPr>
                  <w:tcW w:w="1221" w:type="dxa"/>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color w:val="auto"/>
                      <w:szCs w:val="21"/>
                      <w:lang w:val="en-US"/>
                    </w:rPr>
                  </w:pPr>
                  <w:r>
                    <w:rPr>
                      <w:rFonts w:hint="eastAsia"/>
                      <w:color w:val="auto"/>
                      <w:szCs w:val="21"/>
                      <w:lang w:val="en-US" w:eastAsia="zh-CN"/>
                    </w:rPr>
                    <w:t>NOx</w:t>
                  </w:r>
                </w:p>
              </w:tc>
              <w:tc>
                <w:tcPr>
                  <w:tcW w:w="1204"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rFonts w:hint="default" w:eastAsia="宋体"/>
                      <w:color w:val="auto"/>
                      <w:szCs w:val="21"/>
                      <w:lang w:val="en-US" w:eastAsia="zh-CN"/>
                    </w:rPr>
                  </w:pPr>
                  <w:r>
                    <w:rPr>
                      <w:rFonts w:hint="eastAsia"/>
                      <w:color w:val="auto"/>
                      <w:szCs w:val="21"/>
                      <w:lang w:val="en-US" w:eastAsia="zh-CN"/>
                    </w:rPr>
                    <w:t>1.73</w:t>
                  </w:r>
                </w:p>
              </w:tc>
              <w:tc>
                <w:tcPr>
                  <w:tcW w:w="1192"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auto"/>
                      <w:szCs w:val="21"/>
                      <w:lang w:val="en-US"/>
                    </w:rPr>
                  </w:pPr>
                  <w:r>
                    <w:rPr>
                      <w:rFonts w:hint="eastAsia"/>
                      <w:color w:val="auto"/>
                      <w:szCs w:val="21"/>
                      <w:lang w:val="en-US"/>
                    </w:rPr>
                    <w:t>101</w:t>
                  </w:r>
                </w:p>
              </w:tc>
              <w:tc>
                <w:tcPr>
                  <w:tcW w:w="1064"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rFonts w:hint="default" w:eastAsia="宋体"/>
                      <w:color w:val="auto"/>
                      <w:szCs w:val="21"/>
                      <w:lang w:val="en-US" w:eastAsia="zh-CN"/>
                    </w:rPr>
                  </w:pPr>
                  <w:r>
                    <w:rPr>
                      <w:rFonts w:hint="eastAsia"/>
                      <w:color w:val="auto"/>
                      <w:szCs w:val="21"/>
                      <w:lang w:val="en-US" w:eastAsia="zh-CN"/>
                    </w:rPr>
                    <w:t>250</w:t>
                  </w:r>
                </w:p>
              </w:tc>
              <w:tc>
                <w:tcPr>
                  <w:tcW w:w="914"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rFonts w:hint="default" w:eastAsia="宋体"/>
                      <w:color w:val="auto"/>
                      <w:szCs w:val="21"/>
                      <w:lang w:val="en-US" w:eastAsia="zh-CN"/>
                    </w:rPr>
                  </w:pPr>
                  <w:r>
                    <w:rPr>
                      <w:rFonts w:hint="eastAsia"/>
                      <w:color w:val="auto"/>
                      <w:szCs w:val="21"/>
                      <w:lang w:val="en-US"/>
                    </w:rPr>
                    <w:t>0.</w:t>
                  </w:r>
                  <w:r>
                    <w:rPr>
                      <w:rFonts w:hint="eastAsia"/>
                      <w:color w:val="auto"/>
                      <w:szCs w:val="21"/>
                      <w:lang w:val="en-US" w:eastAsia="zh-CN"/>
                    </w:rPr>
                    <w:t>87</w:t>
                  </w:r>
                </w:p>
              </w:tc>
              <w:tc>
                <w:tcPr>
                  <w:tcW w:w="926"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auto"/>
                      <w:szCs w:val="21"/>
                      <w:lang w:val="en-US"/>
                    </w:rPr>
                  </w:pPr>
                  <w:r>
                    <w:rPr>
                      <w:rFonts w:hint="eastAsia"/>
                      <w:color w:val="auto"/>
                      <w:szCs w:val="21"/>
                      <w:lang w:val="en-US"/>
                    </w:rPr>
                    <w:t>/</w:t>
                  </w:r>
                </w:p>
              </w:tc>
              <w:tc>
                <w:tcPr>
                  <w:tcW w:w="1037"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auto"/>
                      <w:szCs w:val="21"/>
                      <w:lang w:val="en-US"/>
                    </w:rPr>
                  </w:pPr>
                  <w:r>
                    <w:rPr>
                      <w:rFonts w:hint="eastAsia"/>
                      <w:color w:val="auto"/>
                      <w:szCs w:val="21"/>
                      <w:lang w:val="en-US"/>
                    </w:rPr>
                    <w:t>三</w:t>
                  </w:r>
                  <w:r>
                    <w:rPr>
                      <w:color w:val="auto"/>
                      <w:szCs w:val="21"/>
                    </w:rPr>
                    <w:t>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754" w:type="dxa"/>
                  <w:vMerge w:val="restart"/>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auto"/>
                      <w:szCs w:val="21"/>
                    </w:rPr>
                  </w:pPr>
                  <w:r>
                    <w:rPr>
                      <w:color w:val="auto"/>
                      <w:szCs w:val="21"/>
                    </w:rPr>
                    <w:t>生产车间</w:t>
                  </w:r>
                </w:p>
              </w:tc>
              <w:tc>
                <w:tcPr>
                  <w:tcW w:w="1221"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auto"/>
                      <w:szCs w:val="21"/>
                    </w:rPr>
                  </w:pPr>
                  <w:r>
                    <w:rPr>
                      <w:rFonts w:hint="eastAsia"/>
                      <w:color w:val="auto"/>
                      <w:szCs w:val="21"/>
                    </w:rPr>
                    <w:t>颗粒物</w:t>
                  </w:r>
                </w:p>
              </w:tc>
              <w:tc>
                <w:tcPr>
                  <w:tcW w:w="1204"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rFonts w:hint="default" w:eastAsia="宋体"/>
                      <w:color w:val="auto"/>
                      <w:szCs w:val="21"/>
                      <w:lang w:val="en-US" w:eastAsia="zh-CN"/>
                    </w:rPr>
                  </w:pPr>
                  <w:r>
                    <w:rPr>
                      <w:rFonts w:hint="eastAsia"/>
                      <w:color w:val="auto"/>
                      <w:szCs w:val="21"/>
                      <w:lang w:val="en-US" w:eastAsia="zh-CN"/>
                    </w:rPr>
                    <w:t>10.28</w:t>
                  </w:r>
                </w:p>
              </w:tc>
              <w:tc>
                <w:tcPr>
                  <w:tcW w:w="1192"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rFonts w:hint="default" w:eastAsia="宋体"/>
                      <w:color w:val="auto"/>
                      <w:szCs w:val="21"/>
                      <w:lang w:val="en-US" w:eastAsia="zh-CN"/>
                    </w:rPr>
                  </w:pPr>
                  <w:r>
                    <w:rPr>
                      <w:rFonts w:hint="eastAsia"/>
                      <w:color w:val="auto"/>
                      <w:szCs w:val="21"/>
                      <w:lang w:val="en-US" w:eastAsia="zh-CN"/>
                    </w:rPr>
                    <w:t>40</w:t>
                  </w:r>
                </w:p>
              </w:tc>
              <w:tc>
                <w:tcPr>
                  <w:tcW w:w="1064"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auto"/>
                      <w:szCs w:val="21"/>
                      <w:lang w:val="en-US"/>
                    </w:rPr>
                  </w:pPr>
                  <w:r>
                    <w:rPr>
                      <w:rFonts w:hint="eastAsia"/>
                      <w:color w:val="auto"/>
                      <w:szCs w:val="21"/>
                      <w:lang w:val="en-US"/>
                    </w:rPr>
                    <w:t>450</w:t>
                  </w:r>
                </w:p>
              </w:tc>
              <w:tc>
                <w:tcPr>
                  <w:tcW w:w="914"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rFonts w:hint="default" w:eastAsia="宋体"/>
                      <w:color w:val="auto"/>
                      <w:szCs w:val="21"/>
                      <w:lang w:val="en-US" w:eastAsia="zh-CN"/>
                    </w:rPr>
                  </w:pPr>
                  <w:r>
                    <w:rPr>
                      <w:rFonts w:hint="eastAsia"/>
                      <w:color w:val="auto"/>
                      <w:szCs w:val="21"/>
                      <w:lang w:val="en-US" w:eastAsia="zh-CN"/>
                    </w:rPr>
                    <w:t>2.28</w:t>
                  </w:r>
                </w:p>
              </w:tc>
              <w:tc>
                <w:tcPr>
                  <w:tcW w:w="926"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auto"/>
                      <w:szCs w:val="21"/>
                      <w:lang w:val="en-US"/>
                    </w:rPr>
                  </w:pPr>
                  <w:r>
                    <w:rPr>
                      <w:rFonts w:hint="eastAsia"/>
                      <w:color w:val="auto"/>
                      <w:szCs w:val="21"/>
                      <w:lang w:val="en-US"/>
                    </w:rPr>
                    <w:t>/</w:t>
                  </w:r>
                </w:p>
              </w:tc>
              <w:tc>
                <w:tcPr>
                  <w:tcW w:w="1037"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auto"/>
                      <w:szCs w:val="21"/>
                    </w:rPr>
                  </w:pPr>
                  <w:r>
                    <w:rPr>
                      <w:rFonts w:hint="eastAsia"/>
                      <w:color w:val="auto"/>
                      <w:szCs w:val="21"/>
                      <w:lang w:val="en-US" w:eastAsia="zh-CN"/>
                    </w:rPr>
                    <w:t>二</w:t>
                  </w:r>
                  <w:r>
                    <w:rPr>
                      <w:color w:val="auto"/>
                      <w:szCs w:val="21"/>
                    </w:rPr>
                    <w:t>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754" w:type="dxa"/>
                  <w:vMerge w:val="continue"/>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000000" w:themeColor="text1"/>
                      <w:szCs w:val="21"/>
                      <w14:textFill>
                        <w14:solidFill>
                          <w14:schemeClr w14:val="tx1"/>
                        </w14:solidFill>
                      </w14:textFill>
                    </w:rPr>
                  </w:pPr>
                </w:p>
              </w:tc>
              <w:tc>
                <w:tcPr>
                  <w:tcW w:w="1221"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非甲烷总烃</w:t>
                  </w:r>
                </w:p>
              </w:tc>
              <w:tc>
                <w:tcPr>
                  <w:tcW w:w="1204"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0.21</w:t>
                  </w:r>
                </w:p>
              </w:tc>
              <w:tc>
                <w:tcPr>
                  <w:tcW w:w="1192"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40</w:t>
                  </w:r>
                </w:p>
              </w:tc>
              <w:tc>
                <w:tcPr>
                  <w:tcW w:w="1064"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2000</w:t>
                  </w:r>
                </w:p>
              </w:tc>
              <w:tc>
                <w:tcPr>
                  <w:tcW w:w="914"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14:textFill>
                        <w14:solidFill>
                          <w14:schemeClr w14:val="tx1"/>
                        </w14:solidFill>
                      </w14:textFill>
                    </w:rPr>
                    <w:t>0.</w:t>
                  </w:r>
                  <w:r>
                    <w:rPr>
                      <w:rFonts w:hint="eastAsia"/>
                      <w:color w:val="000000" w:themeColor="text1"/>
                      <w:szCs w:val="21"/>
                      <w:lang w:val="en-US" w:eastAsia="zh-CN"/>
                      <w14:textFill>
                        <w14:solidFill>
                          <w14:schemeClr w14:val="tx1"/>
                        </w14:solidFill>
                      </w14:textFill>
                    </w:rPr>
                    <w:t>01</w:t>
                  </w:r>
                </w:p>
              </w:tc>
              <w:tc>
                <w:tcPr>
                  <w:tcW w:w="926"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000000" w:themeColor="text1"/>
                      <w:szCs w:val="21"/>
                      <w:lang w:val="en-US"/>
                      <w14:textFill>
                        <w14:solidFill>
                          <w14:schemeClr w14:val="tx1"/>
                        </w14:solidFill>
                      </w14:textFill>
                    </w:rPr>
                  </w:pPr>
                  <w:r>
                    <w:rPr>
                      <w:rFonts w:hint="eastAsia"/>
                      <w:color w:val="000000" w:themeColor="text1"/>
                      <w:szCs w:val="21"/>
                      <w:lang w:val="en-US"/>
                      <w14:textFill>
                        <w14:solidFill>
                          <w14:schemeClr w14:val="tx1"/>
                        </w14:solidFill>
                      </w14:textFill>
                    </w:rPr>
                    <w:t>/</w:t>
                  </w:r>
                </w:p>
              </w:tc>
              <w:tc>
                <w:tcPr>
                  <w:tcW w:w="1037" w:type="dxa"/>
                  <w:vAlign w:val="center"/>
                </w:tcPr>
                <w:p>
                  <w:pPr>
                    <w:pStyle w:val="43"/>
                    <w:keepNext w:val="0"/>
                    <w:keepLines w:val="0"/>
                    <w:pageBreakBefore w:val="0"/>
                    <w:widowControl w:val="0"/>
                    <w:kinsoku/>
                    <w:wordWrap/>
                    <w:overflowPunct/>
                    <w:topLinePunct w:val="0"/>
                    <w:autoSpaceDE/>
                    <w:autoSpaceDN/>
                    <w:bidi w:val="0"/>
                    <w:adjustRightInd w:val="0"/>
                    <w:snapToGrid w:val="0"/>
                    <w:spacing w:before="63" w:beforeLines="20" w:after="63" w:afterLines="20"/>
                    <w:textAlignment w:val="auto"/>
                    <w:rPr>
                      <w:color w:val="000000" w:themeColor="text1"/>
                      <w:szCs w:val="21"/>
                      <w:lang w:val="en-US"/>
                      <w14:textFill>
                        <w14:solidFill>
                          <w14:schemeClr w14:val="tx1"/>
                        </w14:solidFill>
                      </w14:textFill>
                    </w:rPr>
                  </w:pPr>
                  <w:r>
                    <w:rPr>
                      <w:rFonts w:hint="eastAsia"/>
                      <w:color w:val="000000" w:themeColor="text1"/>
                      <w:szCs w:val="21"/>
                      <w:lang w:val="en-US"/>
                      <w14:textFill>
                        <w14:solidFill>
                          <w14:schemeClr w14:val="tx1"/>
                        </w14:solidFill>
                      </w14:textFill>
                    </w:rPr>
                    <w:t>三</w:t>
                  </w:r>
                  <w:r>
                    <w:rPr>
                      <w:color w:val="000000" w:themeColor="text1"/>
                      <w:szCs w:val="21"/>
                      <w14:textFill>
                        <w14:solidFill>
                          <w14:schemeClr w14:val="tx1"/>
                        </w14:solidFill>
                      </w14:textFill>
                    </w:rPr>
                    <w:t>级</w:t>
                  </w:r>
                </w:p>
              </w:tc>
            </w:tr>
          </w:tbl>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由上表可知，</w:t>
            </w:r>
            <w:r>
              <w:rPr>
                <w:rFonts w:hint="eastAsia"/>
                <w:color w:val="000000" w:themeColor="text1"/>
                <w:sz w:val="24"/>
                <w14:textFill>
                  <w14:solidFill>
                    <w14:schemeClr w14:val="tx1"/>
                  </w14:solidFill>
                </w14:textFill>
              </w:rPr>
              <w:t>本项目评价等级应为二级，</w:t>
            </w:r>
            <w:r>
              <w:rPr>
                <w:color w:val="000000" w:themeColor="text1"/>
                <w:sz w:val="24"/>
                <w14:textFill>
                  <w14:solidFill>
                    <w14:schemeClr w14:val="tx1"/>
                  </w14:solidFill>
                </w14:textFill>
              </w:rPr>
              <w:t>项目各废气污染因子最大落地浓度占标率</w:t>
            </w:r>
            <w:r>
              <w:rPr>
                <w:rFonts w:hint="eastAsia"/>
                <w:color w:val="000000" w:themeColor="text1"/>
                <w:sz w:val="24"/>
                <w14:textFill>
                  <w14:solidFill>
                    <w14:schemeClr w14:val="tx1"/>
                  </w14:solidFill>
                </w14:textFill>
              </w:rPr>
              <w:t>均小于10</w:t>
            </w:r>
            <w:r>
              <w:rPr>
                <w:color w:val="000000" w:themeColor="text1"/>
                <w:sz w:val="24"/>
                <w14:textFill>
                  <w14:solidFill>
                    <w14:schemeClr w14:val="tx1"/>
                  </w14:solidFill>
                </w14:textFill>
              </w:rPr>
              <w:t>%，</w:t>
            </w:r>
            <w:r>
              <w:rPr>
                <w:rFonts w:hint="eastAsia"/>
                <w:color w:val="000000" w:themeColor="text1"/>
                <w:sz w:val="24"/>
                <w14:textFill>
                  <w14:solidFill>
                    <w14:schemeClr w14:val="tx1"/>
                  </w14:solidFill>
                </w14:textFill>
              </w:rPr>
              <w:t>占标率</w:t>
            </w:r>
            <w:r>
              <w:rPr>
                <w:color w:val="000000" w:themeColor="text1"/>
                <w:sz w:val="24"/>
                <w14:textFill>
                  <w14:solidFill>
                    <w14:schemeClr w14:val="tx1"/>
                  </w14:solidFill>
                </w14:textFill>
              </w:rPr>
              <w:t>较小，对周边环境影响</w:t>
            </w:r>
            <w:r>
              <w:rPr>
                <w:rFonts w:hint="eastAsia"/>
                <w:color w:val="000000" w:themeColor="text1"/>
                <w:sz w:val="24"/>
                <w14:textFill>
                  <w14:solidFill>
                    <w14:schemeClr w14:val="tx1"/>
                  </w14:solidFill>
                </w14:textFill>
              </w:rPr>
              <w:t>可接受，不需要进一步预测</w:t>
            </w:r>
            <w:r>
              <w:rPr>
                <w:color w:val="000000" w:themeColor="text1"/>
                <w:sz w:val="24"/>
                <w14:textFill>
                  <w14:solidFill>
                    <w14:schemeClr w14:val="tx1"/>
                  </w14:solidFill>
                </w14:textFill>
              </w:rPr>
              <w:t>。</w:t>
            </w:r>
          </w:p>
          <w:p>
            <w:pPr>
              <w:spacing w:line="360" w:lineRule="auto"/>
              <w:ind w:firstLine="480"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（3）污染物排放量核算</w:t>
            </w:r>
          </w:p>
          <w:p>
            <w:pPr>
              <w:jc w:val="center"/>
              <w:rPr>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表7-9  大气污染物有组织排放量核算表</w:t>
            </w:r>
          </w:p>
          <w:tbl>
            <w:tblPr>
              <w:tblStyle w:val="17"/>
              <w:tblW w:w="831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85"/>
              <w:gridCol w:w="850"/>
              <w:gridCol w:w="801"/>
              <w:gridCol w:w="1373"/>
              <w:gridCol w:w="1710"/>
              <w:gridCol w:w="1410"/>
              <w:gridCol w:w="158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585" w:type="dxa"/>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before="63" w:beforeLines="20" w:after="63" w:afterLines="20" w:line="240" w:lineRule="auto"/>
                    <w:ind w:left="0" w:leftChars="0" w:right="0" w:rightChars="0"/>
                    <w:jc w:val="center"/>
                    <w:textAlignment w:val="auto"/>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序号</w:t>
                  </w:r>
                </w:p>
              </w:tc>
              <w:tc>
                <w:tcPr>
                  <w:tcW w:w="850" w:type="dxa"/>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line="240" w:lineRule="auto"/>
                    <w:ind w:left="0" w:leftChars="0" w:right="0" w:rightChars="0"/>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排放口</w:t>
                  </w:r>
                </w:p>
                <w:p>
                  <w:pPr>
                    <w:keepNext w:val="0"/>
                    <w:keepLines w:val="0"/>
                    <w:pageBreakBefore w:val="0"/>
                    <w:widowControl/>
                    <w:kinsoku/>
                    <w:wordWrap/>
                    <w:overflowPunct/>
                    <w:topLinePunct w:val="0"/>
                    <w:autoSpaceDE/>
                    <w:autoSpaceDN/>
                    <w:bidi w:val="0"/>
                    <w:spacing w:before="63" w:beforeLines="20" w:after="63" w:afterLines="20" w:line="240" w:lineRule="auto"/>
                    <w:ind w:left="0" w:leftChars="0" w:right="0" w:rightChars="0"/>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编号</w:t>
                  </w:r>
                </w:p>
              </w:tc>
              <w:tc>
                <w:tcPr>
                  <w:tcW w:w="801" w:type="dxa"/>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line="240" w:lineRule="auto"/>
                    <w:ind w:left="0" w:leftChars="0" w:right="0" w:rightChars="0"/>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污染物</w:t>
                  </w:r>
                </w:p>
              </w:tc>
              <w:tc>
                <w:tcPr>
                  <w:tcW w:w="1373" w:type="dxa"/>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line="240" w:lineRule="auto"/>
                    <w:ind w:left="0" w:leftChars="0" w:right="0" w:rightChars="0"/>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主要污染防治措施</w:t>
                  </w:r>
                </w:p>
              </w:tc>
              <w:tc>
                <w:tcPr>
                  <w:tcW w:w="1710" w:type="dxa"/>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line="240" w:lineRule="auto"/>
                    <w:ind w:left="0" w:leftChars="0" w:right="0" w:rightChars="0"/>
                    <w:jc w:val="center"/>
                    <w:rPr>
                      <w:b/>
                      <w:kern w:val="0"/>
                      <w:szCs w:val="21"/>
                    </w:rPr>
                  </w:pPr>
                  <w:r>
                    <w:rPr>
                      <w:b/>
                      <w:kern w:val="0"/>
                      <w:szCs w:val="21"/>
                    </w:rPr>
                    <w:t>核算排放浓度/（</w:t>
                  </w:r>
                  <w:r>
                    <w:rPr>
                      <w:rFonts w:hint="eastAsia"/>
                      <w:b/>
                      <w:kern w:val="0"/>
                      <w:szCs w:val="21"/>
                    </w:rPr>
                    <w:t>m</w:t>
                  </w:r>
                  <w:r>
                    <w:rPr>
                      <w:b/>
                      <w:kern w:val="0"/>
                      <w:szCs w:val="21"/>
                    </w:rPr>
                    <w:t>g/m</w:t>
                  </w:r>
                  <w:r>
                    <w:rPr>
                      <w:b/>
                      <w:kern w:val="0"/>
                      <w:szCs w:val="21"/>
                      <w:vertAlign w:val="superscript"/>
                    </w:rPr>
                    <w:t>3</w:t>
                  </w:r>
                  <w:r>
                    <w:rPr>
                      <w:b/>
                      <w:kern w:val="0"/>
                      <w:szCs w:val="21"/>
                    </w:rPr>
                    <w:t>）</w:t>
                  </w:r>
                </w:p>
              </w:tc>
              <w:tc>
                <w:tcPr>
                  <w:tcW w:w="1410" w:type="dxa"/>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line="240" w:lineRule="auto"/>
                    <w:ind w:left="0" w:leftChars="0" w:right="0" w:rightChars="0"/>
                    <w:jc w:val="center"/>
                    <w:rPr>
                      <w:b/>
                      <w:kern w:val="0"/>
                      <w:szCs w:val="21"/>
                    </w:rPr>
                  </w:pPr>
                  <w:r>
                    <w:rPr>
                      <w:b/>
                      <w:kern w:val="0"/>
                      <w:szCs w:val="21"/>
                    </w:rPr>
                    <w:t>核算排放速率/（kg/h）</w:t>
                  </w:r>
                </w:p>
              </w:tc>
              <w:tc>
                <w:tcPr>
                  <w:tcW w:w="1583" w:type="dxa"/>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line="240" w:lineRule="auto"/>
                    <w:ind w:left="0" w:leftChars="0" w:right="0" w:rightChars="0"/>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核算年排放量/（t/a）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312" w:type="dxa"/>
                  <w:gridSpan w:val="7"/>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line="240" w:lineRule="auto"/>
                    <w:ind w:left="0" w:leftChars="0" w:right="0" w:rightChars="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一般排放口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85" w:type="dxa"/>
                  <w:vMerge w:val="restart"/>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line="240" w:lineRule="auto"/>
                    <w:ind w:left="0" w:leftChars="0" w:right="0" w:rightChars="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w:t>
                  </w:r>
                </w:p>
                <w:p>
                  <w:pPr>
                    <w:keepNext w:val="0"/>
                    <w:keepLines w:val="0"/>
                    <w:pageBreakBefore w:val="0"/>
                    <w:widowControl/>
                    <w:kinsoku/>
                    <w:wordWrap/>
                    <w:overflowPunct/>
                    <w:topLinePunct w:val="0"/>
                    <w:autoSpaceDE/>
                    <w:autoSpaceDN/>
                    <w:bidi w:val="0"/>
                    <w:spacing w:before="63" w:beforeLines="20" w:after="63" w:afterLines="20" w:line="240" w:lineRule="auto"/>
                    <w:ind w:left="0" w:leftChars="0" w:right="0" w:rightChars="0"/>
                    <w:jc w:val="center"/>
                  </w:pPr>
                </w:p>
                <w:p>
                  <w:pPr>
                    <w:pStyle w:val="9"/>
                    <w:keepNext w:val="0"/>
                    <w:keepLines w:val="0"/>
                    <w:pageBreakBefore w:val="0"/>
                    <w:kinsoku/>
                    <w:wordWrap/>
                    <w:overflowPunct/>
                    <w:topLinePunct w:val="0"/>
                    <w:autoSpaceDE/>
                    <w:autoSpaceDN/>
                    <w:bidi w:val="0"/>
                    <w:spacing w:before="63" w:beforeLines="20" w:after="63" w:afterLines="20" w:line="240" w:lineRule="auto"/>
                    <w:ind w:left="0" w:leftChars="0" w:right="0" w:rightChars="0" w:firstLine="560"/>
                  </w:pPr>
                </w:p>
              </w:tc>
              <w:tc>
                <w:tcPr>
                  <w:tcW w:w="850" w:type="dxa"/>
                  <w:vMerge w:val="restart"/>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line="240" w:lineRule="auto"/>
                    <w:ind w:left="0" w:leftChars="0" w:right="0" w:rightChars="0"/>
                    <w:jc w:val="center"/>
                  </w:pPr>
                  <w:r>
                    <w:rPr>
                      <w:rFonts w:hint="eastAsia"/>
                      <w:color w:val="000000" w:themeColor="text1"/>
                      <w:kern w:val="0"/>
                      <w:szCs w:val="21"/>
                      <w14:textFill>
                        <w14:solidFill>
                          <w14:schemeClr w14:val="tx1"/>
                        </w14:solidFill>
                      </w14:textFill>
                    </w:rPr>
                    <w:t>1</w:t>
                  </w:r>
                  <w:r>
                    <w:rPr>
                      <w:color w:val="000000" w:themeColor="text1"/>
                      <w:kern w:val="0"/>
                      <w:szCs w:val="21"/>
                      <w14:textFill>
                        <w14:solidFill>
                          <w14:schemeClr w14:val="tx1"/>
                        </w14:solidFill>
                      </w14:textFill>
                    </w:rPr>
                    <w:t>#</w:t>
                  </w:r>
                </w:p>
              </w:tc>
              <w:tc>
                <w:tcPr>
                  <w:tcW w:w="801" w:type="dxa"/>
                  <w:tcBorders>
                    <w:tl2br w:val="nil"/>
                    <w:tr2bl w:val="nil"/>
                  </w:tcBorders>
                  <w:vAlign w:val="center"/>
                </w:tcPr>
                <w:p>
                  <w:pPr>
                    <w:pStyle w:val="43"/>
                    <w:keepNext w:val="0"/>
                    <w:keepLines w:val="0"/>
                    <w:pageBreakBefore w:val="0"/>
                    <w:kinsoku/>
                    <w:wordWrap/>
                    <w:overflowPunct/>
                    <w:topLinePunct w:val="0"/>
                    <w:autoSpaceDE/>
                    <w:autoSpaceDN/>
                    <w:bidi w:val="0"/>
                    <w:spacing w:before="63" w:beforeLines="20" w:after="63" w:afterLines="20" w:line="240" w:lineRule="auto"/>
                    <w:ind w:left="0" w:leftChars="0" w:right="0" w:rightChars="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w:t>
                  </w:r>
                </w:p>
              </w:tc>
              <w:tc>
                <w:tcPr>
                  <w:tcW w:w="1373" w:type="dxa"/>
                  <w:tcBorders>
                    <w:tl2br w:val="nil"/>
                    <w:tr2bl w:val="nil"/>
                  </w:tcBorders>
                  <w:vAlign w:val="center"/>
                </w:tcPr>
                <w:p>
                  <w:pPr>
                    <w:keepNext w:val="0"/>
                    <w:keepLines w:val="0"/>
                    <w:pageBreakBefore w:val="0"/>
                    <w:kinsoku/>
                    <w:wordWrap/>
                    <w:overflowPunct/>
                    <w:topLinePunct w:val="0"/>
                    <w:autoSpaceDE/>
                    <w:autoSpaceDN/>
                    <w:bidi w:val="0"/>
                    <w:spacing w:before="63" w:beforeLines="20" w:after="63" w:afterLines="20" w:line="240" w:lineRule="auto"/>
                    <w:ind w:left="0" w:leftChars="0" w:right="0" w:rightChars="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滤芯除尘器</w:t>
                  </w:r>
                </w:p>
              </w:tc>
              <w:tc>
                <w:tcPr>
                  <w:tcW w:w="17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line="240" w:lineRule="auto"/>
                    <w:ind w:left="0" w:leftChars="0" w:right="0" w:rightChars="0"/>
                    <w:jc w:val="center"/>
                    <w:textAlignment w:val="center"/>
                    <w:rPr>
                      <w:rFonts w:hint="default"/>
                      <w:color w:val="auto"/>
                      <w:szCs w:val="21"/>
                      <w:lang w:val="en-US"/>
                    </w:rPr>
                  </w:pPr>
                  <w:r>
                    <w:rPr>
                      <w:rFonts w:hint="eastAsia" w:cs="Times New Roman"/>
                      <w:i w:val="0"/>
                      <w:color w:val="auto"/>
                      <w:kern w:val="0"/>
                      <w:sz w:val="21"/>
                      <w:szCs w:val="21"/>
                      <w:u w:val="none"/>
                      <w:lang w:val="en-US" w:eastAsia="zh-CN" w:bidi="ar"/>
                    </w:rPr>
                    <w:t>1.46</w:t>
                  </w:r>
                </w:p>
              </w:tc>
              <w:tc>
                <w:tcPr>
                  <w:tcW w:w="1410" w:type="dxa"/>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line="240" w:lineRule="auto"/>
                    <w:ind w:left="0" w:leftChars="0" w:right="0" w:rightChars="0"/>
                    <w:jc w:val="center"/>
                    <w:textAlignment w:val="center"/>
                    <w:rPr>
                      <w:rFonts w:hint="default" w:eastAsia="宋体"/>
                      <w:color w:val="auto"/>
                      <w:szCs w:val="21"/>
                      <w:lang w:val="en-US" w:eastAsia="zh-CN"/>
                    </w:rPr>
                  </w:pPr>
                  <w:r>
                    <w:rPr>
                      <w:rFonts w:hint="eastAsia"/>
                      <w:color w:val="auto"/>
                      <w:kern w:val="0"/>
                      <w:szCs w:val="21"/>
                      <w:lang w:val="en-US" w:eastAsia="zh-CN" w:bidi="ar"/>
                    </w:rPr>
                    <w:t>0.023</w:t>
                  </w:r>
                </w:p>
              </w:tc>
              <w:tc>
                <w:tcPr>
                  <w:tcW w:w="1583" w:type="dxa"/>
                  <w:tcBorders>
                    <w:tl2br w:val="nil"/>
                    <w:tr2bl w:val="nil"/>
                  </w:tcBorders>
                  <w:vAlign w:val="center"/>
                </w:tcPr>
                <w:p>
                  <w:pPr>
                    <w:keepNext w:val="0"/>
                    <w:keepLines w:val="0"/>
                    <w:pageBreakBefore w:val="0"/>
                    <w:kinsoku/>
                    <w:wordWrap/>
                    <w:overflowPunct/>
                    <w:topLinePunct w:val="0"/>
                    <w:autoSpaceDE/>
                    <w:autoSpaceDN/>
                    <w:bidi w:val="0"/>
                    <w:spacing w:before="63" w:beforeLines="20" w:after="63" w:afterLines="20" w:line="240" w:lineRule="auto"/>
                    <w:ind w:left="0" w:leftChars="0" w:right="0" w:rightChars="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0.027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585" w:type="dxa"/>
                  <w:vMerge w:val="continue"/>
                  <w:tcBorders>
                    <w:tl2br w:val="nil"/>
                    <w:tr2bl w:val="nil"/>
                  </w:tcBorders>
                  <w:vAlign w:val="center"/>
                </w:tcPr>
                <w:p>
                  <w:pPr>
                    <w:pStyle w:val="9"/>
                    <w:keepNext w:val="0"/>
                    <w:keepLines w:val="0"/>
                    <w:pageBreakBefore w:val="0"/>
                    <w:kinsoku/>
                    <w:wordWrap/>
                    <w:overflowPunct/>
                    <w:topLinePunct w:val="0"/>
                    <w:autoSpaceDE/>
                    <w:autoSpaceDN/>
                    <w:bidi w:val="0"/>
                    <w:spacing w:before="63" w:beforeLines="20" w:after="63" w:afterLines="20" w:line="240" w:lineRule="auto"/>
                    <w:ind w:left="0" w:leftChars="0" w:right="0" w:rightChars="0" w:firstLine="560"/>
                  </w:pPr>
                </w:p>
              </w:tc>
              <w:tc>
                <w:tcPr>
                  <w:tcW w:w="850" w:type="dxa"/>
                  <w:vMerge w:val="continue"/>
                  <w:tcBorders>
                    <w:tl2br w:val="nil"/>
                    <w:tr2bl w:val="nil"/>
                  </w:tcBorders>
                  <w:vAlign w:val="center"/>
                </w:tcPr>
                <w:p>
                  <w:pPr>
                    <w:pStyle w:val="9"/>
                    <w:keepNext w:val="0"/>
                    <w:keepLines w:val="0"/>
                    <w:pageBreakBefore w:val="0"/>
                    <w:kinsoku/>
                    <w:wordWrap/>
                    <w:overflowPunct/>
                    <w:topLinePunct w:val="0"/>
                    <w:autoSpaceDE/>
                    <w:autoSpaceDN/>
                    <w:bidi w:val="0"/>
                    <w:spacing w:before="63" w:beforeLines="20" w:after="63" w:afterLines="20" w:line="240" w:lineRule="auto"/>
                    <w:ind w:left="0" w:leftChars="0" w:right="0" w:rightChars="0" w:firstLine="560"/>
                  </w:pPr>
                </w:p>
              </w:tc>
              <w:tc>
                <w:tcPr>
                  <w:tcW w:w="801" w:type="dxa"/>
                  <w:tcBorders>
                    <w:tl2br w:val="nil"/>
                    <w:tr2bl w:val="nil"/>
                  </w:tcBorders>
                  <w:vAlign w:val="center"/>
                </w:tcPr>
                <w:p>
                  <w:pPr>
                    <w:pStyle w:val="43"/>
                    <w:keepNext w:val="0"/>
                    <w:keepLines w:val="0"/>
                    <w:pageBreakBefore w:val="0"/>
                    <w:kinsoku/>
                    <w:wordWrap/>
                    <w:overflowPunct/>
                    <w:topLinePunct w:val="0"/>
                    <w:autoSpaceDE/>
                    <w:autoSpaceDN/>
                    <w:bidi w:val="0"/>
                    <w:spacing w:before="63" w:beforeLines="20" w:after="63" w:afterLines="20" w:line="240" w:lineRule="auto"/>
                    <w:ind w:left="0" w:leftChars="0" w:right="0" w:rightChars="0"/>
                    <w:rPr>
                      <w:rFonts w:hint="eastAsia" w:eastAsia="宋体"/>
                      <w:color w:val="000000" w:themeColor="text1"/>
                      <w:kern w:val="0"/>
                      <w:szCs w:val="21"/>
                      <w:lang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非甲烷总烃</w:t>
                  </w:r>
                </w:p>
              </w:tc>
              <w:tc>
                <w:tcPr>
                  <w:tcW w:w="1373" w:type="dxa"/>
                  <w:tcBorders>
                    <w:tl2br w:val="nil"/>
                    <w:tr2bl w:val="nil"/>
                  </w:tcBorders>
                  <w:vAlign w:val="center"/>
                </w:tcPr>
                <w:p>
                  <w:pPr>
                    <w:keepNext w:val="0"/>
                    <w:keepLines w:val="0"/>
                    <w:pageBreakBefore w:val="0"/>
                    <w:kinsoku/>
                    <w:wordWrap/>
                    <w:overflowPunct/>
                    <w:topLinePunct w:val="0"/>
                    <w:autoSpaceDE/>
                    <w:autoSpaceDN/>
                    <w:bidi w:val="0"/>
                    <w:spacing w:before="63" w:beforeLines="20" w:after="63" w:afterLines="20" w:line="240" w:lineRule="auto"/>
                    <w:ind w:left="0" w:leftChars="0" w:right="0" w:rightChars="0"/>
                    <w:jc w:val="center"/>
                    <w:rPr>
                      <w:rFonts w:hint="eastAsia" w:eastAsia="宋体"/>
                      <w:color w:val="000000" w:themeColor="text1"/>
                      <w:kern w:val="0"/>
                      <w:szCs w:val="21"/>
                      <w:lang w:eastAsia="zh-CN"/>
                      <w14:textFill>
                        <w14:solidFill>
                          <w14:schemeClr w14:val="tx1"/>
                        </w14:solidFill>
                      </w14:textFill>
                    </w:rPr>
                  </w:pPr>
                  <w:r>
                    <w:rPr>
                      <w:rFonts w:hint="eastAsia"/>
                      <w:szCs w:val="21"/>
                      <w:lang w:eastAsia="zh-CN"/>
                    </w:rPr>
                    <w:t>冷却器</w:t>
                  </w:r>
                  <w:r>
                    <w:rPr>
                      <w:rFonts w:hint="eastAsia"/>
                      <w:szCs w:val="21"/>
                      <w:lang w:val="en-US" w:eastAsia="zh-CN"/>
                    </w:rPr>
                    <w:t>+</w:t>
                  </w:r>
                  <w:r>
                    <w:rPr>
                      <w:rFonts w:hint="eastAsia"/>
                      <w:szCs w:val="21"/>
                      <w:lang w:eastAsia="zh-CN"/>
                    </w:rPr>
                    <w:t>二级活性炭吸附装置</w:t>
                  </w:r>
                </w:p>
              </w:tc>
              <w:tc>
                <w:tcPr>
                  <w:tcW w:w="17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line="240" w:lineRule="auto"/>
                    <w:ind w:left="0" w:leftChars="0" w:right="0" w:rightChars="0"/>
                    <w:jc w:val="center"/>
                    <w:textAlignment w:val="center"/>
                    <w:rPr>
                      <w:rFonts w:hint="default"/>
                      <w:color w:val="auto"/>
                      <w:szCs w:val="21"/>
                      <w:lang w:val="en-US"/>
                    </w:rPr>
                  </w:pPr>
                  <w:r>
                    <w:rPr>
                      <w:rFonts w:hint="eastAsia" w:cs="Times New Roman"/>
                      <w:i w:val="0"/>
                      <w:color w:val="auto"/>
                      <w:kern w:val="0"/>
                      <w:sz w:val="21"/>
                      <w:szCs w:val="21"/>
                      <w:u w:val="none"/>
                      <w:lang w:val="en-US" w:eastAsia="zh-CN" w:bidi="ar"/>
                    </w:rPr>
                    <w:t>0.1</w:t>
                  </w:r>
                </w:p>
              </w:tc>
              <w:tc>
                <w:tcPr>
                  <w:tcW w:w="1410" w:type="dxa"/>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line="240" w:lineRule="auto"/>
                    <w:ind w:left="0" w:leftChars="0" w:right="0" w:rightChars="0"/>
                    <w:jc w:val="center"/>
                    <w:textAlignment w:val="center"/>
                    <w:rPr>
                      <w:rFonts w:hint="default" w:eastAsia="宋体"/>
                      <w:color w:val="auto"/>
                      <w:szCs w:val="21"/>
                      <w:lang w:val="en-US" w:eastAsia="zh-CN"/>
                    </w:rPr>
                  </w:pPr>
                  <w:r>
                    <w:rPr>
                      <w:rFonts w:hint="eastAsia"/>
                      <w:color w:val="auto"/>
                      <w:kern w:val="0"/>
                      <w:szCs w:val="21"/>
                      <w:lang w:val="en-US" w:eastAsia="zh-CN" w:bidi="ar"/>
                    </w:rPr>
                    <w:t>0.003</w:t>
                  </w:r>
                </w:p>
              </w:tc>
              <w:tc>
                <w:tcPr>
                  <w:tcW w:w="1583" w:type="dxa"/>
                  <w:tcBorders>
                    <w:tl2br w:val="nil"/>
                    <w:tr2bl w:val="nil"/>
                  </w:tcBorders>
                  <w:vAlign w:val="center"/>
                </w:tcPr>
                <w:p>
                  <w:pPr>
                    <w:keepNext w:val="0"/>
                    <w:keepLines w:val="0"/>
                    <w:pageBreakBefore w:val="0"/>
                    <w:kinsoku/>
                    <w:wordWrap/>
                    <w:overflowPunct/>
                    <w:topLinePunct w:val="0"/>
                    <w:autoSpaceDE/>
                    <w:autoSpaceDN/>
                    <w:bidi w:val="0"/>
                    <w:spacing w:before="63" w:beforeLines="20" w:after="63" w:afterLines="20" w:line="240" w:lineRule="auto"/>
                    <w:ind w:left="0" w:leftChars="0" w:right="0" w:rightChars="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585" w:type="dxa"/>
                  <w:vMerge w:val="continue"/>
                  <w:tcBorders>
                    <w:tl2br w:val="nil"/>
                    <w:tr2bl w:val="nil"/>
                  </w:tcBorders>
                  <w:vAlign w:val="center"/>
                </w:tcPr>
                <w:p>
                  <w:pPr>
                    <w:pStyle w:val="9"/>
                    <w:keepNext w:val="0"/>
                    <w:keepLines w:val="0"/>
                    <w:pageBreakBefore w:val="0"/>
                    <w:kinsoku/>
                    <w:wordWrap/>
                    <w:overflowPunct/>
                    <w:topLinePunct w:val="0"/>
                    <w:autoSpaceDE/>
                    <w:autoSpaceDN/>
                    <w:bidi w:val="0"/>
                    <w:spacing w:before="63" w:beforeLines="20" w:after="63" w:afterLines="20" w:line="240" w:lineRule="auto"/>
                    <w:ind w:left="0" w:leftChars="0" w:right="0" w:rightChars="0" w:firstLine="560"/>
                  </w:pPr>
                </w:p>
              </w:tc>
              <w:tc>
                <w:tcPr>
                  <w:tcW w:w="850" w:type="dxa"/>
                  <w:vMerge w:val="continue"/>
                  <w:tcBorders>
                    <w:tl2br w:val="nil"/>
                    <w:tr2bl w:val="nil"/>
                  </w:tcBorders>
                  <w:vAlign w:val="center"/>
                </w:tcPr>
                <w:p>
                  <w:pPr>
                    <w:pStyle w:val="9"/>
                    <w:keepNext w:val="0"/>
                    <w:keepLines w:val="0"/>
                    <w:pageBreakBefore w:val="0"/>
                    <w:kinsoku/>
                    <w:wordWrap/>
                    <w:overflowPunct/>
                    <w:topLinePunct w:val="0"/>
                    <w:autoSpaceDE/>
                    <w:autoSpaceDN/>
                    <w:bidi w:val="0"/>
                    <w:spacing w:before="63" w:beforeLines="20" w:after="63" w:afterLines="20" w:line="240" w:lineRule="auto"/>
                    <w:ind w:left="0" w:leftChars="0" w:right="0" w:rightChars="0" w:firstLine="560"/>
                  </w:pPr>
                </w:p>
              </w:tc>
              <w:tc>
                <w:tcPr>
                  <w:tcW w:w="801"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line="240" w:lineRule="auto"/>
                    <w:ind w:left="0" w:leftChars="0" w:right="0" w:rightChars="0"/>
                    <w:jc w:val="center"/>
                    <w:textAlignment w:val="auto"/>
                    <w:rPr>
                      <w:color w:val="000000" w:themeColor="text1"/>
                      <w:kern w:val="0"/>
                      <w:szCs w:val="21"/>
                      <w14:textFill>
                        <w14:solidFill>
                          <w14:schemeClr w14:val="tx1"/>
                        </w14:solidFill>
                      </w14:textFill>
                    </w:rPr>
                  </w:pPr>
                  <w:r>
                    <w:rPr>
                      <w:rFonts w:hint="eastAsia"/>
                      <w:szCs w:val="21"/>
                      <w:lang w:val="en-US" w:eastAsia="zh-CN"/>
                    </w:rPr>
                    <w:t>SO</w:t>
                  </w:r>
                  <w:r>
                    <w:rPr>
                      <w:rFonts w:hint="eastAsia"/>
                      <w:szCs w:val="21"/>
                      <w:vertAlign w:val="subscript"/>
                      <w:lang w:val="en-US" w:eastAsia="zh-CN"/>
                    </w:rPr>
                    <w:t>2</w:t>
                  </w:r>
                </w:p>
              </w:tc>
              <w:tc>
                <w:tcPr>
                  <w:tcW w:w="1373" w:type="dxa"/>
                  <w:tcBorders>
                    <w:tl2br w:val="nil"/>
                    <w:tr2bl w:val="nil"/>
                  </w:tcBorders>
                  <w:vAlign w:val="center"/>
                </w:tcPr>
                <w:p>
                  <w:pPr>
                    <w:keepNext w:val="0"/>
                    <w:keepLines w:val="0"/>
                    <w:pageBreakBefore w:val="0"/>
                    <w:kinsoku/>
                    <w:wordWrap/>
                    <w:overflowPunct/>
                    <w:topLinePunct w:val="0"/>
                    <w:autoSpaceDE/>
                    <w:autoSpaceDN/>
                    <w:bidi w:val="0"/>
                    <w:spacing w:before="63" w:beforeLines="20" w:after="63" w:afterLines="20" w:line="240" w:lineRule="auto"/>
                    <w:ind w:left="0" w:leftChars="0" w:right="0" w:rightChars="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w:t>
                  </w:r>
                </w:p>
              </w:tc>
              <w:tc>
                <w:tcPr>
                  <w:tcW w:w="17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line="240" w:lineRule="auto"/>
                    <w:ind w:left="0" w:leftChars="0" w:right="0" w:rightChars="0"/>
                    <w:jc w:val="center"/>
                    <w:textAlignment w:val="center"/>
                    <w:rPr>
                      <w:rFonts w:hint="default" w:eastAsia="宋体"/>
                      <w:color w:val="auto"/>
                      <w:szCs w:val="21"/>
                      <w:lang w:val="en-US" w:eastAsia="zh-CN"/>
                    </w:rPr>
                  </w:pPr>
                  <w:r>
                    <w:rPr>
                      <w:rFonts w:hint="eastAsia"/>
                      <w:color w:val="auto"/>
                      <w:szCs w:val="21"/>
                      <w:lang w:val="en-US" w:eastAsia="zh-CN"/>
                    </w:rPr>
                    <w:t>0.65</w:t>
                  </w:r>
                </w:p>
              </w:tc>
              <w:tc>
                <w:tcPr>
                  <w:tcW w:w="1410" w:type="dxa"/>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line="240" w:lineRule="auto"/>
                    <w:ind w:left="0" w:leftChars="0" w:right="0" w:rightChars="0"/>
                    <w:jc w:val="center"/>
                    <w:textAlignment w:val="center"/>
                    <w:rPr>
                      <w:rFonts w:hint="default" w:eastAsia="宋体"/>
                      <w:color w:val="auto"/>
                      <w:szCs w:val="21"/>
                      <w:lang w:val="en-US" w:eastAsia="zh-CN"/>
                    </w:rPr>
                  </w:pPr>
                  <w:r>
                    <w:rPr>
                      <w:rFonts w:hint="eastAsia"/>
                      <w:color w:val="auto"/>
                      <w:szCs w:val="21"/>
                      <w:lang w:val="en-US" w:eastAsia="zh-CN"/>
                    </w:rPr>
                    <w:t>0.01</w:t>
                  </w:r>
                </w:p>
              </w:tc>
              <w:tc>
                <w:tcPr>
                  <w:tcW w:w="1583" w:type="dxa"/>
                  <w:tcBorders>
                    <w:tl2br w:val="nil"/>
                    <w:tr2bl w:val="nil"/>
                  </w:tcBorders>
                  <w:vAlign w:val="center"/>
                </w:tcPr>
                <w:p>
                  <w:pPr>
                    <w:keepNext w:val="0"/>
                    <w:keepLines w:val="0"/>
                    <w:pageBreakBefore w:val="0"/>
                    <w:kinsoku/>
                    <w:wordWrap/>
                    <w:overflowPunct/>
                    <w:topLinePunct w:val="0"/>
                    <w:autoSpaceDE/>
                    <w:autoSpaceDN/>
                    <w:bidi w:val="0"/>
                    <w:spacing w:before="63" w:beforeLines="20" w:after="63" w:afterLines="20" w:line="240" w:lineRule="auto"/>
                    <w:ind w:left="0" w:leftChars="0" w:right="0" w:rightChars="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585" w:type="dxa"/>
                  <w:vMerge w:val="continue"/>
                  <w:tcBorders>
                    <w:tl2br w:val="nil"/>
                    <w:tr2bl w:val="nil"/>
                  </w:tcBorders>
                  <w:vAlign w:val="center"/>
                </w:tcPr>
                <w:p>
                  <w:pPr>
                    <w:pStyle w:val="9"/>
                    <w:keepNext w:val="0"/>
                    <w:keepLines w:val="0"/>
                    <w:pageBreakBefore w:val="0"/>
                    <w:kinsoku/>
                    <w:wordWrap/>
                    <w:overflowPunct/>
                    <w:topLinePunct w:val="0"/>
                    <w:autoSpaceDE/>
                    <w:autoSpaceDN/>
                    <w:bidi w:val="0"/>
                    <w:spacing w:before="63" w:beforeLines="20" w:after="63" w:afterLines="20" w:line="240" w:lineRule="auto"/>
                    <w:ind w:left="0" w:leftChars="0" w:right="0" w:rightChars="0" w:firstLine="560"/>
                  </w:pPr>
                </w:p>
              </w:tc>
              <w:tc>
                <w:tcPr>
                  <w:tcW w:w="850" w:type="dxa"/>
                  <w:vMerge w:val="continue"/>
                  <w:tcBorders>
                    <w:tl2br w:val="nil"/>
                    <w:tr2bl w:val="nil"/>
                  </w:tcBorders>
                  <w:vAlign w:val="center"/>
                </w:tcPr>
                <w:p>
                  <w:pPr>
                    <w:pStyle w:val="9"/>
                    <w:keepNext w:val="0"/>
                    <w:keepLines w:val="0"/>
                    <w:pageBreakBefore w:val="0"/>
                    <w:kinsoku/>
                    <w:wordWrap/>
                    <w:overflowPunct/>
                    <w:topLinePunct w:val="0"/>
                    <w:autoSpaceDE/>
                    <w:autoSpaceDN/>
                    <w:bidi w:val="0"/>
                    <w:spacing w:before="63" w:beforeLines="20" w:after="63" w:afterLines="20" w:line="240" w:lineRule="auto"/>
                    <w:ind w:left="0" w:leftChars="0" w:right="0" w:rightChars="0" w:firstLine="560"/>
                  </w:pPr>
                </w:p>
              </w:tc>
              <w:tc>
                <w:tcPr>
                  <w:tcW w:w="801"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line="240" w:lineRule="auto"/>
                    <w:ind w:left="0" w:leftChars="0" w:right="0" w:rightChars="0"/>
                    <w:jc w:val="center"/>
                    <w:textAlignment w:val="auto"/>
                    <w:rPr>
                      <w:color w:val="000000" w:themeColor="text1"/>
                      <w:kern w:val="0"/>
                      <w:szCs w:val="21"/>
                      <w14:textFill>
                        <w14:solidFill>
                          <w14:schemeClr w14:val="tx1"/>
                        </w14:solidFill>
                      </w14:textFill>
                    </w:rPr>
                  </w:pPr>
                  <w:r>
                    <w:rPr>
                      <w:rFonts w:hint="eastAsia"/>
                      <w:szCs w:val="21"/>
                      <w:lang w:val="en-US" w:eastAsia="zh-CN"/>
                    </w:rPr>
                    <w:t>NOx</w:t>
                  </w:r>
                </w:p>
              </w:tc>
              <w:tc>
                <w:tcPr>
                  <w:tcW w:w="1373" w:type="dxa"/>
                  <w:tcBorders>
                    <w:tl2br w:val="nil"/>
                    <w:tr2bl w:val="nil"/>
                  </w:tcBorders>
                  <w:vAlign w:val="center"/>
                </w:tcPr>
                <w:p>
                  <w:pPr>
                    <w:keepNext w:val="0"/>
                    <w:keepLines w:val="0"/>
                    <w:pageBreakBefore w:val="0"/>
                    <w:kinsoku/>
                    <w:wordWrap/>
                    <w:overflowPunct/>
                    <w:topLinePunct w:val="0"/>
                    <w:autoSpaceDE/>
                    <w:autoSpaceDN/>
                    <w:bidi w:val="0"/>
                    <w:spacing w:before="63" w:beforeLines="20" w:after="63" w:afterLines="20" w:line="240" w:lineRule="auto"/>
                    <w:ind w:left="0" w:leftChars="0" w:right="0" w:rightChars="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低氮燃烧装置</w:t>
                  </w:r>
                </w:p>
              </w:tc>
              <w:tc>
                <w:tcPr>
                  <w:tcW w:w="1710"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spacing w:before="63" w:beforeLines="20" w:after="63" w:afterLines="20" w:line="240" w:lineRule="auto"/>
                    <w:ind w:left="0" w:leftChars="0" w:right="0" w:rightChars="0"/>
                    <w:jc w:val="center"/>
                    <w:textAlignment w:val="center"/>
                    <w:rPr>
                      <w:rFonts w:hint="default" w:eastAsia="宋体"/>
                      <w:color w:val="auto"/>
                      <w:szCs w:val="21"/>
                      <w:lang w:val="en-US" w:eastAsia="zh-CN"/>
                    </w:rPr>
                  </w:pPr>
                  <w:r>
                    <w:rPr>
                      <w:rFonts w:hint="eastAsia"/>
                      <w:color w:val="auto"/>
                      <w:szCs w:val="21"/>
                      <w:lang w:val="en-US" w:eastAsia="zh-CN"/>
                    </w:rPr>
                    <w:t>1.08</w:t>
                  </w:r>
                </w:p>
              </w:tc>
              <w:tc>
                <w:tcPr>
                  <w:tcW w:w="1410" w:type="dxa"/>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line="240" w:lineRule="auto"/>
                    <w:ind w:left="0" w:leftChars="0" w:right="0" w:rightChars="0"/>
                    <w:jc w:val="center"/>
                    <w:textAlignment w:val="center"/>
                    <w:rPr>
                      <w:rFonts w:hint="default" w:eastAsia="宋体"/>
                      <w:color w:val="auto"/>
                      <w:szCs w:val="21"/>
                      <w:lang w:val="en-US" w:eastAsia="zh-CN"/>
                    </w:rPr>
                  </w:pPr>
                  <w:r>
                    <w:rPr>
                      <w:rFonts w:hint="eastAsia"/>
                      <w:color w:val="auto"/>
                      <w:szCs w:val="21"/>
                      <w:lang w:val="en-US" w:eastAsia="zh-CN"/>
                    </w:rPr>
                    <w:t>0.017</w:t>
                  </w:r>
                </w:p>
              </w:tc>
              <w:tc>
                <w:tcPr>
                  <w:tcW w:w="1583" w:type="dxa"/>
                  <w:tcBorders>
                    <w:tl2br w:val="nil"/>
                    <w:tr2bl w:val="nil"/>
                  </w:tcBorders>
                  <w:vAlign w:val="center"/>
                </w:tcPr>
                <w:p>
                  <w:pPr>
                    <w:keepNext w:val="0"/>
                    <w:keepLines w:val="0"/>
                    <w:pageBreakBefore w:val="0"/>
                    <w:kinsoku/>
                    <w:wordWrap/>
                    <w:overflowPunct/>
                    <w:topLinePunct w:val="0"/>
                    <w:autoSpaceDE/>
                    <w:autoSpaceDN/>
                    <w:bidi w:val="0"/>
                    <w:spacing w:before="63" w:beforeLines="20" w:after="63" w:afterLines="20" w:line="240" w:lineRule="auto"/>
                    <w:ind w:left="0" w:leftChars="0" w:right="0" w:rightChars="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35" w:type="dxa"/>
                  <w:gridSpan w:val="2"/>
                  <w:vMerge w:val="restart"/>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line="240" w:lineRule="auto"/>
                    <w:ind w:left="0" w:leftChars="0" w:right="0" w:rightChars="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一般排</w:t>
                  </w:r>
                </w:p>
                <w:p>
                  <w:pPr>
                    <w:keepNext w:val="0"/>
                    <w:keepLines w:val="0"/>
                    <w:pageBreakBefore w:val="0"/>
                    <w:widowControl/>
                    <w:kinsoku/>
                    <w:wordWrap/>
                    <w:overflowPunct/>
                    <w:topLinePunct w:val="0"/>
                    <w:autoSpaceDE/>
                    <w:autoSpaceDN/>
                    <w:bidi w:val="0"/>
                    <w:spacing w:before="63" w:beforeLines="20" w:after="63" w:afterLines="20" w:line="240" w:lineRule="auto"/>
                    <w:ind w:left="0" w:leftChars="0" w:right="0" w:rightChars="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放口合计</w:t>
                  </w:r>
                </w:p>
              </w:tc>
              <w:tc>
                <w:tcPr>
                  <w:tcW w:w="5294" w:type="dxa"/>
                  <w:gridSpan w:val="4"/>
                  <w:tcBorders>
                    <w:tl2br w:val="nil"/>
                    <w:tr2bl w:val="nil"/>
                  </w:tcBorders>
                  <w:vAlign w:val="center"/>
                </w:tcPr>
                <w:p>
                  <w:pPr>
                    <w:pStyle w:val="43"/>
                    <w:keepNext w:val="0"/>
                    <w:keepLines w:val="0"/>
                    <w:pageBreakBefore w:val="0"/>
                    <w:kinsoku/>
                    <w:wordWrap/>
                    <w:overflowPunct/>
                    <w:topLinePunct w:val="0"/>
                    <w:autoSpaceDE/>
                    <w:autoSpaceDN/>
                    <w:bidi w:val="0"/>
                    <w:spacing w:before="63" w:beforeLines="20" w:after="63" w:afterLines="20" w:line="240" w:lineRule="auto"/>
                    <w:ind w:left="0" w:leftChars="0" w:right="0" w:rightChars="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w:t>
                  </w:r>
                </w:p>
              </w:tc>
              <w:tc>
                <w:tcPr>
                  <w:tcW w:w="1583" w:type="dxa"/>
                  <w:tcBorders>
                    <w:tl2br w:val="nil"/>
                    <w:tr2bl w:val="nil"/>
                  </w:tcBorders>
                  <w:vAlign w:val="center"/>
                </w:tcPr>
                <w:p>
                  <w:pPr>
                    <w:keepNext w:val="0"/>
                    <w:keepLines w:val="0"/>
                    <w:pageBreakBefore w:val="0"/>
                    <w:kinsoku/>
                    <w:wordWrap/>
                    <w:overflowPunct/>
                    <w:topLinePunct w:val="0"/>
                    <w:autoSpaceDE/>
                    <w:autoSpaceDN/>
                    <w:bidi w:val="0"/>
                    <w:spacing w:before="63" w:beforeLines="20" w:after="63" w:afterLines="20" w:line="240" w:lineRule="auto"/>
                    <w:ind w:left="0" w:leftChars="0" w:right="0" w:rightChars="0"/>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0.027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35"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line="240" w:lineRule="auto"/>
                    <w:ind w:left="0" w:leftChars="0" w:right="0" w:rightChars="0"/>
                    <w:jc w:val="center"/>
                    <w:rPr>
                      <w:color w:val="000000" w:themeColor="text1"/>
                      <w:kern w:val="0"/>
                      <w:szCs w:val="21"/>
                      <w14:textFill>
                        <w14:solidFill>
                          <w14:schemeClr w14:val="tx1"/>
                        </w14:solidFill>
                      </w14:textFill>
                    </w:rPr>
                  </w:pPr>
                </w:p>
              </w:tc>
              <w:tc>
                <w:tcPr>
                  <w:tcW w:w="5294" w:type="dxa"/>
                  <w:gridSpan w:val="4"/>
                  <w:tcBorders>
                    <w:tl2br w:val="nil"/>
                    <w:tr2bl w:val="nil"/>
                  </w:tcBorders>
                  <w:vAlign w:val="center"/>
                </w:tcPr>
                <w:p>
                  <w:pPr>
                    <w:pStyle w:val="43"/>
                    <w:keepNext w:val="0"/>
                    <w:keepLines w:val="0"/>
                    <w:pageBreakBefore w:val="0"/>
                    <w:kinsoku/>
                    <w:wordWrap/>
                    <w:overflowPunct/>
                    <w:topLinePunct w:val="0"/>
                    <w:autoSpaceDE/>
                    <w:autoSpaceDN/>
                    <w:bidi w:val="0"/>
                    <w:spacing w:before="63" w:beforeLines="20" w:after="63" w:afterLines="20" w:line="240" w:lineRule="auto"/>
                    <w:ind w:left="0" w:leftChars="0" w:right="0" w:rightChars="0"/>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非甲烷总烃</w:t>
                  </w:r>
                </w:p>
              </w:tc>
              <w:tc>
                <w:tcPr>
                  <w:tcW w:w="1583" w:type="dxa"/>
                  <w:tcBorders>
                    <w:tl2br w:val="nil"/>
                    <w:tr2bl w:val="nil"/>
                  </w:tcBorders>
                  <w:vAlign w:val="center"/>
                </w:tcPr>
                <w:p>
                  <w:pPr>
                    <w:keepNext w:val="0"/>
                    <w:keepLines w:val="0"/>
                    <w:pageBreakBefore w:val="0"/>
                    <w:kinsoku/>
                    <w:wordWrap/>
                    <w:overflowPunct/>
                    <w:topLinePunct w:val="0"/>
                    <w:autoSpaceDE/>
                    <w:autoSpaceDN/>
                    <w:bidi w:val="0"/>
                    <w:spacing w:before="63" w:beforeLines="20" w:after="63" w:afterLines="20" w:line="240" w:lineRule="auto"/>
                    <w:ind w:left="0" w:leftChars="0" w:right="0" w:rightChars="0"/>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35"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line="240" w:lineRule="auto"/>
                    <w:ind w:left="0" w:leftChars="0" w:right="0" w:rightChars="0"/>
                    <w:jc w:val="center"/>
                    <w:rPr>
                      <w:color w:val="000000" w:themeColor="text1"/>
                      <w:kern w:val="0"/>
                      <w:szCs w:val="21"/>
                      <w14:textFill>
                        <w14:solidFill>
                          <w14:schemeClr w14:val="tx1"/>
                        </w14:solidFill>
                      </w14:textFill>
                    </w:rPr>
                  </w:pPr>
                </w:p>
              </w:tc>
              <w:tc>
                <w:tcPr>
                  <w:tcW w:w="5294" w:type="dxa"/>
                  <w:gridSpan w:val="4"/>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line="240" w:lineRule="auto"/>
                    <w:ind w:left="0" w:leftChars="0" w:right="0" w:rightChars="0"/>
                    <w:jc w:val="center"/>
                    <w:textAlignment w:val="auto"/>
                    <w:rPr>
                      <w:color w:val="000000" w:themeColor="text1"/>
                      <w:szCs w:val="21"/>
                      <w14:textFill>
                        <w14:solidFill>
                          <w14:schemeClr w14:val="tx1"/>
                        </w14:solidFill>
                      </w14:textFill>
                    </w:rPr>
                  </w:pPr>
                  <w:r>
                    <w:rPr>
                      <w:rFonts w:hint="eastAsia"/>
                      <w:szCs w:val="21"/>
                      <w:lang w:val="en-US" w:eastAsia="zh-CN"/>
                    </w:rPr>
                    <w:t>SO</w:t>
                  </w:r>
                  <w:r>
                    <w:rPr>
                      <w:rFonts w:hint="eastAsia"/>
                      <w:szCs w:val="21"/>
                      <w:vertAlign w:val="subscript"/>
                      <w:lang w:val="en-US" w:eastAsia="zh-CN"/>
                    </w:rPr>
                    <w:t>2</w:t>
                  </w:r>
                </w:p>
              </w:tc>
              <w:tc>
                <w:tcPr>
                  <w:tcW w:w="1583" w:type="dxa"/>
                  <w:tcBorders>
                    <w:tl2br w:val="nil"/>
                    <w:tr2bl w:val="nil"/>
                  </w:tcBorders>
                  <w:vAlign w:val="center"/>
                </w:tcPr>
                <w:p>
                  <w:pPr>
                    <w:keepNext w:val="0"/>
                    <w:keepLines w:val="0"/>
                    <w:pageBreakBefore w:val="0"/>
                    <w:kinsoku/>
                    <w:wordWrap/>
                    <w:overflowPunct/>
                    <w:topLinePunct w:val="0"/>
                    <w:autoSpaceDE/>
                    <w:autoSpaceDN/>
                    <w:bidi w:val="0"/>
                    <w:spacing w:before="63" w:beforeLines="20" w:after="63" w:afterLines="20" w:line="240" w:lineRule="auto"/>
                    <w:ind w:left="0" w:leftChars="0" w:right="0" w:rightChars="0"/>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0.012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35"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line="240" w:lineRule="auto"/>
                    <w:ind w:left="0" w:leftChars="0" w:right="0" w:rightChars="0"/>
                    <w:jc w:val="center"/>
                    <w:rPr>
                      <w:color w:val="000000" w:themeColor="text1"/>
                      <w:kern w:val="0"/>
                      <w:szCs w:val="21"/>
                      <w14:textFill>
                        <w14:solidFill>
                          <w14:schemeClr w14:val="tx1"/>
                        </w14:solidFill>
                      </w14:textFill>
                    </w:rPr>
                  </w:pPr>
                </w:p>
              </w:tc>
              <w:tc>
                <w:tcPr>
                  <w:tcW w:w="5294" w:type="dxa"/>
                  <w:gridSpan w:val="4"/>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line="240" w:lineRule="auto"/>
                    <w:ind w:left="0" w:leftChars="0" w:right="0" w:rightChars="0"/>
                    <w:jc w:val="center"/>
                    <w:textAlignment w:val="auto"/>
                    <w:rPr>
                      <w:color w:val="000000" w:themeColor="text1"/>
                      <w:szCs w:val="21"/>
                      <w14:textFill>
                        <w14:solidFill>
                          <w14:schemeClr w14:val="tx1"/>
                        </w14:solidFill>
                      </w14:textFill>
                    </w:rPr>
                  </w:pPr>
                  <w:r>
                    <w:rPr>
                      <w:rFonts w:hint="eastAsia"/>
                      <w:szCs w:val="21"/>
                      <w:lang w:val="en-US" w:eastAsia="zh-CN"/>
                    </w:rPr>
                    <w:t>NOx</w:t>
                  </w:r>
                </w:p>
              </w:tc>
              <w:tc>
                <w:tcPr>
                  <w:tcW w:w="1583" w:type="dxa"/>
                  <w:tcBorders>
                    <w:tl2br w:val="nil"/>
                    <w:tr2bl w:val="nil"/>
                  </w:tcBorders>
                  <w:vAlign w:val="center"/>
                </w:tcPr>
                <w:p>
                  <w:pPr>
                    <w:keepNext w:val="0"/>
                    <w:keepLines w:val="0"/>
                    <w:pageBreakBefore w:val="0"/>
                    <w:kinsoku/>
                    <w:wordWrap/>
                    <w:overflowPunct/>
                    <w:topLinePunct w:val="0"/>
                    <w:autoSpaceDE/>
                    <w:autoSpaceDN/>
                    <w:bidi w:val="0"/>
                    <w:spacing w:before="63" w:beforeLines="20" w:after="63" w:afterLines="20" w:line="240" w:lineRule="auto"/>
                    <w:ind w:left="0" w:leftChars="0" w:right="0" w:rightChars="0"/>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12" w:type="dxa"/>
                  <w:gridSpan w:val="7"/>
                  <w:tcBorders>
                    <w:tl2br w:val="nil"/>
                    <w:tr2bl w:val="nil"/>
                  </w:tcBorders>
                  <w:vAlign w:val="center"/>
                </w:tcPr>
                <w:p>
                  <w:pPr>
                    <w:keepNext w:val="0"/>
                    <w:keepLines w:val="0"/>
                    <w:pageBreakBefore w:val="0"/>
                    <w:kinsoku/>
                    <w:wordWrap/>
                    <w:overflowPunct/>
                    <w:topLinePunct w:val="0"/>
                    <w:autoSpaceDE/>
                    <w:autoSpaceDN/>
                    <w:bidi w:val="0"/>
                    <w:spacing w:before="63" w:beforeLines="20" w:after="63" w:afterLines="20" w:line="240" w:lineRule="auto"/>
                    <w:ind w:left="0" w:leftChars="0" w:right="0" w:rightChars="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有组织排放总计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35" w:type="dxa"/>
                  <w:gridSpan w:val="2"/>
                  <w:vMerge w:val="restart"/>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line="240" w:lineRule="auto"/>
                    <w:ind w:left="0" w:leftChars="0" w:right="0" w:rightChars="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有组织</w:t>
                  </w:r>
                </w:p>
                <w:p>
                  <w:pPr>
                    <w:keepNext w:val="0"/>
                    <w:keepLines w:val="0"/>
                    <w:pageBreakBefore w:val="0"/>
                    <w:widowControl/>
                    <w:kinsoku/>
                    <w:wordWrap/>
                    <w:overflowPunct/>
                    <w:topLinePunct w:val="0"/>
                    <w:autoSpaceDE/>
                    <w:autoSpaceDN/>
                    <w:bidi w:val="0"/>
                    <w:spacing w:before="63" w:beforeLines="20" w:after="63" w:afterLines="20" w:line="240" w:lineRule="auto"/>
                    <w:ind w:left="0" w:leftChars="0" w:right="0" w:rightChars="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排放总计</w:t>
                  </w:r>
                </w:p>
              </w:tc>
              <w:tc>
                <w:tcPr>
                  <w:tcW w:w="5294" w:type="dxa"/>
                  <w:gridSpan w:val="4"/>
                  <w:tcBorders>
                    <w:tl2br w:val="nil"/>
                    <w:tr2bl w:val="nil"/>
                  </w:tcBorders>
                  <w:vAlign w:val="center"/>
                </w:tcPr>
                <w:p>
                  <w:pPr>
                    <w:pStyle w:val="43"/>
                    <w:keepNext w:val="0"/>
                    <w:keepLines w:val="0"/>
                    <w:pageBreakBefore w:val="0"/>
                    <w:kinsoku/>
                    <w:wordWrap/>
                    <w:overflowPunct/>
                    <w:topLinePunct w:val="0"/>
                    <w:autoSpaceDE/>
                    <w:autoSpaceDN/>
                    <w:bidi w:val="0"/>
                    <w:spacing w:before="63" w:beforeLines="20" w:after="63" w:afterLines="20" w:line="240" w:lineRule="auto"/>
                    <w:ind w:left="0" w:leftChars="0" w:right="0" w:rightChars="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颗粒物</w:t>
                  </w:r>
                </w:p>
              </w:tc>
              <w:tc>
                <w:tcPr>
                  <w:tcW w:w="1583" w:type="dxa"/>
                  <w:tcBorders>
                    <w:tl2br w:val="nil"/>
                    <w:tr2bl w:val="nil"/>
                  </w:tcBorders>
                  <w:vAlign w:val="center"/>
                </w:tcPr>
                <w:p>
                  <w:pPr>
                    <w:keepNext w:val="0"/>
                    <w:keepLines w:val="0"/>
                    <w:pageBreakBefore w:val="0"/>
                    <w:kinsoku/>
                    <w:wordWrap/>
                    <w:overflowPunct/>
                    <w:topLinePunct w:val="0"/>
                    <w:autoSpaceDE/>
                    <w:autoSpaceDN/>
                    <w:bidi w:val="0"/>
                    <w:spacing w:before="63" w:beforeLines="20" w:after="63" w:afterLines="20" w:line="240" w:lineRule="auto"/>
                    <w:ind w:left="0" w:leftChars="0" w:right="0" w:rightChars="0"/>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0.027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35"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line="240" w:lineRule="auto"/>
                    <w:ind w:left="0" w:leftChars="0" w:right="0" w:rightChars="0"/>
                    <w:jc w:val="center"/>
                    <w:rPr>
                      <w:color w:val="000000" w:themeColor="text1"/>
                      <w:kern w:val="0"/>
                      <w:szCs w:val="21"/>
                      <w14:textFill>
                        <w14:solidFill>
                          <w14:schemeClr w14:val="tx1"/>
                        </w14:solidFill>
                      </w14:textFill>
                    </w:rPr>
                  </w:pPr>
                </w:p>
              </w:tc>
              <w:tc>
                <w:tcPr>
                  <w:tcW w:w="5294" w:type="dxa"/>
                  <w:gridSpan w:val="4"/>
                  <w:tcBorders>
                    <w:tl2br w:val="nil"/>
                    <w:tr2bl w:val="nil"/>
                  </w:tcBorders>
                  <w:vAlign w:val="center"/>
                </w:tcPr>
                <w:p>
                  <w:pPr>
                    <w:pStyle w:val="43"/>
                    <w:keepNext w:val="0"/>
                    <w:keepLines w:val="0"/>
                    <w:pageBreakBefore w:val="0"/>
                    <w:kinsoku/>
                    <w:wordWrap/>
                    <w:overflowPunct/>
                    <w:topLinePunct w:val="0"/>
                    <w:autoSpaceDE/>
                    <w:autoSpaceDN/>
                    <w:bidi w:val="0"/>
                    <w:spacing w:before="63" w:beforeLines="20" w:after="63" w:afterLines="20" w:line="240" w:lineRule="auto"/>
                    <w:ind w:left="0" w:leftChars="0" w:right="0" w:rightChars="0"/>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非甲烷总烃</w:t>
                  </w:r>
                </w:p>
              </w:tc>
              <w:tc>
                <w:tcPr>
                  <w:tcW w:w="1583" w:type="dxa"/>
                  <w:tcBorders>
                    <w:tl2br w:val="nil"/>
                    <w:tr2bl w:val="nil"/>
                  </w:tcBorders>
                  <w:vAlign w:val="center"/>
                </w:tcPr>
                <w:p>
                  <w:pPr>
                    <w:keepNext w:val="0"/>
                    <w:keepLines w:val="0"/>
                    <w:pageBreakBefore w:val="0"/>
                    <w:kinsoku/>
                    <w:wordWrap/>
                    <w:overflowPunct/>
                    <w:topLinePunct w:val="0"/>
                    <w:autoSpaceDE/>
                    <w:autoSpaceDN/>
                    <w:bidi w:val="0"/>
                    <w:spacing w:before="63" w:beforeLines="20" w:after="63" w:afterLines="20" w:line="240" w:lineRule="auto"/>
                    <w:ind w:left="0" w:leftChars="0" w:right="0" w:rightChars="0"/>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35"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line="240" w:lineRule="auto"/>
                    <w:ind w:left="0" w:leftChars="0" w:right="0" w:rightChars="0"/>
                    <w:jc w:val="center"/>
                    <w:rPr>
                      <w:color w:val="000000" w:themeColor="text1"/>
                      <w:kern w:val="0"/>
                      <w:szCs w:val="21"/>
                      <w14:textFill>
                        <w14:solidFill>
                          <w14:schemeClr w14:val="tx1"/>
                        </w14:solidFill>
                      </w14:textFill>
                    </w:rPr>
                  </w:pPr>
                </w:p>
              </w:tc>
              <w:tc>
                <w:tcPr>
                  <w:tcW w:w="5294" w:type="dxa"/>
                  <w:gridSpan w:val="4"/>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line="240" w:lineRule="auto"/>
                    <w:ind w:left="0" w:leftChars="0" w:right="0" w:rightChars="0"/>
                    <w:jc w:val="center"/>
                    <w:textAlignment w:val="auto"/>
                    <w:rPr>
                      <w:color w:val="000000" w:themeColor="text1"/>
                      <w:szCs w:val="21"/>
                      <w14:textFill>
                        <w14:solidFill>
                          <w14:schemeClr w14:val="tx1"/>
                        </w14:solidFill>
                      </w14:textFill>
                    </w:rPr>
                  </w:pPr>
                  <w:r>
                    <w:rPr>
                      <w:rFonts w:hint="eastAsia"/>
                      <w:szCs w:val="21"/>
                      <w:lang w:val="en-US" w:eastAsia="zh-CN"/>
                    </w:rPr>
                    <w:t>SO</w:t>
                  </w:r>
                  <w:r>
                    <w:rPr>
                      <w:rFonts w:hint="eastAsia"/>
                      <w:szCs w:val="21"/>
                      <w:vertAlign w:val="subscript"/>
                      <w:lang w:val="en-US" w:eastAsia="zh-CN"/>
                    </w:rPr>
                    <w:t>2</w:t>
                  </w:r>
                </w:p>
              </w:tc>
              <w:tc>
                <w:tcPr>
                  <w:tcW w:w="1583" w:type="dxa"/>
                  <w:tcBorders>
                    <w:tl2br w:val="nil"/>
                    <w:tr2bl w:val="nil"/>
                  </w:tcBorders>
                  <w:vAlign w:val="center"/>
                </w:tcPr>
                <w:p>
                  <w:pPr>
                    <w:keepNext w:val="0"/>
                    <w:keepLines w:val="0"/>
                    <w:pageBreakBefore w:val="0"/>
                    <w:kinsoku/>
                    <w:wordWrap/>
                    <w:overflowPunct/>
                    <w:topLinePunct w:val="0"/>
                    <w:autoSpaceDE/>
                    <w:autoSpaceDN/>
                    <w:bidi w:val="0"/>
                    <w:spacing w:before="63" w:beforeLines="20" w:after="63" w:afterLines="20" w:line="240" w:lineRule="auto"/>
                    <w:ind w:left="0" w:leftChars="0" w:right="0" w:rightChars="0"/>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0.012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35"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line="240" w:lineRule="auto"/>
                    <w:ind w:left="0" w:leftChars="0" w:right="0" w:rightChars="0"/>
                    <w:jc w:val="center"/>
                    <w:rPr>
                      <w:color w:val="000000" w:themeColor="text1"/>
                      <w:kern w:val="0"/>
                      <w:szCs w:val="21"/>
                      <w14:textFill>
                        <w14:solidFill>
                          <w14:schemeClr w14:val="tx1"/>
                        </w14:solidFill>
                      </w14:textFill>
                    </w:rPr>
                  </w:pPr>
                </w:p>
              </w:tc>
              <w:tc>
                <w:tcPr>
                  <w:tcW w:w="5294" w:type="dxa"/>
                  <w:gridSpan w:val="4"/>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line="240" w:lineRule="auto"/>
                    <w:ind w:left="0" w:leftChars="0" w:right="0" w:rightChars="0"/>
                    <w:jc w:val="center"/>
                    <w:textAlignment w:val="auto"/>
                    <w:rPr>
                      <w:color w:val="000000" w:themeColor="text1"/>
                      <w:szCs w:val="21"/>
                      <w14:textFill>
                        <w14:solidFill>
                          <w14:schemeClr w14:val="tx1"/>
                        </w14:solidFill>
                      </w14:textFill>
                    </w:rPr>
                  </w:pPr>
                  <w:r>
                    <w:rPr>
                      <w:rFonts w:hint="eastAsia"/>
                      <w:szCs w:val="21"/>
                      <w:lang w:val="en-US" w:eastAsia="zh-CN"/>
                    </w:rPr>
                    <w:t>NOx</w:t>
                  </w:r>
                </w:p>
              </w:tc>
              <w:tc>
                <w:tcPr>
                  <w:tcW w:w="1583" w:type="dxa"/>
                  <w:tcBorders>
                    <w:tl2br w:val="nil"/>
                    <w:tr2bl w:val="nil"/>
                  </w:tcBorders>
                  <w:vAlign w:val="center"/>
                </w:tcPr>
                <w:p>
                  <w:pPr>
                    <w:keepNext w:val="0"/>
                    <w:keepLines w:val="0"/>
                    <w:pageBreakBefore w:val="0"/>
                    <w:kinsoku/>
                    <w:wordWrap/>
                    <w:overflowPunct/>
                    <w:topLinePunct w:val="0"/>
                    <w:autoSpaceDE/>
                    <w:autoSpaceDN/>
                    <w:bidi w:val="0"/>
                    <w:spacing w:before="63" w:beforeLines="20" w:after="63" w:afterLines="20" w:line="240" w:lineRule="auto"/>
                    <w:ind w:left="0" w:leftChars="0" w:right="0" w:rightChars="0"/>
                    <w:jc w:val="center"/>
                    <w:rPr>
                      <w:color w:val="000000" w:themeColor="text1"/>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0.02</w:t>
                  </w:r>
                </w:p>
              </w:tc>
            </w:tr>
          </w:tbl>
          <w:p>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表7-10  大气污染物无组织排放量核算表</w:t>
            </w:r>
          </w:p>
          <w:tbl>
            <w:tblPr>
              <w:tblStyle w:val="17"/>
              <w:tblW w:w="831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86"/>
              <w:gridCol w:w="539"/>
              <w:gridCol w:w="774"/>
              <w:gridCol w:w="730"/>
              <w:gridCol w:w="1065"/>
              <w:gridCol w:w="2156"/>
              <w:gridCol w:w="124"/>
              <w:gridCol w:w="1464"/>
              <w:gridCol w:w="97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9" w:hRule="atLeast"/>
                <w:jc w:val="center"/>
              </w:trPr>
              <w:tc>
                <w:tcPr>
                  <w:tcW w:w="486" w:type="dxa"/>
                  <w:vMerge w:val="restart"/>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序号</w:t>
                  </w:r>
                </w:p>
              </w:tc>
              <w:tc>
                <w:tcPr>
                  <w:tcW w:w="539" w:type="dxa"/>
                  <w:vMerge w:val="restart"/>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排放口编号</w:t>
                  </w:r>
                </w:p>
              </w:tc>
              <w:tc>
                <w:tcPr>
                  <w:tcW w:w="774" w:type="dxa"/>
                  <w:vMerge w:val="restart"/>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产污环节</w:t>
                  </w:r>
                </w:p>
              </w:tc>
              <w:tc>
                <w:tcPr>
                  <w:tcW w:w="730" w:type="dxa"/>
                  <w:vMerge w:val="restart"/>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污染物</w:t>
                  </w:r>
                </w:p>
              </w:tc>
              <w:tc>
                <w:tcPr>
                  <w:tcW w:w="1065" w:type="dxa"/>
                  <w:vMerge w:val="restart"/>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主要污染防治措施</w:t>
                  </w:r>
                </w:p>
              </w:tc>
              <w:tc>
                <w:tcPr>
                  <w:tcW w:w="3744" w:type="dxa"/>
                  <w:gridSpan w:val="3"/>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国家或地方污染物排放标准</w:t>
                  </w:r>
                </w:p>
              </w:tc>
              <w:tc>
                <w:tcPr>
                  <w:tcW w:w="974" w:type="dxa"/>
                  <w:vMerge w:val="restart"/>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年排放量/（t/a）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48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rPr>
                      <w:color w:val="000000" w:themeColor="text1"/>
                      <w:kern w:val="0"/>
                      <w:szCs w:val="21"/>
                      <w14:textFill>
                        <w14:solidFill>
                          <w14:schemeClr w14:val="tx1"/>
                        </w14:solidFill>
                      </w14:textFill>
                    </w:rPr>
                  </w:pPr>
                </w:p>
              </w:tc>
              <w:tc>
                <w:tcPr>
                  <w:tcW w:w="53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left"/>
                    <w:rPr>
                      <w:color w:val="000000" w:themeColor="text1"/>
                      <w:kern w:val="0"/>
                      <w:szCs w:val="21"/>
                      <w14:textFill>
                        <w14:solidFill>
                          <w14:schemeClr w14:val="tx1"/>
                        </w14:solidFill>
                      </w14:textFill>
                    </w:rPr>
                  </w:pPr>
                </w:p>
              </w:tc>
              <w:tc>
                <w:tcPr>
                  <w:tcW w:w="77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left"/>
                    <w:rPr>
                      <w:color w:val="000000" w:themeColor="text1"/>
                      <w:kern w:val="0"/>
                      <w:szCs w:val="21"/>
                      <w14:textFill>
                        <w14:solidFill>
                          <w14:schemeClr w14:val="tx1"/>
                        </w14:solidFill>
                      </w14:textFill>
                    </w:rPr>
                  </w:pPr>
                </w:p>
              </w:tc>
              <w:tc>
                <w:tcPr>
                  <w:tcW w:w="730"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left"/>
                    <w:rPr>
                      <w:color w:val="000000" w:themeColor="text1"/>
                      <w:kern w:val="0"/>
                      <w:szCs w:val="21"/>
                      <w14:textFill>
                        <w14:solidFill>
                          <w14:schemeClr w14:val="tx1"/>
                        </w14:solidFill>
                      </w14:textFill>
                    </w:rPr>
                  </w:pPr>
                </w:p>
              </w:tc>
              <w:tc>
                <w:tcPr>
                  <w:tcW w:w="1065"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left"/>
                    <w:rPr>
                      <w:color w:val="000000" w:themeColor="text1"/>
                      <w:kern w:val="0"/>
                      <w:szCs w:val="21"/>
                      <w14:textFill>
                        <w14:solidFill>
                          <w14:schemeClr w14:val="tx1"/>
                        </w14:solidFill>
                      </w14:textFill>
                    </w:rPr>
                  </w:pPr>
                </w:p>
              </w:tc>
              <w:tc>
                <w:tcPr>
                  <w:tcW w:w="2280" w:type="dxa"/>
                  <w:gridSpan w:val="2"/>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标准名称</w:t>
                  </w:r>
                </w:p>
              </w:tc>
              <w:tc>
                <w:tcPr>
                  <w:tcW w:w="1464" w:type="dxa"/>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浓度限值/（</w:t>
                  </w:r>
                  <w:r>
                    <w:rPr>
                      <w:rFonts w:hint="eastAsia"/>
                      <w:b/>
                      <w:color w:val="000000" w:themeColor="text1"/>
                      <w:kern w:val="0"/>
                      <w:szCs w:val="21"/>
                      <w14:textFill>
                        <w14:solidFill>
                          <w14:schemeClr w14:val="tx1"/>
                        </w14:solidFill>
                      </w14:textFill>
                    </w:rPr>
                    <w:t>m</w:t>
                  </w:r>
                  <w:r>
                    <w:rPr>
                      <w:b/>
                      <w:color w:val="000000" w:themeColor="text1"/>
                      <w:kern w:val="0"/>
                      <w:szCs w:val="21"/>
                      <w14:textFill>
                        <w14:solidFill>
                          <w14:schemeClr w14:val="tx1"/>
                        </w14:solidFill>
                      </w14:textFill>
                    </w:rPr>
                    <w:t>g/m</w:t>
                  </w:r>
                  <w:r>
                    <w:rPr>
                      <w:b/>
                      <w:color w:val="000000" w:themeColor="text1"/>
                      <w:kern w:val="0"/>
                      <w:szCs w:val="21"/>
                      <w:vertAlign w:val="superscript"/>
                      <w14:textFill>
                        <w14:solidFill>
                          <w14:schemeClr w14:val="tx1"/>
                        </w14:solidFill>
                      </w14:textFill>
                    </w:rPr>
                    <w:t>3</w:t>
                  </w:r>
                  <w:r>
                    <w:rPr>
                      <w:b/>
                      <w:color w:val="000000" w:themeColor="text1"/>
                      <w:kern w:val="0"/>
                      <w:szCs w:val="21"/>
                      <w14:textFill>
                        <w14:solidFill>
                          <w14:schemeClr w14:val="tx1"/>
                        </w14:solidFill>
                      </w14:textFill>
                    </w:rPr>
                    <w:t>）</w:t>
                  </w:r>
                </w:p>
              </w:tc>
              <w:tc>
                <w:tcPr>
                  <w:tcW w:w="974"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left"/>
                    <w:rPr>
                      <w:color w:val="000000" w:themeColor="text1"/>
                      <w:kern w:val="0"/>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7" w:hRule="atLeast"/>
                <w:jc w:val="center"/>
              </w:trPr>
              <w:tc>
                <w:tcPr>
                  <w:tcW w:w="486" w:type="dxa"/>
                  <w:vMerge w:val="restart"/>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1</w:t>
                  </w:r>
                </w:p>
              </w:tc>
              <w:tc>
                <w:tcPr>
                  <w:tcW w:w="539" w:type="dxa"/>
                  <w:vMerge w:val="restart"/>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rPr>
                      <w:rFonts w:hint="default" w:eastAsia="宋体"/>
                      <w:color w:val="000000" w:themeColor="text1"/>
                      <w:kern w:val="0"/>
                      <w:szCs w:val="21"/>
                      <w:lang w:val="en-US" w:eastAsia="zh-CN"/>
                      <w14:textFill>
                        <w14:solidFill>
                          <w14:schemeClr w14:val="tx1"/>
                        </w14:solidFill>
                      </w14:textFill>
                    </w:rPr>
                  </w:pPr>
                  <w:r>
                    <w:rPr>
                      <w:rFonts w:hint="eastAsia"/>
                      <w:color w:val="000000" w:themeColor="text1"/>
                      <w:kern w:val="0"/>
                      <w:szCs w:val="21"/>
                      <w:lang w:val="en-US" w:eastAsia="zh-CN"/>
                      <w14:textFill>
                        <w14:solidFill>
                          <w14:schemeClr w14:val="tx1"/>
                        </w14:solidFill>
                      </w14:textFill>
                    </w:rPr>
                    <w:t>生产车间</w:t>
                  </w:r>
                </w:p>
              </w:tc>
              <w:tc>
                <w:tcPr>
                  <w:tcW w:w="774" w:type="dxa"/>
                  <w:tcBorders>
                    <w:tl2br w:val="nil"/>
                    <w:tr2bl w:val="nil"/>
                  </w:tcBorders>
                  <w:vAlign w:val="center"/>
                </w:tcPr>
                <w:p>
                  <w:pPr>
                    <w:keepNext w:val="0"/>
                    <w:keepLines w:val="0"/>
                    <w:pageBreakBefore w:val="0"/>
                    <w:kinsoku/>
                    <w:wordWrap/>
                    <w:overflowPunct/>
                    <w:topLinePunct w:val="0"/>
                    <w:autoSpaceDE/>
                    <w:autoSpaceDN/>
                    <w:bidi w:val="0"/>
                    <w:spacing w:before="63" w:beforeLines="20" w:after="63" w:afterLines="2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喷塑</w:t>
                  </w:r>
                </w:p>
              </w:tc>
              <w:tc>
                <w:tcPr>
                  <w:tcW w:w="730" w:type="dxa"/>
                  <w:tcBorders>
                    <w:tl2br w:val="nil"/>
                    <w:tr2bl w:val="nil"/>
                  </w:tcBorders>
                  <w:vAlign w:val="center"/>
                </w:tcPr>
                <w:p>
                  <w:pPr>
                    <w:pStyle w:val="40"/>
                    <w:keepNext w:val="0"/>
                    <w:keepLines w:val="0"/>
                    <w:pageBreakBefore w:val="0"/>
                    <w:kinsoku/>
                    <w:wordWrap/>
                    <w:overflowPunct/>
                    <w:topLinePunct w:val="0"/>
                    <w:autoSpaceDE/>
                    <w:autoSpaceDN/>
                    <w:bidi w:val="0"/>
                    <w:spacing w:before="63" w:beforeLines="20" w:after="63" w:afterLines="20"/>
                    <w:ind w:right="0" w:rightChars="0"/>
                    <w:rPr>
                      <w:color w:val="000000" w:themeColor="text1"/>
                      <w:szCs w:val="21"/>
                      <w14:textFill>
                        <w14:solidFill>
                          <w14:schemeClr w14:val="tx1"/>
                        </w14:solidFill>
                      </w14:textFill>
                    </w:rPr>
                  </w:pPr>
                  <w:r>
                    <w:rPr>
                      <w:rFonts w:ascii="Times New Roman"/>
                      <w:sz w:val="21"/>
                      <w:szCs w:val="21"/>
                    </w:rPr>
                    <w:t>颗粒物</w:t>
                  </w:r>
                </w:p>
              </w:tc>
              <w:tc>
                <w:tcPr>
                  <w:tcW w:w="1065" w:type="dxa"/>
                  <w:vMerge w:val="restart"/>
                  <w:tcBorders>
                    <w:tl2br w:val="nil"/>
                    <w:tr2bl w:val="nil"/>
                  </w:tcBorders>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lang w:bidi="ar"/>
                      <w14:textFill>
                        <w14:solidFill>
                          <w14:schemeClr w14:val="tx1"/>
                        </w14:solidFill>
                      </w14:textFill>
                    </w:rPr>
                  </w:pPr>
                  <w:r>
                    <w:rPr>
                      <w:rFonts w:hint="eastAsia"/>
                      <w:color w:val="000000" w:themeColor="text1"/>
                      <w:szCs w:val="21"/>
                      <w:lang w:bidi="ar"/>
                      <w14:textFill>
                        <w14:solidFill>
                          <w14:schemeClr w14:val="tx1"/>
                        </w14:solidFill>
                      </w14:textFill>
                    </w:rPr>
                    <w:t xml:space="preserve">车间排风系统 </w:t>
                  </w:r>
                </w:p>
              </w:tc>
              <w:tc>
                <w:tcPr>
                  <w:tcW w:w="2280" w:type="dxa"/>
                  <w:gridSpan w:val="2"/>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jc w:val="center"/>
                    <w:rPr>
                      <w:szCs w:val="21"/>
                    </w:rPr>
                  </w:pPr>
                  <w:r>
                    <w:rPr>
                      <w:rFonts w:hint="eastAsia"/>
                      <w:szCs w:val="21"/>
                    </w:rPr>
                    <w:t>《合成树脂工业污染物排放标准》（GB31572-2015）</w:t>
                  </w:r>
                </w:p>
              </w:tc>
              <w:tc>
                <w:tcPr>
                  <w:tcW w:w="1464"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jc w:val="center"/>
                    <w:rPr>
                      <w:color w:val="auto"/>
                      <w:szCs w:val="21"/>
                    </w:rPr>
                  </w:pPr>
                  <w:r>
                    <w:rPr>
                      <w:rFonts w:hint="eastAsia"/>
                      <w:color w:val="auto"/>
                      <w:szCs w:val="21"/>
                    </w:rPr>
                    <w:t>1.0</w:t>
                  </w:r>
                </w:p>
              </w:tc>
              <w:tc>
                <w:tcPr>
                  <w:tcW w:w="974" w:type="dxa"/>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default" w:eastAsia="宋体"/>
                      <w:color w:val="auto"/>
                      <w:kern w:val="0"/>
                      <w:szCs w:val="21"/>
                      <w:lang w:val="en-US" w:eastAsia="zh-CN"/>
                    </w:rPr>
                  </w:pPr>
                  <w:r>
                    <w:rPr>
                      <w:rFonts w:hint="eastAsia"/>
                      <w:color w:val="auto"/>
                      <w:kern w:val="0"/>
                      <w:szCs w:val="21"/>
                      <w:lang w:val="en-US" w:eastAsia="zh-CN" w:bidi="ar"/>
                    </w:rPr>
                    <w:t>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486"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rPr>
                      <w:color w:val="000000" w:themeColor="text1"/>
                      <w:kern w:val="0"/>
                      <w:szCs w:val="21"/>
                      <w14:textFill>
                        <w14:solidFill>
                          <w14:schemeClr w14:val="tx1"/>
                        </w14:solidFill>
                      </w14:textFill>
                    </w:rPr>
                  </w:pPr>
                </w:p>
              </w:tc>
              <w:tc>
                <w:tcPr>
                  <w:tcW w:w="539" w:type="dxa"/>
                  <w:vMerge w:val="continue"/>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rPr>
                      <w:color w:val="000000" w:themeColor="text1"/>
                      <w:kern w:val="0"/>
                      <w:szCs w:val="21"/>
                      <w14:textFill>
                        <w14:solidFill>
                          <w14:schemeClr w14:val="tx1"/>
                        </w14:solidFill>
                      </w14:textFill>
                    </w:rPr>
                  </w:pPr>
                </w:p>
              </w:tc>
              <w:tc>
                <w:tcPr>
                  <w:tcW w:w="774" w:type="dxa"/>
                  <w:tcBorders>
                    <w:tl2br w:val="nil"/>
                    <w:tr2bl w:val="nil"/>
                  </w:tcBorders>
                  <w:vAlign w:val="center"/>
                </w:tcPr>
                <w:p>
                  <w:pPr>
                    <w:keepNext w:val="0"/>
                    <w:keepLines w:val="0"/>
                    <w:pageBreakBefore w:val="0"/>
                    <w:kinsoku/>
                    <w:wordWrap/>
                    <w:overflowPunct/>
                    <w:topLinePunct w:val="0"/>
                    <w:autoSpaceDE/>
                    <w:autoSpaceDN/>
                    <w:bidi w:val="0"/>
                    <w:spacing w:before="63" w:beforeLines="20" w:after="63" w:afterLines="2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固化</w:t>
                  </w:r>
                </w:p>
              </w:tc>
              <w:tc>
                <w:tcPr>
                  <w:tcW w:w="730" w:type="dxa"/>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eastAsia" w:eastAsia="宋体"/>
                      <w:color w:val="000000" w:themeColor="text1"/>
                      <w:kern w:val="0"/>
                      <w:szCs w:val="21"/>
                      <w:lang w:eastAsia="zh-CN"/>
                      <w14:textFill>
                        <w14:solidFill>
                          <w14:schemeClr w14:val="tx1"/>
                        </w14:solidFill>
                      </w14:textFill>
                    </w:rPr>
                  </w:pPr>
                  <w:r>
                    <w:rPr>
                      <w:rFonts w:hint="eastAsia"/>
                      <w:szCs w:val="21"/>
                      <w:lang w:eastAsia="zh-CN"/>
                    </w:rPr>
                    <w:t>非甲烷总体</w:t>
                  </w:r>
                </w:p>
              </w:tc>
              <w:tc>
                <w:tcPr>
                  <w:tcW w:w="1065" w:type="dxa"/>
                  <w:vMerge w:val="continue"/>
                  <w:tcBorders>
                    <w:tl2br w:val="nil"/>
                    <w:tr2bl w:val="nil"/>
                  </w:tcBorders>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szCs w:val="21"/>
                      <w:lang w:bidi="ar"/>
                      <w14:textFill>
                        <w14:solidFill>
                          <w14:schemeClr w14:val="tx1"/>
                        </w14:solidFill>
                      </w14:textFill>
                    </w:rPr>
                  </w:pPr>
                </w:p>
              </w:tc>
              <w:tc>
                <w:tcPr>
                  <w:tcW w:w="2280" w:type="dxa"/>
                  <w:gridSpan w:val="2"/>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jc w:val="center"/>
                    <w:rPr>
                      <w:szCs w:val="21"/>
                    </w:rPr>
                  </w:pPr>
                  <w:r>
                    <w:rPr>
                      <w:rFonts w:hint="eastAsia"/>
                      <w:szCs w:val="21"/>
                    </w:rPr>
                    <w:t>《合成树脂工业污染物排放标准》（GB31572-2015）</w:t>
                  </w:r>
                </w:p>
              </w:tc>
              <w:tc>
                <w:tcPr>
                  <w:tcW w:w="1464"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jc w:val="center"/>
                    <w:rPr>
                      <w:rFonts w:hint="default"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4.0</w:t>
                  </w:r>
                </w:p>
              </w:tc>
              <w:tc>
                <w:tcPr>
                  <w:tcW w:w="974" w:type="dxa"/>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default" w:eastAsia="宋体"/>
                      <w:color w:val="000000" w:themeColor="text1"/>
                      <w:kern w:val="0"/>
                      <w:szCs w:val="21"/>
                      <w:lang w:val="en-US" w:eastAsia="zh-CN"/>
                      <w14:textFill>
                        <w14:solidFill>
                          <w14:schemeClr w14:val="tx1"/>
                        </w14:solidFill>
                      </w14:textFill>
                    </w:rPr>
                  </w:pPr>
                  <w:r>
                    <w:rPr>
                      <w:color w:val="000000"/>
                      <w:kern w:val="0"/>
                      <w:szCs w:val="21"/>
                      <w:lang w:bidi="ar"/>
                    </w:rPr>
                    <w:t>0.0</w:t>
                  </w:r>
                  <w:r>
                    <w:rPr>
                      <w:rFonts w:hint="eastAsia"/>
                      <w:color w:val="000000"/>
                      <w:kern w:val="0"/>
                      <w:szCs w:val="21"/>
                      <w:lang w:val="en-US" w:eastAsia="zh-CN" w:bidi="ar"/>
                    </w:rPr>
                    <w:t>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312" w:type="dxa"/>
                  <w:gridSpan w:val="9"/>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无组织排放总计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7" w:hRule="atLeast"/>
                <w:jc w:val="center"/>
              </w:trPr>
              <w:tc>
                <w:tcPr>
                  <w:tcW w:w="1025" w:type="dxa"/>
                  <w:gridSpan w:val="2"/>
                  <w:vMerge w:val="restart"/>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一般</w:t>
                  </w:r>
                  <w:r>
                    <w:rPr>
                      <w:color w:val="000000" w:themeColor="text1"/>
                      <w:kern w:val="0"/>
                      <w:szCs w:val="21"/>
                      <w14:textFill>
                        <w14:solidFill>
                          <w14:schemeClr w14:val="tx1"/>
                        </w14:solidFill>
                      </w14:textFill>
                    </w:rPr>
                    <w:t>排放口合计</w:t>
                  </w:r>
                  <w:r>
                    <w:rPr>
                      <w:rFonts w:hint="eastAsia"/>
                      <w:color w:val="000000" w:themeColor="text1"/>
                      <w:kern w:val="0"/>
                      <w:szCs w:val="21"/>
                      <w14:textFill>
                        <w14:solidFill>
                          <w14:schemeClr w14:val="tx1"/>
                        </w14:solidFill>
                      </w14:textFill>
                    </w:rPr>
                    <w:t>（</w:t>
                  </w:r>
                  <w:r>
                    <w:rPr>
                      <w:color w:val="000000" w:themeColor="text1"/>
                      <w:kern w:val="0"/>
                      <w:szCs w:val="21"/>
                      <w14:textFill>
                        <w14:solidFill>
                          <w14:schemeClr w14:val="tx1"/>
                        </w14:solidFill>
                      </w14:textFill>
                    </w:rPr>
                    <w:t>t/a</w:t>
                  </w:r>
                  <w:r>
                    <w:rPr>
                      <w:rFonts w:hint="eastAsia"/>
                      <w:color w:val="000000" w:themeColor="text1"/>
                      <w:kern w:val="0"/>
                      <w:szCs w:val="21"/>
                      <w14:textFill>
                        <w14:solidFill>
                          <w14:schemeClr w14:val="tx1"/>
                        </w14:solidFill>
                      </w14:textFill>
                    </w:rPr>
                    <w:t>）</w:t>
                  </w:r>
                </w:p>
              </w:tc>
              <w:tc>
                <w:tcPr>
                  <w:tcW w:w="4725" w:type="dxa"/>
                  <w:gridSpan w:val="4"/>
                  <w:tcBorders>
                    <w:tl2br w:val="nil"/>
                    <w:tr2bl w:val="nil"/>
                  </w:tcBorders>
                  <w:vAlign w:val="center"/>
                </w:tcPr>
                <w:p>
                  <w:pPr>
                    <w:pStyle w:val="40"/>
                    <w:keepNext w:val="0"/>
                    <w:keepLines w:val="0"/>
                    <w:pageBreakBefore w:val="0"/>
                    <w:kinsoku/>
                    <w:wordWrap/>
                    <w:overflowPunct/>
                    <w:topLinePunct w:val="0"/>
                    <w:autoSpaceDE/>
                    <w:autoSpaceDN/>
                    <w:bidi w:val="0"/>
                    <w:spacing w:before="63" w:beforeLines="20" w:after="63" w:afterLines="20"/>
                    <w:ind w:right="0" w:rightChars="0"/>
                    <w:rPr>
                      <w:color w:val="000000" w:themeColor="text1"/>
                      <w:szCs w:val="21"/>
                      <w14:textFill>
                        <w14:solidFill>
                          <w14:schemeClr w14:val="tx1"/>
                        </w14:solidFill>
                      </w14:textFill>
                    </w:rPr>
                  </w:pPr>
                  <w:r>
                    <w:rPr>
                      <w:rFonts w:ascii="Times New Roman"/>
                      <w:sz w:val="21"/>
                      <w:szCs w:val="21"/>
                    </w:rPr>
                    <w:t>颗粒物</w:t>
                  </w:r>
                </w:p>
              </w:tc>
              <w:tc>
                <w:tcPr>
                  <w:tcW w:w="2562" w:type="dxa"/>
                  <w:gridSpan w:val="3"/>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eastAsia" w:eastAsia="宋体"/>
                      <w:color w:val="000000" w:themeColor="text1"/>
                      <w:kern w:val="0"/>
                      <w:szCs w:val="21"/>
                      <w:lang w:eastAsia="zh-CN"/>
                      <w14:textFill>
                        <w14:solidFill>
                          <w14:schemeClr w14:val="tx1"/>
                        </w14:solidFill>
                      </w14:textFill>
                    </w:rPr>
                  </w:pPr>
                  <w:r>
                    <w:rPr>
                      <w:rFonts w:hint="eastAsia"/>
                      <w:color w:val="auto"/>
                      <w:kern w:val="0"/>
                      <w:szCs w:val="21"/>
                      <w:lang w:val="en-US" w:eastAsia="zh-CN" w:bidi="ar"/>
                    </w:rPr>
                    <w:t>0.03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1025" w:type="dxa"/>
                  <w:gridSpan w:val="2"/>
                  <w:vMerge w:val="continue"/>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rPr>
                      <w:color w:val="000000" w:themeColor="text1"/>
                      <w:kern w:val="0"/>
                      <w:szCs w:val="21"/>
                      <w14:textFill>
                        <w14:solidFill>
                          <w14:schemeClr w14:val="tx1"/>
                        </w14:solidFill>
                      </w14:textFill>
                    </w:rPr>
                  </w:pPr>
                </w:p>
              </w:tc>
              <w:tc>
                <w:tcPr>
                  <w:tcW w:w="4725" w:type="dxa"/>
                  <w:gridSpan w:val="4"/>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eastAsia" w:eastAsia="宋体"/>
                      <w:color w:val="000000" w:themeColor="text1"/>
                      <w:kern w:val="0"/>
                      <w:szCs w:val="21"/>
                      <w:lang w:eastAsia="zh-CN"/>
                      <w14:textFill>
                        <w14:solidFill>
                          <w14:schemeClr w14:val="tx1"/>
                        </w14:solidFill>
                      </w14:textFill>
                    </w:rPr>
                  </w:pPr>
                  <w:r>
                    <w:rPr>
                      <w:rFonts w:hint="eastAsia"/>
                      <w:szCs w:val="21"/>
                      <w:lang w:eastAsia="zh-CN"/>
                    </w:rPr>
                    <w:t>非甲烷总烃</w:t>
                  </w:r>
                </w:p>
              </w:tc>
              <w:tc>
                <w:tcPr>
                  <w:tcW w:w="2562" w:type="dxa"/>
                  <w:gridSpan w:val="3"/>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color w:val="000000" w:themeColor="text1"/>
                      <w:kern w:val="0"/>
                      <w:szCs w:val="21"/>
                      <w14:textFill>
                        <w14:solidFill>
                          <w14:schemeClr w14:val="tx1"/>
                        </w14:solidFill>
                      </w14:textFill>
                    </w:rPr>
                  </w:pPr>
                  <w:r>
                    <w:rPr>
                      <w:color w:val="000000"/>
                      <w:kern w:val="0"/>
                      <w:szCs w:val="21"/>
                      <w:lang w:bidi="ar"/>
                    </w:rPr>
                    <w:t>0.0</w:t>
                  </w:r>
                  <w:r>
                    <w:rPr>
                      <w:rFonts w:hint="eastAsia"/>
                      <w:color w:val="000000"/>
                      <w:kern w:val="0"/>
                      <w:szCs w:val="21"/>
                      <w:lang w:val="en-US" w:eastAsia="zh-CN" w:bidi="ar"/>
                    </w:rPr>
                    <w:t>01</w:t>
                  </w:r>
                </w:p>
              </w:tc>
            </w:tr>
          </w:tbl>
          <w:p>
            <w:pPr>
              <w:keepNext w:val="0"/>
              <w:keepLines w:val="0"/>
              <w:pageBreakBefore w:val="0"/>
              <w:widowControl w:val="0"/>
              <w:kinsoku/>
              <w:wordWrap/>
              <w:overflowPunct/>
              <w:topLinePunct w:val="0"/>
              <w:autoSpaceDE/>
              <w:autoSpaceDN/>
              <w:bidi w:val="0"/>
              <w:adjustRightInd/>
              <w:snapToGrid/>
              <w:spacing w:before="157" w:beforeLines="50"/>
              <w:jc w:val="center"/>
              <w:textAlignment w:val="auto"/>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表7-11  大气污染物排放量核算表</w:t>
            </w:r>
          </w:p>
          <w:tbl>
            <w:tblPr>
              <w:tblStyle w:val="17"/>
              <w:tblW w:w="831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147"/>
              <w:gridCol w:w="3351"/>
              <w:gridCol w:w="281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2147" w:type="dxa"/>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序号</w:t>
                  </w:r>
                </w:p>
              </w:tc>
              <w:tc>
                <w:tcPr>
                  <w:tcW w:w="3351" w:type="dxa"/>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污染物</w:t>
                  </w:r>
                </w:p>
              </w:tc>
              <w:tc>
                <w:tcPr>
                  <w:tcW w:w="2814" w:type="dxa"/>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rPr>
                      <w:b/>
                      <w:color w:val="000000" w:themeColor="text1"/>
                      <w:kern w:val="0"/>
                      <w:szCs w:val="21"/>
                      <w14:textFill>
                        <w14:solidFill>
                          <w14:schemeClr w14:val="tx1"/>
                        </w14:solidFill>
                      </w14:textFill>
                    </w:rPr>
                  </w:pPr>
                  <w:r>
                    <w:rPr>
                      <w:b/>
                      <w:color w:val="000000" w:themeColor="text1"/>
                      <w:kern w:val="0"/>
                      <w:szCs w:val="21"/>
                      <w14:textFill>
                        <w14:solidFill>
                          <w14:schemeClr w14:val="tx1"/>
                        </w14:solidFill>
                      </w14:textFill>
                    </w:rPr>
                    <w:t>年排放量/（t/a）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2147" w:type="dxa"/>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1</w:t>
                  </w:r>
                </w:p>
              </w:tc>
              <w:tc>
                <w:tcPr>
                  <w:tcW w:w="3351" w:type="dxa"/>
                  <w:tcBorders>
                    <w:tl2br w:val="nil"/>
                    <w:tr2bl w:val="nil"/>
                  </w:tcBorders>
                  <w:vAlign w:val="center"/>
                </w:tcPr>
                <w:p>
                  <w:pPr>
                    <w:pStyle w:val="40"/>
                    <w:keepNext w:val="0"/>
                    <w:keepLines w:val="0"/>
                    <w:pageBreakBefore w:val="0"/>
                    <w:kinsoku/>
                    <w:wordWrap/>
                    <w:overflowPunct/>
                    <w:topLinePunct w:val="0"/>
                    <w:autoSpaceDE/>
                    <w:autoSpaceDN/>
                    <w:bidi w:val="0"/>
                    <w:spacing w:before="63" w:beforeLines="20" w:after="63" w:afterLines="20"/>
                    <w:ind w:right="0" w:rightChars="0"/>
                    <w:rPr>
                      <w:color w:val="000000" w:themeColor="text1"/>
                      <w:szCs w:val="21"/>
                      <w14:textFill>
                        <w14:solidFill>
                          <w14:schemeClr w14:val="tx1"/>
                        </w14:solidFill>
                      </w14:textFill>
                    </w:rPr>
                  </w:pPr>
                  <w:r>
                    <w:rPr>
                      <w:rFonts w:ascii="Times New Roman"/>
                      <w:sz w:val="21"/>
                      <w:szCs w:val="21"/>
                    </w:rPr>
                    <w:t>颗粒物</w:t>
                  </w:r>
                </w:p>
              </w:tc>
              <w:tc>
                <w:tcPr>
                  <w:tcW w:w="2814" w:type="dxa"/>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default" w:eastAsia="宋体"/>
                      <w:color w:val="000000" w:themeColor="text1"/>
                      <w:kern w:val="0"/>
                      <w:szCs w:val="21"/>
                      <w:lang w:val="en-US" w:eastAsia="zh-CN"/>
                      <w14:textFill>
                        <w14:solidFill>
                          <w14:schemeClr w14:val="tx1"/>
                        </w14:solidFill>
                      </w14:textFill>
                    </w:rPr>
                  </w:pPr>
                  <w:r>
                    <w:rPr>
                      <w:rFonts w:hint="eastAsia"/>
                      <w:color w:val="auto"/>
                      <w:kern w:val="0"/>
                      <w:szCs w:val="21"/>
                      <w:lang w:val="en-US" w:eastAsia="zh-CN" w:bidi="ar"/>
                    </w:rPr>
                    <w:t>0.057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2147" w:type="dxa"/>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rPr>
                      <w:color w:val="000000" w:themeColor="text1"/>
                      <w:kern w:val="0"/>
                      <w:szCs w:val="21"/>
                      <w14:textFill>
                        <w14:solidFill>
                          <w14:schemeClr w14:val="tx1"/>
                        </w14:solidFill>
                      </w14:textFill>
                    </w:rPr>
                  </w:pPr>
                  <w:r>
                    <w:rPr>
                      <w:color w:val="000000" w:themeColor="text1"/>
                      <w:kern w:val="0"/>
                      <w:szCs w:val="21"/>
                      <w14:textFill>
                        <w14:solidFill>
                          <w14:schemeClr w14:val="tx1"/>
                        </w14:solidFill>
                      </w14:textFill>
                    </w:rPr>
                    <w:t>2</w:t>
                  </w:r>
                </w:p>
              </w:tc>
              <w:tc>
                <w:tcPr>
                  <w:tcW w:w="3351" w:type="dxa"/>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eastAsia" w:eastAsia="宋体"/>
                      <w:color w:val="000000" w:themeColor="text1"/>
                      <w:kern w:val="0"/>
                      <w:szCs w:val="21"/>
                      <w:lang w:eastAsia="zh-CN"/>
                      <w14:textFill>
                        <w14:solidFill>
                          <w14:schemeClr w14:val="tx1"/>
                        </w14:solidFill>
                      </w14:textFill>
                    </w:rPr>
                  </w:pPr>
                  <w:r>
                    <w:rPr>
                      <w:rFonts w:hint="eastAsia"/>
                      <w:color w:val="000000" w:themeColor="text1"/>
                      <w:kern w:val="0"/>
                      <w:szCs w:val="21"/>
                      <w:lang w:eastAsia="zh-CN"/>
                      <w14:textFill>
                        <w14:solidFill>
                          <w14:schemeClr w14:val="tx1"/>
                        </w14:solidFill>
                      </w14:textFill>
                    </w:rPr>
                    <w:t>非甲烷总烃</w:t>
                  </w:r>
                </w:p>
              </w:tc>
              <w:tc>
                <w:tcPr>
                  <w:tcW w:w="2814" w:type="dxa"/>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center"/>
                    <w:rPr>
                      <w:rFonts w:hint="default" w:eastAsia="宋体"/>
                      <w:color w:val="000000" w:themeColor="text1"/>
                      <w:kern w:val="0"/>
                      <w:szCs w:val="21"/>
                      <w:lang w:val="en-US" w:eastAsia="zh-CN"/>
                      <w14:textFill>
                        <w14:solidFill>
                          <w14:schemeClr w14:val="tx1"/>
                        </w14:solidFill>
                      </w14:textFill>
                    </w:rPr>
                  </w:pPr>
                  <w:r>
                    <w:rPr>
                      <w:rFonts w:hint="eastAsia"/>
                      <w:color w:val="000000"/>
                      <w:kern w:val="0"/>
                      <w:szCs w:val="21"/>
                      <w:lang w:val="en-US" w:eastAsia="zh-CN" w:bidi="ar"/>
                    </w:rPr>
                    <w:t>0.004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2147" w:type="dxa"/>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3</w:t>
                  </w:r>
                </w:p>
              </w:tc>
              <w:tc>
                <w:tcPr>
                  <w:tcW w:w="3351"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color w:val="000000" w:themeColor="text1"/>
                      <w:kern w:val="0"/>
                      <w:szCs w:val="21"/>
                      <w14:textFill>
                        <w14:solidFill>
                          <w14:schemeClr w14:val="tx1"/>
                        </w14:solidFill>
                      </w14:textFill>
                    </w:rPr>
                  </w:pPr>
                  <w:r>
                    <w:rPr>
                      <w:rFonts w:hint="eastAsia"/>
                      <w:szCs w:val="21"/>
                      <w:lang w:val="en-US" w:eastAsia="zh-CN"/>
                    </w:rPr>
                    <w:t>SO</w:t>
                  </w:r>
                  <w:r>
                    <w:rPr>
                      <w:rFonts w:hint="eastAsia"/>
                      <w:szCs w:val="21"/>
                      <w:vertAlign w:val="subscript"/>
                      <w:lang w:val="en-US" w:eastAsia="zh-CN"/>
                    </w:rPr>
                    <w:t>2</w:t>
                  </w:r>
                </w:p>
              </w:tc>
              <w:tc>
                <w:tcPr>
                  <w:tcW w:w="2814" w:type="dxa"/>
                  <w:tcBorders>
                    <w:tl2br w:val="nil"/>
                    <w:tr2bl w:val="nil"/>
                  </w:tcBorders>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kern w:val="0"/>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0.012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9" w:hRule="atLeast"/>
                <w:jc w:val="center"/>
              </w:trPr>
              <w:tc>
                <w:tcPr>
                  <w:tcW w:w="2147" w:type="dxa"/>
                  <w:tcBorders>
                    <w:tl2br w:val="nil"/>
                    <w:tr2bl w:val="nil"/>
                  </w:tcBorders>
                  <w:vAlign w:val="center"/>
                </w:tcPr>
                <w:p>
                  <w:pPr>
                    <w:keepNext w:val="0"/>
                    <w:keepLines w:val="0"/>
                    <w:pageBreakBefore w:val="0"/>
                    <w:widowControl/>
                    <w:kinsoku/>
                    <w:wordWrap/>
                    <w:overflowPunct/>
                    <w:topLinePunct w:val="0"/>
                    <w:autoSpaceDE/>
                    <w:autoSpaceDN/>
                    <w:bidi w:val="0"/>
                    <w:spacing w:before="63" w:beforeLines="20" w:after="63" w:afterLines="20"/>
                    <w:jc w:val="center"/>
                    <w:rPr>
                      <w:color w:val="000000" w:themeColor="text1"/>
                      <w:kern w:val="0"/>
                      <w:szCs w:val="21"/>
                      <w14:textFill>
                        <w14:solidFill>
                          <w14:schemeClr w14:val="tx1"/>
                        </w14:solidFill>
                      </w14:textFill>
                    </w:rPr>
                  </w:pPr>
                  <w:r>
                    <w:rPr>
                      <w:rFonts w:hint="eastAsia"/>
                      <w:color w:val="000000" w:themeColor="text1"/>
                      <w:kern w:val="0"/>
                      <w:szCs w:val="21"/>
                      <w14:textFill>
                        <w14:solidFill>
                          <w14:schemeClr w14:val="tx1"/>
                        </w14:solidFill>
                      </w14:textFill>
                    </w:rPr>
                    <w:t>4</w:t>
                  </w:r>
                </w:p>
              </w:tc>
              <w:tc>
                <w:tcPr>
                  <w:tcW w:w="3351" w:type="dxa"/>
                  <w:tcBorders>
                    <w:tl2br w:val="nil"/>
                    <w:tr2bl w:val="nil"/>
                  </w:tcBorders>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color w:val="000000" w:themeColor="text1"/>
                      <w:kern w:val="0"/>
                      <w:szCs w:val="21"/>
                      <w14:textFill>
                        <w14:solidFill>
                          <w14:schemeClr w14:val="tx1"/>
                        </w14:solidFill>
                      </w14:textFill>
                    </w:rPr>
                  </w:pPr>
                  <w:r>
                    <w:rPr>
                      <w:rFonts w:hint="eastAsia"/>
                      <w:szCs w:val="21"/>
                      <w:lang w:val="en-US" w:eastAsia="zh-CN"/>
                    </w:rPr>
                    <w:t>NOx</w:t>
                  </w:r>
                </w:p>
              </w:tc>
              <w:tc>
                <w:tcPr>
                  <w:tcW w:w="2814" w:type="dxa"/>
                  <w:tcBorders>
                    <w:tl2br w:val="nil"/>
                    <w:tr2bl w:val="nil"/>
                  </w:tcBorders>
                  <w:vAlign w:val="center"/>
                </w:tcPr>
                <w:p>
                  <w:pPr>
                    <w:keepNext w:val="0"/>
                    <w:keepLines w:val="0"/>
                    <w:pageBreakBefore w:val="0"/>
                    <w:kinsoku/>
                    <w:wordWrap/>
                    <w:overflowPunct/>
                    <w:topLinePunct w:val="0"/>
                    <w:autoSpaceDE/>
                    <w:autoSpaceDN/>
                    <w:bidi w:val="0"/>
                    <w:spacing w:before="63" w:beforeLines="20" w:after="63" w:afterLines="20"/>
                    <w:jc w:val="center"/>
                    <w:rPr>
                      <w:color w:val="000000" w:themeColor="text1"/>
                      <w:kern w:val="0"/>
                      <w:szCs w:val="21"/>
                      <w14:textFill>
                        <w14:solidFill>
                          <w14:schemeClr w14:val="tx1"/>
                        </w14:solidFill>
                      </w14:textFill>
                    </w:rPr>
                  </w:pPr>
                  <w:r>
                    <w:rPr>
                      <w:rFonts w:hint="eastAsia"/>
                      <w:color w:val="000000" w:themeColor="text1"/>
                      <w:szCs w:val="21"/>
                      <w:lang w:val="en-US" w:eastAsia="zh-CN"/>
                      <w14:textFill>
                        <w14:solidFill>
                          <w14:schemeClr w14:val="tx1"/>
                        </w14:solidFill>
                      </w14:textFill>
                    </w:rPr>
                    <w:t>0.02</w:t>
                  </w:r>
                </w:p>
              </w:tc>
            </w:tr>
          </w:tbl>
          <w:p>
            <w:pPr>
              <w:keepNext w:val="0"/>
              <w:keepLines w:val="0"/>
              <w:pageBreakBefore w:val="0"/>
              <w:widowControl w:val="0"/>
              <w:numPr>
                <w:ilvl w:val="0"/>
                <w:numId w:val="0"/>
              </w:numPr>
              <w:tabs>
                <w:tab w:val="left" w:pos="417"/>
              </w:tabs>
              <w:kinsoku/>
              <w:wordWrap/>
              <w:overflowPunct/>
              <w:topLinePunct w:val="0"/>
              <w:autoSpaceDE/>
              <w:autoSpaceDN/>
              <w:bidi w:val="0"/>
              <w:adjustRightInd/>
              <w:snapToGrid w:val="0"/>
              <w:spacing w:before="157" w:beforeLines="50" w:line="360" w:lineRule="auto"/>
              <w:ind w:leftChars="0" w:firstLine="480" w:firstLineChars="200"/>
              <w:textAlignment w:val="auto"/>
              <w:rPr>
                <w:b/>
                <w:color w:val="000000" w:themeColor="text1"/>
                <w:sz w:val="24"/>
                <w14:textFill>
                  <w14:solidFill>
                    <w14:schemeClr w14:val="tx1"/>
                  </w14:solidFill>
                </w14:textFill>
              </w:rPr>
            </w:pPr>
            <w:r>
              <w:rPr>
                <w:rFonts w:hint="eastAsia"/>
                <w:b/>
                <w:color w:val="000000" w:themeColor="text1"/>
                <w:sz w:val="24"/>
                <w:lang w:eastAsia="zh-CN"/>
                <w14:textFill>
                  <w14:solidFill>
                    <w14:schemeClr w14:val="tx1"/>
                  </w14:solidFill>
                </w14:textFill>
              </w:rPr>
              <w:t>（</w:t>
            </w:r>
            <w:r>
              <w:rPr>
                <w:rFonts w:hint="eastAsia"/>
                <w:b/>
                <w:color w:val="000000" w:themeColor="text1"/>
                <w:sz w:val="24"/>
                <w:lang w:val="en-US" w:eastAsia="zh-CN"/>
                <w14:textFill>
                  <w14:solidFill>
                    <w14:schemeClr w14:val="tx1"/>
                  </w14:solidFill>
                </w14:textFill>
              </w:rPr>
              <w:t>4</w:t>
            </w:r>
            <w:r>
              <w:rPr>
                <w:rFonts w:hint="eastAsia"/>
                <w:b/>
                <w:color w:val="000000" w:themeColor="text1"/>
                <w:sz w:val="24"/>
                <w:lang w:eastAsia="zh-CN"/>
                <w14:textFill>
                  <w14:solidFill>
                    <w14:schemeClr w14:val="tx1"/>
                  </w14:solidFill>
                </w14:textFill>
              </w:rPr>
              <w:t>）</w:t>
            </w:r>
            <w:r>
              <w:rPr>
                <w:rFonts w:hint="eastAsia"/>
                <w:b/>
                <w:color w:val="000000" w:themeColor="text1"/>
                <w:sz w:val="24"/>
                <w14:textFill>
                  <w14:solidFill>
                    <w14:schemeClr w14:val="tx1"/>
                  </w14:solidFill>
                </w14:textFill>
              </w:rPr>
              <w:t>大气、</w:t>
            </w:r>
            <w:r>
              <w:rPr>
                <w:b/>
                <w:color w:val="000000" w:themeColor="text1"/>
                <w:sz w:val="24"/>
                <w14:textFill>
                  <w14:solidFill>
                    <w14:schemeClr w14:val="tx1"/>
                  </w14:solidFill>
                </w14:textFill>
              </w:rPr>
              <w:t>卫生防护距离</w:t>
            </w:r>
          </w:p>
          <w:p>
            <w:pPr>
              <w:keepNext w:val="0"/>
              <w:keepLines w:val="0"/>
              <w:pageBreakBefore w:val="0"/>
              <w:widowControl w:val="0"/>
              <w:numPr>
                <w:ilvl w:val="0"/>
                <w:numId w:val="0"/>
              </w:numPr>
              <w:tabs>
                <w:tab w:val="left" w:pos="417"/>
              </w:tabs>
              <w:kinsoku/>
              <w:wordWrap/>
              <w:overflowPunct/>
              <w:topLinePunct w:val="0"/>
              <w:autoSpaceDE/>
              <w:autoSpaceDN/>
              <w:bidi w:val="0"/>
              <w:adjustRightInd/>
              <w:snapToGrid w:val="0"/>
              <w:spacing w:line="360" w:lineRule="auto"/>
              <w:ind w:leftChars="0" w:firstLine="480" w:firstLineChars="200"/>
              <w:textAlignment w:val="auto"/>
              <w:rPr>
                <w:rFonts w:hint="eastAsia"/>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大气防护距离</w:t>
            </w:r>
          </w:p>
          <w:p>
            <w:pPr>
              <w:keepNext w:val="0"/>
              <w:keepLines w:val="0"/>
              <w:pageBreakBefore w:val="0"/>
              <w:widowControl w:val="0"/>
              <w:numPr>
                <w:ilvl w:val="0"/>
                <w:numId w:val="0"/>
              </w:numPr>
              <w:tabs>
                <w:tab w:val="left" w:pos="417"/>
              </w:tabs>
              <w:kinsoku/>
              <w:wordWrap/>
              <w:overflowPunct/>
              <w:topLinePunct w:val="0"/>
              <w:autoSpaceDE/>
              <w:autoSpaceDN/>
              <w:bidi w:val="0"/>
              <w:adjustRightInd/>
              <w:snapToGrid w:val="0"/>
              <w:spacing w:line="360" w:lineRule="auto"/>
              <w:ind w:leftChars="0"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根据《环境影响评价技术导则—大气环境（HJ2.2-2018）》要求，</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对于项目厂界浓度满足大气污染物厂界浓度限值，但厂界外大气污染物短期贡献浓度超过环境质量浓度限值的，可以自厂界向外设置一定范围的大气环境防护区域，以确保大气环境防护区域外的污染物贡献浓度满足环境质量标准</w:t>
            </w:r>
            <w:r>
              <w:rPr>
                <w:rFonts w:hint="eastAsia"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w:t>
            </w:r>
          </w:p>
          <w:p>
            <w:pPr>
              <w:spacing w:line="240" w:lineRule="auto"/>
              <w:ind w:firstLine="482"/>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w:t>
            </w:r>
            <w:r>
              <w:rPr>
                <w:rFonts w:hint="default" w:ascii="Times New Roman" w:hAnsi="Times New Roman" w:eastAsia="宋体" w:cs="Times New Roman"/>
                <w:b/>
                <w:bCs/>
                <w:color w:val="auto"/>
                <w:sz w:val="24"/>
                <w:szCs w:val="24"/>
                <w:lang w:val="en-US" w:eastAsia="zh-CN"/>
              </w:rPr>
              <w:t>7</w:t>
            </w:r>
            <w:r>
              <w:rPr>
                <w:rFonts w:hint="default" w:ascii="Times New Roman" w:hAnsi="Times New Roman" w:eastAsia="宋体" w:cs="Times New Roman"/>
                <w:b/>
                <w:bCs/>
                <w:color w:val="auto"/>
                <w:sz w:val="24"/>
                <w:szCs w:val="24"/>
              </w:rPr>
              <w:t>-</w:t>
            </w:r>
            <w:r>
              <w:rPr>
                <w:rFonts w:hint="default" w:ascii="Times New Roman" w:hAnsi="Times New Roman" w:eastAsia="宋体" w:cs="Times New Roman"/>
                <w:b/>
                <w:bCs/>
                <w:color w:val="auto"/>
                <w:sz w:val="24"/>
                <w:szCs w:val="24"/>
                <w:lang w:val="en-US" w:eastAsia="zh-CN"/>
              </w:rPr>
              <w:t>1</w:t>
            </w:r>
            <w:r>
              <w:rPr>
                <w:rFonts w:hint="eastAsia" w:cs="Times New Roman"/>
                <w:b/>
                <w:bCs/>
                <w:color w:val="auto"/>
                <w:sz w:val="24"/>
                <w:szCs w:val="24"/>
                <w:lang w:val="en-US" w:eastAsia="zh-CN"/>
              </w:rPr>
              <w:t>2</w:t>
            </w:r>
            <w:r>
              <w:rPr>
                <w:rFonts w:hint="default" w:ascii="Times New Roman" w:hAnsi="Times New Roman" w:eastAsia="宋体" w:cs="Times New Roman"/>
                <w:b/>
                <w:bCs/>
                <w:color w:val="auto"/>
                <w:sz w:val="24"/>
                <w:szCs w:val="24"/>
              </w:rPr>
              <w:t xml:space="preserve"> 大气防护距离计算结果表</w:t>
            </w:r>
          </w:p>
          <w:tbl>
            <w:tblPr>
              <w:tblStyle w:val="17"/>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29"/>
              <w:gridCol w:w="1202"/>
              <w:gridCol w:w="1261"/>
              <w:gridCol w:w="1092"/>
              <w:gridCol w:w="1722"/>
              <w:gridCol w:w="652"/>
              <w:gridCol w:w="114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0" w:type="pct"/>
                  <w:noWrap w:val="0"/>
                  <w:vAlign w:val="center"/>
                </w:tcPr>
                <w:p>
                  <w:pPr>
                    <w:spacing w:before="48" w:beforeLines="20" w:after="48" w:afterLines="20"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w:t>
                  </w:r>
                </w:p>
                <w:p>
                  <w:pPr>
                    <w:spacing w:before="48" w:beforeLines="20" w:after="48" w:afterLines="20"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名称</w:t>
                  </w:r>
                </w:p>
              </w:tc>
              <w:tc>
                <w:tcPr>
                  <w:tcW w:w="723" w:type="pct"/>
                  <w:noWrap w:val="0"/>
                  <w:vAlign w:val="center"/>
                </w:tcPr>
                <w:p>
                  <w:pPr>
                    <w:spacing w:before="48" w:beforeLines="20" w:after="48" w:afterLines="20"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污染源位置</w:t>
                  </w:r>
                </w:p>
              </w:tc>
              <w:tc>
                <w:tcPr>
                  <w:tcW w:w="759" w:type="pct"/>
                  <w:noWrap w:val="0"/>
                  <w:vAlign w:val="center"/>
                </w:tcPr>
                <w:p>
                  <w:pPr>
                    <w:spacing w:before="48" w:beforeLines="20" w:after="48" w:afterLines="20"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排放速率</w:t>
                  </w:r>
                </w:p>
                <w:p>
                  <w:pPr>
                    <w:spacing w:before="48" w:beforeLines="20" w:after="48" w:afterLines="20"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kg/h</w:t>
                  </w:r>
                </w:p>
              </w:tc>
              <w:tc>
                <w:tcPr>
                  <w:tcW w:w="657" w:type="pct"/>
                  <w:noWrap w:val="0"/>
                  <w:vAlign w:val="center"/>
                </w:tcPr>
                <w:p>
                  <w:pPr>
                    <w:spacing w:before="48" w:beforeLines="20" w:after="48" w:afterLines="20"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质量</w:t>
                  </w:r>
                </w:p>
                <w:p>
                  <w:pPr>
                    <w:spacing w:before="48" w:beforeLines="20" w:after="48" w:afterLines="20"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标准</w:t>
                  </w:r>
                </w:p>
                <w:p>
                  <w:pPr>
                    <w:spacing w:before="48" w:beforeLines="20" w:after="48" w:afterLines="20"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lang w:eastAsia="zh-CN"/>
                    </w:rPr>
                    <w:t>μ</w:t>
                  </w:r>
                  <w:r>
                    <w:rPr>
                      <w:rFonts w:hint="default" w:ascii="Times New Roman" w:hAnsi="Times New Roman" w:cs="Times New Roman"/>
                      <w:b/>
                      <w:bCs/>
                      <w:color w:val="auto"/>
                      <w:sz w:val="21"/>
                      <w:szCs w:val="21"/>
                    </w:rPr>
                    <w:t>g/m</w:t>
                  </w:r>
                  <w:r>
                    <w:rPr>
                      <w:rFonts w:hint="default" w:ascii="Times New Roman" w:hAnsi="Times New Roman" w:cs="Times New Roman"/>
                      <w:b/>
                      <w:bCs/>
                      <w:color w:val="auto"/>
                      <w:sz w:val="21"/>
                      <w:szCs w:val="21"/>
                      <w:vertAlign w:val="superscript"/>
                    </w:rPr>
                    <w:t>3</w:t>
                  </w:r>
                </w:p>
              </w:tc>
              <w:tc>
                <w:tcPr>
                  <w:tcW w:w="1036" w:type="pct"/>
                  <w:noWrap w:val="0"/>
                  <w:vAlign w:val="center"/>
                </w:tcPr>
                <w:p>
                  <w:pPr>
                    <w:spacing w:before="48" w:beforeLines="20" w:after="48" w:afterLines="20"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面源</w:t>
                  </w:r>
                </w:p>
                <w:p>
                  <w:pPr>
                    <w:spacing w:before="48" w:beforeLines="20" w:after="48" w:afterLines="20"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面积</w:t>
                  </w:r>
                </w:p>
                <w:p>
                  <w:pPr>
                    <w:spacing w:before="48" w:beforeLines="20" w:after="48" w:afterLines="20"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m</w:t>
                  </w:r>
                  <w:r>
                    <w:rPr>
                      <w:rFonts w:hint="default" w:ascii="Times New Roman" w:hAnsi="Times New Roman" w:cs="Times New Roman"/>
                      <w:b/>
                      <w:bCs/>
                      <w:color w:val="auto"/>
                      <w:sz w:val="21"/>
                      <w:szCs w:val="21"/>
                      <w:vertAlign w:val="superscript"/>
                    </w:rPr>
                    <w:t>2</w:t>
                  </w:r>
                </w:p>
              </w:tc>
              <w:tc>
                <w:tcPr>
                  <w:tcW w:w="392" w:type="pct"/>
                  <w:noWrap w:val="0"/>
                  <w:vAlign w:val="center"/>
                </w:tcPr>
                <w:p>
                  <w:pPr>
                    <w:spacing w:before="48" w:beforeLines="20" w:after="48" w:afterLines="20"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面源</w:t>
                  </w:r>
                </w:p>
                <w:p>
                  <w:pPr>
                    <w:spacing w:before="48" w:beforeLines="20" w:after="48" w:afterLines="20"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高度</w:t>
                  </w:r>
                </w:p>
                <w:p>
                  <w:pPr>
                    <w:spacing w:before="48" w:beforeLines="20" w:after="48" w:afterLines="20"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m</w:t>
                  </w:r>
                </w:p>
              </w:tc>
              <w:tc>
                <w:tcPr>
                  <w:tcW w:w="690" w:type="pct"/>
                  <w:noWrap w:val="0"/>
                  <w:vAlign w:val="center"/>
                </w:tcPr>
                <w:p>
                  <w:pPr>
                    <w:spacing w:before="48" w:beforeLines="20" w:after="48" w:afterLines="20" w:line="240" w:lineRule="auto"/>
                    <w:ind w:firstLine="0" w:firstLineChars="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环境防护距离m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740" w:type="pct"/>
                  <w:noWrap w:val="0"/>
                  <w:vAlign w:val="center"/>
                </w:tcPr>
                <w:p>
                  <w:pPr>
                    <w:spacing w:before="48" w:beforeLines="20" w:after="48" w:afterLines="20"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颗粒物</w:t>
                  </w:r>
                </w:p>
              </w:tc>
              <w:tc>
                <w:tcPr>
                  <w:tcW w:w="723" w:type="pct"/>
                  <w:vMerge w:val="restart"/>
                  <w:noWrap w:val="0"/>
                  <w:vAlign w:val="center"/>
                </w:tcPr>
                <w:p>
                  <w:pPr>
                    <w:spacing w:before="48" w:beforeLines="20" w:after="48" w:afterLines="20" w:line="240" w:lineRule="auto"/>
                    <w:ind w:firstLine="0" w:firstLineChars="0"/>
                    <w:jc w:val="center"/>
                    <w:rPr>
                      <w:rFonts w:hint="eastAsia" w:ascii="Times New Roman" w:hAnsi="Times New Roman" w:eastAsia="宋体" w:cs="Times New Roman"/>
                      <w:bCs/>
                      <w:color w:val="auto"/>
                      <w:sz w:val="21"/>
                      <w:szCs w:val="21"/>
                      <w:lang w:eastAsia="zh-CN"/>
                    </w:rPr>
                  </w:pPr>
                  <w:r>
                    <w:rPr>
                      <w:rFonts w:hint="default" w:ascii="Times New Roman" w:hAnsi="Times New Roman" w:cs="Times New Roman"/>
                      <w:color w:val="auto"/>
                      <w:sz w:val="21"/>
                      <w:szCs w:val="21"/>
                    </w:rPr>
                    <w:t>生产车间</w:t>
                  </w:r>
                  <w:r>
                    <w:rPr>
                      <w:rFonts w:hint="eastAsia" w:cs="Times New Roman"/>
                      <w:color w:val="auto"/>
                      <w:sz w:val="21"/>
                      <w:szCs w:val="21"/>
                      <w:lang w:eastAsia="zh-CN"/>
                    </w:rPr>
                    <w:t>二</w:t>
                  </w:r>
                </w:p>
              </w:tc>
              <w:tc>
                <w:tcPr>
                  <w:tcW w:w="759" w:type="pct"/>
                  <w:noWrap w:val="0"/>
                  <w:vAlign w:val="center"/>
                </w:tcPr>
                <w:p>
                  <w:pPr>
                    <w:widowControl/>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0.004</w:t>
                  </w:r>
                </w:p>
              </w:tc>
              <w:tc>
                <w:tcPr>
                  <w:tcW w:w="657" w:type="pct"/>
                  <w:noWrap w:val="0"/>
                  <w:vAlign w:val="center"/>
                </w:tcPr>
                <w:p>
                  <w:pPr>
                    <w:spacing w:before="48" w:beforeLines="20" w:after="48" w:afterLines="20"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450</w:t>
                  </w:r>
                </w:p>
              </w:tc>
              <w:tc>
                <w:tcPr>
                  <w:tcW w:w="1036" w:type="pct"/>
                  <w:vMerge w:val="restart"/>
                  <w:noWrap w:val="0"/>
                  <w:vAlign w:val="center"/>
                </w:tcPr>
                <w:p>
                  <w:pPr>
                    <w:spacing w:before="48" w:beforeLines="20" w:after="48" w:afterLines="20"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64</w:t>
                  </w:r>
                  <w:r>
                    <w:rPr>
                      <w:rFonts w:hint="default" w:ascii="Times New Roman" w:hAnsi="Times New Roman" w:cs="Times New Roman"/>
                      <w:color w:val="auto"/>
                      <w:sz w:val="21"/>
                      <w:szCs w:val="21"/>
                    </w:rPr>
                    <w:t>m×</w:t>
                  </w:r>
                  <w:r>
                    <w:rPr>
                      <w:rFonts w:hint="eastAsia" w:cs="Times New Roman"/>
                      <w:color w:val="auto"/>
                      <w:sz w:val="21"/>
                      <w:szCs w:val="21"/>
                      <w:lang w:val="en-US" w:eastAsia="zh-CN"/>
                    </w:rPr>
                    <w:t>36</w:t>
                  </w:r>
                  <w:r>
                    <w:rPr>
                      <w:rFonts w:hint="default" w:ascii="Times New Roman" w:hAnsi="Times New Roman" w:cs="Times New Roman"/>
                      <w:color w:val="auto"/>
                      <w:sz w:val="21"/>
                      <w:szCs w:val="21"/>
                    </w:rPr>
                    <w:t>m=</w:t>
                  </w:r>
                  <w:r>
                    <w:rPr>
                      <w:rFonts w:hint="eastAsia" w:cs="Times New Roman"/>
                      <w:color w:val="auto"/>
                      <w:sz w:val="21"/>
                      <w:szCs w:val="21"/>
                      <w:lang w:val="en-US" w:eastAsia="zh-CN"/>
                    </w:rPr>
                    <w:t>14</w:t>
                  </w:r>
                  <w:r>
                    <w:rPr>
                      <w:rFonts w:hint="default" w:ascii="Times New Roman" w:hAnsi="Times New Roman" w:cs="Times New Roman"/>
                      <w:color w:val="auto"/>
                      <w:sz w:val="21"/>
                      <w:szCs w:val="21"/>
                      <w:lang w:val="en-US" w:eastAsia="zh-CN"/>
                    </w:rPr>
                    <w:t>00</w:t>
                  </w:r>
                </w:p>
              </w:tc>
              <w:tc>
                <w:tcPr>
                  <w:tcW w:w="392" w:type="pct"/>
                  <w:vMerge w:val="restart"/>
                  <w:noWrap w:val="0"/>
                  <w:vAlign w:val="center"/>
                </w:tcPr>
                <w:p>
                  <w:pPr>
                    <w:spacing w:before="48" w:beforeLines="20" w:after="48" w:afterLines="20"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9</w:t>
                  </w:r>
                </w:p>
              </w:tc>
              <w:tc>
                <w:tcPr>
                  <w:tcW w:w="690" w:type="pct"/>
                  <w:noWrap w:val="0"/>
                  <w:vAlign w:val="center"/>
                </w:tcPr>
                <w:p>
                  <w:pPr>
                    <w:spacing w:before="48" w:beforeLines="20" w:after="48" w:afterLines="20"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无超标点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740" w:type="pct"/>
                  <w:noWrap w:val="0"/>
                  <w:vAlign w:val="center"/>
                </w:tcPr>
                <w:p>
                  <w:pPr>
                    <w:spacing w:before="48" w:beforeLines="20" w:after="48" w:afterLines="20" w:line="240" w:lineRule="auto"/>
                    <w:ind w:firstLine="0" w:firstLineChars="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非甲烷总体</w:t>
                  </w:r>
                </w:p>
              </w:tc>
              <w:tc>
                <w:tcPr>
                  <w:tcW w:w="723" w:type="pct"/>
                  <w:vMerge w:val="continue"/>
                  <w:noWrap w:val="0"/>
                  <w:vAlign w:val="center"/>
                </w:tcPr>
                <w:p>
                  <w:pPr>
                    <w:spacing w:before="48" w:beforeLines="20" w:after="48" w:afterLines="20" w:line="240" w:lineRule="auto"/>
                    <w:ind w:firstLine="0" w:firstLineChars="0"/>
                    <w:jc w:val="center"/>
                    <w:rPr>
                      <w:rFonts w:hint="default" w:ascii="Times New Roman" w:hAnsi="Times New Roman" w:cs="Times New Roman"/>
                      <w:color w:val="auto"/>
                      <w:sz w:val="21"/>
                      <w:szCs w:val="21"/>
                    </w:rPr>
                  </w:pPr>
                </w:p>
              </w:tc>
              <w:tc>
                <w:tcPr>
                  <w:tcW w:w="759" w:type="pct"/>
                  <w:noWrap w:val="0"/>
                  <w:vAlign w:val="center"/>
                </w:tcPr>
                <w:p>
                  <w:pPr>
                    <w:widowControl/>
                    <w:spacing w:line="240" w:lineRule="auto"/>
                    <w:ind w:firstLine="0" w:firstLineChars="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cs="Times New Roman"/>
                      <w:color w:val="auto"/>
                      <w:sz w:val="21"/>
                      <w:szCs w:val="21"/>
                      <w:lang w:val="en-US" w:eastAsia="zh-CN"/>
                    </w:rPr>
                    <w:t>0.015</w:t>
                  </w:r>
                </w:p>
              </w:tc>
              <w:tc>
                <w:tcPr>
                  <w:tcW w:w="657" w:type="pct"/>
                  <w:noWrap w:val="0"/>
                  <w:vAlign w:val="center"/>
                </w:tcPr>
                <w:p>
                  <w:pPr>
                    <w:spacing w:before="48" w:beforeLines="20" w:after="48" w:afterLines="20"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1200</w:t>
                  </w:r>
                </w:p>
              </w:tc>
              <w:tc>
                <w:tcPr>
                  <w:tcW w:w="1036" w:type="pct"/>
                  <w:vMerge w:val="continue"/>
                  <w:noWrap w:val="0"/>
                  <w:vAlign w:val="center"/>
                </w:tcPr>
                <w:p>
                  <w:pPr>
                    <w:spacing w:before="48" w:beforeLines="20" w:after="48" w:afterLines="20" w:line="240" w:lineRule="auto"/>
                    <w:ind w:firstLine="0" w:firstLineChars="0"/>
                    <w:jc w:val="center"/>
                    <w:rPr>
                      <w:rFonts w:hint="default" w:ascii="Times New Roman" w:hAnsi="Times New Roman" w:cs="Times New Roman"/>
                      <w:color w:val="auto"/>
                      <w:sz w:val="21"/>
                      <w:szCs w:val="21"/>
                    </w:rPr>
                  </w:pPr>
                </w:p>
              </w:tc>
              <w:tc>
                <w:tcPr>
                  <w:tcW w:w="392" w:type="pct"/>
                  <w:vMerge w:val="continue"/>
                  <w:noWrap w:val="0"/>
                  <w:vAlign w:val="center"/>
                </w:tcPr>
                <w:p>
                  <w:pPr>
                    <w:spacing w:before="48" w:beforeLines="20" w:after="48" w:afterLines="20" w:line="240" w:lineRule="auto"/>
                    <w:ind w:firstLine="0" w:firstLineChars="0"/>
                    <w:jc w:val="center"/>
                    <w:rPr>
                      <w:rFonts w:hint="default" w:ascii="Times New Roman" w:hAnsi="Times New Roman" w:cs="Times New Roman"/>
                      <w:color w:val="auto"/>
                      <w:sz w:val="21"/>
                      <w:szCs w:val="21"/>
                    </w:rPr>
                  </w:pPr>
                </w:p>
              </w:tc>
              <w:tc>
                <w:tcPr>
                  <w:tcW w:w="690" w:type="pct"/>
                  <w:noWrap w:val="0"/>
                  <w:vAlign w:val="center"/>
                </w:tcPr>
                <w:p>
                  <w:pPr>
                    <w:spacing w:before="48" w:beforeLines="20" w:after="48" w:afterLines="20" w:line="240" w:lineRule="auto"/>
                    <w:ind w:firstLine="0" w:firstLineChars="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无超标点</w:t>
                  </w:r>
                </w:p>
              </w:tc>
            </w:tr>
          </w:tbl>
          <w:p>
            <w:pPr>
              <w:spacing w:line="360" w:lineRule="auto"/>
              <w:ind w:firstLine="480"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卫生防护距离</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根据《制定地方大气污染物排放标准的技术方法》（GB/T13201-91）规定，无组织排入有害气体的生产单元（生产区、车间、工段）超出GB3095与TJ36规定的居住区容许浓度限值，则需要与居民区之间应设置卫生防护距离，计算公式如下：</w:t>
            </w:r>
          </w:p>
          <w:p>
            <w:pPr>
              <w:spacing w:line="360" w:lineRule="auto"/>
              <w:ind w:firstLine="1200" w:firstLineChars="500"/>
              <w:rPr>
                <w:color w:val="000000" w:themeColor="text1"/>
                <w:sz w:val="24"/>
                <w14:textFill>
                  <w14:solidFill>
                    <w14:schemeClr w14:val="tx1"/>
                  </w14:solidFill>
                </w14:textFill>
              </w:rPr>
            </w:pPr>
            <w:r>
              <w:rPr>
                <w:color w:val="000000" w:themeColor="text1"/>
                <w:position w:val="-30"/>
                <w:sz w:val="24"/>
                <w14:textFill>
                  <w14:solidFill>
                    <w14:schemeClr w14:val="tx1"/>
                  </w14:solidFill>
                </w14:textFill>
              </w:rPr>
              <w:object>
                <v:shape id="_x0000_i1026" o:spt="75" type="#_x0000_t75" style="height:36.3pt;width:144pt;" o:ole="t" filled="f" o:preferrelative="t" stroked="f" coordsize="21600,21600">
                  <v:path/>
                  <v:fill on="f" focussize="0,0"/>
                  <v:stroke on="f" joinstyle="miter"/>
                  <v:imagedata r:id="rId14" o:title="6515309301556505032514"/>
                  <o:lock v:ext="edit" aspectratio="t"/>
                  <w10:wrap type="none"/>
                  <w10:anchorlock/>
                </v:shape>
                <o:OLEObject Type="Embed" ProgID="Equation.3" ShapeID="_x0000_i1026" DrawAspect="Content" ObjectID="_1468075726" r:id="rId13">
                  <o:LockedField>false</o:LockedField>
                </o:OLEObject>
              </w:objec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式中：C</w:t>
            </w:r>
            <w:r>
              <w:rPr>
                <w:color w:val="000000" w:themeColor="text1"/>
                <w:sz w:val="24"/>
                <w:vertAlign w:val="subscript"/>
                <w14:textFill>
                  <w14:solidFill>
                    <w14:schemeClr w14:val="tx1"/>
                  </w14:solidFill>
                </w14:textFill>
              </w:rPr>
              <w:t>m</w:t>
            </w:r>
            <w:r>
              <w:rPr>
                <w:color w:val="000000" w:themeColor="text1"/>
                <w:sz w:val="24"/>
                <w14:textFill>
                  <w14:solidFill>
                    <w14:schemeClr w14:val="tx1"/>
                  </w14:solidFill>
                </w14:textFill>
              </w:rPr>
              <w:t>—为标准浓度限值（mg/m</w:t>
            </w:r>
            <w:r>
              <w:rPr>
                <w:color w:val="000000" w:themeColor="text1"/>
                <w:sz w:val="24"/>
                <w:vertAlign w:val="superscript"/>
                <w14:textFill>
                  <w14:solidFill>
                    <w14:schemeClr w14:val="tx1"/>
                  </w14:solidFill>
                </w14:textFill>
              </w:rPr>
              <w:t>3</w:t>
            </w:r>
            <w:r>
              <w:rPr>
                <w:color w:val="000000" w:themeColor="text1"/>
                <w:sz w:val="24"/>
                <w14:textFill>
                  <w14:solidFill>
                    <w14:schemeClr w14:val="tx1"/>
                  </w14:solidFill>
                </w14:textFill>
              </w:rPr>
              <w:t>）；</w:t>
            </w:r>
          </w:p>
          <w:p>
            <w:pPr>
              <w:spacing w:line="360" w:lineRule="auto"/>
              <w:ind w:firstLine="1200" w:firstLineChars="500"/>
              <w:rPr>
                <w:color w:val="000000" w:themeColor="text1"/>
                <w:sz w:val="24"/>
                <w14:textFill>
                  <w14:solidFill>
                    <w14:schemeClr w14:val="tx1"/>
                  </w14:solidFill>
                </w14:textFill>
              </w:rPr>
            </w:pPr>
            <w:r>
              <w:rPr>
                <w:color w:val="000000" w:themeColor="text1"/>
                <w:sz w:val="24"/>
                <w14:textFill>
                  <w14:solidFill>
                    <w14:schemeClr w14:val="tx1"/>
                  </w14:solidFill>
                </w14:textFill>
              </w:rPr>
              <w:t>Q</w:t>
            </w:r>
            <w:r>
              <w:rPr>
                <w:color w:val="000000" w:themeColor="text1"/>
                <w:sz w:val="24"/>
                <w:vertAlign w:val="subscript"/>
                <w14:textFill>
                  <w14:solidFill>
                    <w14:schemeClr w14:val="tx1"/>
                  </w14:solidFill>
                </w14:textFill>
              </w:rPr>
              <w:t>c</w:t>
            </w:r>
            <w:r>
              <w:rPr>
                <w:color w:val="000000" w:themeColor="text1"/>
                <w:sz w:val="24"/>
                <w14:textFill>
                  <w14:solidFill>
                    <w14:schemeClr w14:val="tx1"/>
                  </w14:solidFill>
                </w14:textFill>
              </w:rPr>
              <w:t>—有害气体无组织排放量可达到的控制水平（kg/h）；</w:t>
            </w:r>
          </w:p>
          <w:p>
            <w:pPr>
              <w:spacing w:line="360" w:lineRule="auto"/>
              <w:ind w:firstLine="1200" w:firstLineChars="500"/>
              <w:rPr>
                <w:color w:val="000000" w:themeColor="text1"/>
                <w:sz w:val="24"/>
                <w14:textFill>
                  <w14:solidFill>
                    <w14:schemeClr w14:val="tx1"/>
                  </w14:solidFill>
                </w14:textFill>
              </w:rPr>
            </w:pPr>
            <w:r>
              <w:rPr>
                <w:color w:val="000000" w:themeColor="text1"/>
                <w:sz w:val="24"/>
                <w14:textFill>
                  <w14:solidFill>
                    <w14:schemeClr w14:val="tx1"/>
                  </w14:solidFill>
                </w14:textFill>
              </w:rPr>
              <w:t>r—为有害气体无组织排放源所在生产单元的等效半径（m）；</w:t>
            </w:r>
          </w:p>
          <w:p>
            <w:pPr>
              <w:spacing w:line="360" w:lineRule="auto"/>
              <w:ind w:firstLine="1200" w:firstLineChars="500"/>
              <w:rPr>
                <w:color w:val="000000" w:themeColor="text1"/>
                <w:sz w:val="24"/>
                <w14:textFill>
                  <w14:solidFill>
                    <w14:schemeClr w14:val="tx1"/>
                  </w14:solidFill>
                </w14:textFill>
              </w:rPr>
            </w:pPr>
            <w:r>
              <w:rPr>
                <w:color w:val="000000" w:themeColor="text1"/>
                <w:sz w:val="24"/>
                <w14:textFill>
                  <w14:solidFill>
                    <w14:schemeClr w14:val="tx1"/>
                  </w14:solidFill>
                </w14:textFill>
              </w:rPr>
              <w:t>L—为工业企业所需的卫生防护距离（m）；</w:t>
            </w:r>
          </w:p>
          <w:p>
            <w:pPr>
              <w:spacing w:line="360" w:lineRule="auto"/>
              <w:ind w:firstLine="1200" w:firstLineChars="500"/>
              <w:rPr>
                <w:color w:val="000000" w:themeColor="text1"/>
                <w:sz w:val="24"/>
                <w14:textFill>
                  <w14:solidFill>
                    <w14:schemeClr w14:val="tx1"/>
                  </w14:solidFill>
                </w14:textFill>
              </w:rPr>
            </w:pPr>
            <w:r>
              <w:rPr>
                <w:color w:val="000000" w:themeColor="text1"/>
                <w:sz w:val="24"/>
                <w14:textFill>
                  <w14:solidFill>
                    <w14:schemeClr w14:val="tx1"/>
                  </w14:solidFill>
                </w14:textFill>
              </w:rPr>
              <w:t>A、B、C、D为计算系数。根据所在地平均风速及工业企业大气污染源构成类别查取。</w:t>
            </w:r>
          </w:p>
          <w:p>
            <w:pPr>
              <w:ind w:firstLine="198"/>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 w:val="24"/>
                <w:szCs w:val="21"/>
              </w:rPr>
              <w:t>表7-</w:t>
            </w:r>
            <w:r>
              <w:rPr>
                <w:rFonts w:hint="eastAsia" w:cs="Times New Roman"/>
                <w:b/>
                <w:color w:val="auto"/>
                <w:sz w:val="24"/>
                <w:szCs w:val="21"/>
                <w:lang w:val="en-US" w:eastAsia="zh-CN"/>
              </w:rPr>
              <w:t>13</w:t>
            </w:r>
            <w:r>
              <w:rPr>
                <w:rFonts w:hint="default" w:ascii="Times New Roman" w:hAnsi="Times New Roman" w:eastAsia="宋体" w:cs="Times New Roman"/>
                <w:b/>
                <w:color w:val="auto"/>
                <w:sz w:val="24"/>
                <w:szCs w:val="21"/>
              </w:rPr>
              <w:t xml:space="preserve">  本项目卫生防护距离计算结果表</w:t>
            </w:r>
          </w:p>
          <w:tbl>
            <w:tblPr>
              <w:tblStyle w:val="17"/>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46"/>
              <w:gridCol w:w="1484"/>
              <w:gridCol w:w="1662"/>
              <w:gridCol w:w="332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846" w:type="dxa"/>
                  <w:noWrap w:val="0"/>
                  <w:vAlign w:val="center"/>
                </w:tcPr>
                <w:p>
                  <w:pPr>
                    <w:pStyle w:val="10"/>
                    <w:spacing w:before="0" w:line="240" w:lineRule="auto"/>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源强</w:t>
                  </w:r>
                </w:p>
              </w:tc>
              <w:tc>
                <w:tcPr>
                  <w:tcW w:w="1484" w:type="dxa"/>
                  <w:noWrap w:val="0"/>
                  <w:vAlign w:val="center"/>
                </w:tcPr>
                <w:p>
                  <w:pPr>
                    <w:pStyle w:val="10"/>
                    <w:spacing w:before="0" w:line="240" w:lineRule="auto"/>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污染物</w:t>
                  </w:r>
                </w:p>
              </w:tc>
              <w:tc>
                <w:tcPr>
                  <w:tcW w:w="1662" w:type="dxa"/>
                  <w:noWrap w:val="0"/>
                  <w:vAlign w:val="center"/>
                </w:tcPr>
                <w:p>
                  <w:pPr>
                    <w:pStyle w:val="10"/>
                    <w:spacing w:before="0" w:line="240" w:lineRule="auto"/>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计算结果m</w:t>
                  </w:r>
                </w:p>
              </w:tc>
              <w:tc>
                <w:tcPr>
                  <w:tcW w:w="3320" w:type="dxa"/>
                  <w:noWrap w:val="0"/>
                  <w:vAlign w:val="center"/>
                </w:tcPr>
                <w:p>
                  <w:pPr>
                    <w:pStyle w:val="10"/>
                    <w:spacing w:before="0" w:line="240" w:lineRule="auto"/>
                    <w:jc w:val="center"/>
                    <w:rPr>
                      <w:rFonts w:hint="default" w:ascii="Times New Roman" w:hAnsi="Times New Roman" w:eastAsia="宋体" w:cs="Times New Roman"/>
                      <w:b/>
                      <w:color w:val="auto"/>
                      <w:szCs w:val="21"/>
                    </w:rPr>
                  </w:pPr>
                  <w:r>
                    <w:rPr>
                      <w:rFonts w:hint="default" w:ascii="Times New Roman" w:hAnsi="Times New Roman" w:eastAsia="宋体" w:cs="Times New Roman"/>
                      <w:b/>
                      <w:color w:val="auto"/>
                      <w:szCs w:val="21"/>
                    </w:rPr>
                    <w:t>卫生防护距离m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1846" w:type="dxa"/>
                  <w:vMerge w:val="restart"/>
                  <w:noWrap w:val="0"/>
                  <w:vAlign w:val="center"/>
                </w:tcPr>
                <w:p>
                  <w:pPr>
                    <w:pStyle w:val="10"/>
                    <w:spacing w:before="0" w:line="240" w:lineRule="auto"/>
                    <w:jc w:val="center"/>
                    <w:rPr>
                      <w:rFonts w:hint="eastAsia" w:ascii="Times New Roman" w:hAnsi="Times New Roman" w:eastAsia="宋体" w:cs="Times New Roman"/>
                      <w:color w:val="auto"/>
                      <w:szCs w:val="21"/>
                      <w:lang w:eastAsia="zh-CN"/>
                    </w:rPr>
                  </w:pPr>
                  <w:r>
                    <w:rPr>
                      <w:rFonts w:hint="default" w:ascii="Times New Roman" w:hAnsi="Times New Roman" w:eastAsia="宋体" w:cs="Times New Roman"/>
                      <w:color w:val="auto"/>
                      <w:szCs w:val="21"/>
                    </w:rPr>
                    <w:t>生产车间</w:t>
                  </w:r>
                  <w:r>
                    <w:rPr>
                      <w:rFonts w:hint="eastAsia" w:ascii="Times New Roman" w:cs="Times New Roman"/>
                      <w:color w:val="auto"/>
                      <w:szCs w:val="21"/>
                      <w:lang w:eastAsia="zh-CN"/>
                    </w:rPr>
                    <w:t>二</w:t>
                  </w:r>
                </w:p>
              </w:tc>
              <w:tc>
                <w:tcPr>
                  <w:tcW w:w="1484" w:type="dxa"/>
                  <w:noWrap w:val="0"/>
                  <w:vAlign w:val="center"/>
                </w:tcPr>
                <w:p>
                  <w:pPr>
                    <w:pStyle w:val="10"/>
                    <w:spacing w:before="0" w:line="240" w:lineRule="auto"/>
                    <w:jc w:val="center"/>
                    <w:rPr>
                      <w:rFonts w:hint="eastAsia" w:ascii="Times New Roman" w:hAnsi="Times New Roman" w:eastAsia="宋体" w:cs="Times New Roman"/>
                      <w:color w:val="auto"/>
                      <w:szCs w:val="21"/>
                      <w:lang w:eastAsia="zh-CN"/>
                    </w:rPr>
                  </w:pPr>
                  <w:r>
                    <w:rPr>
                      <w:rFonts w:hint="eastAsia" w:ascii="Times New Roman" w:cs="Times New Roman"/>
                      <w:color w:val="auto"/>
                      <w:lang w:eastAsia="zh-CN"/>
                    </w:rPr>
                    <w:t>非甲烷总烃</w:t>
                  </w:r>
                </w:p>
              </w:tc>
              <w:tc>
                <w:tcPr>
                  <w:tcW w:w="1662"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0.0</w:t>
                  </w:r>
                  <w:r>
                    <w:rPr>
                      <w:rFonts w:hint="eastAsia" w:cs="Times New Roman"/>
                      <w:color w:val="auto"/>
                      <w:szCs w:val="21"/>
                      <w:lang w:val="en-US" w:eastAsia="zh-CN"/>
                    </w:rPr>
                    <w:t>04</w:t>
                  </w:r>
                </w:p>
              </w:tc>
              <w:tc>
                <w:tcPr>
                  <w:tcW w:w="3320" w:type="dxa"/>
                  <w:noWrap w:val="0"/>
                  <w:vAlign w:val="center"/>
                </w:tcPr>
                <w:p>
                  <w:pPr>
                    <w:pStyle w:val="10"/>
                    <w:spacing w:before="0" w:line="240"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1846" w:type="dxa"/>
                  <w:vMerge w:val="continue"/>
                  <w:noWrap w:val="0"/>
                  <w:vAlign w:val="center"/>
                </w:tcPr>
                <w:p>
                  <w:pPr>
                    <w:pStyle w:val="10"/>
                    <w:spacing w:before="0" w:line="240" w:lineRule="auto"/>
                    <w:jc w:val="center"/>
                    <w:rPr>
                      <w:rFonts w:hint="default" w:ascii="Times New Roman" w:hAnsi="Times New Roman" w:eastAsia="宋体" w:cs="Times New Roman"/>
                      <w:color w:val="auto"/>
                      <w:szCs w:val="21"/>
                    </w:rPr>
                  </w:pPr>
                </w:p>
              </w:tc>
              <w:tc>
                <w:tcPr>
                  <w:tcW w:w="1484" w:type="dxa"/>
                  <w:noWrap w:val="0"/>
                  <w:vAlign w:val="center"/>
                </w:tcPr>
                <w:p>
                  <w:pPr>
                    <w:pStyle w:val="10"/>
                    <w:spacing w:before="0" w:line="240" w:lineRule="auto"/>
                    <w:jc w:val="center"/>
                    <w:rPr>
                      <w:rFonts w:hint="default" w:ascii="Times New Roman" w:hAnsi="Times New Roman" w:eastAsia="宋体" w:cs="Times New Roman"/>
                      <w:color w:val="auto"/>
                      <w:lang w:eastAsia="zh-CN"/>
                    </w:rPr>
                  </w:pPr>
                  <w:r>
                    <w:rPr>
                      <w:rFonts w:hint="default" w:ascii="Times New Roman" w:hAnsi="Times New Roman" w:eastAsia="宋体" w:cs="Times New Roman"/>
                      <w:color w:val="auto"/>
                      <w:lang w:eastAsia="zh-CN"/>
                    </w:rPr>
                    <w:t>颗粒物</w:t>
                  </w:r>
                </w:p>
              </w:tc>
              <w:tc>
                <w:tcPr>
                  <w:tcW w:w="1662" w:type="dxa"/>
                  <w:noWrap w:val="0"/>
                  <w:vAlign w:val="center"/>
                </w:tcPr>
                <w:p>
                  <w:pPr>
                    <w:jc w:val="center"/>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0.062</w:t>
                  </w:r>
                </w:p>
              </w:tc>
              <w:tc>
                <w:tcPr>
                  <w:tcW w:w="3320" w:type="dxa"/>
                  <w:noWrap w:val="0"/>
                  <w:vAlign w:val="center"/>
                </w:tcPr>
                <w:p>
                  <w:pPr>
                    <w:pStyle w:val="10"/>
                    <w:spacing w:before="0" w:line="240" w:lineRule="auto"/>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50</w:t>
                  </w:r>
                </w:p>
              </w:tc>
            </w:tr>
          </w:tbl>
          <w:p>
            <w:pPr>
              <w:spacing w:line="360" w:lineRule="auto"/>
              <w:ind w:firstLine="480" w:firstLineChars="200"/>
              <w:rPr>
                <w:color w:val="0000FF"/>
                <w:sz w:val="24"/>
              </w:rPr>
            </w:pPr>
            <w:r>
              <w:rPr>
                <w:sz w:val="24"/>
              </w:rPr>
              <w:t>根据《制定地方大气污染物排放标准的技术方法》(GB/T13201-91），污染源所在位置若含有两种及以上有害气体为同一级别，须将卫生防护距离提升一级，本项目卫生防护距离为从生产车间边界外延</w:t>
            </w:r>
            <w:r>
              <w:rPr>
                <w:rFonts w:hint="eastAsia"/>
                <w:sz w:val="24"/>
              </w:rPr>
              <w:t>100</w:t>
            </w:r>
            <w:r>
              <w:rPr>
                <w:sz w:val="24"/>
              </w:rPr>
              <w:t>m。</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目前该卫生防护距离内无敏感点，同时要求未来不得</w:t>
            </w:r>
            <w:r>
              <w:rPr>
                <w:rFonts w:hint="eastAsia"/>
                <w:color w:val="000000" w:themeColor="text1"/>
                <w:sz w:val="24"/>
                <w14:textFill>
                  <w14:solidFill>
                    <w14:schemeClr w14:val="tx1"/>
                  </w14:solidFill>
                </w14:textFill>
              </w:rPr>
              <w:t>在</w:t>
            </w:r>
            <w:r>
              <w:rPr>
                <w:color w:val="000000" w:themeColor="text1"/>
                <w:sz w:val="24"/>
                <w14:textFill>
                  <w14:solidFill>
                    <w14:schemeClr w14:val="tx1"/>
                  </w14:solidFill>
                </w14:textFill>
              </w:rPr>
              <w:t>本项目卫生防护距离内新建居民住宅、医院、学校等敏感点。具体项目卫生防护距离范围见图3周围概况图。</w:t>
            </w:r>
          </w:p>
          <w:p>
            <w:pPr>
              <w:spacing w:line="360" w:lineRule="auto"/>
              <w:ind w:firstLine="480" w:firstLineChars="200"/>
              <w:rPr>
                <w:rFonts w:ascii="宋体"/>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综上，本项目对大气环境影响较小。</w:t>
            </w:r>
          </w:p>
          <w:p>
            <w:pPr>
              <w:spacing w:line="360" w:lineRule="auto"/>
              <w:ind w:firstLine="480"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2、水环境影响分析</w:t>
            </w:r>
          </w:p>
          <w:p>
            <w:pPr>
              <w:pStyle w:val="45"/>
              <w:spacing w:line="360" w:lineRule="auto"/>
              <w:ind w:firstLine="482"/>
              <w:jc w:val="both"/>
              <w:rPr>
                <w:b/>
                <w:color w:val="000000" w:themeColor="text1"/>
                <w:szCs w:val="24"/>
                <w14:textFill>
                  <w14:solidFill>
                    <w14:schemeClr w14:val="tx1"/>
                  </w14:solidFill>
                </w14:textFill>
              </w:rPr>
            </w:pPr>
            <w:r>
              <w:rPr>
                <w:rFonts w:hint="eastAsia"/>
                <w:b/>
                <w:color w:val="000000" w:themeColor="text1"/>
                <w:szCs w:val="24"/>
                <w14:textFill>
                  <w14:solidFill>
                    <w14:schemeClr w14:val="tx1"/>
                  </w14:solidFill>
                </w14:textFill>
              </w:rPr>
              <w:t>（1）评价</w:t>
            </w:r>
            <w:r>
              <w:rPr>
                <w:b/>
                <w:color w:val="000000" w:themeColor="text1"/>
                <w:szCs w:val="24"/>
                <w14:textFill>
                  <w14:solidFill>
                    <w14:schemeClr w14:val="tx1"/>
                  </w14:solidFill>
                </w14:textFill>
              </w:rPr>
              <w:t>等级判定</w:t>
            </w:r>
          </w:p>
          <w:p>
            <w:pPr>
              <w:pStyle w:val="45"/>
              <w:spacing w:line="360" w:lineRule="auto"/>
              <w:ind w:firstLine="480"/>
              <w:jc w:val="both"/>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本项目</w:t>
            </w:r>
            <w:r>
              <w:rPr>
                <w:color w:val="000000" w:themeColor="text1"/>
                <w:szCs w:val="24"/>
                <w14:textFill>
                  <w14:solidFill>
                    <w14:schemeClr w14:val="tx1"/>
                  </w14:solidFill>
                </w14:textFill>
              </w:rPr>
              <w:t>建设</w:t>
            </w:r>
            <w:r>
              <w:rPr>
                <w:rFonts w:hint="eastAsia"/>
                <w:color w:val="000000" w:themeColor="text1"/>
                <w:szCs w:val="24"/>
                <w14:textFill>
                  <w14:solidFill>
                    <w14:schemeClr w14:val="tx1"/>
                  </w14:solidFill>
                </w14:textFill>
              </w:rPr>
              <w:t>未涉及</w:t>
            </w:r>
            <w:r>
              <w:rPr>
                <w:color w:val="000000" w:themeColor="text1"/>
                <w:szCs w:val="24"/>
                <w14:textFill>
                  <w14:solidFill>
                    <w14:schemeClr w14:val="tx1"/>
                  </w14:solidFill>
                </w14:textFill>
              </w:rPr>
              <w:t>地表水域，</w:t>
            </w:r>
            <w:r>
              <w:rPr>
                <w:rFonts w:hint="eastAsia"/>
                <w:color w:val="000000" w:themeColor="text1"/>
                <w:szCs w:val="24"/>
                <w14:textFill>
                  <w14:solidFill>
                    <w14:schemeClr w14:val="tx1"/>
                  </w14:solidFill>
                </w14:textFill>
              </w:rPr>
              <w:t>项目</w:t>
            </w:r>
            <w:r>
              <w:rPr>
                <w:rFonts w:hint="eastAsia" w:cs="宋体"/>
                <w:color w:val="000000" w:themeColor="text1"/>
                <w14:textFill>
                  <w14:solidFill>
                    <w14:schemeClr w14:val="tx1"/>
                  </w14:solidFill>
                </w14:textFill>
              </w:rPr>
              <w:t>排水仅为生活污水，生活污水依托</w:t>
            </w:r>
            <w:r>
              <w:rPr>
                <w:rFonts w:hint="eastAsia"/>
                <w:bCs/>
                <w:szCs w:val="24"/>
              </w:rPr>
              <w:t>常州中泽电力设备有限公司</w:t>
            </w:r>
            <w:r>
              <w:rPr>
                <w:rFonts w:hint="eastAsia" w:cs="宋体"/>
                <w:color w:val="000000" w:themeColor="text1"/>
                <w14:textFill>
                  <w14:solidFill>
                    <w14:schemeClr w14:val="tx1"/>
                  </w14:solidFill>
                </w14:textFill>
              </w:rPr>
              <w:t>总排口排入化粪池预处理后接管市政污水管网，最终排入常州市金坛区直溪鑫鑫污水处理厂集中处理</w:t>
            </w:r>
            <w:r>
              <w:rPr>
                <w:rFonts w:cs="宋体"/>
                <w:color w:val="000000" w:themeColor="text1"/>
                <w14:textFill>
                  <w14:solidFill>
                    <w14:schemeClr w14:val="tx1"/>
                  </w14:solidFill>
                </w14:textFill>
              </w:rPr>
              <w:t>，</w:t>
            </w:r>
            <w:r>
              <w:rPr>
                <w:rFonts w:hint="eastAsia"/>
                <w:color w:val="000000" w:themeColor="text1"/>
                <w:szCs w:val="24"/>
                <w14:textFill>
                  <w14:solidFill>
                    <w14:schemeClr w14:val="tx1"/>
                  </w14:solidFill>
                </w14:textFill>
              </w:rPr>
              <w:t>达标后排入通济河。</w:t>
            </w:r>
          </w:p>
          <w:p>
            <w:pPr>
              <w:pStyle w:val="45"/>
              <w:spacing w:line="360" w:lineRule="auto"/>
              <w:ind w:firstLine="480"/>
              <w:jc w:val="both"/>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因此</w:t>
            </w:r>
            <w:r>
              <w:rPr>
                <w:color w:val="000000" w:themeColor="text1"/>
                <w:szCs w:val="24"/>
                <w14:textFill>
                  <w14:solidFill>
                    <w14:schemeClr w14:val="tx1"/>
                  </w14:solidFill>
                </w14:textFill>
              </w:rPr>
              <w:t>判定本项目为</w:t>
            </w:r>
            <w:r>
              <w:rPr>
                <w:rFonts w:hint="eastAsia"/>
                <w:color w:val="000000" w:themeColor="text1"/>
                <w:szCs w:val="24"/>
                <w14:textFill>
                  <w14:solidFill>
                    <w14:schemeClr w14:val="tx1"/>
                  </w14:solidFill>
                </w14:textFill>
              </w:rPr>
              <w:t>水</w:t>
            </w:r>
            <w:r>
              <w:rPr>
                <w:color w:val="000000" w:themeColor="text1"/>
                <w:szCs w:val="24"/>
                <w14:textFill>
                  <w14:solidFill>
                    <w14:schemeClr w14:val="tx1"/>
                  </w14:solidFill>
                </w14:textFill>
              </w:rPr>
              <w:t>污染影响型建设项目，评价等级为三级</w:t>
            </w:r>
            <w:r>
              <w:rPr>
                <w:rFonts w:hint="eastAsia"/>
                <w:color w:val="000000" w:themeColor="text1"/>
                <w:szCs w:val="24"/>
                <w14:textFill>
                  <w14:solidFill>
                    <w14:schemeClr w14:val="tx1"/>
                  </w14:solidFill>
                </w14:textFill>
              </w:rPr>
              <w:t>B。</w:t>
            </w:r>
          </w:p>
          <w:p>
            <w:pPr>
              <w:pStyle w:val="45"/>
              <w:spacing w:line="360" w:lineRule="auto"/>
              <w:ind w:firstLine="480"/>
              <w:jc w:val="both"/>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废水</w:t>
            </w:r>
            <w:r>
              <w:rPr>
                <w:color w:val="000000" w:themeColor="text1"/>
                <w:szCs w:val="24"/>
                <w14:textFill>
                  <w14:solidFill>
                    <w14:schemeClr w14:val="tx1"/>
                  </w14:solidFill>
                </w14:textFill>
              </w:rPr>
              <w:t>类别</w:t>
            </w:r>
            <w:r>
              <w:rPr>
                <w:rFonts w:hint="eastAsia"/>
                <w:color w:val="000000" w:themeColor="text1"/>
                <w:szCs w:val="24"/>
                <w14:textFill>
                  <w14:solidFill>
                    <w14:schemeClr w14:val="tx1"/>
                  </w14:solidFill>
                </w14:textFill>
              </w:rPr>
              <w:t>、</w:t>
            </w:r>
            <w:r>
              <w:rPr>
                <w:color w:val="000000" w:themeColor="text1"/>
                <w:szCs w:val="24"/>
                <w14:textFill>
                  <w14:solidFill>
                    <w14:schemeClr w14:val="tx1"/>
                  </w14:solidFill>
                </w14:textFill>
              </w:rPr>
              <w:t>污染物</w:t>
            </w:r>
            <w:r>
              <w:rPr>
                <w:rFonts w:hint="eastAsia"/>
                <w:color w:val="000000" w:themeColor="text1"/>
                <w:szCs w:val="24"/>
                <w14:textFill>
                  <w14:solidFill>
                    <w14:schemeClr w14:val="tx1"/>
                  </w14:solidFill>
                </w14:textFill>
              </w:rPr>
              <w:t>及污染</w:t>
            </w:r>
            <w:r>
              <w:rPr>
                <w:color w:val="000000" w:themeColor="text1"/>
                <w:szCs w:val="24"/>
                <w14:textFill>
                  <w14:solidFill>
                    <w14:schemeClr w14:val="tx1"/>
                  </w14:solidFill>
                </w14:textFill>
              </w:rPr>
              <w:t>治理</w:t>
            </w:r>
            <w:r>
              <w:rPr>
                <w:rFonts w:hint="eastAsia"/>
                <w:color w:val="000000" w:themeColor="text1"/>
                <w:szCs w:val="24"/>
                <w14:textFill>
                  <w14:solidFill>
                    <w14:schemeClr w14:val="tx1"/>
                  </w14:solidFill>
                </w14:textFill>
              </w:rPr>
              <w:t>设施</w:t>
            </w:r>
            <w:r>
              <w:rPr>
                <w:color w:val="000000" w:themeColor="text1"/>
                <w:szCs w:val="24"/>
                <w14:textFill>
                  <w14:solidFill>
                    <w14:schemeClr w14:val="tx1"/>
                  </w14:solidFill>
                </w14:textFill>
              </w:rPr>
              <w:t>信息表</w:t>
            </w:r>
            <w:r>
              <w:rPr>
                <w:rFonts w:hint="eastAsia"/>
                <w:color w:val="000000" w:themeColor="text1"/>
                <w:szCs w:val="24"/>
                <w14:textFill>
                  <w14:solidFill>
                    <w14:schemeClr w14:val="tx1"/>
                  </w14:solidFill>
                </w14:textFill>
              </w:rPr>
              <w:t>详见</w:t>
            </w:r>
            <w:r>
              <w:rPr>
                <w:color w:val="000000" w:themeColor="text1"/>
                <w:szCs w:val="24"/>
                <w14:textFill>
                  <w14:solidFill>
                    <w14:schemeClr w14:val="tx1"/>
                  </w14:solidFill>
                </w14:textFill>
              </w:rPr>
              <w:t>下表：</w:t>
            </w:r>
          </w:p>
          <w:p>
            <w:pPr>
              <w:ind w:firstLine="482"/>
              <w:jc w:val="center"/>
              <w:rPr>
                <w:b/>
                <w:color w:val="000000" w:themeColor="text1"/>
                <w:sz w:val="24"/>
                <w:szCs w:val="24"/>
                <w14:textFill>
                  <w14:solidFill>
                    <w14:schemeClr w14:val="tx1"/>
                  </w14:solidFill>
                </w14:textFill>
              </w:rPr>
            </w:pPr>
            <w:r>
              <w:rPr>
                <w:rFonts w:hint="eastAsia"/>
                <w:b/>
                <w:bCs/>
                <w:color w:val="000000" w:themeColor="text1"/>
                <w:sz w:val="24"/>
                <w:szCs w:val="24"/>
                <w14:textFill>
                  <w14:solidFill>
                    <w14:schemeClr w14:val="tx1"/>
                  </w14:solidFill>
                </w14:textFill>
              </w:rPr>
              <w:t>表</w:t>
            </w:r>
            <w:r>
              <w:rPr>
                <w:b/>
                <w:bCs/>
                <w:color w:val="000000" w:themeColor="text1"/>
                <w:sz w:val="24"/>
                <w:szCs w:val="24"/>
                <w14:textFill>
                  <w14:solidFill>
                    <w14:schemeClr w14:val="tx1"/>
                  </w14:solidFill>
                </w14:textFill>
              </w:rPr>
              <w:t>7-1</w:t>
            </w:r>
            <w:r>
              <w:rPr>
                <w:rFonts w:hint="eastAsia"/>
                <w:b/>
                <w:bCs/>
                <w:color w:val="000000" w:themeColor="text1"/>
                <w:sz w:val="24"/>
                <w:szCs w:val="24"/>
                <w:lang w:val="en-US" w:eastAsia="zh-CN"/>
                <w14:textFill>
                  <w14:solidFill>
                    <w14:schemeClr w14:val="tx1"/>
                  </w14:solidFill>
                </w14:textFill>
              </w:rPr>
              <w:t>4</w:t>
            </w:r>
            <w:r>
              <w:rPr>
                <w:b/>
                <w:bCs/>
                <w:color w:val="000000" w:themeColor="text1"/>
                <w:sz w:val="24"/>
                <w:szCs w:val="24"/>
                <w14:textFill>
                  <w14:solidFill>
                    <w14:schemeClr w14:val="tx1"/>
                  </w14:solidFill>
                </w14:textFill>
              </w:rPr>
              <w:t xml:space="preserve"> </w:t>
            </w:r>
            <w:r>
              <w:rPr>
                <w:rFonts w:hint="eastAsia"/>
                <w:b/>
                <w:color w:val="000000" w:themeColor="text1"/>
                <w:sz w:val="24"/>
                <w:szCs w:val="24"/>
                <w14:textFill>
                  <w14:solidFill>
                    <w14:schemeClr w14:val="tx1"/>
                  </w14:solidFill>
                </w14:textFill>
              </w:rPr>
              <w:t>废水</w:t>
            </w:r>
            <w:r>
              <w:rPr>
                <w:b/>
                <w:color w:val="000000" w:themeColor="text1"/>
                <w:sz w:val="24"/>
                <w:szCs w:val="24"/>
                <w14:textFill>
                  <w14:solidFill>
                    <w14:schemeClr w14:val="tx1"/>
                  </w14:solidFill>
                </w14:textFill>
              </w:rPr>
              <w:t>类别</w:t>
            </w:r>
            <w:r>
              <w:rPr>
                <w:rFonts w:hint="eastAsia"/>
                <w:b/>
                <w:color w:val="000000" w:themeColor="text1"/>
                <w:sz w:val="24"/>
                <w:szCs w:val="24"/>
                <w14:textFill>
                  <w14:solidFill>
                    <w14:schemeClr w14:val="tx1"/>
                  </w14:solidFill>
                </w14:textFill>
              </w:rPr>
              <w:t>、</w:t>
            </w:r>
            <w:r>
              <w:rPr>
                <w:b/>
                <w:color w:val="000000" w:themeColor="text1"/>
                <w:sz w:val="24"/>
                <w:szCs w:val="24"/>
                <w14:textFill>
                  <w14:solidFill>
                    <w14:schemeClr w14:val="tx1"/>
                  </w14:solidFill>
                </w14:textFill>
              </w:rPr>
              <w:t>污染物</w:t>
            </w:r>
            <w:r>
              <w:rPr>
                <w:rFonts w:hint="eastAsia"/>
                <w:b/>
                <w:color w:val="000000" w:themeColor="text1"/>
                <w:sz w:val="24"/>
                <w:szCs w:val="24"/>
                <w14:textFill>
                  <w14:solidFill>
                    <w14:schemeClr w14:val="tx1"/>
                  </w14:solidFill>
                </w14:textFill>
              </w:rPr>
              <w:t>及污染</w:t>
            </w:r>
            <w:r>
              <w:rPr>
                <w:b/>
                <w:color w:val="000000" w:themeColor="text1"/>
                <w:sz w:val="24"/>
                <w:szCs w:val="24"/>
                <w14:textFill>
                  <w14:solidFill>
                    <w14:schemeClr w14:val="tx1"/>
                  </w14:solidFill>
                </w14:textFill>
              </w:rPr>
              <w:t>治理</w:t>
            </w:r>
            <w:r>
              <w:rPr>
                <w:rFonts w:hint="eastAsia"/>
                <w:b/>
                <w:color w:val="000000" w:themeColor="text1"/>
                <w:sz w:val="24"/>
                <w:szCs w:val="24"/>
                <w14:textFill>
                  <w14:solidFill>
                    <w14:schemeClr w14:val="tx1"/>
                  </w14:solidFill>
                </w14:textFill>
              </w:rPr>
              <w:t>设施</w:t>
            </w:r>
            <w:r>
              <w:rPr>
                <w:b/>
                <w:color w:val="000000" w:themeColor="text1"/>
                <w:sz w:val="24"/>
                <w:szCs w:val="24"/>
                <w14:textFill>
                  <w14:solidFill>
                    <w14:schemeClr w14:val="tx1"/>
                  </w14:solidFill>
                </w14:textFill>
              </w:rPr>
              <w:t>信息表</w:t>
            </w:r>
          </w:p>
          <w:tbl>
            <w:tblPr>
              <w:tblStyle w:val="17"/>
              <w:tblW w:w="830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19"/>
              <w:gridCol w:w="727"/>
              <w:gridCol w:w="777"/>
              <w:gridCol w:w="731"/>
              <w:gridCol w:w="589"/>
              <w:gridCol w:w="888"/>
              <w:gridCol w:w="731"/>
              <w:gridCol w:w="732"/>
              <w:gridCol w:w="786"/>
              <w:gridCol w:w="731"/>
              <w:gridCol w:w="11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419" w:type="dxa"/>
                  <w:vMerge w:val="restart"/>
                  <w:vAlign w:val="center"/>
                </w:tcPr>
                <w:p>
                  <w:pPr>
                    <w:pStyle w:val="39"/>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序号</w:t>
                  </w:r>
                </w:p>
              </w:tc>
              <w:tc>
                <w:tcPr>
                  <w:tcW w:w="727" w:type="dxa"/>
                  <w:vMerge w:val="restart"/>
                  <w:vAlign w:val="center"/>
                </w:tcPr>
                <w:p>
                  <w:pPr>
                    <w:pStyle w:val="39"/>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废水</w:t>
                  </w:r>
                  <w:r>
                    <w:rPr>
                      <w:b/>
                      <w:color w:val="000000" w:themeColor="text1"/>
                      <w:sz w:val="21"/>
                      <w:szCs w:val="21"/>
                      <w14:textFill>
                        <w14:solidFill>
                          <w14:schemeClr w14:val="tx1"/>
                        </w14:solidFill>
                      </w14:textFill>
                    </w:rPr>
                    <w:t>类别</w:t>
                  </w:r>
                </w:p>
              </w:tc>
              <w:tc>
                <w:tcPr>
                  <w:tcW w:w="777" w:type="dxa"/>
                  <w:vMerge w:val="restart"/>
                  <w:vAlign w:val="center"/>
                </w:tcPr>
                <w:p>
                  <w:pPr>
                    <w:pStyle w:val="39"/>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污染物</w:t>
                  </w:r>
                  <w:r>
                    <w:rPr>
                      <w:b/>
                      <w:color w:val="000000" w:themeColor="text1"/>
                      <w:sz w:val="21"/>
                      <w:szCs w:val="21"/>
                      <w14:textFill>
                        <w14:solidFill>
                          <w14:schemeClr w14:val="tx1"/>
                        </w14:solidFill>
                      </w14:textFill>
                    </w:rPr>
                    <w:t>种类</w:t>
                  </w:r>
                </w:p>
              </w:tc>
              <w:tc>
                <w:tcPr>
                  <w:tcW w:w="731" w:type="dxa"/>
                  <w:vMerge w:val="restart"/>
                  <w:vAlign w:val="center"/>
                </w:tcPr>
                <w:p>
                  <w:pPr>
                    <w:pStyle w:val="39"/>
                    <w:rPr>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排放</w:t>
                  </w:r>
                  <w:r>
                    <w:rPr>
                      <w:b/>
                      <w:color w:val="000000" w:themeColor="text1"/>
                      <w:sz w:val="21"/>
                      <w:szCs w:val="21"/>
                      <w14:textFill>
                        <w14:solidFill>
                          <w14:schemeClr w14:val="tx1"/>
                        </w14:solidFill>
                      </w14:textFill>
                    </w:rPr>
                    <w:t>去向</w:t>
                  </w:r>
                </w:p>
              </w:tc>
              <w:tc>
                <w:tcPr>
                  <w:tcW w:w="589" w:type="dxa"/>
                  <w:vMerge w:val="restart"/>
                  <w:vAlign w:val="center"/>
                </w:tcPr>
                <w:p>
                  <w:pPr>
                    <w:pStyle w:val="39"/>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排放</w:t>
                  </w:r>
                  <w:r>
                    <w:rPr>
                      <w:b/>
                      <w:color w:val="000000" w:themeColor="text1"/>
                      <w:sz w:val="21"/>
                      <w:szCs w:val="21"/>
                      <w14:textFill>
                        <w14:solidFill>
                          <w14:schemeClr w14:val="tx1"/>
                        </w14:solidFill>
                      </w14:textFill>
                    </w:rPr>
                    <w:t>规律</w:t>
                  </w:r>
                </w:p>
              </w:tc>
              <w:tc>
                <w:tcPr>
                  <w:tcW w:w="2351" w:type="dxa"/>
                  <w:gridSpan w:val="3"/>
                  <w:vAlign w:val="center"/>
                </w:tcPr>
                <w:p>
                  <w:pPr>
                    <w:pStyle w:val="39"/>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污染治理设施</w:t>
                  </w:r>
                </w:p>
              </w:tc>
              <w:tc>
                <w:tcPr>
                  <w:tcW w:w="786" w:type="dxa"/>
                  <w:vMerge w:val="restart"/>
                  <w:vAlign w:val="center"/>
                </w:tcPr>
                <w:p>
                  <w:pPr>
                    <w:pStyle w:val="39"/>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排放口</w:t>
                  </w:r>
                  <w:r>
                    <w:rPr>
                      <w:b/>
                      <w:color w:val="000000" w:themeColor="text1"/>
                      <w:sz w:val="21"/>
                      <w:szCs w:val="21"/>
                      <w14:textFill>
                        <w14:solidFill>
                          <w14:schemeClr w14:val="tx1"/>
                        </w14:solidFill>
                      </w14:textFill>
                    </w:rPr>
                    <w:t>编号</w:t>
                  </w:r>
                </w:p>
              </w:tc>
              <w:tc>
                <w:tcPr>
                  <w:tcW w:w="731" w:type="dxa"/>
                  <w:vMerge w:val="restart"/>
                  <w:vAlign w:val="center"/>
                </w:tcPr>
                <w:p>
                  <w:pPr>
                    <w:pStyle w:val="39"/>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排放口</w:t>
                  </w:r>
                  <w:r>
                    <w:rPr>
                      <w:b/>
                      <w:color w:val="000000" w:themeColor="text1"/>
                      <w:sz w:val="21"/>
                      <w:szCs w:val="21"/>
                      <w14:textFill>
                        <w14:solidFill>
                          <w14:schemeClr w14:val="tx1"/>
                        </w14:solidFill>
                      </w14:textFill>
                    </w:rPr>
                    <w:t>设置是否符合</w:t>
                  </w:r>
                  <w:r>
                    <w:rPr>
                      <w:rFonts w:hint="eastAsia"/>
                      <w:b/>
                      <w:color w:val="000000" w:themeColor="text1"/>
                      <w:sz w:val="21"/>
                      <w:szCs w:val="21"/>
                      <w14:textFill>
                        <w14:solidFill>
                          <w14:schemeClr w14:val="tx1"/>
                        </w14:solidFill>
                      </w14:textFill>
                    </w:rPr>
                    <w:t>要求</w:t>
                  </w:r>
                </w:p>
              </w:tc>
              <w:tc>
                <w:tcPr>
                  <w:tcW w:w="1191" w:type="dxa"/>
                  <w:vMerge w:val="restart"/>
                  <w:vAlign w:val="center"/>
                </w:tcPr>
                <w:p>
                  <w:pPr>
                    <w:pStyle w:val="39"/>
                    <w:rPr>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排放口</w:t>
                  </w:r>
                  <w:r>
                    <w:rPr>
                      <w:b/>
                      <w:color w:val="000000" w:themeColor="text1"/>
                      <w:sz w:val="21"/>
                      <w:szCs w:val="21"/>
                      <w14:textFill>
                        <w14:solidFill>
                          <w14:schemeClr w14:val="tx1"/>
                        </w14:solidFill>
                      </w14:textFill>
                    </w:rPr>
                    <w:t>类型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419" w:type="dxa"/>
                  <w:vMerge w:val="continue"/>
                </w:tcPr>
                <w:p>
                  <w:pPr>
                    <w:rPr>
                      <w:color w:val="000000" w:themeColor="text1"/>
                      <w:sz w:val="21"/>
                      <w:szCs w:val="21"/>
                      <w14:textFill>
                        <w14:solidFill>
                          <w14:schemeClr w14:val="tx1"/>
                        </w14:solidFill>
                      </w14:textFill>
                    </w:rPr>
                  </w:pPr>
                </w:p>
              </w:tc>
              <w:tc>
                <w:tcPr>
                  <w:tcW w:w="727" w:type="dxa"/>
                  <w:vMerge w:val="continue"/>
                </w:tcPr>
                <w:p>
                  <w:pPr>
                    <w:rPr>
                      <w:color w:val="000000" w:themeColor="text1"/>
                      <w:sz w:val="21"/>
                      <w:szCs w:val="21"/>
                      <w14:textFill>
                        <w14:solidFill>
                          <w14:schemeClr w14:val="tx1"/>
                        </w14:solidFill>
                      </w14:textFill>
                    </w:rPr>
                  </w:pPr>
                </w:p>
              </w:tc>
              <w:tc>
                <w:tcPr>
                  <w:tcW w:w="777" w:type="dxa"/>
                  <w:vMerge w:val="continue"/>
                </w:tcPr>
                <w:p>
                  <w:pPr>
                    <w:rPr>
                      <w:color w:val="000000" w:themeColor="text1"/>
                      <w:sz w:val="21"/>
                      <w:szCs w:val="21"/>
                      <w14:textFill>
                        <w14:solidFill>
                          <w14:schemeClr w14:val="tx1"/>
                        </w14:solidFill>
                      </w14:textFill>
                    </w:rPr>
                  </w:pPr>
                </w:p>
              </w:tc>
              <w:tc>
                <w:tcPr>
                  <w:tcW w:w="731" w:type="dxa"/>
                  <w:vMerge w:val="continue"/>
                </w:tcPr>
                <w:p>
                  <w:pPr>
                    <w:rPr>
                      <w:color w:val="000000" w:themeColor="text1"/>
                      <w:sz w:val="21"/>
                      <w:szCs w:val="21"/>
                      <w14:textFill>
                        <w14:solidFill>
                          <w14:schemeClr w14:val="tx1"/>
                        </w14:solidFill>
                      </w14:textFill>
                    </w:rPr>
                  </w:pPr>
                </w:p>
              </w:tc>
              <w:tc>
                <w:tcPr>
                  <w:tcW w:w="589" w:type="dxa"/>
                  <w:vMerge w:val="continue"/>
                </w:tcPr>
                <w:p>
                  <w:pPr>
                    <w:rPr>
                      <w:color w:val="000000" w:themeColor="text1"/>
                      <w:sz w:val="21"/>
                      <w:szCs w:val="21"/>
                      <w14:textFill>
                        <w14:solidFill>
                          <w14:schemeClr w14:val="tx1"/>
                        </w14:solidFill>
                      </w14:textFill>
                    </w:rPr>
                  </w:pPr>
                </w:p>
              </w:tc>
              <w:tc>
                <w:tcPr>
                  <w:tcW w:w="888" w:type="dxa"/>
                </w:tcPr>
                <w:p>
                  <w:pPr>
                    <w:pStyle w:val="39"/>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污染治理</w:t>
                  </w:r>
                  <w:r>
                    <w:rPr>
                      <w:b/>
                      <w:color w:val="000000" w:themeColor="text1"/>
                      <w:sz w:val="21"/>
                      <w:szCs w:val="21"/>
                      <w14:textFill>
                        <w14:solidFill>
                          <w14:schemeClr w14:val="tx1"/>
                        </w14:solidFill>
                      </w14:textFill>
                    </w:rPr>
                    <w:t>设施编号</w:t>
                  </w:r>
                </w:p>
              </w:tc>
              <w:tc>
                <w:tcPr>
                  <w:tcW w:w="731" w:type="dxa"/>
                </w:tcPr>
                <w:p>
                  <w:pPr>
                    <w:pStyle w:val="39"/>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污染治理</w:t>
                  </w:r>
                  <w:r>
                    <w:rPr>
                      <w:b/>
                      <w:color w:val="000000" w:themeColor="text1"/>
                      <w:sz w:val="21"/>
                      <w:szCs w:val="21"/>
                      <w14:textFill>
                        <w14:solidFill>
                          <w14:schemeClr w14:val="tx1"/>
                        </w14:solidFill>
                      </w14:textFill>
                    </w:rPr>
                    <w:t>设施</w:t>
                  </w:r>
                  <w:r>
                    <w:rPr>
                      <w:rFonts w:hint="eastAsia"/>
                      <w:b/>
                      <w:color w:val="000000" w:themeColor="text1"/>
                      <w:sz w:val="21"/>
                      <w:szCs w:val="21"/>
                      <w14:textFill>
                        <w14:solidFill>
                          <w14:schemeClr w14:val="tx1"/>
                        </w14:solidFill>
                      </w14:textFill>
                    </w:rPr>
                    <w:t>名称</w:t>
                  </w:r>
                </w:p>
              </w:tc>
              <w:tc>
                <w:tcPr>
                  <w:tcW w:w="732" w:type="dxa"/>
                </w:tcPr>
                <w:p>
                  <w:pPr>
                    <w:pStyle w:val="39"/>
                    <w:rPr>
                      <w:b/>
                      <w:color w:val="000000" w:themeColor="text1"/>
                      <w:sz w:val="21"/>
                      <w:szCs w:val="21"/>
                      <w14:textFill>
                        <w14:solidFill>
                          <w14:schemeClr w14:val="tx1"/>
                        </w14:solidFill>
                      </w14:textFill>
                    </w:rPr>
                  </w:pPr>
                  <w:r>
                    <w:rPr>
                      <w:rFonts w:hint="eastAsia"/>
                      <w:b/>
                      <w:color w:val="000000" w:themeColor="text1"/>
                      <w:sz w:val="21"/>
                      <w:szCs w:val="21"/>
                      <w14:textFill>
                        <w14:solidFill>
                          <w14:schemeClr w14:val="tx1"/>
                        </w14:solidFill>
                      </w14:textFill>
                    </w:rPr>
                    <w:t>污染治理设施</w:t>
                  </w:r>
                  <w:r>
                    <w:rPr>
                      <w:b/>
                      <w:color w:val="000000" w:themeColor="text1"/>
                      <w:sz w:val="21"/>
                      <w:szCs w:val="21"/>
                      <w14:textFill>
                        <w14:solidFill>
                          <w14:schemeClr w14:val="tx1"/>
                        </w14:solidFill>
                      </w14:textFill>
                    </w:rPr>
                    <w:t>工艺</w:t>
                  </w:r>
                </w:p>
              </w:tc>
              <w:tc>
                <w:tcPr>
                  <w:tcW w:w="786" w:type="dxa"/>
                  <w:vMerge w:val="continue"/>
                </w:tcPr>
                <w:p>
                  <w:pPr>
                    <w:rPr>
                      <w:color w:val="000000" w:themeColor="text1"/>
                      <w:sz w:val="21"/>
                      <w:szCs w:val="21"/>
                      <w14:textFill>
                        <w14:solidFill>
                          <w14:schemeClr w14:val="tx1"/>
                        </w14:solidFill>
                      </w14:textFill>
                    </w:rPr>
                  </w:pPr>
                </w:p>
              </w:tc>
              <w:tc>
                <w:tcPr>
                  <w:tcW w:w="731" w:type="dxa"/>
                  <w:vMerge w:val="continue"/>
                </w:tcPr>
                <w:p>
                  <w:pPr>
                    <w:rPr>
                      <w:color w:val="000000" w:themeColor="text1"/>
                      <w:sz w:val="21"/>
                      <w:szCs w:val="21"/>
                      <w14:textFill>
                        <w14:solidFill>
                          <w14:schemeClr w14:val="tx1"/>
                        </w14:solidFill>
                      </w14:textFill>
                    </w:rPr>
                  </w:pPr>
                </w:p>
              </w:tc>
              <w:tc>
                <w:tcPr>
                  <w:tcW w:w="1191" w:type="dxa"/>
                  <w:vMerge w:val="continue"/>
                </w:tcPr>
                <w:p>
                  <w:pPr>
                    <w:rPr>
                      <w:color w:val="000000" w:themeColor="text1"/>
                      <w:sz w:val="21"/>
                      <w:szCs w:val="21"/>
                      <w14:textFill>
                        <w14:solidFill>
                          <w14:schemeClr w14:val="tx1"/>
                        </w14:solidFill>
                      </w14:textFill>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19" w:type="dxa"/>
                  <w:vAlign w:val="center"/>
                </w:tcPr>
                <w:p>
                  <w:pPr>
                    <w:pStyle w:val="45"/>
                    <w:spacing w:line="36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p>
              </w:tc>
              <w:tc>
                <w:tcPr>
                  <w:tcW w:w="727" w:type="dxa"/>
                  <w:vAlign w:val="center"/>
                </w:tcPr>
                <w:p>
                  <w:pPr>
                    <w:pStyle w:val="45"/>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生活</w:t>
                  </w:r>
                  <w:r>
                    <w:rPr>
                      <w:color w:val="000000" w:themeColor="text1"/>
                      <w:sz w:val="21"/>
                      <w:szCs w:val="21"/>
                      <w14:textFill>
                        <w14:solidFill>
                          <w14:schemeClr w14:val="tx1"/>
                        </w14:solidFill>
                      </w14:textFill>
                    </w:rPr>
                    <w:t>污水</w:t>
                  </w:r>
                </w:p>
              </w:tc>
              <w:tc>
                <w:tcPr>
                  <w:tcW w:w="777" w:type="dxa"/>
                  <w:vAlign w:val="center"/>
                </w:tcPr>
                <w:p>
                  <w:pPr>
                    <w:pStyle w:val="45"/>
                    <w:spacing w:line="240" w:lineRule="auto"/>
                    <w:ind w:firstLine="0" w:firstLineChars="0"/>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COD</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SS</w:t>
                  </w:r>
                  <w:r>
                    <w:rPr>
                      <w:rFonts w:hint="eastAsia"/>
                      <w:color w:val="000000" w:themeColor="text1"/>
                      <w:sz w:val="21"/>
                      <w:szCs w:val="21"/>
                      <w14:textFill>
                        <w14:solidFill>
                          <w14:schemeClr w14:val="tx1"/>
                        </w14:solidFill>
                      </w14:textFill>
                    </w:rPr>
                    <w:t>、</w:t>
                  </w:r>
                  <w:r>
                    <w:rPr>
                      <w:color w:val="000000" w:themeColor="text1"/>
                      <w:sz w:val="21"/>
                      <w:szCs w:val="21"/>
                      <w14:textFill>
                        <w14:solidFill>
                          <w14:schemeClr w14:val="tx1"/>
                        </w14:solidFill>
                      </w14:textFill>
                    </w:rPr>
                    <w:t>氨氮</w:t>
                  </w:r>
                  <w:r>
                    <w:rPr>
                      <w:rFonts w:hint="eastAsia"/>
                      <w:color w:val="000000" w:themeColor="text1"/>
                      <w:sz w:val="21"/>
                      <w:szCs w:val="21"/>
                      <w14:textFill>
                        <w14:solidFill>
                          <w14:schemeClr w14:val="tx1"/>
                        </w14:solidFill>
                      </w14:textFill>
                    </w:rPr>
                    <w:t>、TP、T</w:t>
                  </w:r>
                  <w:r>
                    <w:rPr>
                      <w:color w:val="000000" w:themeColor="text1"/>
                      <w:sz w:val="21"/>
                      <w:szCs w:val="21"/>
                      <w14:textFill>
                        <w14:solidFill>
                          <w14:schemeClr w14:val="tx1"/>
                        </w14:solidFill>
                      </w14:textFill>
                    </w:rPr>
                    <w:t>N</w:t>
                  </w:r>
                </w:p>
              </w:tc>
              <w:tc>
                <w:tcPr>
                  <w:tcW w:w="731" w:type="dxa"/>
                  <w:vAlign w:val="center"/>
                </w:tcPr>
                <w:p>
                  <w:pPr>
                    <w:pStyle w:val="45"/>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排放至常州市金坛区直溪鑫鑫污水处理厂</w:t>
                  </w:r>
                </w:p>
              </w:tc>
              <w:tc>
                <w:tcPr>
                  <w:tcW w:w="589" w:type="dxa"/>
                  <w:vAlign w:val="center"/>
                </w:tcPr>
                <w:p>
                  <w:pPr>
                    <w:pStyle w:val="45"/>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连续</w:t>
                  </w:r>
                  <w:r>
                    <w:rPr>
                      <w:color w:val="000000" w:themeColor="text1"/>
                      <w:sz w:val="21"/>
                      <w:szCs w:val="21"/>
                      <w14:textFill>
                        <w14:solidFill>
                          <w14:schemeClr w14:val="tx1"/>
                        </w14:solidFill>
                      </w14:textFill>
                    </w:rPr>
                    <w:t>排放，流量稳定</w:t>
                  </w:r>
                </w:p>
              </w:tc>
              <w:tc>
                <w:tcPr>
                  <w:tcW w:w="888" w:type="dxa"/>
                  <w:vAlign w:val="center"/>
                </w:tcPr>
                <w:p>
                  <w:pPr>
                    <w:pStyle w:val="45"/>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TW001</w:t>
                  </w:r>
                </w:p>
              </w:tc>
              <w:tc>
                <w:tcPr>
                  <w:tcW w:w="731" w:type="dxa"/>
                  <w:vAlign w:val="center"/>
                </w:tcPr>
                <w:p>
                  <w:pPr>
                    <w:pStyle w:val="45"/>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生活</w:t>
                  </w:r>
                  <w:r>
                    <w:rPr>
                      <w:color w:val="000000" w:themeColor="text1"/>
                      <w:sz w:val="21"/>
                      <w:szCs w:val="21"/>
                      <w14:textFill>
                        <w14:solidFill>
                          <w14:schemeClr w14:val="tx1"/>
                        </w14:solidFill>
                      </w14:textFill>
                    </w:rPr>
                    <w:t>污水处理系统</w:t>
                  </w:r>
                </w:p>
              </w:tc>
              <w:tc>
                <w:tcPr>
                  <w:tcW w:w="732" w:type="dxa"/>
                  <w:vAlign w:val="center"/>
                </w:tcPr>
                <w:p>
                  <w:pPr>
                    <w:pStyle w:val="45"/>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化粪池</w:t>
                  </w:r>
                </w:p>
              </w:tc>
              <w:tc>
                <w:tcPr>
                  <w:tcW w:w="786" w:type="dxa"/>
                  <w:vAlign w:val="center"/>
                </w:tcPr>
                <w:p>
                  <w:pPr>
                    <w:pStyle w:val="45"/>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D</w:t>
                  </w:r>
                  <w:r>
                    <w:rPr>
                      <w:color w:val="000000" w:themeColor="text1"/>
                      <w:sz w:val="21"/>
                      <w:szCs w:val="21"/>
                      <w14:textFill>
                        <w14:solidFill>
                          <w14:schemeClr w14:val="tx1"/>
                        </w14:solidFill>
                      </w14:textFill>
                    </w:rPr>
                    <w:t>W</w:t>
                  </w:r>
                  <w:r>
                    <w:rPr>
                      <w:rFonts w:hint="eastAsia"/>
                      <w:color w:val="000000" w:themeColor="text1"/>
                      <w:sz w:val="21"/>
                      <w:szCs w:val="21"/>
                      <w14:textFill>
                        <w14:solidFill>
                          <w14:schemeClr w14:val="tx1"/>
                        </w14:solidFill>
                      </w14:textFill>
                    </w:rPr>
                    <w:t>001</w:t>
                  </w:r>
                </w:p>
              </w:tc>
              <w:tc>
                <w:tcPr>
                  <w:tcW w:w="731" w:type="dxa"/>
                  <w:vAlign w:val="center"/>
                </w:tcPr>
                <w:p>
                  <w:pPr>
                    <w:pStyle w:val="45"/>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是√</w:t>
                  </w:r>
                </w:p>
                <w:p>
                  <w:pPr>
                    <w:pStyle w:val="45"/>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否□</w:t>
                  </w:r>
                </w:p>
              </w:tc>
              <w:tc>
                <w:tcPr>
                  <w:tcW w:w="1191" w:type="dxa"/>
                  <w:vAlign w:val="center"/>
                </w:tcPr>
                <w:p>
                  <w:pPr>
                    <w:pStyle w:val="45"/>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√企业总排</w:t>
                  </w:r>
                </w:p>
                <w:p>
                  <w:pPr>
                    <w:pStyle w:val="45"/>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（雨水</w:t>
                  </w:r>
                  <w:r>
                    <w:rPr>
                      <w:color w:val="000000" w:themeColor="text1"/>
                      <w:sz w:val="21"/>
                      <w:szCs w:val="21"/>
                      <w14:textFill>
                        <w14:solidFill>
                          <w14:schemeClr w14:val="tx1"/>
                        </w14:solidFill>
                      </w14:textFill>
                    </w:rPr>
                    <w:t>排放</w:t>
                  </w:r>
                </w:p>
                <w:p>
                  <w:pPr>
                    <w:pStyle w:val="45"/>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□清净下水排放</w:t>
                  </w:r>
                </w:p>
                <w:p>
                  <w:pPr>
                    <w:pStyle w:val="45"/>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□温排水排放</w:t>
                  </w:r>
                </w:p>
                <w:p>
                  <w:pPr>
                    <w:pStyle w:val="45"/>
                    <w:spacing w:line="240" w:lineRule="auto"/>
                    <w:ind w:firstLine="0" w:firstLineChars="0"/>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（车间或</w:t>
                  </w:r>
                  <w:r>
                    <w:rPr>
                      <w:color w:val="000000" w:themeColor="text1"/>
                      <w:sz w:val="21"/>
                      <w:szCs w:val="21"/>
                      <w14:textFill>
                        <w14:solidFill>
                          <w14:schemeClr w14:val="tx1"/>
                        </w14:solidFill>
                      </w14:textFill>
                    </w:rPr>
                    <w:t>车间处理系统排放</w:t>
                  </w:r>
                  <w:r>
                    <w:rPr>
                      <w:rFonts w:hint="eastAsia"/>
                      <w:color w:val="000000" w:themeColor="text1"/>
                      <w:sz w:val="21"/>
                      <w:szCs w:val="21"/>
                      <w14:textFill>
                        <w14:solidFill>
                          <w14:schemeClr w14:val="tx1"/>
                        </w14:solidFill>
                      </w14:textFill>
                    </w:rPr>
                    <w:t>口</w:t>
                  </w:r>
                </w:p>
              </w:tc>
            </w:tr>
          </w:tbl>
          <w:p>
            <w:pPr>
              <w:pStyle w:val="45"/>
              <w:spacing w:line="360" w:lineRule="auto"/>
              <w:ind w:firstLine="482"/>
              <w:jc w:val="both"/>
              <w:rPr>
                <w:b/>
                <w:color w:val="000000" w:themeColor="text1"/>
                <w:szCs w:val="24"/>
                <w14:textFill>
                  <w14:solidFill>
                    <w14:schemeClr w14:val="tx1"/>
                  </w14:solidFill>
                </w14:textFill>
              </w:rPr>
            </w:pPr>
            <w:r>
              <w:rPr>
                <w:rFonts w:hint="eastAsia"/>
                <w:b/>
                <w:color w:val="000000" w:themeColor="text1"/>
                <w:szCs w:val="24"/>
                <w14:textFill>
                  <w14:solidFill>
                    <w14:schemeClr w14:val="tx1"/>
                  </w14:solidFill>
                </w14:textFill>
              </w:rPr>
              <w:t>（</w:t>
            </w:r>
            <w:r>
              <w:rPr>
                <w:b/>
                <w:color w:val="000000" w:themeColor="text1"/>
                <w:szCs w:val="24"/>
                <w14:textFill>
                  <w14:solidFill>
                    <w14:schemeClr w14:val="tx1"/>
                  </w14:solidFill>
                </w14:textFill>
              </w:rPr>
              <w:t>2</w:t>
            </w:r>
            <w:r>
              <w:rPr>
                <w:rFonts w:hint="eastAsia"/>
                <w:b/>
                <w:color w:val="000000" w:themeColor="text1"/>
                <w:szCs w:val="24"/>
                <w14:textFill>
                  <w14:solidFill>
                    <w14:schemeClr w14:val="tx1"/>
                  </w14:solidFill>
                </w14:textFill>
              </w:rPr>
              <w:t>）废水达标</w:t>
            </w:r>
            <w:r>
              <w:rPr>
                <w:b/>
                <w:color w:val="000000" w:themeColor="text1"/>
                <w:szCs w:val="24"/>
                <w14:textFill>
                  <w14:solidFill>
                    <w14:schemeClr w14:val="tx1"/>
                  </w14:solidFill>
                </w14:textFill>
              </w:rPr>
              <w:t>行分析</w:t>
            </w:r>
          </w:p>
          <w:p>
            <w:pPr>
              <w:pStyle w:val="45"/>
              <w:spacing w:line="360" w:lineRule="auto"/>
              <w:ind w:firstLine="480"/>
              <w:jc w:val="both"/>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本项目排放</w:t>
            </w:r>
            <w:r>
              <w:rPr>
                <w:color w:val="000000" w:themeColor="text1"/>
                <w:szCs w:val="24"/>
                <w14:textFill>
                  <w14:solidFill>
                    <w14:schemeClr w14:val="tx1"/>
                  </w14:solidFill>
                </w14:textFill>
              </w:rPr>
              <w:t>废水为生活污水，</w:t>
            </w:r>
            <w:r>
              <w:rPr>
                <w:rFonts w:hint="eastAsia"/>
                <w:color w:val="000000" w:themeColor="text1"/>
                <w:szCs w:val="24"/>
                <w14:textFill>
                  <w14:solidFill>
                    <w14:schemeClr w14:val="tx1"/>
                  </w14:solidFill>
                </w14:textFill>
              </w:rPr>
              <w:t>废水</w:t>
            </w:r>
            <w:r>
              <w:rPr>
                <w:color w:val="000000" w:themeColor="text1"/>
                <w:szCs w:val="24"/>
                <w14:textFill>
                  <w14:solidFill>
                    <w14:schemeClr w14:val="tx1"/>
                  </w14:solidFill>
                </w14:textFill>
              </w:rPr>
              <w:t>量为</w:t>
            </w:r>
            <w:r>
              <w:rPr>
                <w:rFonts w:hint="eastAsia"/>
                <w:color w:val="000000" w:themeColor="text1"/>
                <w:szCs w:val="24"/>
                <w:lang w:eastAsia="zh-CN"/>
                <w14:textFill>
                  <w14:solidFill>
                    <w14:schemeClr w14:val="tx1"/>
                  </w14:solidFill>
                </w14:textFill>
              </w:rPr>
              <w:t>600t/a</w:t>
            </w:r>
            <w:r>
              <w:rPr>
                <w:rFonts w:hint="eastAsia"/>
                <w:color w:val="000000" w:themeColor="text1"/>
                <w:szCs w:val="24"/>
                <w14:textFill>
                  <w14:solidFill>
                    <w14:schemeClr w14:val="tx1"/>
                  </w14:solidFill>
                </w14:textFill>
              </w:rPr>
              <w:t>，</w:t>
            </w:r>
            <w:r>
              <w:rPr>
                <w:color w:val="000000" w:themeColor="text1"/>
                <w:szCs w:val="24"/>
                <w14:textFill>
                  <w14:solidFill>
                    <w14:schemeClr w14:val="tx1"/>
                  </w14:solidFill>
                </w14:textFill>
              </w:rPr>
              <w:t>经化粪池处理后排放浓度约为COD：</w:t>
            </w:r>
            <w:r>
              <w:rPr>
                <w:rFonts w:hint="eastAsia"/>
                <w:color w:val="000000" w:themeColor="text1"/>
                <w:szCs w:val="24"/>
                <w14:textFill>
                  <w14:solidFill>
                    <w14:schemeClr w14:val="tx1"/>
                  </w14:solidFill>
                </w14:textFill>
              </w:rPr>
              <w:t>340</w:t>
            </w:r>
            <w:r>
              <w:rPr>
                <w:color w:val="000000" w:themeColor="text1"/>
                <w:szCs w:val="24"/>
                <w14:textFill>
                  <w14:solidFill>
                    <w14:schemeClr w14:val="tx1"/>
                  </w14:solidFill>
                </w14:textFill>
              </w:rPr>
              <w:t>mg/L</w:t>
            </w:r>
            <w:r>
              <w:rPr>
                <w:rFonts w:hint="eastAsia"/>
                <w:color w:val="000000" w:themeColor="text1"/>
                <w:szCs w:val="24"/>
                <w14:textFill>
                  <w14:solidFill>
                    <w14:schemeClr w14:val="tx1"/>
                  </w14:solidFill>
                </w14:textFill>
              </w:rPr>
              <w:t>、</w:t>
            </w:r>
            <w:r>
              <w:rPr>
                <w:color w:val="000000" w:themeColor="text1"/>
                <w:szCs w:val="24"/>
                <w14:textFill>
                  <w14:solidFill>
                    <w14:schemeClr w14:val="tx1"/>
                  </w14:solidFill>
                </w14:textFill>
              </w:rPr>
              <w:t>SS：</w:t>
            </w:r>
            <w:r>
              <w:rPr>
                <w:rFonts w:hint="eastAsia"/>
                <w:color w:val="000000" w:themeColor="text1"/>
                <w:szCs w:val="24"/>
                <w14:textFill>
                  <w14:solidFill>
                    <w14:schemeClr w14:val="tx1"/>
                  </w14:solidFill>
                </w14:textFill>
              </w:rPr>
              <w:t>160</w:t>
            </w:r>
            <w:r>
              <w:rPr>
                <w:color w:val="000000" w:themeColor="text1"/>
                <w:szCs w:val="24"/>
                <w14:textFill>
                  <w14:solidFill>
                    <w14:schemeClr w14:val="tx1"/>
                  </w14:solidFill>
                </w14:textFill>
              </w:rPr>
              <w:t>mg/L、氨氮：</w:t>
            </w:r>
            <w:r>
              <w:rPr>
                <w:rFonts w:hint="eastAsia"/>
                <w:color w:val="000000" w:themeColor="text1"/>
                <w:szCs w:val="24"/>
                <w14:textFill>
                  <w14:solidFill>
                    <w14:schemeClr w14:val="tx1"/>
                  </w14:solidFill>
                </w14:textFill>
              </w:rPr>
              <w:t>25</w:t>
            </w:r>
            <w:r>
              <w:rPr>
                <w:color w:val="000000" w:themeColor="text1"/>
                <w:szCs w:val="24"/>
                <w14:textFill>
                  <w14:solidFill>
                    <w14:schemeClr w14:val="tx1"/>
                  </w14:solidFill>
                </w14:textFill>
              </w:rPr>
              <w:t>mg/L、总磷：</w:t>
            </w:r>
            <w:r>
              <w:rPr>
                <w:rFonts w:hint="eastAsia"/>
                <w:color w:val="000000" w:themeColor="text1"/>
                <w:szCs w:val="24"/>
                <w14:textFill>
                  <w14:solidFill>
                    <w14:schemeClr w14:val="tx1"/>
                  </w14:solidFill>
                </w14:textFill>
              </w:rPr>
              <w:t>3</w:t>
            </w:r>
            <w:r>
              <w:rPr>
                <w:color w:val="000000" w:themeColor="text1"/>
                <w:szCs w:val="24"/>
                <w14:textFill>
                  <w14:solidFill>
                    <w14:schemeClr w14:val="tx1"/>
                  </w14:solidFill>
                </w14:textFill>
              </w:rPr>
              <w:t>mg/L</w:t>
            </w:r>
            <w:r>
              <w:rPr>
                <w:rFonts w:hint="eastAsia"/>
                <w:color w:val="000000" w:themeColor="text1"/>
                <w:szCs w:val="24"/>
                <w14:textFill>
                  <w14:solidFill>
                    <w14:schemeClr w14:val="tx1"/>
                  </w14:solidFill>
                </w14:textFill>
              </w:rPr>
              <w:t>、T</w:t>
            </w:r>
            <w:r>
              <w:rPr>
                <w:color w:val="000000" w:themeColor="text1"/>
                <w:szCs w:val="24"/>
                <w14:textFill>
                  <w14:solidFill>
                    <w14:schemeClr w14:val="tx1"/>
                  </w14:solidFill>
                </w14:textFill>
              </w:rPr>
              <w:t>N</w:t>
            </w:r>
            <w:r>
              <w:rPr>
                <w:rFonts w:hint="eastAsia"/>
                <w:color w:val="000000" w:themeColor="text1"/>
                <w:szCs w:val="24"/>
                <w14:textFill>
                  <w14:solidFill>
                    <w14:schemeClr w14:val="tx1"/>
                  </w14:solidFill>
                </w14:textFill>
              </w:rPr>
              <w:t>：35</w:t>
            </w:r>
            <w:r>
              <w:rPr>
                <w:color w:val="000000" w:themeColor="text1"/>
                <w:szCs w:val="24"/>
                <w14:textFill>
                  <w14:solidFill>
                    <w14:schemeClr w14:val="tx1"/>
                  </w14:solidFill>
                </w14:textFill>
              </w:rPr>
              <w:t xml:space="preserve"> mg/L，</w:t>
            </w:r>
            <w:r>
              <w:rPr>
                <w:rFonts w:hint="eastAsia"/>
                <w:color w:val="000000" w:themeColor="text1"/>
                <w:szCs w:val="24"/>
                <w14:textFill>
                  <w14:solidFill>
                    <w14:schemeClr w14:val="tx1"/>
                  </w14:solidFill>
                </w14:textFill>
              </w:rPr>
              <w:t>满足</w:t>
            </w:r>
            <w:r>
              <w:rPr>
                <w:rFonts w:hint="eastAsia" w:cs="宋体"/>
                <w:color w:val="000000" w:themeColor="text1"/>
                <w14:textFill>
                  <w14:solidFill>
                    <w14:schemeClr w14:val="tx1"/>
                  </w14:solidFill>
                </w14:textFill>
              </w:rPr>
              <w:t>常州市金坛区直溪鑫鑫污水处理厂</w:t>
            </w:r>
            <w:r>
              <w:rPr>
                <w:color w:val="000000" w:themeColor="text1"/>
                <w:szCs w:val="24"/>
                <w14:textFill>
                  <w14:solidFill>
                    <w14:schemeClr w14:val="tx1"/>
                  </w14:solidFill>
                </w14:textFill>
              </w:rPr>
              <w:t>接管</w:t>
            </w:r>
            <w:r>
              <w:rPr>
                <w:rFonts w:hint="eastAsia"/>
                <w:color w:val="000000" w:themeColor="text1"/>
                <w:szCs w:val="24"/>
                <w14:textFill>
                  <w14:solidFill>
                    <w14:schemeClr w14:val="tx1"/>
                  </w14:solidFill>
                </w14:textFill>
              </w:rPr>
              <w:t>要求</w:t>
            </w:r>
            <w:r>
              <w:rPr>
                <w:color w:val="000000" w:themeColor="text1"/>
                <w:szCs w:val="24"/>
                <w14:textFill>
                  <w14:solidFill>
                    <w14:schemeClr w14:val="tx1"/>
                  </w14:solidFill>
                </w14:textFill>
              </w:rPr>
              <w:t>。</w:t>
            </w:r>
          </w:p>
          <w:p>
            <w:pPr>
              <w:pStyle w:val="45"/>
              <w:spacing w:line="240" w:lineRule="auto"/>
              <w:ind w:firstLine="0" w:firstLineChars="0"/>
              <w:jc w:val="center"/>
              <w:rPr>
                <w:b/>
                <w:color w:val="000000" w:themeColor="text1"/>
                <w:szCs w:val="24"/>
                <w14:textFill>
                  <w14:solidFill>
                    <w14:schemeClr w14:val="tx1"/>
                  </w14:solidFill>
                </w14:textFill>
              </w:rPr>
            </w:pPr>
            <w:r>
              <w:rPr>
                <w:rFonts w:hint="eastAsia"/>
                <w:b/>
                <w:bCs/>
                <w:color w:val="000000" w:themeColor="text1"/>
                <w:szCs w:val="24"/>
                <w14:textFill>
                  <w14:solidFill>
                    <w14:schemeClr w14:val="tx1"/>
                  </w14:solidFill>
                </w14:textFill>
              </w:rPr>
              <w:t>表</w:t>
            </w:r>
            <w:r>
              <w:rPr>
                <w:b/>
                <w:bCs/>
                <w:color w:val="000000" w:themeColor="text1"/>
                <w:szCs w:val="24"/>
                <w14:textFill>
                  <w14:solidFill>
                    <w14:schemeClr w14:val="tx1"/>
                  </w14:solidFill>
                </w14:textFill>
              </w:rPr>
              <w:t>7-1</w:t>
            </w:r>
            <w:r>
              <w:rPr>
                <w:rFonts w:hint="eastAsia"/>
                <w:b/>
                <w:bCs/>
                <w:color w:val="000000" w:themeColor="text1"/>
                <w:szCs w:val="24"/>
                <w:lang w:val="en-US" w:eastAsia="zh-CN"/>
                <w14:textFill>
                  <w14:solidFill>
                    <w14:schemeClr w14:val="tx1"/>
                  </w14:solidFill>
                </w14:textFill>
              </w:rPr>
              <w:t>5</w:t>
            </w:r>
            <w:r>
              <w:rPr>
                <w:b/>
                <w:bCs/>
                <w:color w:val="000000" w:themeColor="text1"/>
                <w:szCs w:val="24"/>
                <w14:textFill>
                  <w14:solidFill>
                    <w14:schemeClr w14:val="tx1"/>
                  </w14:solidFill>
                </w14:textFill>
              </w:rPr>
              <w:t xml:space="preserve"> </w:t>
            </w:r>
            <w:r>
              <w:rPr>
                <w:rFonts w:hint="eastAsia"/>
                <w:b/>
                <w:bCs/>
                <w:color w:val="000000" w:themeColor="text1"/>
                <w:szCs w:val="24"/>
                <w14:textFill>
                  <w14:solidFill>
                    <w14:schemeClr w14:val="tx1"/>
                  </w14:solidFill>
                </w14:textFill>
              </w:rPr>
              <w:t xml:space="preserve"> </w:t>
            </w:r>
            <w:r>
              <w:rPr>
                <w:rFonts w:hint="eastAsia"/>
                <w:b/>
                <w:color w:val="000000" w:themeColor="text1"/>
                <w:szCs w:val="24"/>
                <w14:textFill>
                  <w14:solidFill>
                    <w14:schemeClr w14:val="tx1"/>
                  </w14:solidFill>
                </w14:textFill>
              </w:rPr>
              <w:t>本项目废水</w:t>
            </w:r>
            <w:r>
              <w:rPr>
                <w:b/>
                <w:color w:val="000000" w:themeColor="text1"/>
                <w:szCs w:val="24"/>
                <w14:textFill>
                  <w14:solidFill>
                    <w14:schemeClr w14:val="tx1"/>
                  </w14:solidFill>
                </w14:textFill>
              </w:rPr>
              <w:t>排放执行</w:t>
            </w:r>
            <w:r>
              <w:rPr>
                <w:rFonts w:hint="eastAsia"/>
                <w:b/>
                <w:color w:val="000000" w:themeColor="text1"/>
                <w:szCs w:val="24"/>
                <w14:textFill>
                  <w14:solidFill>
                    <w14:schemeClr w14:val="tx1"/>
                  </w14:solidFill>
                </w14:textFill>
              </w:rPr>
              <w:t>标准</w:t>
            </w:r>
          </w:p>
          <w:tbl>
            <w:tblPr>
              <w:tblStyle w:val="17"/>
              <w:tblW w:w="8297"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417"/>
              <w:gridCol w:w="1701"/>
              <w:gridCol w:w="2835"/>
              <w:gridCol w:w="149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6" w:type="dxa"/>
                  <w:vMerge w:val="restart"/>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szCs w:val="18"/>
                      <w14:textFill>
                        <w14:solidFill>
                          <w14:schemeClr w14:val="tx1"/>
                        </w14:solidFill>
                      </w14:textFill>
                    </w:rPr>
                  </w:pPr>
                  <w:r>
                    <w:rPr>
                      <w:rFonts w:hint="eastAsia"/>
                      <w:b/>
                      <w:color w:val="000000" w:themeColor="text1"/>
                      <w:szCs w:val="18"/>
                      <w14:textFill>
                        <w14:solidFill>
                          <w14:schemeClr w14:val="tx1"/>
                        </w14:solidFill>
                      </w14:textFill>
                    </w:rPr>
                    <w:t>序号</w:t>
                  </w:r>
                </w:p>
              </w:tc>
              <w:tc>
                <w:tcPr>
                  <w:tcW w:w="1417" w:type="dxa"/>
                  <w:vMerge w:val="restart"/>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szCs w:val="18"/>
                      <w14:textFill>
                        <w14:solidFill>
                          <w14:schemeClr w14:val="tx1"/>
                        </w14:solidFill>
                      </w14:textFill>
                    </w:rPr>
                  </w:pPr>
                  <w:r>
                    <w:rPr>
                      <w:rFonts w:hint="eastAsia"/>
                      <w:b/>
                      <w:color w:val="000000" w:themeColor="text1"/>
                      <w:szCs w:val="18"/>
                      <w14:textFill>
                        <w14:solidFill>
                          <w14:schemeClr w14:val="tx1"/>
                        </w14:solidFill>
                      </w14:textFill>
                    </w:rPr>
                    <w:t>排放口</w:t>
                  </w:r>
                  <w:r>
                    <w:rPr>
                      <w:b/>
                      <w:color w:val="000000" w:themeColor="text1"/>
                      <w:szCs w:val="18"/>
                      <w14:textFill>
                        <w14:solidFill>
                          <w14:schemeClr w14:val="tx1"/>
                        </w14:solidFill>
                      </w14:textFill>
                    </w:rPr>
                    <w:t>编号</w:t>
                  </w:r>
                </w:p>
              </w:tc>
              <w:tc>
                <w:tcPr>
                  <w:tcW w:w="1701" w:type="dxa"/>
                  <w:vMerge w:val="restart"/>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szCs w:val="18"/>
                      <w14:textFill>
                        <w14:solidFill>
                          <w14:schemeClr w14:val="tx1"/>
                        </w14:solidFill>
                      </w14:textFill>
                    </w:rPr>
                  </w:pPr>
                  <w:r>
                    <w:rPr>
                      <w:rFonts w:hint="eastAsia"/>
                      <w:b/>
                      <w:color w:val="000000" w:themeColor="text1"/>
                      <w:szCs w:val="18"/>
                      <w14:textFill>
                        <w14:solidFill>
                          <w14:schemeClr w14:val="tx1"/>
                        </w14:solidFill>
                      </w14:textFill>
                    </w:rPr>
                    <w:t>污染物种类</w:t>
                  </w:r>
                </w:p>
              </w:tc>
              <w:tc>
                <w:tcPr>
                  <w:tcW w:w="4333" w:type="dxa"/>
                  <w:gridSpan w:val="2"/>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szCs w:val="18"/>
                      <w14:textFill>
                        <w14:solidFill>
                          <w14:schemeClr w14:val="tx1"/>
                        </w14:solidFill>
                      </w14:textFill>
                    </w:rPr>
                  </w:pPr>
                  <w:r>
                    <w:rPr>
                      <w:rFonts w:hint="eastAsia"/>
                      <w:b/>
                      <w:color w:val="000000" w:themeColor="text1"/>
                      <w:szCs w:val="18"/>
                      <w14:textFill>
                        <w14:solidFill>
                          <w14:schemeClr w14:val="tx1"/>
                        </w14:solidFill>
                      </w14:textFill>
                    </w:rPr>
                    <w:t>国家</w:t>
                  </w:r>
                  <w:r>
                    <w:rPr>
                      <w:b/>
                      <w:color w:val="000000" w:themeColor="text1"/>
                      <w:szCs w:val="18"/>
                      <w14:textFill>
                        <w14:solidFill>
                          <w14:schemeClr w14:val="tx1"/>
                        </w14:solidFill>
                      </w14:textFill>
                    </w:rPr>
                    <w:t>或地方污染物排放标准</w:t>
                  </w:r>
                  <w:r>
                    <w:rPr>
                      <w:rFonts w:hint="eastAsia"/>
                      <w:b/>
                      <w:color w:val="000000" w:themeColor="text1"/>
                      <w:szCs w:val="18"/>
                      <w14:textFill>
                        <w14:solidFill>
                          <w14:schemeClr w14:val="tx1"/>
                        </w14:solidFill>
                      </w14:textFill>
                    </w:rPr>
                    <w:t>及</w:t>
                  </w:r>
                  <w:r>
                    <w:rPr>
                      <w:b/>
                      <w:color w:val="000000" w:themeColor="text1"/>
                      <w:szCs w:val="18"/>
                      <w14:textFill>
                        <w14:solidFill>
                          <w14:schemeClr w14:val="tx1"/>
                        </w14:solidFill>
                      </w14:textFill>
                    </w:rPr>
                    <w:t>其他按规定</w:t>
                  </w:r>
                  <w:r>
                    <w:rPr>
                      <w:rFonts w:hint="eastAsia"/>
                      <w:b/>
                      <w:color w:val="000000" w:themeColor="text1"/>
                      <w:szCs w:val="18"/>
                      <w14:textFill>
                        <w14:solidFill>
                          <w14:schemeClr w14:val="tx1"/>
                        </w14:solidFill>
                      </w14:textFill>
                    </w:rPr>
                    <w:t>商定</w:t>
                  </w:r>
                  <w:r>
                    <w:rPr>
                      <w:b/>
                      <w:color w:val="000000" w:themeColor="text1"/>
                      <w:szCs w:val="18"/>
                      <w14:textFill>
                        <w14:solidFill>
                          <w14:schemeClr w14:val="tx1"/>
                        </w14:solidFill>
                      </w14:textFill>
                    </w:rPr>
                    <w:t>的排放协议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6"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p>
              </w:tc>
              <w:tc>
                <w:tcPr>
                  <w:tcW w:w="1417"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p>
              </w:tc>
              <w:tc>
                <w:tcPr>
                  <w:tcW w:w="1701"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p>
              </w:tc>
              <w:tc>
                <w:tcPr>
                  <w:tcW w:w="2835"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szCs w:val="18"/>
                      <w14:textFill>
                        <w14:solidFill>
                          <w14:schemeClr w14:val="tx1"/>
                        </w14:solidFill>
                      </w14:textFill>
                    </w:rPr>
                  </w:pPr>
                  <w:r>
                    <w:rPr>
                      <w:rFonts w:hint="eastAsia"/>
                      <w:b/>
                      <w:color w:val="000000" w:themeColor="text1"/>
                      <w:szCs w:val="18"/>
                      <w14:textFill>
                        <w14:solidFill>
                          <w14:schemeClr w14:val="tx1"/>
                        </w14:solidFill>
                      </w14:textFill>
                    </w:rPr>
                    <w:t>名称</w:t>
                  </w:r>
                </w:p>
              </w:tc>
              <w:tc>
                <w:tcPr>
                  <w:tcW w:w="1498"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szCs w:val="18"/>
                      <w14:textFill>
                        <w14:solidFill>
                          <w14:schemeClr w14:val="tx1"/>
                        </w14:solidFill>
                      </w14:textFill>
                    </w:rPr>
                  </w:pPr>
                  <w:r>
                    <w:rPr>
                      <w:rFonts w:hint="eastAsia"/>
                      <w:b/>
                      <w:color w:val="000000" w:themeColor="text1"/>
                      <w:szCs w:val="18"/>
                      <w14:textFill>
                        <w14:solidFill>
                          <w14:schemeClr w14:val="tx1"/>
                        </w14:solidFill>
                      </w14:textFill>
                    </w:rPr>
                    <w:t>浓度</w:t>
                  </w:r>
                  <w:r>
                    <w:rPr>
                      <w:b/>
                      <w:color w:val="000000" w:themeColor="text1"/>
                      <w:szCs w:val="18"/>
                      <w14:textFill>
                        <w14:solidFill>
                          <w14:schemeClr w14:val="tx1"/>
                        </w14:solidFill>
                      </w14:textFill>
                    </w:rPr>
                    <w:t>限值</w:t>
                  </w:r>
                </w:p>
                <w:p>
                  <w:pPr>
                    <w:pStyle w:val="39"/>
                    <w:keepNext w:val="0"/>
                    <w:keepLines w:val="0"/>
                    <w:pageBreakBefore w:val="0"/>
                    <w:widowControl w:val="0"/>
                    <w:kinsoku/>
                    <w:wordWrap/>
                    <w:overflowPunct/>
                    <w:topLinePunct w:val="0"/>
                    <w:autoSpaceDE/>
                    <w:autoSpaceDN/>
                    <w:bidi w:val="0"/>
                    <w:spacing w:before="63" w:beforeLines="20" w:after="63" w:afterLines="20"/>
                    <w:textAlignment w:val="auto"/>
                    <w:rPr>
                      <w:b/>
                      <w:color w:val="000000" w:themeColor="text1"/>
                      <w:szCs w:val="18"/>
                      <w14:textFill>
                        <w14:solidFill>
                          <w14:schemeClr w14:val="tx1"/>
                        </w14:solidFill>
                      </w14:textFill>
                    </w:rPr>
                  </w:pPr>
                  <w:r>
                    <w:rPr>
                      <w:rFonts w:hint="eastAsia"/>
                      <w:b/>
                      <w:color w:val="000000" w:themeColor="text1"/>
                      <w:sz w:val="18"/>
                      <w:szCs w:val="18"/>
                      <w14:textFill>
                        <w14:solidFill>
                          <w14:schemeClr w14:val="tx1"/>
                        </w14:solidFill>
                      </w14:textFill>
                    </w:rPr>
                    <w:t>mg</w:t>
                  </w:r>
                  <w:r>
                    <w:rPr>
                      <w:b/>
                      <w:color w:val="000000" w:themeColor="text1"/>
                      <w:sz w:val="18"/>
                      <w:szCs w:val="18"/>
                      <w14:textFill>
                        <w14:solidFill>
                          <w14:schemeClr w14:val="tx1"/>
                        </w14:solidFill>
                      </w14:textFill>
                    </w:rPr>
                    <w:t>/L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6" w:type="dxa"/>
                  <w:vAlign w:val="center"/>
                </w:tcPr>
                <w:p>
                  <w:pPr>
                    <w:pStyle w:val="45"/>
                    <w:keepNext w:val="0"/>
                    <w:keepLines w:val="0"/>
                    <w:pageBreakBefore w:val="0"/>
                    <w:widowControl w:val="0"/>
                    <w:kinsoku/>
                    <w:wordWrap/>
                    <w:overflowPunct/>
                    <w:topLinePunct w:val="0"/>
                    <w:autoSpaceDE/>
                    <w:autoSpaceDN/>
                    <w:bidi w:val="0"/>
                    <w:spacing w:before="63" w:beforeLines="20" w:after="63" w:afterLines="20" w:line="240" w:lineRule="auto"/>
                    <w:ind w:firstLine="0" w:firstLineChars="0"/>
                    <w:jc w:val="center"/>
                    <w:textAlignment w:val="auto"/>
                    <w:rPr>
                      <w:color w:val="000000" w:themeColor="text1"/>
                      <w:sz w:val="21"/>
                      <w:szCs w:val="24"/>
                      <w14:textFill>
                        <w14:solidFill>
                          <w14:schemeClr w14:val="tx1"/>
                        </w14:solidFill>
                      </w14:textFill>
                    </w:rPr>
                  </w:pPr>
                  <w:r>
                    <w:rPr>
                      <w:rFonts w:hint="eastAsia"/>
                      <w:color w:val="000000" w:themeColor="text1"/>
                      <w:sz w:val="21"/>
                      <w:szCs w:val="24"/>
                      <w14:textFill>
                        <w14:solidFill>
                          <w14:schemeClr w14:val="tx1"/>
                        </w14:solidFill>
                      </w14:textFill>
                    </w:rPr>
                    <w:t>1</w:t>
                  </w:r>
                </w:p>
              </w:tc>
              <w:tc>
                <w:tcPr>
                  <w:tcW w:w="1417" w:type="dxa"/>
                  <w:vMerge w:val="restart"/>
                  <w:vAlign w:val="center"/>
                </w:tcPr>
                <w:p>
                  <w:pPr>
                    <w:pStyle w:val="45"/>
                    <w:keepNext w:val="0"/>
                    <w:keepLines w:val="0"/>
                    <w:pageBreakBefore w:val="0"/>
                    <w:widowControl w:val="0"/>
                    <w:kinsoku/>
                    <w:wordWrap/>
                    <w:overflowPunct/>
                    <w:topLinePunct w:val="0"/>
                    <w:autoSpaceDE/>
                    <w:autoSpaceDN/>
                    <w:bidi w:val="0"/>
                    <w:spacing w:before="63" w:beforeLines="20" w:after="63" w:afterLines="20" w:line="240" w:lineRule="auto"/>
                    <w:ind w:firstLine="0" w:firstLineChars="0"/>
                    <w:jc w:val="center"/>
                    <w:textAlignment w:val="auto"/>
                    <w:rPr>
                      <w:color w:val="000000" w:themeColor="text1"/>
                      <w:sz w:val="21"/>
                      <w:szCs w:val="24"/>
                      <w14:textFill>
                        <w14:solidFill>
                          <w14:schemeClr w14:val="tx1"/>
                        </w14:solidFill>
                      </w14:textFill>
                    </w:rPr>
                  </w:pPr>
                  <w:r>
                    <w:rPr>
                      <w:rFonts w:hint="eastAsia"/>
                      <w:color w:val="000000" w:themeColor="text1"/>
                      <w:sz w:val="21"/>
                      <w:szCs w:val="24"/>
                      <w14:textFill>
                        <w14:solidFill>
                          <w14:schemeClr w14:val="tx1"/>
                        </w14:solidFill>
                      </w14:textFill>
                    </w:rPr>
                    <w:t>DW001</w:t>
                  </w:r>
                </w:p>
              </w:tc>
              <w:tc>
                <w:tcPr>
                  <w:tcW w:w="1701" w:type="dxa"/>
                  <w:vAlign w:val="center"/>
                </w:tcPr>
                <w:p>
                  <w:pPr>
                    <w:pStyle w:val="45"/>
                    <w:keepNext w:val="0"/>
                    <w:keepLines w:val="0"/>
                    <w:pageBreakBefore w:val="0"/>
                    <w:widowControl w:val="0"/>
                    <w:kinsoku/>
                    <w:wordWrap/>
                    <w:overflowPunct/>
                    <w:topLinePunct w:val="0"/>
                    <w:autoSpaceDE/>
                    <w:autoSpaceDN/>
                    <w:bidi w:val="0"/>
                    <w:spacing w:before="63" w:beforeLines="20" w:after="63" w:afterLines="20" w:line="240" w:lineRule="auto"/>
                    <w:ind w:firstLine="0" w:firstLineChars="0"/>
                    <w:jc w:val="center"/>
                    <w:textAlignment w:val="auto"/>
                    <w:rPr>
                      <w:color w:val="000000" w:themeColor="text1"/>
                      <w:sz w:val="21"/>
                      <w:szCs w:val="24"/>
                      <w14:textFill>
                        <w14:solidFill>
                          <w14:schemeClr w14:val="tx1"/>
                        </w14:solidFill>
                      </w14:textFill>
                    </w:rPr>
                  </w:pPr>
                  <w:r>
                    <w:rPr>
                      <w:color w:val="000000" w:themeColor="text1"/>
                      <w:sz w:val="21"/>
                      <w:szCs w:val="21"/>
                      <w14:textFill>
                        <w14:solidFill>
                          <w14:schemeClr w14:val="tx1"/>
                        </w14:solidFill>
                      </w14:textFill>
                    </w:rPr>
                    <w:t>COD</w:t>
                  </w:r>
                </w:p>
              </w:tc>
              <w:tc>
                <w:tcPr>
                  <w:tcW w:w="2835" w:type="dxa"/>
                  <w:vMerge w:val="restart"/>
                  <w:vAlign w:val="center"/>
                </w:tcPr>
                <w:p>
                  <w:pPr>
                    <w:keepNext w:val="0"/>
                    <w:keepLines w:val="0"/>
                    <w:pageBreakBefore w:val="0"/>
                    <w:widowControl w:val="0"/>
                    <w:kinsoku/>
                    <w:wordWrap/>
                    <w:overflowPunct/>
                    <w:topLinePunct w:val="0"/>
                    <w:autoSpaceDE/>
                    <w:autoSpaceDN/>
                    <w:bidi w:val="0"/>
                    <w:spacing w:before="63" w:beforeLines="20" w:after="63" w:afterLines="20"/>
                    <w:jc w:val="center"/>
                    <w:textAlignment w:val="auto"/>
                    <w:rPr>
                      <w:color w:val="000000" w:themeColor="text1"/>
                      <w14:textFill>
                        <w14:solidFill>
                          <w14:schemeClr w14:val="tx1"/>
                        </w14:solidFill>
                      </w14:textFill>
                    </w:rPr>
                  </w:pPr>
                  <w:r>
                    <w:rPr>
                      <w:rFonts w:hint="eastAsia" w:cs="宋体"/>
                      <w:color w:val="000000" w:themeColor="text1"/>
                      <w14:textFill>
                        <w14:solidFill>
                          <w14:schemeClr w14:val="tx1"/>
                        </w14:solidFill>
                      </w14:textFill>
                    </w:rPr>
                    <w:t>常州市金坛区直溪鑫鑫污水处理厂</w:t>
                  </w:r>
                  <w:r>
                    <w:rPr>
                      <w:color w:val="000000" w:themeColor="text1"/>
                      <w14:textFill>
                        <w14:solidFill>
                          <w14:schemeClr w14:val="tx1"/>
                        </w14:solidFill>
                      </w14:textFill>
                    </w:rPr>
                    <w:t>接管</w:t>
                  </w:r>
                </w:p>
                <w:p>
                  <w:pPr>
                    <w:pStyle w:val="45"/>
                    <w:keepNext w:val="0"/>
                    <w:keepLines w:val="0"/>
                    <w:pageBreakBefore w:val="0"/>
                    <w:widowControl w:val="0"/>
                    <w:kinsoku/>
                    <w:wordWrap/>
                    <w:overflowPunct/>
                    <w:topLinePunct w:val="0"/>
                    <w:autoSpaceDE/>
                    <w:autoSpaceDN/>
                    <w:bidi w:val="0"/>
                    <w:spacing w:before="63" w:beforeLines="20" w:after="63" w:afterLines="20" w:line="240" w:lineRule="auto"/>
                    <w:ind w:firstLine="0" w:firstLineChars="0"/>
                    <w:jc w:val="center"/>
                    <w:textAlignment w:val="auto"/>
                    <w:rPr>
                      <w:color w:val="000000" w:themeColor="text1"/>
                      <w:sz w:val="21"/>
                      <w:szCs w:val="24"/>
                      <w14:textFill>
                        <w14:solidFill>
                          <w14:schemeClr w14:val="tx1"/>
                        </w14:solidFill>
                      </w14:textFill>
                    </w:rPr>
                  </w:pPr>
                  <w:r>
                    <w:rPr>
                      <w:color w:val="000000" w:themeColor="text1"/>
                      <w:kern w:val="2"/>
                      <w:sz w:val="21"/>
                      <w14:textFill>
                        <w14:solidFill>
                          <w14:schemeClr w14:val="tx1"/>
                        </w14:solidFill>
                      </w14:textFill>
                    </w:rPr>
                    <w:t>标准要求</w:t>
                  </w:r>
                </w:p>
              </w:tc>
              <w:tc>
                <w:tcPr>
                  <w:tcW w:w="1498" w:type="dxa"/>
                  <w:vAlign w:val="center"/>
                </w:tcPr>
                <w:p>
                  <w:pPr>
                    <w:pStyle w:val="45"/>
                    <w:keepNext w:val="0"/>
                    <w:keepLines w:val="0"/>
                    <w:pageBreakBefore w:val="0"/>
                    <w:widowControl w:val="0"/>
                    <w:kinsoku/>
                    <w:wordWrap/>
                    <w:overflowPunct/>
                    <w:topLinePunct w:val="0"/>
                    <w:autoSpaceDE/>
                    <w:autoSpaceDN/>
                    <w:bidi w:val="0"/>
                    <w:spacing w:before="63" w:beforeLines="20" w:after="63" w:afterLines="20" w:line="240" w:lineRule="auto"/>
                    <w:ind w:firstLine="0" w:firstLineChars="0"/>
                    <w:jc w:val="center"/>
                    <w:textAlignment w:val="auto"/>
                    <w:rPr>
                      <w:color w:val="000000" w:themeColor="text1"/>
                      <w:sz w:val="21"/>
                      <w:szCs w:val="24"/>
                      <w14:textFill>
                        <w14:solidFill>
                          <w14:schemeClr w14:val="tx1"/>
                        </w14:solidFill>
                      </w14:textFill>
                    </w:rPr>
                  </w:pPr>
                  <w:r>
                    <w:rPr>
                      <w:rFonts w:hint="eastAsia"/>
                      <w:color w:val="000000" w:themeColor="text1"/>
                      <w:sz w:val="21"/>
                      <w14:textFill>
                        <w14:solidFill>
                          <w14:schemeClr w14:val="tx1"/>
                        </w14:solidFill>
                      </w14:textFill>
                    </w:rPr>
                    <w:t>480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6" w:type="dxa"/>
                  <w:vAlign w:val="center"/>
                </w:tcPr>
                <w:p>
                  <w:pPr>
                    <w:pStyle w:val="45"/>
                    <w:keepNext w:val="0"/>
                    <w:keepLines w:val="0"/>
                    <w:pageBreakBefore w:val="0"/>
                    <w:widowControl w:val="0"/>
                    <w:kinsoku/>
                    <w:wordWrap/>
                    <w:overflowPunct/>
                    <w:topLinePunct w:val="0"/>
                    <w:autoSpaceDE/>
                    <w:autoSpaceDN/>
                    <w:bidi w:val="0"/>
                    <w:spacing w:before="63" w:beforeLines="20" w:after="63" w:afterLines="20" w:line="240" w:lineRule="auto"/>
                    <w:ind w:firstLine="0" w:firstLineChars="0"/>
                    <w:jc w:val="center"/>
                    <w:textAlignment w:val="auto"/>
                    <w:rPr>
                      <w:color w:val="000000" w:themeColor="text1"/>
                      <w:sz w:val="21"/>
                      <w:szCs w:val="24"/>
                      <w14:textFill>
                        <w14:solidFill>
                          <w14:schemeClr w14:val="tx1"/>
                        </w14:solidFill>
                      </w14:textFill>
                    </w:rPr>
                  </w:pPr>
                  <w:r>
                    <w:rPr>
                      <w:rFonts w:hint="eastAsia"/>
                      <w:color w:val="000000" w:themeColor="text1"/>
                      <w:sz w:val="21"/>
                      <w:szCs w:val="24"/>
                      <w14:textFill>
                        <w14:solidFill>
                          <w14:schemeClr w14:val="tx1"/>
                        </w14:solidFill>
                      </w14:textFill>
                    </w:rPr>
                    <w:t>2</w:t>
                  </w:r>
                </w:p>
              </w:tc>
              <w:tc>
                <w:tcPr>
                  <w:tcW w:w="1417"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p>
              </w:tc>
              <w:tc>
                <w:tcPr>
                  <w:tcW w:w="1701" w:type="dxa"/>
                  <w:vAlign w:val="center"/>
                </w:tcPr>
                <w:p>
                  <w:pPr>
                    <w:pStyle w:val="45"/>
                    <w:keepNext w:val="0"/>
                    <w:keepLines w:val="0"/>
                    <w:pageBreakBefore w:val="0"/>
                    <w:widowControl w:val="0"/>
                    <w:kinsoku/>
                    <w:wordWrap/>
                    <w:overflowPunct/>
                    <w:topLinePunct w:val="0"/>
                    <w:autoSpaceDE/>
                    <w:autoSpaceDN/>
                    <w:bidi w:val="0"/>
                    <w:spacing w:before="63" w:beforeLines="20" w:after="63" w:afterLines="20" w:line="240" w:lineRule="auto"/>
                    <w:ind w:firstLine="0" w:firstLineChars="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SS</w:t>
                  </w:r>
                </w:p>
              </w:tc>
              <w:tc>
                <w:tcPr>
                  <w:tcW w:w="2835"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p>
              </w:tc>
              <w:tc>
                <w:tcPr>
                  <w:tcW w:w="1498" w:type="dxa"/>
                  <w:vAlign w:val="center"/>
                </w:tcPr>
                <w:p>
                  <w:pPr>
                    <w:pStyle w:val="45"/>
                    <w:keepNext w:val="0"/>
                    <w:keepLines w:val="0"/>
                    <w:pageBreakBefore w:val="0"/>
                    <w:widowControl w:val="0"/>
                    <w:kinsoku/>
                    <w:wordWrap/>
                    <w:overflowPunct/>
                    <w:topLinePunct w:val="0"/>
                    <w:autoSpaceDE/>
                    <w:autoSpaceDN/>
                    <w:bidi w:val="0"/>
                    <w:spacing w:before="63" w:beforeLines="20" w:after="63" w:afterLines="20" w:line="240" w:lineRule="auto"/>
                    <w:ind w:firstLine="0" w:firstLineChars="0"/>
                    <w:jc w:val="center"/>
                    <w:textAlignment w:val="auto"/>
                    <w:rPr>
                      <w:color w:val="000000" w:themeColor="text1"/>
                      <w:sz w:val="21"/>
                      <w:szCs w:val="24"/>
                      <w14:textFill>
                        <w14:solidFill>
                          <w14:schemeClr w14:val="tx1"/>
                        </w14:solidFill>
                      </w14:textFill>
                    </w:rPr>
                  </w:pPr>
                  <w:r>
                    <w:rPr>
                      <w:color w:val="000000" w:themeColor="text1"/>
                      <w:sz w:val="21"/>
                      <w14:textFill>
                        <w14:solidFill>
                          <w14:schemeClr w14:val="tx1"/>
                        </w14:solidFill>
                      </w14:textFill>
                    </w:rPr>
                    <w:t>250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6" w:type="dxa"/>
                  <w:vAlign w:val="center"/>
                </w:tcPr>
                <w:p>
                  <w:pPr>
                    <w:pStyle w:val="45"/>
                    <w:keepNext w:val="0"/>
                    <w:keepLines w:val="0"/>
                    <w:pageBreakBefore w:val="0"/>
                    <w:widowControl w:val="0"/>
                    <w:kinsoku/>
                    <w:wordWrap/>
                    <w:overflowPunct/>
                    <w:topLinePunct w:val="0"/>
                    <w:autoSpaceDE/>
                    <w:autoSpaceDN/>
                    <w:bidi w:val="0"/>
                    <w:spacing w:before="63" w:beforeLines="20" w:after="63" w:afterLines="20" w:line="240" w:lineRule="auto"/>
                    <w:ind w:firstLine="0" w:firstLineChars="0"/>
                    <w:jc w:val="center"/>
                    <w:textAlignment w:val="auto"/>
                    <w:rPr>
                      <w:color w:val="000000" w:themeColor="text1"/>
                      <w:sz w:val="21"/>
                      <w:szCs w:val="24"/>
                      <w14:textFill>
                        <w14:solidFill>
                          <w14:schemeClr w14:val="tx1"/>
                        </w14:solidFill>
                      </w14:textFill>
                    </w:rPr>
                  </w:pPr>
                  <w:r>
                    <w:rPr>
                      <w:rFonts w:hint="eastAsia"/>
                      <w:color w:val="000000" w:themeColor="text1"/>
                      <w:sz w:val="21"/>
                      <w:szCs w:val="24"/>
                      <w14:textFill>
                        <w14:solidFill>
                          <w14:schemeClr w14:val="tx1"/>
                        </w14:solidFill>
                      </w14:textFill>
                    </w:rPr>
                    <w:t>3</w:t>
                  </w:r>
                </w:p>
              </w:tc>
              <w:tc>
                <w:tcPr>
                  <w:tcW w:w="1417"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p>
              </w:tc>
              <w:tc>
                <w:tcPr>
                  <w:tcW w:w="1701" w:type="dxa"/>
                  <w:vAlign w:val="center"/>
                </w:tcPr>
                <w:p>
                  <w:pPr>
                    <w:pStyle w:val="45"/>
                    <w:keepNext w:val="0"/>
                    <w:keepLines w:val="0"/>
                    <w:pageBreakBefore w:val="0"/>
                    <w:widowControl w:val="0"/>
                    <w:kinsoku/>
                    <w:wordWrap/>
                    <w:overflowPunct/>
                    <w:topLinePunct w:val="0"/>
                    <w:autoSpaceDE/>
                    <w:autoSpaceDN/>
                    <w:bidi w:val="0"/>
                    <w:spacing w:before="63" w:beforeLines="20" w:after="63" w:afterLines="20" w:line="240" w:lineRule="auto"/>
                    <w:ind w:firstLine="0" w:firstLineChars="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氨氮</w:t>
                  </w:r>
                </w:p>
              </w:tc>
              <w:tc>
                <w:tcPr>
                  <w:tcW w:w="2835"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p>
              </w:tc>
              <w:tc>
                <w:tcPr>
                  <w:tcW w:w="1498" w:type="dxa"/>
                  <w:vAlign w:val="center"/>
                </w:tcPr>
                <w:p>
                  <w:pPr>
                    <w:pStyle w:val="45"/>
                    <w:keepNext w:val="0"/>
                    <w:keepLines w:val="0"/>
                    <w:pageBreakBefore w:val="0"/>
                    <w:widowControl w:val="0"/>
                    <w:kinsoku/>
                    <w:wordWrap/>
                    <w:overflowPunct/>
                    <w:topLinePunct w:val="0"/>
                    <w:autoSpaceDE/>
                    <w:autoSpaceDN/>
                    <w:bidi w:val="0"/>
                    <w:spacing w:before="63" w:beforeLines="20" w:after="63" w:afterLines="20" w:line="240" w:lineRule="auto"/>
                    <w:ind w:firstLine="0" w:firstLineChars="0"/>
                    <w:jc w:val="center"/>
                    <w:textAlignment w:val="auto"/>
                    <w:rPr>
                      <w:color w:val="000000" w:themeColor="text1"/>
                      <w:sz w:val="21"/>
                      <w:szCs w:val="24"/>
                      <w14:textFill>
                        <w14:solidFill>
                          <w14:schemeClr w14:val="tx1"/>
                        </w14:solidFill>
                      </w14:textFill>
                    </w:rPr>
                  </w:pPr>
                  <w:r>
                    <w:rPr>
                      <w:rFonts w:hint="eastAsia"/>
                      <w:color w:val="000000" w:themeColor="text1"/>
                      <w:sz w:val="21"/>
                      <w:szCs w:val="24"/>
                      <w14:textFill>
                        <w14:solidFill>
                          <w14:schemeClr w14:val="tx1"/>
                        </w14:solidFill>
                      </w14:textFill>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6" w:type="dxa"/>
                  <w:vAlign w:val="center"/>
                </w:tcPr>
                <w:p>
                  <w:pPr>
                    <w:pStyle w:val="45"/>
                    <w:keepNext w:val="0"/>
                    <w:keepLines w:val="0"/>
                    <w:pageBreakBefore w:val="0"/>
                    <w:widowControl w:val="0"/>
                    <w:kinsoku/>
                    <w:wordWrap/>
                    <w:overflowPunct/>
                    <w:topLinePunct w:val="0"/>
                    <w:autoSpaceDE/>
                    <w:autoSpaceDN/>
                    <w:bidi w:val="0"/>
                    <w:spacing w:before="63" w:beforeLines="20" w:after="63" w:afterLines="20" w:line="240" w:lineRule="auto"/>
                    <w:ind w:firstLine="0" w:firstLineChars="0"/>
                    <w:jc w:val="center"/>
                    <w:textAlignment w:val="auto"/>
                    <w:rPr>
                      <w:color w:val="000000" w:themeColor="text1"/>
                      <w:sz w:val="21"/>
                      <w:szCs w:val="24"/>
                      <w14:textFill>
                        <w14:solidFill>
                          <w14:schemeClr w14:val="tx1"/>
                        </w14:solidFill>
                      </w14:textFill>
                    </w:rPr>
                  </w:pPr>
                  <w:r>
                    <w:rPr>
                      <w:rFonts w:hint="eastAsia"/>
                      <w:color w:val="000000" w:themeColor="text1"/>
                      <w:sz w:val="21"/>
                      <w:szCs w:val="24"/>
                      <w14:textFill>
                        <w14:solidFill>
                          <w14:schemeClr w14:val="tx1"/>
                        </w14:solidFill>
                      </w14:textFill>
                    </w:rPr>
                    <w:t>4</w:t>
                  </w:r>
                </w:p>
              </w:tc>
              <w:tc>
                <w:tcPr>
                  <w:tcW w:w="1417"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p>
              </w:tc>
              <w:tc>
                <w:tcPr>
                  <w:tcW w:w="1701" w:type="dxa"/>
                  <w:vAlign w:val="center"/>
                </w:tcPr>
                <w:p>
                  <w:pPr>
                    <w:pStyle w:val="45"/>
                    <w:keepNext w:val="0"/>
                    <w:keepLines w:val="0"/>
                    <w:pageBreakBefore w:val="0"/>
                    <w:widowControl w:val="0"/>
                    <w:kinsoku/>
                    <w:wordWrap/>
                    <w:overflowPunct/>
                    <w:topLinePunct w:val="0"/>
                    <w:autoSpaceDE/>
                    <w:autoSpaceDN/>
                    <w:bidi w:val="0"/>
                    <w:spacing w:before="63" w:beforeLines="20" w:after="63" w:afterLines="20"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TP</w:t>
                  </w:r>
                </w:p>
              </w:tc>
              <w:tc>
                <w:tcPr>
                  <w:tcW w:w="2835"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p>
              </w:tc>
              <w:tc>
                <w:tcPr>
                  <w:tcW w:w="1498" w:type="dxa"/>
                  <w:vAlign w:val="center"/>
                </w:tcPr>
                <w:p>
                  <w:pPr>
                    <w:pStyle w:val="45"/>
                    <w:keepNext w:val="0"/>
                    <w:keepLines w:val="0"/>
                    <w:pageBreakBefore w:val="0"/>
                    <w:widowControl w:val="0"/>
                    <w:kinsoku/>
                    <w:wordWrap/>
                    <w:overflowPunct/>
                    <w:topLinePunct w:val="0"/>
                    <w:autoSpaceDE/>
                    <w:autoSpaceDN/>
                    <w:bidi w:val="0"/>
                    <w:spacing w:before="63" w:beforeLines="20" w:after="63" w:afterLines="20" w:line="240" w:lineRule="auto"/>
                    <w:ind w:firstLine="0" w:firstLineChars="0"/>
                    <w:jc w:val="center"/>
                    <w:textAlignment w:val="auto"/>
                    <w:rPr>
                      <w:color w:val="000000" w:themeColor="text1"/>
                      <w:sz w:val="21"/>
                      <w:szCs w:val="24"/>
                      <w14:textFill>
                        <w14:solidFill>
                          <w14:schemeClr w14:val="tx1"/>
                        </w14:solidFill>
                      </w14:textFill>
                    </w:rPr>
                  </w:pPr>
                  <w:r>
                    <w:rPr>
                      <w:rFonts w:hint="eastAsia"/>
                      <w:color w:val="000000" w:themeColor="text1"/>
                      <w:sz w:val="21"/>
                      <w:szCs w:val="24"/>
                      <w14:textFill>
                        <w14:solidFill>
                          <w14:schemeClr w14:val="tx1"/>
                        </w14:solidFill>
                      </w14:textFill>
                    </w:rP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846" w:type="dxa"/>
                  <w:vAlign w:val="center"/>
                </w:tcPr>
                <w:p>
                  <w:pPr>
                    <w:pStyle w:val="45"/>
                    <w:keepNext w:val="0"/>
                    <w:keepLines w:val="0"/>
                    <w:pageBreakBefore w:val="0"/>
                    <w:widowControl w:val="0"/>
                    <w:kinsoku/>
                    <w:wordWrap/>
                    <w:overflowPunct/>
                    <w:topLinePunct w:val="0"/>
                    <w:autoSpaceDE/>
                    <w:autoSpaceDN/>
                    <w:bidi w:val="0"/>
                    <w:spacing w:before="63" w:beforeLines="20" w:after="63" w:afterLines="20" w:line="240" w:lineRule="auto"/>
                    <w:ind w:firstLine="0" w:firstLineChars="0"/>
                    <w:jc w:val="center"/>
                    <w:textAlignment w:val="auto"/>
                    <w:rPr>
                      <w:color w:val="000000" w:themeColor="text1"/>
                      <w:sz w:val="21"/>
                      <w:szCs w:val="24"/>
                      <w14:textFill>
                        <w14:solidFill>
                          <w14:schemeClr w14:val="tx1"/>
                        </w14:solidFill>
                      </w14:textFill>
                    </w:rPr>
                  </w:pPr>
                  <w:r>
                    <w:rPr>
                      <w:rFonts w:hint="eastAsia"/>
                      <w:color w:val="000000" w:themeColor="text1"/>
                      <w:sz w:val="21"/>
                      <w:szCs w:val="24"/>
                      <w14:textFill>
                        <w14:solidFill>
                          <w14:schemeClr w14:val="tx1"/>
                        </w14:solidFill>
                      </w14:textFill>
                    </w:rPr>
                    <w:t>5</w:t>
                  </w:r>
                </w:p>
              </w:tc>
              <w:tc>
                <w:tcPr>
                  <w:tcW w:w="1417"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p>
              </w:tc>
              <w:tc>
                <w:tcPr>
                  <w:tcW w:w="1701" w:type="dxa"/>
                  <w:vAlign w:val="center"/>
                </w:tcPr>
                <w:p>
                  <w:pPr>
                    <w:pStyle w:val="45"/>
                    <w:keepNext w:val="0"/>
                    <w:keepLines w:val="0"/>
                    <w:pageBreakBefore w:val="0"/>
                    <w:widowControl w:val="0"/>
                    <w:kinsoku/>
                    <w:wordWrap/>
                    <w:overflowPunct/>
                    <w:topLinePunct w:val="0"/>
                    <w:autoSpaceDE/>
                    <w:autoSpaceDN/>
                    <w:bidi w:val="0"/>
                    <w:spacing w:before="63" w:beforeLines="20" w:after="63" w:afterLines="20"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T</w:t>
                  </w:r>
                  <w:r>
                    <w:rPr>
                      <w:color w:val="000000" w:themeColor="text1"/>
                      <w:sz w:val="21"/>
                      <w:szCs w:val="21"/>
                      <w14:textFill>
                        <w14:solidFill>
                          <w14:schemeClr w14:val="tx1"/>
                        </w14:solidFill>
                      </w14:textFill>
                    </w:rPr>
                    <w:t>N</w:t>
                  </w:r>
                </w:p>
              </w:tc>
              <w:tc>
                <w:tcPr>
                  <w:tcW w:w="2835" w:type="dxa"/>
                  <w:vMerge w:val="continue"/>
                  <w:vAlign w:val="center"/>
                </w:tcPr>
                <w:p>
                  <w:pPr>
                    <w:keepNext w:val="0"/>
                    <w:keepLines w:val="0"/>
                    <w:pageBreakBefore w:val="0"/>
                    <w:widowControl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p>
              </w:tc>
              <w:tc>
                <w:tcPr>
                  <w:tcW w:w="1498" w:type="dxa"/>
                  <w:vAlign w:val="center"/>
                </w:tcPr>
                <w:p>
                  <w:pPr>
                    <w:pStyle w:val="45"/>
                    <w:keepNext w:val="0"/>
                    <w:keepLines w:val="0"/>
                    <w:pageBreakBefore w:val="0"/>
                    <w:widowControl w:val="0"/>
                    <w:kinsoku/>
                    <w:wordWrap/>
                    <w:overflowPunct/>
                    <w:topLinePunct w:val="0"/>
                    <w:autoSpaceDE/>
                    <w:autoSpaceDN/>
                    <w:bidi w:val="0"/>
                    <w:spacing w:before="63" w:beforeLines="20" w:after="63" w:afterLines="20" w:line="240" w:lineRule="auto"/>
                    <w:ind w:firstLine="0" w:firstLineChars="0"/>
                    <w:jc w:val="center"/>
                    <w:textAlignment w:val="auto"/>
                    <w:rPr>
                      <w:color w:val="000000" w:themeColor="text1"/>
                      <w:sz w:val="21"/>
                      <w:szCs w:val="24"/>
                      <w14:textFill>
                        <w14:solidFill>
                          <w14:schemeClr w14:val="tx1"/>
                        </w14:solidFill>
                      </w14:textFill>
                    </w:rPr>
                  </w:pPr>
                  <w:r>
                    <w:rPr>
                      <w:rFonts w:hint="eastAsia"/>
                      <w:color w:val="000000" w:themeColor="text1"/>
                      <w:sz w:val="21"/>
                      <w:szCs w:val="24"/>
                      <w14:textFill>
                        <w14:solidFill>
                          <w14:schemeClr w14:val="tx1"/>
                        </w14:solidFill>
                      </w14:textFill>
                    </w:rPr>
                    <w:t>45</w:t>
                  </w:r>
                </w:p>
              </w:tc>
            </w:tr>
          </w:tbl>
          <w:p>
            <w:pPr>
              <w:pStyle w:val="45"/>
              <w:keepNext w:val="0"/>
              <w:keepLines w:val="0"/>
              <w:pageBreakBefore w:val="0"/>
              <w:widowControl w:val="0"/>
              <w:kinsoku/>
              <w:wordWrap/>
              <w:overflowPunct/>
              <w:topLinePunct w:val="0"/>
              <w:autoSpaceDE/>
              <w:autoSpaceDN/>
              <w:bidi w:val="0"/>
              <w:adjustRightInd/>
              <w:snapToGrid/>
              <w:spacing w:before="157" w:beforeLines="50" w:line="240" w:lineRule="auto"/>
              <w:ind w:firstLine="0" w:firstLineChars="0"/>
              <w:jc w:val="center"/>
              <w:textAlignment w:val="auto"/>
              <w:rPr>
                <w:rFonts w:hint="eastAsia"/>
                <w:b/>
                <w:color w:val="000000" w:themeColor="text1"/>
                <w:szCs w:val="24"/>
                <w14:textFill>
                  <w14:solidFill>
                    <w14:schemeClr w14:val="tx1"/>
                  </w14:solidFill>
                </w14:textFill>
              </w:rPr>
            </w:pPr>
          </w:p>
          <w:p>
            <w:pPr>
              <w:pStyle w:val="45"/>
              <w:keepNext w:val="0"/>
              <w:keepLines w:val="0"/>
              <w:pageBreakBefore w:val="0"/>
              <w:widowControl w:val="0"/>
              <w:kinsoku/>
              <w:wordWrap/>
              <w:overflowPunct/>
              <w:topLinePunct w:val="0"/>
              <w:autoSpaceDE/>
              <w:autoSpaceDN/>
              <w:bidi w:val="0"/>
              <w:adjustRightInd/>
              <w:snapToGrid/>
              <w:spacing w:before="157" w:beforeLines="50" w:line="240" w:lineRule="auto"/>
              <w:ind w:firstLine="0" w:firstLineChars="0"/>
              <w:jc w:val="center"/>
              <w:textAlignment w:val="auto"/>
              <w:rPr>
                <w:b/>
                <w:color w:val="000000" w:themeColor="text1"/>
                <w:szCs w:val="24"/>
                <w14:textFill>
                  <w14:solidFill>
                    <w14:schemeClr w14:val="tx1"/>
                  </w14:solidFill>
                </w14:textFill>
              </w:rPr>
            </w:pPr>
            <w:r>
              <w:rPr>
                <w:rFonts w:hint="eastAsia"/>
                <w:b/>
                <w:color w:val="000000" w:themeColor="text1"/>
                <w:szCs w:val="24"/>
                <w14:textFill>
                  <w14:solidFill>
                    <w14:schemeClr w14:val="tx1"/>
                  </w14:solidFill>
                </w14:textFill>
              </w:rPr>
              <w:t>表7-1</w:t>
            </w:r>
            <w:r>
              <w:rPr>
                <w:rFonts w:hint="eastAsia"/>
                <w:b/>
                <w:color w:val="000000" w:themeColor="text1"/>
                <w:szCs w:val="24"/>
                <w:lang w:val="en-US" w:eastAsia="zh-CN"/>
                <w14:textFill>
                  <w14:solidFill>
                    <w14:schemeClr w14:val="tx1"/>
                  </w14:solidFill>
                </w14:textFill>
              </w:rPr>
              <w:t>6</w:t>
            </w:r>
            <w:r>
              <w:rPr>
                <w:rFonts w:hint="eastAsia"/>
                <w:b/>
                <w:color w:val="000000" w:themeColor="text1"/>
                <w:szCs w:val="24"/>
                <w14:textFill>
                  <w14:solidFill>
                    <w14:schemeClr w14:val="tx1"/>
                  </w14:solidFill>
                </w14:textFill>
              </w:rPr>
              <w:t xml:space="preserve">  废水间接排放口基本情况</w:t>
            </w:r>
          </w:p>
          <w:tbl>
            <w:tblPr>
              <w:tblStyle w:val="17"/>
              <w:tblW w:w="830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97"/>
              <w:gridCol w:w="786"/>
              <w:gridCol w:w="1071"/>
              <w:gridCol w:w="890"/>
              <w:gridCol w:w="802"/>
              <w:gridCol w:w="654"/>
              <w:gridCol w:w="653"/>
              <w:gridCol w:w="636"/>
              <w:gridCol w:w="635"/>
              <w:gridCol w:w="809"/>
              <w:gridCol w:w="96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397" w:type="dxa"/>
                  <w:vMerge w:val="restart"/>
                  <w:vAlign w:val="center"/>
                </w:tcPr>
                <w:p>
                  <w:pPr>
                    <w:pStyle w:val="39"/>
                    <w:keepNext w:val="0"/>
                    <w:keepLines w:val="0"/>
                    <w:pageBreakBefore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rFonts w:hint="eastAsia"/>
                      <w:b/>
                      <w:color w:val="000000" w:themeColor="text1"/>
                      <w14:textFill>
                        <w14:solidFill>
                          <w14:schemeClr w14:val="tx1"/>
                        </w14:solidFill>
                      </w14:textFill>
                    </w:rPr>
                    <w:t>序号</w:t>
                  </w:r>
                </w:p>
              </w:tc>
              <w:tc>
                <w:tcPr>
                  <w:tcW w:w="786" w:type="dxa"/>
                  <w:vMerge w:val="restart"/>
                  <w:vAlign w:val="center"/>
                </w:tcPr>
                <w:p>
                  <w:pPr>
                    <w:pStyle w:val="39"/>
                    <w:keepNext w:val="0"/>
                    <w:keepLines w:val="0"/>
                    <w:pageBreakBefore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rFonts w:hint="eastAsia"/>
                      <w:b/>
                      <w:color w:val="000000" w:themeColor="text1"/>
                      <w14:textFill>
                        <w14:solidFill>
                          <w14:schemeClr w14:val="tx1"/>
                        </w14:solidFill>
                      </w14:textFill>
                    </w:rPr>
                    <w:t>排放口</w:t>
                  </w:r>
                  <w:r>
                    <w:rPr>
                      <w:b/>
                      <w:color w:val="000000" w:themeColor="text1"/>
                      <w14:textFill>
                        <w14:solidFill>
                          <w14:schemeClr w14:val="tx1"/>
                        </w14:solidFill>
                      </w14:textFill>
                    </w:rPr>
                    <w:t>编号</w:t>
                  </w:r>
                </w:p>
              </w:tc>
              <w:tc>
                <w:tcPr>
                  <w:tcW w:w="1961" w:type="dxa"/>
                  <w:gridSpan w:val="2"/>
                  <w:vMerge w:val="restart"/>
                  <w:vAlign w:val="center"/>
                </w:tcPr>
                <w:p>
                  <w:pPr>
                    <w:pStyle w:val="39"/>
                    <w:keepNext w:val="0"/>
                    <w:keepLines w:val="0"/>
                    <w:pageBreakBefore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b/>
                      <w:color w:val="000000" w:themeColor="text1"/>
                      <w14:textFill>
                        <w14:solidFill>
                          <w14:schemeClr w14:val="tx1"/>
                        </w14:solidFill>
                      </w14:textFill>
                    </w:rPr>
                    <w:t>排放口地理</w:t>
                  </w:r>
                  <w:r>
                    <w:rPr>
                      <w:b/>
                      <w:color w:val="000000" w:themeColor="text1"/>
                      <w14:textFill>
                        <w14:solidFill>
                          <w14:schemeClr w14:val="tx1"/>
                        </w14:solidFill>
                      </w14:textFill>
                    </w:rPr>
                    <w:t>坐标</w:t>
                  </w:r>
                </w:p>
              </w:tc>
              <w:tc>
                <w:tcPr>
                  <w:tcW w:w="802" w:type="dxa"/>
                  <w:vMerge w:val="restart"/>
                  <w:vAlign w:val="center"/>
                </w:tcPr>
                <w:p>
                  <w:pPr>
                    <w:pStyle w:val="39"/>
                    <w:keepNext w:val="0"/>
                    <w:keepLines w:val="0"/>
                    <w:pageBreakBefore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rFonts w:hint="eastAsia"/>
                      <w:b/>
                      <w:color w:val="000000" w:themeColor="text1"/>
                      <w14:textFill>
                        <w14:solidFill>
                          <w14:schemeClr w14:val="tx1"/>
                        </w14:solidFill>
                      </w14:textFill>
                    </w:rPr>
                    <w:t>废水排放量（万t/a）</w:t>
                  </w:r>
                </w:p>
              </w:tc>
              <w:tc>
                <w:tcPr>
                  <w:tcW w:w="654" w:type="dxa"/>
                  <w:vMerge w:val="restart"/>
                  <w:vAlign w:val="center"/>
                </w:tcPr>
                <w:p>
                  <w:pPr>
                    <w:pStyle w:val="39"/>
                    <w:keepNext w:val="0"/>
                    <w:keepLines w:val="0"/>
                    <w:pageBreakBefore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rFonts w:hint="eastAsia"/>
                      <w:b/>
                      <w:color w:val="000000" w:themeColor="text1"/>
                      <w14:textFill>
                        <w14:solidFill>
                          <w14:schemeClr w14:val="tx1"/>
                        </w14:solidFill>
                      </w14:textFill>
                    </w:rPr>
                    <w:t>排放去向</w:t>
                  </w:r>
                </w:p>
              </w:tc>
              <w:tc>
                <w:tcPr>
                  <w:tcW w:w="653" w:type="dxa"/>
                  <w:vMerge w:val="restart"/>
                  <w:vAlign w:val="center"/>
                </w:tcPr>
                <w:p>
                  <w:pPr>
                    <w:pStyle w:val="39"/>
                    <w:keepNext w:val="0"/>
                    <w:keepLines w:val="0"/>
                    <w:pageBreakBefore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rFonts w:hint="eastAsia"/>
                      <w:b/>
                      <w:color w:val="000000" w:themeColor="text1"/>
                      <w14:textFill>
                        <w14:solidFill>
                          <w14:schemeClr w14:val="tx1"/>
                        </w14:solidFill>
                      </w14:textFill>
                    </w:rPr>
                    <w:t>排放规律</w:t>
                  </w:r>
                </w:p>
              </w:tc>
              <w:tc>
                <w:tcPr>
                  <w:tcW w:w="636" w:type="dxa"/>
                  <w:vMerge w:val="restart"/>
                  <w:vAlign w:val="center"/>
                </w:tcPr>
                <w:p>
                  <w:pPr>
                    <w:pStyle w:val="39"/>
                    <w:keepNext w:val="0"/>
                    <w:keepLines w:val="0"/>
                    <w:pageBreakBefore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rFonts w:hint="eastAsia"/>
                      <w:b/>
                      <w:color w:val="000000" w:themeColor="text1"/>
                      <w14:textFill>
                        <w14:solidFill>
                          <w14:schemeClr w14:val="tx1"/>
                        </w14:solidFill>
                      </w14:textFill>
                    </w:rPr>
                    <w:t>间接排放</w:t>
                  </w:r>
                  <w:r>
                    <w:rPr>
                      <w:b/>
                      <w:color w:val="000000" w:themeColor="text1"/>
                      <w14:textFill>
                        <w14:solidFill>
                          <w14:schemeClr w14:val="tx1"/>
                        </w14:solidFill>
                      </w14:textFill>
                    </w:rPr>
                    <w:t>时段</w:t>
                  </w:r>
                </w:p>
              </w:tc>
              <w:tc>
                <w:tcPr>
                  <w:tcW w:w="2413" w:type="dxa"/>
                  <w:gridSpan w:val="3"/>
                  <w:vAlign w:val="center"/>
                </w:tcPr>
                <w:p>
                  <w:pPr>
                    <w:pStyle w:val="39"/>
                    <w:keepNext w:val="0"/>
                    <w:keepLines w:val="0"/>
                    <w:pageBreakBefore w:val="0"/>
                    <w:kinsoku/>
                    <w:wordWrap/>
                    <w:overflowPunct/>
                    <w:topLinePunct w:val="0"/>
                    <w:autoSpaceDE/>
                    <w:autoSpaceDN/>
                    <w:bidi w:val="0"/>
                    <w:spacing w:before="63" w:beforeLines="20" w:after="63" w:afterLines="20"/>
                    <w:textAlignment w:val="auto"/>
                    <w:rPr>
                      <w:color w:val="000000" w:themeColor="text1"/>
                      <w14:textFill>
                        <w14:solidFill>
                          <w14:schemeClr w14:val="tx1"/>
                        </w14:solidFill>
                      </w14:textFill>
                    </w:rPr>
                  </w:pPr>
                  <w:r>
                    <w:rPr>
                      <w:rFonts w:hint="eastAsia"/>
                      <w:b/>
                      <w:color w:val="000000" w:themeColor="text1"/>
                      <w14:textFill>
                        <w14:solidFill>
                          <w14:schemeClr w14:val="tx1"/>
                        </w14:solidFill>
                      </w14:textFill>
                    </w:rPr>
                    <w:t>受纳</w:t>
                  </w:r>
                  <w:r>
                    <w:rPr>
                      <w:b/>
                      <w:color w:val="000000" w:themeColor="text1"/>
                      <w14:textFill>
                        <w14:solidFill>
                          <w14:schemeClr w14:val="tx1"/>
                        </w14:solidFill>
                      </w14:textFill>
                    </w:rPr>
                    <w:t>污水处理厂信息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397"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786"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1961" w:type="dxa"/>
                  <w:gridSpan w:val="2"/>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802"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654"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653"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636"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635" w:type="dxa"/>
                  <w:vAlign w:val="center"/>
                </w:tcPr>
                <w:p>
                  <w:pPr>
                    <w:pStyle w:val="39"/>
                    <w:keepNext w:val="0"/>
                    <w:keepLines w:val="0"/>
                    <w:pageBreakBefore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rFonts w:hint="eastAsia"/>
                      <w:b/>
                      <w:color w:val="000000" w:themeColor="text1"/>
                      <w14:textFill>
                        <w14:solidFill>
                          <w14:schemeClr w14:val="tx1"/>
                        </w14:solidFill>
                      </w14:textFill>
                    </w:rPr>
                    <w:t>名称</w:t>
                  </w:r>
                </w:p>
              </w:tc>
              <w:tc>
                <w:tcPr>
                  <w:tcW w:w="809" w:type="dxa"/>
                  <w:vAlign w:val="center"/>
                </w:tcPr>
                <w:p>
                  <w:pPr>
                    <w:pStyle w:val="39"/>
                    <w:keepNext w:val="0"/>
                    <w:keepLines w:val="0"/>
                    <w:pageBreakBefore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rFonts w:hint="eastAsia"/>
                      <w:b/>
                      <w:color w:val="000000" w:themeColor="text1"/>
                      <w14:textFill>
                        <w14:solidFill>
                          <w14:schemeClr w14:val="tx1"/>
                        </w14:solidFill>
                      </w14:textFill>
                    </w:rPr>
                    <w:t>污染物</w:t>
                  </w:r>
                  <w:r>
                    <w:rPr>
                      <w:b/>
                      <w:color w:val="000000" w:themeColor="text1"/>
                      <w14:textFill>
                        <w14:solidFill>
                          <w14:schemeClr w14:val="tx1"/>
                        </w14:solidFill>
                      </w14:textFill>
                    </w:rPr>
                    <w:t>种类</w:t>
                  </w:r>
                </w:p>
              </w:tc>
              <w:tc>
                <w:tcPr>
                  <w:tcW w:w="969" w:type="dxa"/>
                  <w:vAlign w:val="center"/>
                </w:tcPr>
                <w:p>
                  <w:pPr>
                    <w:pStyle w:val="39"/>
                    <w:keepNext w:val="0"/>
                    <w:keepLines w:val="0"/>
                    <w:pageBreakBefore w:val="0"/>
                    <w:kinsoku/>
                    <w:wordWrap/>
                    <w:overflowPunct/>
                    <w:topLinePunct w:val="0"/>
                    <w:autoSpaceDE/>
                    <w:autoSpaceDN/>
                    <w:bidi w:val="0"/>
                    <w:spacing w:before="63" w:beforeLines="20" w:after="63" w:afterLines="20"/>
                    <w:textAlignment w:val="auto"/>
                    <w:rPr>
                      <w:b/>
                      <w:color w:val="000000" w:themeColor="text1"/>
                      <w14:textFill>
                        <w14:solidFill>
                          <w14:schemeClr w14:val="tx1"/>
                        </w14:solidFill>
                      </w14:textFill>
                    </w:rPr>
                  </w:pPr>
                  <w:r>
                    <w:rPr>
                      <w:rFonts w:hint="eastAsia"/>
                      <w:b/>
                      <w:color w:val="000000" w:themeColor="text1"/>
                      <w14:textFill>
                        <w14:solidFill>
                          <w14:schemeClr w14:val="tx1"/>
                        </w14:solidFill>
                      </w14:textFill>
                    </w:rPr>
                    <w:t>国家</w:t>
                  </w:r>
                  <w:r>
                    <w:rPr>
                      <w:b/>
                      <w:color w:val="000000" w:themeColor="text1"/>
                      <w14:textFill>
                        <w14:solidFill>
                          <w14:schemeClr w14:val="tx1"/>
                        </w14:solidFill>
                      </w14:textFill>
                    </w:rPr>
                    <w:t>或地方污染物</w:t>
                  </w:r>
                  <w:r>
                    <w:rPr>
                      <w:rFonts w:hint="eastAsia"/>
                      <w:b/>
                      <w:color w:val="000000" w:themeColor="text1"/>
                      <w14:textFill>
                        <w14:solidFill>
                          <w14:schemeClr w14:val="tx1"/>
                        </w14:solidFill>
                      </w14:textFill>
                    </w:rPr>
                    <w:t>排放</w:t>
                  </w:r>
                  <w:r>
                    <w:rPr>
                      <w:b/>
                      <w:color w:val="000000" w:themeColor="text1"/>
                      <w14:textFill>
                        <w14:solidFill>
                          <w14:schemeClr w14:val="tx1"/>
                        </w14:solidFill>
                      </w14:textFill>
                    </w:rPr>
                    <w:t>标准</w:t>
                  </w:r>
                  <w:r>
                    <w:rPr>
                      <w:rFonts w:hint="eastAsia"/>
                      <w:b/>
                      <w:color w:val="000000" w:themeColor="text1"/>
                      <w14:textFill>
                        <w14:solidFill>
                          <w14:schemeClr w14:val="tx1"/>
                        </w14:solidFill>
                      </w14:textFill>
                    </w:rPr>
                    <w:t>浓度</w:t>
                  </w:r>
                  <w:r>
                    <w:rPr>
                      <w:b/>
                      <w:color w:val="000000" w:themeColor="text1"/>
                      <w14:textFill>
                        <w14:solidFill>
                          <w14:schemeClr w14:val="tx1"/>
                        </w14:solidFill>
                      </w14:textFill>
                    </w:rPr>
                    <w:t>限值</w:t>
                  </w:r>
                  <w:r>
                    <w:rPr>
                      <w:rFonts w:hint="eastAsia"/>
                      <w:b/>
                      <w:color w:val="000000" w:themeColor="text1"/>
                      <w14:textFill>
                        <w14:solidFill>
                          <w14:schemeClr w14:val="tx1"/>
                        </w14:solidFill>
                      </w14:textFill>
                    </w:rPr>
                    <w:t>/（mg</w:t>
                  </w:r>
                  <w:r>
                    <w:rPr>
                      <w:b/>
                      <w:color w:val="000000" w:themeColor="text1"/>
                      <w14:textFill>
                        <w14:solidFill>
                          <w14:schemeClr w14:val="tx1"/>
                        </w14:solidFill>
                      </w14:textFill>
                    </w:rPr>
                    <w:t>/L</w:t>
                  </w:r>
                  <w:r>
                    <w:rPr>
                      <w:rFonts w:hint="eastAsia"/>
                      <w:b/>
                      <w:color w:val="000000" w:themeColor="text1"/>
                      <w14:textFill>
                        <w14:solidFill>
                          <w14:schemeClr w14:val="tx1"/>
                        </w14:solidFill>
                      </w14:textFill>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16" w:hRule="atLeast"/>
              </w:trPr>
              <w:tc>
                <w:tcPr>
                  <w:tcW w:w="397" w:type="dxa"/>
                  <w:vAlign w:val="center"/>
                </w:tcPr>
                <w:p>
                  <w:pPr>
                    <w:pStyle w:val="45"/>
                    <w:keepNext w:val="0"/>
                    <w:keepLines w:val="0"/>
                    <w:pageBreakBefore w:val="0"/>
                    <w:kinsoku/>
                    <w:wordWrap/>
                    <w:overflowPunct/>
                    <w:topLinePunct w:val="0"/>
                    <w:autoSpaceDE/>
                    <w:autoSpaceDN/>
                    <w:bidi w:val="0"/>
                    <w:spacing w:before="63" w:beforeLines="20" w:after="63" w:afterLines="20" w:line="36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w:t>
                  </w:r>
                </w:p>
              </w:tc>
              <w:tc>
                <w:tcPr>
                  <w:tcW w:w="786" w:type="dxa"/>
                  <w:vMerge w:val="restart"/>
                  <w:vAlign w:val="center"/>
                </w:tcPr>
                <w:p>
                  <w:pPr>
                    <w:pStyle w:val="45"/>
                    <w:keepNext w:val="0"/>
                    <w:keepLines w:val="0"/>
                    <w:pageBreakBefore w:val="0"/>
                    <w:kinsoku/>
                    <w:wordWrap/>
                    <w:overflowPunct/>
                    <w:topLinePunct w:val="0"/>
                    <w:autoSpaceDE/>
                    <w:autoSpaceDN/>
                    <w:bidi w:val="0"/>
                    <w:spacing w:before="63" w:beforeLines="20" w:after="63" w:afterLines="20"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D</w:t>
                  </w:r>
                  <w:r>
                    <w:rPr>
                      <w:color w:val="000000" w:themeColor="text1"/>
                      <w:sz w:val="21"/>
                      <w:szCs w:val="21"/>
                      <w14:textFill>
                        <w14:solidFill>
                          <w14:schemeClr w14:val="tx1"/>
                        </w14:solidFill>
                      </w14:textFill>
                    </w:rPr>
                    <w:t>W</w:t>
                  </w:r>
                  <w:r>
                    <w:rPr>
                      <w:rFonts w:hint="eastAsia"/>
                      <w:color w:val="000000" w:themeColor="text1"/>
                      <w:sz w:val="21"/>
                      <w:szCs w:val="21"/>
                      <w14:textFill>
                        <w14:solidFill>
                          <w14:schemeClr w14:val="tx1"/>
                        </w14:solidFill>
                      </w14:textFill>
                    </w:rPr>
                    <w:t>001</w:t>
                  </w:r>
                </w:p>
              </w:tc>
              <w:tc>
                <w:tcPr>
                  <w:tcW w:w="1071" w:type="dxa"/>
                  <w:vMerge w:val="restar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auto"/>
                    <w:rPr>
                      <w:szCs w:val="21"/>
                    </w:rPr>
                  </w:pPr>
                  <w:r>
                    <w:rPr>
                      <w:rFonts w:hint="eastAsia"/>
                      <w:bCs/>
                      <w:kern w:val="0"/>
                      <w:szCs w:val="21"/>
                    </w:rPr>
                    <w:t>119.4595</w:t>
                  </w:r>
                </w:p>
              </w:tc>
              <w:tc>
                <w:tcPr>
                  <w:tcW w:w="890" w:type="dxa"/>
                  <w:vMerge w:val="restart"/>
                  <w:vAlign w:val="center"/>
                </w:tcPr>
                <w:p>
                  <w:pPr>
                    <w:keepNext w:val="0"/>
                    <w:keepLines w:val="0"/>
                    <w:pageBreakBefore w:val="0"/>
                    <w:widowControl/>
                    <w:kinsoku/>
                    <w:wordWrap/>
                    <w:overflowPunct/>
                    <w:topLinePunct w:val="0"/>
                    <w:autoSpaceDE/>
                    <w:autoSpaceDN/>
                    <w:bidi w:val="0"/>
                    <w:spacing w:before="63" w:beforeLines="20" w:after="63" w:afterLines="20"/>
                    <w:jc w:val="center"/>
                    <w:textAlignment w:val="auto"/>
                    <w:rPr>
                      <w:szCs w:val="21"/>
                    </w:rPr>
                  </w:pPr>
                  <w:r>
                    <w:rPr>
                      <w:rFonts w:hint="eastAsia"/>
                      <w:bCs/>
                      <w:kern w:val="0"/>
                      <w:szCs w:val="21"/>
                    </w:rPr>
                    <w:t>31.7804</w:t>
                  </w:r>
                </w:p>
              </w:tc>
              <w:tc>
                <w:tcPr>
                  <w:tcW w:w="802" w:type="dxa"/>
                  <w:vMerge w:val="restart"/>
                  <w:vAlign w:val="center"/>
                </w:tcPr>
                <w:p>
                  <w:pPr>
                    <w:pStyle w:val="45"/>
                    <w:keepNext w:val="0"/>
                    <w:keepLines w:val="0"/>
                    <w:pageBreakBefore w:val="0"/>
                    <w:kinsoku/>
                    <w:wordWrap/>
                    <w:overflowPunct/>
                    <w:topLinePunct w:val="0"/>
                    <w:autoSpaceDE/>
                    <w:autoSpaceDN/>
                    <w:bidi w:val="0"/>
                    <w:spacing w:before="63" w:beforeLines="20" w:after="63" w:afterLines="20" w:line="240" w:lineRule="auto"/>
                    <w:ind w:firstLine="0" w:firstLineChars="0"/>
                    <w:jc w:val="center"/>
                    <w:textAlignment w:val="auto"/>
                    <w:rPr>
                      <w:rFonts w:hint="eastAsia" w:eastAsia="宋体"/>
                      <w:color w:val="000000" w:themeColor="text1"/>
                      <w:sz w:val="21"/>
                      <w:szCs w:val="21"/>
                      <w:lang w:eastAsia="zh-CN"/>
                      <w14:textFill>
                        <w14:solidFill>
                          <w14:schemeClr w14:val="tx1"/>
                        </w14:solidFill>
                      </w14:textFill>
                    </w:rPr>
                  </w:pPr>
                  <w:r>
                    <w:rPr>
                      <w:rFonts w:hint="eastAsia"/>
                      <w:color w:val="000000" w:themeColor="text1"/>
                      <w:sz w:val="21"/>
                      <w:szCs w:val="21"/>
                      <w14:textFill>
                        <w14:solidFill>
                          <w14:schemeClr w14:val="tx1"/>
                        </w14:solidFill>
                      </w14:textFill>
                    </w:rPr>
                    <w:t>0.0</w:t>
                  </w:r>
                  <w:r>
                    <w:rPr>
                      <w:rFonts w:hint="eastAsia"/>
                      <w:color w:val="000000" w:themeColor="text1"/>
                      <w:sz w:val="21"/>
                      <w:szCs w:val="21"/>
                      <w:lang w:val="en-US" w:eastAsia="zh-CN"/>
                      <w14:textFill>
                        <w14:solidFill>
                          <w14:schemeClr w14:val="tx1"/>
                        </w14:solidFill>
                      </w14:textFill>
                    </w:rPr>
                    <w:t>6</w:t>
                  </w:r>
                </w:p>
              </w:tc>
              <w:tc>
                <w:tcPr>
                  <w:tcW w:w="654" w:type="dxa"/>
                  <w:vMerge w:val="restart"/>
                  <w:vAlign w:val="center"/>
                </w:tcPr>
                <w:p>
                  <w:pPr>
                    <w:pStyle w:val="45"/>
                    <w:keepNext w:val="0"/>
                    <w:keepLines w:val="0"/>
                    <w:pageBreakBefore w:val="0"/>
                    <w:kinsoku/>
                    <w:wordWrap/>
                    <w:overflowPunct/>
                    <w:topLinePunct w:val="0"/>
                    <w:autoSpaceDE/>
                    <w:autoSpaceDN/>
                    <w:bidi w:val="0"/>
                    <w:spacing w:before="63" w:beforeLines="20" w:after="63" w:afterLines="20"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排放至常州市金坛区直溪鑫鑫污水处理厂</w:t>
                  </w:r>
                  <w:r>
                    <w:rPr>
                      <w:color w:val="000000" w:themeColor="text1"/>
                      <w:sz w:val="21"/>
                      <w:szCs w:val="21"/>
                      <w14:textFill>
                        <w14:solidFill>
                          <w14:schemeClr w14:val="tx1"/>
                        </w14:solidFill>
                      </w14:textFill>
                    </w:rPr>
                    <w:t>处理</w:t>
                  </w:r>
                </w:p>
              </w:tc>
              <w:tc>
                <w:tcPr>
                  <w:tcW w:w="653" w:type="dxa"/>
                  <w:vMerge w:val="restart"/>
                  <w:vAlign w:val="center"/>
                </w:tcPr>
                <w:p>
                  <w:pPr>
                    <w:pStyle w:val="45"/>
                    <w:keepNext w:val="0"/>
                    <w:keepLines w:val="0"/>
                    <w:pageBreakBefore w:val="0"/>
                    <w:kinsoku/>
                    <w:wordWrap/>
                    <w:overflowPunct/>
                    <w:topLinePunct w:val="0"/>
                    <w:autoSpaceDE/>
                    <w:autoSpaceDN/>
                    <w:bidi w:val="0"/>
                    <w:spacing w:before="63" w:beforeLines="20" w:after="63" w:afterLines="20"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连续</w:t>
                  </w:r>
                  <w:r>
                    <w:rPr>
                      <w:color w:val="000000" w:themeColor="text1"/>
                      <w:sz w:val="21"/>
                      <w:szCs w:val="21"/>
                      <w14:textFill>
                        <w14:solidFill>
                          <w14:schemeClr w14:val="tx1"/>
                        </w14:solidFill>
                      </w14:textFill>
                    </w:rPr>
                    <w:t>排放，流量稳定</w:t>
                  </w:r>
                </w:p>
              </w:tc>
              <w:tc>
                <w:tcPr>
                  <w:tcW w:w="636" w:type="dxa"/>
                  <w:vMerge w:val="restart"/>
                  <w:vAlign w:val="center"/>
                </w:tcPr>
                <w:p>
                  <w:pPr>
                    <w:pStyle w:val="45"/>
                    <w:keepNext w:val="0"/>
                    <w:keepLines w:val="0"/>
                    <w:pageBreakBefore w:val="0"/>
                    <w:kinsoku/>
                    <w:wordWrap/>
                    <w:overflowPunct/>
                    <w:topLinePunct w:val="0"/>
                    <w:autoSpaceDE/>
                    <w:autoSpaceDN/>
                    <w:bidi w:val="0"/>
                    <w:spacing w:before="63" w:beforeLines="20" w:after="63" w:afterLines="20"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w:t>
                  </w:r>
                </w:p>
              </w:tc>
              <w:tc>
                <w:tcPr>
                  <w:tcW w:w="635" w:type="dxa"/>
                  <w:vMerge w:val="restart"/>
                  <w:vAlign w:val="center"/>
                </w:tcPr>
                <w:p>
                  <w:pPr>
                    <w:pStyle w:val="45"/>
                    <w:keepNext w:val="0"/>
                    <w:keepLines w:val="0"/>
                    <w:pageBreakBefore w:val="0"/>
                    <w:kinsoku/>
                    <w:wordWrap/>
                    <w:overflowPunct/>
                    <w:topLinePunct w:val="0"/>
                    <w:autoSpaceDE/>
                    <w:autoSpaceDN/>
                    <w:bidi w:val="0"/>
                    <w:spacing w:before="63" w:beforeLines="20" w:after="63" w:afterLines="20"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常州市金坛区直溪鑫鑫污水处理厂</w:t>
                  </w:r>
                  <w:r>
                    <w:rPr>
                      <w:color w:val="000000" w:themeColor="text1"/>
                      <w:sz w:val="21"/>
                      <w:szCs w:val="21"/>
                      <w14:textFill>
                        <w14:solidFill>
                          <w14:schemeClr w14:val="tx1"/>
                        </w14:solidFill>
                      </w14:textFill>
                    </w:rPr>
                    <w:t>厂</w:t>
                  </w:r>
                </w:p>
              </w:tc>
              <w:tc>
                <w:tcPr>
                  <w:tcW w:w="809" w:type="dxa"/>
                  <w:vAlign w:val="center"/>
                </w:tcPr>
                <w:p>
                  <w:pPr>
                    <w:pStyle w:val="45"/>
                    <w:keepNext w:val="0"/>
                    <w:keepLines w:val="0"/>
                    <w:pageBreakBefore w:val="0"/>
                    <w:kinsoku/>
                    <w:wordWrap/>
                    <w:overflowPunct/>
                    <w:topLinePunct w:val="0"/>
                    <w:autoSpaceDE/>
                    <w:autoSpaceDN/>
                    <w:bidi w:val="0"/>
                    <w:spacing w:before="63" w:beforeLines="20" w:after="63" w:afterLines="20" w:line="360" w:lineRule="auto"/>
                    <w:ind w:firstLine="0" w:firstLineChars="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COD</w:t>
                  </w:r>
                </w:p>
              </w:tc>
              <w:tc>
                <w:tcPr>
                  <w:tcW w:w="969" w:type="dxa"/>
                  <w:vAlign w:val="center"/>
                </w:tcPr>
                <w:p>
                  <w:pPr>
                    <w:pStyle w:val="45"/>
                    <w:keepNext w:val="0"/>
                    <w:keepLines w:val="0"/>
                    <w:pageBreakBefore w:val="0"/>
                    <w:kinsoku/>
                    <w:wordWrap/>
                    <w:overflowPunct/>
                    <w:topLinePunct w:val="0"/>
                    <w:autoSpaceDE/>
                    <w:autoSpaceDN/>
                    <w:bidi w:val="0"/>
                    <w:spacing w:before="63" w:beforeLines="20" w:after="63" w:afterLines="20"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8" w:hRule="atLeast"/>
              </w:trPr>
              <w:tc>
                <w:tcPr>
                  <w:tcW w:w="397" w:type="dxa"/>
                  <w:vAlign w:val="center"/>
                </w:tcPr>
                <w:p>
                  <w:pPr>
                    <w:pStyle w:val="45"/>
                    <w:keepNext w:val="0"/>
                    <w:keepLines w:val="0"/>
                    <w:pageBreakBefore w:val="0"/>
                    <w:kinsoku/>
                    <w:wordWrap/>
                    <w:overflowPunct/>
                    <w:topLinePunct w:val="0"/>
                    <w:autoSpaceDE/>
                    <w:autoSpaceDN/>
                    <w:bidi w:val="0"/>
                    <w:spacing w:before="63" w:beforeLines="20" w:after="63" w:afterLines="20" w:line="36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2</w:t>
                  </w:r>
                </w:p>
              </w:tc>
              <w:tc>
                <w:tcPr>
                  <w:tcW w:w="786"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1071"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890"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802"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654"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653"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636"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635"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809" w:type="dxa"/>
                  <w:vAlign w:val="center"/>
                </w:tcPr>
                <w:p>
                  <w:pPr>
                    <w:pStyle w:val="45"/>
                    <w:keepNext w:val="0"/>
                    <w:keepLines w:val="0"/>
                    <w:pageBreakBefore w:val="0"/>
                    <w:kinsoku/>
                    <w:wordWrap/>
                    <w:overflowPunct/>
                    <w:topLinePunct w:val="0"/>
                    <w:autoSpaceDE/>
                    <w:autoSpaceDN/>
                    <w:bidi w:val="0"/>
                    <w:spacing w:before="63" w:beforeLines="20" w:after="63" w:afterLines="20" w:line="360" w:lineRule="auto"/>
                    <w:ind w:firstLine="0" w:firstLineChars="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SS</w:t>
                  </w:r>
                </w:p>
              </w:tc>
              <w:tc>
                <w:tcPr>
                  <w:tcW w:w="969" w:type="dxa"/>
                  <w:vAlign w:val="center"/>
                </w:tcPr>
                <w:p>
                  <w:pPr>
                    <w:pStyle w:val="45"/>
                    <w:keepNext w:val="0"/>
                    <w:keepLines w:val="0"/>
                    <w:pageBreakBefore w:val="0"/>
                    <w:kinsoku/>
                    <w:wordWrap/>
                    <w:overflowPunct/>
                    <w:topLinePunct w:val="0"/>
                    <w:autoSpaceDE/>
                    <w:autoSpaceDN/>
                    <w:bidi w:val="0"/>
                    <w:spacing w:before="63" w:beforeLines="20" w:after="63" w:afterLines="20"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58" w:hRule="atLeast"/>
              </w:trPr>
              <w:tc>
                <w:tcPr>
                  <w:tcW w:w="397" w:type="dxa"/>
                  <w:vAlign w:val="center"/>
                </w:tcPr>
                <w:p>
                  <w:pPr>
                    <w:pStyle w:val="45"/>
                    <w:keepNext w:val="0"/>
                    <w:keepLines w:val="0"/>
                    <w:pageBreakBefore w:val="0"/>
                    <w:kinsoku/>
                    <w:wordWrap/>
                    <w:overflowPunct/>
                    <w:topLinePunct w:val="0"/>
                    <w:autoSpaceDE/>
                    <w:autoSpaceDN/>
                    <w:bidi w:val="0"/>
                    <w:spacing w:before="63" w:beforeLines="20" w:after="63" w:afterLines="20" w:line="36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3</w:t>
                  </w:r>
                </w:p>
              </w:tc>
              <w:tc>
                <w:tcPr>
                  <w:tcW w:w="786"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1071"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890"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802"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654"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653"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636"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635"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809" w:type="dxa"/>
                  <w:vAlign w:val="center"/>
                </w:tcPr>
                <w:p>
                  <w:pPr>
                    <w:pStyle w:val="45"/>
                    <w:keepNext w:val="0"/>
                    <w:keepLines w:val="0"/>
                    <w:pageBreakBefore w:val="0"/>
                    <w:kinsoku/>
                    <w:wordWrap/>
                    <w:overflowPunct/>
                    <w:topLinePunct w:val="0"/>
                    <w:autoSpaceDE/>
                    <w:autoSpaceDN/>
                    <w:bidi w:val="0"/>
                    <w:spacing w:before="63" w:beforeLines="20" w:after="63" w:afterLines="20" w:line="360" w:lineRule="auto"/>
                    <w:ind w:firstLine="0" w:firstLineChars="0"/>
                    <w:jc w:val="center"/>
                    <w:textAlignment w:val="auto"/>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氨氮</w:t>
                  </w:r>
                </w:p>
              </w:tc>
              <w:tc>
                <w:tcPr>
                  <w:tcW w:w="969" w:type="dxa"/>
                  <w:vAlign w:val="center"/>
                </w:tcPr>
                <w:p>
                  <w:pPr>
                    <w:pStyle w:val="45"/>
                    <w:keepNext w:val="0"/>
                    <w:keepLines w:val="0"/>
                    <w:pageBreakBefore w:val="0"/>
                    <w:kinsoku/>
                    <w:wordWrap/>
                    <w:overflowPunct/>
                    <w:topLinePunct w:val="0"/>
                    <w:autoSpaceDE/>
                    <w:autoSpaceDN/>
                    <w:bidi w:val="0"/>
                    <w:spacing w:before="63" w:beforeLines="20" w:after="63" w:afterLines="20" w:line="240" w:lineRule="auto"/>
                    <w:ind w:firstLine="0" w:firstLineChars="0"/>
                    <w:jc w:val="center"/>
                    <w:textAlignment w:val="auto"/>
                    <w:rPr>
                      <w:color w:val="000000" w:themeColor="text1"/>
                      <w:sz w:val="21"/>
                      <w:szCs w:val="21"/>
                      <w14:textFill>
                        <w14:solidFill>
                          <w14:schemeClr w14:val="tx1"/>
                        </w14:solidFill>
                      </w14:textFill>
                    </w:rPr>
                  </w:pPr>
                  <w:r>
                    <w:rPr>
                      <w:rFonts w:hint="eastAsia"/>
                      <w:sz w:val="21"/>
                      <w:szCs w:val="21"/>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397" w:type="dxa"/>
                  <w:vAlign w:val="center"/>
                </w:tcPr>
                <w:p>
                  <w:pPr>
                    <w:pStyle w:val="45"/>
                    <w:keepNext w:val="0"/>
                    <w:keepLines w:val="0"/>
                    <w:pageBreakBefore w:val="0"/>
                    <w:kinsoku/>
                    <w:wordWrap/>
                    <w:overflowPunct/>
                    <w:topLinePunct w:val="0"/>
                    <w:autoSpaceDE/>
                    <w:autoSpaceDN/>
                    <w:bidi w:val="0"/>
                    <w:spacing w:before="63" w:beforeLines="20" w:after="63" w:afterLines="20" w:line="36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4</w:t>
                  </w:r>
                </w:p>
              </w:tc>
              <w:tc>
                <w:tcPr>
                  <w:tcW w:w="786"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1071"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890"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802"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654"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653"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636"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635"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809" w:type="dxa"/>
                  <w:vAlign w:val="center"/>
                </w:tcPr>
                <w:p>
                  <w:pPr>
                    <w:pStyle w:val="45"/>
                    <w:keepNext w:val="0"/>
                    <w:keepLines w:val="0"/>
                    <w:pageBreakBefore w:val="0"/>
                    <w:kinsoku/>
                    <w:wordWrap/>
                    <w:overflowPunct/>
                    <w:topLinePunct w:val="0"/>
                    <w:autoSpaceDE/>
                    <w:autoSpaceDN/>
                    <w:bidi w:val="0"/>
                    <w:spacing w:before="63" w:beforeLines="20" w:after="63" w:afterLines="20" w:line="36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TP</w:t>
                  </w:r>
                </w:p>
              </w:tc>
              <w:tc>
                <w:tcPr>
                  <w:tcW w:w="969" w:type="dxa"/>
                  <w:vAlign w:val="center"/>
                </w:tcPr>
                <w:p>
                  <w:pPr>
                    <w:pStyle w:val="45"/>
                    <w:keepNext w:val="0"/>
                    <w:keepLines w:val="0"/>
                    <w:pageBreakBefore w:val="0"/>
                    <w:kinsoku/>
                    <w:wordWrap/>
                    <w:overflowPunct/>
                    <w:topLinePunct w:val="0"/>
                    <w:autoSpaceDE/>
                    <w:autoSpaceDN/>
                    <w:bidi w:val="0"/>
                    <w:spacing w:before="63" w:beforeLines="20" w:after="63" w:afterLines="20"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97" w:type="dxa"/>
                  <w:vAlign w:val="center"/>
                </w:tcPr>
                <w:p>
                  <w:pPr>
                    <w:pStyle w:val="45"/>
                    <w:keepNext w:val="0"/>
                    <w:keepLines w:val="0"/>
                    <w:pageBreakBefore w:val="0"/>
                    <w:kinsoku/>
                    <w:wordWrap/>
                    <w:overflowPunct/>
                    <w:topLinePunct w:val="0"/>
                    <w:autoSpaceDE/>
                    <w:autoSpaceDN/>
                    <w:bidi w:val="0"/>
                    <w:spacing w:before="63" w:beforeLines="20" w:after="63" w:afterLines="20" w:line="36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5</w:t>
                  </w:r>
                </w:p>
              </w:tc>
              <w:tc>
                <w:tcPr>
                  <w:tcW w:w="786"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1071"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890"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802"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654"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653"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636"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635" w:type="dxa"/>
                  <w:vMerge w:val="continue"/>
                  <w:vAlign w:val="center"/>
                </w:tcPr>
                <w:p>
                  <w:pPr>
                    <w:keepNext w:val="0"/>
                    <w:keepLines w:val="0"/>
                    <w:pageBreakBefore w:val="0"/>
                    <w:kinsoku/>
                    <w:wordWrap/>
                    <w:overflowPunct/>
                    <w:topLinePunct w:val="0"/>
                    <w:autoSpaceDE/>
                    <w:autoSpaceDN/>
                    <w:bidi w:val="0"/>
                    <w:spacing w:before="63" w:beforeLines="20" w:after="63" w:afterLines="20"/>
                    <w:textAlignment w:val="auto"/>
                    <w:rPr>
                      <w:color w:val="000000" w:themeColor="text1"/>
                      <w:szCs w:val="21"/>
                      <w14:textFill>
                        <w14:solidFill>
                          <w14:schemeClr w14:val="tx1"/>
                        </w14:solidFill>
                      </w14:textFill>
                    </w:rPr>
                  </w:pPr>
                </w:p>
              </w:tc>
              <w:tc>
                <w:tcPr>
                  <w:tcW w:w="809" w:type="dxa"/>
                  <w:vAlign w:val="center"/>
                </w:tcPr>
                <w:p>
                  <w:pPr>
                    <w:pStyle w:val="45"/>
                    <w:keepNext w:val="0"/>
                    <w:keepLines w:val="0"/>
                    <w:pageBreakBefore w:val="0"/>
                    <w:kinsoku/>
                    <w:wordWrap/>
                    <w:overflowPunct/>
                    <w:topLinePunct w:val="0"/>
                    <w:autoSpaceDE/>
                    <w:autoSpaceDN/>
                    <w:bidi w:val="0"/>
                    <w:spacing w:before="63" w:beforeLines="20" w:after="63" w:afterLines="20" w:line="36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T</w:t>
                  </w:r>
                  <w:r>
                    <w:rPr>
                      <w:color w:val="000000" w:themeColor="text1"/>
                      <w:sz w:val="21"/>
                      <w:szCs w:val="21"/>
                      <w14:textFill>
                        <w14:solidFill>
                          <w14:schemeClr w14:val="tx1"/>
                        </w14:solidFill>
                      </w14:textFill>
                    </w:rPr>
                    <w:t>N</w:t>
                  </w:r>
                </w:p>
              </w:tc>
              <w:tc>
                <w:tcPr>
                  <w:tcW w:w="969" w:type="dxa"/>
                  <w:vAlign w:val="center"/>
                </w:tcPr>
                <w:p>
                  <w:pPr>
                    <w:pStyle w:val="45"/>
                    <w:keepNext w:val="0"/>
                    <w:keepLines w:val="0"/>
                    <w:pageBreakBefore w:val="0"/>
                    <w:kinsoku/>
                    <w:wordWrap/>
                    <w:overflowPunct/>
                    <w:topLinePunct w:val="0"/>
                    <w:autoSpaceDE/>
                    <w:autoSpaceDN/>
                    <w:bidi w:val="0"/>
                    <w:spacing w:before="63" w:beforeLines="20" w:after="63" w:afterLines="20" w:line="240" w:lineRule="auto"/>
                    <w:ind w:firstLine="0" w:firstLineChars="0"/>
                    <w:jc w:val="center"/>
                    <w:textAlignment w:val="auto"/>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12</w:t>
                  </w:r>
                </w:p>
              </w:tc>
            </w:tr>
          </w:tbl>
          <w:p>
            <w:pPr>
              <w:pStyle w:val="45"/>
              <w:spacing w:line="360" w:lineRule="auto"/>
              <w:ind w:firstLine="480"/>
              <w:jc w:val="both"/>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常州市金坛区直溪鑫鑫污水处理厂尾水水质执行《城镇污水处理厂污染物排放标准》（GB18918-2002）中一级A标准和《太湖地区城镇污水处理厂及重点工业行业主要水污染物排放限值》（DB32/1072-2018）中表2标准。</w:t>
            </w:r>
          </w:p>
          <w:p>
            <w:pPr>
              <w:pStyle w:val="45"/>
              <w:spacing w:line="360" w:lineRule="auto"/>
              <w:ind w:firstLine="480"/>
              <w:jc w:val="both"/>
              <w:rPr>
                <w:rFonts w:cs="宋体"/>
                <w:color w:val="000000" w:themeColor="text1"/>
                <w14:textFill>
                  <w14:solidFill>
                    <w14:schemeClr w14:val="tx1"/>
                  </w14:solidFill>
                </w14:textFill>
              </w:rPr>
            </w:pPr>
            <w:r>
              <w:rPr>
                <w:rFonts w:cs="宋体"/>
                <w:color w:val="000000" w:themeColor="text1"/>
                <w14:textFill>
                  <w14:solidFill>
                    <w14:schemeClr w14:val="tx1"/>
                  </w14:solidFill>
                </w14:textFill>
              </w:rPr>
              <w:t>项目废水排放情况详见下表</w:t>
            </w:r>
            <w:r>
              <w:rPr>
                <w:rFonts w:hint="eastAsia" w:cs="宋体"/>
                <w:color w:val="000000" w:themeColor="text1"/>
                <w14:textFill>
                  <w14:solidFill>
                    <w14:schemeClr w14:val="tx1"/>
                  </w14:solidFill>
                </w14:textFill>
              </w:rPr>
              <w:t>。</w:t>
            </w:r>
          </w:p>
          <w:p>
            <w:pPr>
              <w:pStyle w:val="45"/>
              <w:spacing w:line="240" w:lineRule="auto"/>
              <w:ind w:firstLine="0" w:firstLineChars="0"/>
              <w:jc w:val="center"/>
              <w:rPr>
                <w:b/>
                <w:color w:val="000000" w:themeColor="text1"/>
                <w:szCs w:val="24"/>
                <w14:textFill>
                  <w14:solidFill>
                    <w14:schemeClr w14:val="tx1"/>
                  </w14:solidFill>
                </w14:textFill>
              </w:rPr>
            </w:pPr>
            <w:r>
              <w:rPr>
                <w:rFonts w:hint="eastAsia"/>
                <w:b/>
                <w:bCs/>
                <w:color w:val="000000" w:themeColor="text1"/>
                <w:szCs w:val="24"/>
                <w14:textFill>
                  <w14:solidFill>
                    <w14:schemeClr w14:val="tx1"/>
                  </w14:solidFill>
                </w14:textFill>
              </w:rPr>
              <w:t>表</w:t>
            </w:r>
            <w:r>
              <w:rPr>
                <w:b/>
                <w:bCs/>
                <w:color w:val="000000" w:themeColor="text1"/>
                <w:szCs w:val="24"/>
                <w14:textFill>
                  <w14:solidFill>
                    <w14:schemeClr w14:val="tx1"/>
                  </w14:solidFill>
                </w14:textFill>
              </w:rPr>
              <w:t>7-1</w:t>
            </w:r>
            <w:r>
              <w:rPr>
                <w:rFonts w:hint="eastAsia"/>
                <w:b/>
                <w:bCs/>
                <w:color w:val="000000" w:themeColor="text1"/>
                <w:szCs w:val="24"/>
                <w:lang w:val="en-US" w:eastAsia="zh-CN"/>
                <w14:textFill>
                  <w14:solidFill>
                    <w14:schemeClr w14:val="tx1"/>
                  </w14:solidFill>
                </w14:textFill>
              </w:rPr>
              <w:t>7</w:t>
            </w:r>
            <w:r>
              <w:rPr>
                <w:b/>
                <w:bCs/>
                <w:color w:val="000000" w:themeColor="text1"/>
                <w:szCs w:val="24"/>
                <w14:textFill>
                  <w14:solidFill>
                    <w14:schemeClr w14:val="tx1"/>
                  </w14:solidFill>
                </w14:textFill>
              </w:rPr>
              <w:t xml:space="preserve">  </w:t>
            </w:r>
            <w:r>
              <w:rPr>
                <w:rFonts w:hint="eastAsia" w:cs="宋体"/>
                <w:b/>
                <w:color w:val="000000" w:themeColor="text1"/>
                <w:szCs w:val="24"/>
                <w14:textFill>
                  <w14:solidFill>
                    <w14:schemeClr w14:val="tx1"/>
                  </w14:solidFill>
                </w14:textFill>
              </w:rPr>
              <w:t>废水</w:t>
            </w:r>
            <w:r>
              <w:rPr>
                <w:rFonts w:cs="宋体"/>
                <w:b/>
                <w:color w:val="000000" w:themeColor="text1"/>
                <w:szCs w:val="24"/>
                <w14:textFill>
                  <w14:solidFill>
                    <w14:schemeClr w14:val="tx1"/>
                  </w14:solidFill>
                </w14:textFill>
              </w:rPr>
              <w:t>污染物排放信息表</w:t>
            </w:r>
          </w:p>
          <w:tbl>
            <w:tblPr>
              <w:tblStyle w:val="17"/>
              <w:tblW w:w="831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5"/>
              <w:gridCol w:w="1521"/>
              <w:gridCol w:w="1320"/>
              <w:gridCol w:w="1724"/>
              <w:gridCol w:w="1521"/>
              <w:gridCol w:w="152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5"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序号</w:t>
                  </w:r>
                </w:p>
              </w:tc>
              <w:tc>
                <w:tcPr>
                  <w:tcW w:w="1521"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排放口编号</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污染物种类</w:t>
                  </w:r>
                </w:p>
              </w:tc>
              <w:tc>
                <w:tcPr>
                  <w:tcW w:w="1724"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排放浓度/（mg/L）</w:t>
                  </w:r>
                </w:p>
              </w:tc>
              <w:tc>
                <w:tcPr>
                  <w:tcW w:w="1521"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日排放量/（t/d）</w:t>
                  </w:r>
                </w:p>
              </w:tc>
              <w:tc>
                <w:tcPr>
                  <w:tcW w:w="1521"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b/>
                      <w:bCs/>
                      <w:sz w:val="21"/>
                      <w:szCs w:val="21"/>
                    </w:rPr>
                  </w:pPr>
                  <w:r>
                    <w:rPr>
                      <w:rFonts w:hint="default" w:ascii="Times New Roman" w:hAnsi="Times New Roman" w:cs="Times New Roman"/>
                      <w:b/>
                      <w:bCs/>
                      <w:sz w:val="21"/>
                      <w:szCs w:val="21"/>
                    </w:rPr>
                    <w:t>年排放量（t/a）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705"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w:t>
                  </w:r>
                </w:p>
              </w:tc>
              <w:tc>
                <w:tcPr>
                  <w:tcW w:w="1521" w:type="dxa"/>
                  <w:vMerge w:val="restart"/>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DW001</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COD</w:t>
                  </w:r>
                </w:p>
              </w:tc>
              <w:tc>
                <w:tcPr>
                  <w:tcW w:w="1724"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340</w:t>
                  </w:r>
                </w:p>
              </w:tc>
              <w:tc>
                <w:tcPr>
                  <w:tcW w:w="1521"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6.8</w:t>
                  </w:r>
                  <w:r>
                    <w:rPr>
                      <w:rFonts w:hint="default" w:ascii="Times New Roman" w:hAnsi="Times New Roman" w:cs="Times New Roman"/>
                      <w:sz w:val="21"/>
                      <w:szCs w:val="21"/>
                    </w:rPr>
                    <w:t>×10-4</w:t>
                  </w:r>
                </w:p>
              </w:tc>
              <w:tc>
                <w:tcPr>
                  <w:tcW w:w="1521"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0.2040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5"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w:t>
                  </w:r>
                </w:p>
              </w:tc>
              <w:tc>
                <w:tcPr>
                  <w:tcW w:w="1521" w:type="dxa"/>
                  <w:vMerge w:val="continue"/>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p>
              </w:tc>
              <w:tc>
                <w:tcPr>
                  <w:tcW w:w="132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SS</w:t>
                  </w:r>
                </w:p>
              </w:tc>
              <w:tc>
                <w:tcPr>
                  <w:tcW w:w="1724"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160</w:t>
                  </w:r>
                </w:p>
              </w:tc>
              <w:tc>
                <w:tcPr>
                  <w:tcW w:w="1521"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lang w:eastAsia="zh-CN"/>
                    </w:rPr>
                  </w:pPr>
                  <w:r>
                    <w:rPr>
                      <w:rFonts w:hint="default" w:ascii="Times New Roman" w:hAnsi="Times New Roman" w:cs="Times New Roman"/>
                      <w:sz w:val="21"/>
                      <w:szCs w:val="21"/>
                      <w:lang w:val="en-US" w:eastAsia="zh-CN"/>
                    </w:rPr>
                    <w:t>3.2</w:t>
                  </w:r>
                  <w:r>
                    <w:rPr>
                      <w:rFonts w:hint="default" w:ascii="Times New Roman" w:hAnsi="Times New Roman" w:cs="Times New Roman"/>
                      <w:sz w:val="21"/>
                      <w:szCs w:val="21"/>
                    </w:rPr>
                    <w:t>×10-</w:t>
                  </w:r>
                  <w:r>
                    <w:rPr>
                      <w:rFonts w:hint="default" w:ascii="Times New Roman" w:hAnsi="Times New Roman" w:cs="Times New Roman"/>
                      <w:sz w:val="21"/>
                      <w:szCs w:val="21"/>
                      <w:lang w:val="en-US" w:eastAsia="zh-CN"/>
                    </w:rPr>
                    <w:t>4</w:t>
                  </w:r>
                </w:p>
              </w:tc>
              <w:tc>
                <w:tcPr>
                  <w:tcW w:w="1521"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0.0960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705"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w:t>
                  </w:r>
                </w:p>
              </w:tc>
              <w:tc>
                <w:tcPr>
                  <w:tcW w:w="1521" w:type="dxa"/>
                  <w:vMerge w:val="continue"/>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p>
              </w:tc>
              <w:tc>
                <w:tcPr>
                  <w:tcW w:w="132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氨氮</w:t>
                  </w:r>
                </w:p>
              </w:tc>
              <w:tc>
                <w:tcPr>
                  <w:tcW w:w="1724"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25</w:t>
                  </w:r>
                </w:p>
              </w:tc>
              <w:tc>
                <w:tcPr>
                  <w:tcW w:w="1521"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5×10-5</w:t>
                  </w:r>
                </w:p>
              </w:tc>
              <w:tc>
                <w:tcPr>
                  <w:tcW w:w="1521"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0.0150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90" w:hRule="atLeast"/>
                <w:jc w:val="center"/>
              </w:trPr>
              <w:tc>
                <w:tcPr>
                  <w:tcW w:w="705"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4</w:t>
                  </w:r>
                </w:p>
              </w:tc>
              <w:tc>
                <w:tcPr>
                  <w:tcW w:w="1521" w:type="dxa"/>
                  <w:vMerge w:val="continue"/>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p>
              </w:tc>
              <w:tc>
                <w:tcPr>
                  <w:tcW w:w="132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TP</w:t>
                  </w:r>
                </w:p>
              </w:tc>
              <w:tc>
                <w:tcPr>
                  <w:tcW w:w="1724"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w:t>
                  </w:r>
                </w:p>
              </w:tc>
              <w:tc>
                <w:tcPr>
                  <w:tcW w:w="1521"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6</w:t>
                  </w:r>
                  <w:r>
                    <w:rPr>
                      <w:rFonts w:hint="default" w:ascii="Times New Roman" w:hAnsi="Times New Roman" w:cs="Times New Roman"/>
                      <w:sz w:val="21"/>
                      <w:szCs w:val="21"/>
                    </w:rPr>
                    <w:t>×10-6</w:t>
                  </w:r>
                </w:p>
              </w:tc>
              <w:tc>
                <w:tcPr>
                  <w:tcW w:w="1521"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0.0018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05"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5</w:t>
                  </w:r>
                </w:p>
              </w:tc>
              <w:tc>
                <w:tcPr>
                  <w:tcW w:w="1521" w:type="dxa"/>
                  <w:vMerge w:val="continue"/>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p>
              </w:tc>
              <w:tc>
                <w:tcPr>
                  <w:tcW w:w="1320"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TN</w:t>
                  </w:r>
                </w:p>
              </w:tc>
              <w:tc>
                <w:tcPr>
                  <w:tcW w:w="1724"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35</w:t>
                  </w:r>
                </w:p>
              </w:tc>
              <w:tc>
                <w:tcPr>
                  <w:tcW w:w="1521"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7</w:t>
                  </w:r>
                  <w:r>
                    <w:rPr>
                      <w:rFonts w:hint="default" w:ascii="Times New Roman" w:hAnsi="Times New Roman" w:cs="Times New Roman"/>
                      <w:sz w:val="21"/>
                      <w:szCs w:val="21"/>
                    </w:rPr>
                    <w:t>×10-5</w:t>
                  </w:r>
                </w:p>
              </w:tc>
              <w:tc>
                <w:tcPr>
                  <w:tcW w:w="1521"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0.0210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2226"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全厂排放口合计</w:t>
                  </w:r>
                </w:p>
              </w:tc>
              <w:tc>
                <w:tcPr>
                  <w:tcW w:w="4565" w:type="dxa"/>
                  <w:gridSpan w:val="3"/>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COD</w:t>
                  </w:r>
                </w:p>
              </w:tc>
              <w:tc>
                <w:tcPr>
                  <w:tcW w:w="1521"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0.2040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6"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p>
              </w:tc>
              <w:tc>
                <w:tcPr>
                  <w:tcW w:w="4565" w:type="dxa"/>
                  <w:gridSpan w:val="3"/>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SS</w:t>
                  </w:r>
                </w:p>
              </w:tc>
              <w:tc>
                <w:tcPr>
                  <w:tcW w:w="1521"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0.0960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2226"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p>
              </w:tc>
              <w:tc>
                <w:tcPr>
                  <w:tcW w:w="4565" w:type="dxa"/>
                  <w:gridSpan w:val="3"/>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氨氮</w:t>
                  </w:r>
                </w:p>
              </w:tc>
              <w:tc>
                <w:tcPr>
                  <w:tcW w:w="1521"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0.0150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26"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p>
              </w:tc>
              <w:tc>
                <w:tcPr>
                  <w:tcW w:w="4565" w:type="dxa"/>
                  <w:gridSpan w:val="3"/>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TP</w:t>
                  </w:r>
                </w:p>
              </w:tc>
              <w:tc>
                <w:tcPr>
                  <w:tcW w:w="1521"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0.0018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2226" w:type="dxa"/>
                  <w:gridSpan w:val="2"/>
                  <w:vMerge w:val="continue"/>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p>
              </w:tc>
              <w:tc>
                <w:tcPr>
                  <w:tcW w:w="4565" w:type="dxa"/>
                  <w:gridSpan w:val="3"/>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TN</w:t>
                  </w:r>
                </w:p>
              </w:tc>
              <w:tc>
                <w:tcPr>
                  <w:tcW w:w="1521"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val="en-US" w:eastAsia="zh-CN"/>
                    </w:rPr>
                    <w:t>0.0210</w:t>
                  </w:r>
                </w:p>
              </w:tc>
            </w:tr>
          </w:tbl>
          <w:p>
            <w:pPr>
              <w:pStyle w:val="45"/>
              <w:spacing w:line="360" w:lineRule="auto"/>
              <w:ind w:firstLine="480"/>
              <w:rPr>
                <w:rFonts w:cs="宋体"/>
                <w:color w:val="000000" w:themeColor="text1"/>
                <w14:textFill>
                  <w14:solidFill>
                    <w14:schemeClr w14:val="tx1"/>
                  </w14:solidFill>
                </w14:textFill>
              </w:rPr>
            </w:pPr>
            <w:r>
              <w:rPr>
                <w:rFonts w:hint="eastAsia" w:cs="宋体"/>
                <w:color w:val="000000" w:themeColor="text1"/>
                <w14:textFill>
                  <w14:solidFill>
                    <w14:schemeClr w14:val="tx1"/>
                  </w14:solidFill>
                </w14:textFill>
              </w:rPr>
              <w:t>综上</w:t>
            </w:r>
            <w:r>
              <w:rPr>
                <w:rFonts w:cs="宋体"/>
                <w:color w:val="000000" w:themeColor="text1"/>
                <w14:textFill>
                  <w14:solidFill>
                    <w14:schemeClr w14:val="tx1"/>
                  </w14:solidFill>
                </w14:textFill>
              </w:rPr>
              <w:t>，</w:t>
            </w:r>
            <w:r>
              <w:rPr>
                <w:rFonts w:hint="eastAsia" w:cs="宋体"/>
                <w:color w:val="000000" w:themeColor="text1"/>
                <w14:textFill>
                  <w14:solidFill>
                    <w14:schemeClr w14:val="tx1"/>
                  </w14:solidFill>
                </w14:textFill>
              </w:rPr>
              <w:t>项目纳污河流满足</w:t>
            </w:r>
            <w:r>
              <w:rPr>
                <w:bCs/>
                <w:color w:val="000000" w:themeColor="text1"/>
                <w14:textFill>
                  <w14:solidFill>
                    <w14:schemeClr w14:val="tx1"/>
                  </w14:solidFill>
                </w14:textFill>
              </w:rPr>
              <w:t>《地表水环境质量标准》（GB3838-2002）中</w:t>
            </w:r>
            <w:r>
              <w:rPr>
                <w:rFonts w:hint="eastAsia" w:ascii="宋体" w:cs="宋体"/>
                <w:bCs/>
                <w:color w:val="000000" w:themeColor="text1"/>
                <w14:textFill>
                  <w14:solidFill>
                    <w14:schemeClr w14:val="tx1"/>
                  </w14:solidFill>
                </w14:textFill>
              </w:rPr>
              <w:t>Ⅳ</w:t>
            </w:r>
            <w:r>
              <w:rPr>
                <w:bCs/>
                <w:color w:val="000000" w:themeColor="text1"/>
                <w14:textFill>
                  <w14:solidFill>
                    <w14:schemeClr w14:val="tx1"/>
                  </w14:solidFill>
                </w14:textFill>
              </w:rPr>
              <w:t>类标准。</w:t>
            </w:r>
            <w:r>
              <w:rPr>
                <w:rFonts w:hint="eastAsia"/>
                <w:bCs/>
                <w:color w:val="000000" w:themeColor="text1"/>
                <w14:textFill>
                  <w14:solidFill>
                    <w14:schemeClr w14:val="tx1"/>
                  </w14:solidFill>
                </w14:textFill>
              </w:rPr>
              <w:t>项目所在地</w:t>
            </w:r>
            <w:r>
              <w:rPr>
                <w:bCs/>
                <w:color w:val="000000" w:themeColor="text1"/>
                <w14:textFill>
                  <w14:solidFill>
                    <w14:schemeClr w14:val="tx1"/>
                  </w14:solidFill>
                </w14:textFill>
              </w:rPr>
              <w:t>已满足接管城市污水处理厂条件，</w:t>
            </w:r>
            <w:r>
              <w:rPr>
                <w:rFonts w:hint="eastAsia"/>
                <w:bCs/>
                <w:color w:val="000000" w:themeColor="text1"/>
                <w14:textFill>
                  <w14:solidFill>
                    <w14:schemeClr w14:val="tx1"/>
                  </w14:solidFill>
                </w14:textFill>
              </w:rPr>
              <w:t>且项目废水</w:t>
            </w:r>
            <w:r>
              <w:rPr>
                <w:bCs/>
                <w:color w:val="000000" w:themeColor="text1"/>
                <w14:textFill>
                  <w14:solidFill>
                    <w14:schemeClr w14:val="tx1"/>
                  </w14:solidFill>
                </w14:textFill>
              </w:rPr>
              <w:t>经化粪池处理</w:t>
            </w:r>
            <w:r>
              <w:rPr>
                <w:rFonts w:hint="eastAsia"/>
                <w:bCs/>
                <w:color w:val="000000" w:themeColor="text1"/>
                <w14:textFill>
                  <w14:solidFill>
                    <w14:schemeClr w14:val="tx1"/>
                  </w14:solidFill>
                </w14:textFill>
              </w:rPr>
              <w:t>后</w:t>
            </w:r>
            <w:r>
              <w:rPr>
                <w:bCs/>
                <w:color w:val="000000" w:themeColor="text1"/>
                <w14:textFill>
                  <w14:solidFill>
                    <w14:schemeClr w14:val="tx1"/>
                  </w14:solidFill>
                </w14:textFill>
              </w:rPr>
              <w:t>可满足污水处理厂接管标准。</w:t>
            </w:r>
            <w:r>
              <w:rPr>
                <w:rFonts w:hint="eastAsia" w:cs="宋体"/>
                <w:color w:val="000000" w:themeColor="text1"/>
                <w14:textFill>
                  <w14:solidFill>
                    <w14:schemeClr w14:val="tx1"/>
                  </w14:solidFill>
                </w14:textFill>
              </w:rPr>
              <w:t>引用常州市金坛区直溪鑫鑫污水处理厂环评结论可知，废水经污水处理厂处理达标排放后对地表水环境影响较小。因此</w:t>
            </w:r>
            <w:r>
              <w:rPr>
                <w:rFonts w:cs="宋体"/>
                <w:color w:val="000000" w:themeColor="text1"/>
                <w14:textFill>
                  <w14:solidFill>
                    <w14:schemeClr w14:val="tx1"/>
                  </w14:solidFill>
                </w14:textFill>
              </w:rPr>
              <w:t>本次评价认为</w:t>
            </w:r>
            <w:r>
              <w:rPr>
                <w:rFonts w:hint="eastAsia" w:cs="宋体"/>
                <w:color w:val="000000" w:themeColor="text1"/>
                <w14:textFill>
                  <w14:solidFill>
                    <w14:schemeClr w14:val="tx1"/>
                  </w14:solidFill>
                </w14:textFill>
              </w:rPr>
              <w:t>本项目</w:t>
            </w:r>
            <w:r>
              <w:rPr>
                <w:rFonts w:cs="宋体"/>
                <w:color w:val="000000" w:themeColor="text1"/>
                <w14:textFill>
                  <w14:solidFill>
                    <w14:schemeClr w14:val="tx1"/>
                  </w14:solidFill>
                </w14:textFill>
              </w:rPr>
              <w:t>对地表</w:t>
            </w:r>
            <w:r>
              <w:rPr>
                <w:rFonts w:hint="eastAsia" w:cs="宋体"/>
                <w:color w:val="000000" w:themeColor="text1"/>
                <w14:textFill>
                  <w14:solidFill>
                    <w14:schemeClr w14:val="tx1"/>
                  </w14:solidFill>
                </w14:textFill>
              </w:rPr>
              <w:t>水</w:t>
            </w:r>
            <w:r>
              <w:rPr>
                <w:rFonts w:cs="宋体"/>
                <w:color w:val="000000" w:themeColor="text1"/>
                <w14:textFill>
                  <w14:solidFill>
                    <w14:schemeClr w14:val="tx1"/>
                  </w14:solidFill>
                </w14:textFill>
              </w:rPr>
              <w:t>环境影响是可以接受的。</w:t>
            </w:r>
          </w:p>
          <w:p>
            <w:pPr>
              <w:spacing w:line="360" w:lineRule="auto"/>
              <w:ind w:firstLine="480"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3、声环境影响分析</w:t>
            </w:r>
          </w:p>
          <w:p>
            <w:pPr>
              <w:tabs>
                <w:tab w:val="left" w:pos="6962"/>
              </w:tabs>
              <w:spacing w:line="360" w:lineRule="auto"/>
              <w:ind w:firstLine="480" w:firstLineChars="200"/>
              <w:rPr>
                <w:bCs/>
                <w:color w:val="000000" w:themeColor="text1"/>
                <w:sz w:val="24"/>
                <w14:textFill>
                  <w14:solidFill>
                    <w14:schemeClr w14:val="tx1"/>
                  </w14:solidFill>
                </w14:textFill>
              </w:rPr>
            </w:pPr>
            <w:r>
              <w:rPr>
                <w:rFonts w:hint="eastAsia"/>
                <w:bCs/>
                <w:color w:val="000000" w:themeColor="text1"/>
                <w:sz w:val="24"/>
                <w14:textFill>
                  <w14:solidFill>
                    <w14:schemeClr w14:val="tx1"/>
                  </w14:solidFill>
                </w14:textFill>
              </w:rPr>
              <w:t>（1）噪声源</w:t>
            </w:r>
          </w:p>
          <w:p>
            <w:pPr>
              <w:tabs>
                <w:tab w:val="left" w:pos="6962"/>
              </w:tabs>
              <w:spacing w:line="360" w:lineRule="auto"/>
              <w:ind w:firstLine="480" w:firstLineChars="200"/>
              <w:rPr>
                <w:color w:val="000000" w:themeColor="text1"/>
                <w:sz w:val="24"/>
                <w14:textFill>
                  <w14:solidFill>
                    <w14:schemeClr w14:val="tx1"/>
                  </w14:solidFill>
                </w14:textFill>
              </w:rPr>
            </w:pPr>
            <w:r>
              <w:rPr>
                <w:bCs/>
                <w:color w:val="000000" w:themeColor="text1"/>
                <w:sz w:val="24"/>
                <w:szCs w:val="22"/>
                <w14:textFill>
                  <w14:solidFill>
                    <w14:schemeClr w14:val="tx1"/>
                  </w14:solidFill>
                </w14:textFill>
              </w:rPr>
              <w:t>本项目主要</w:t>
            </w:r>
            <w:r>
              <w:rPr>
                <w:rFonts w:hint="eastAsia"/>
                <w:bCs/>
                <w:color w:val="000000" w:themeColor="text1"/>
                <w:sz w:val="24"/>
                <w:szCs w:val="22"/>
                <w14:textFill>
                  <w14:solidFill>
                    <w14:schemeClr w14:val="tx1"/>
                  </w14:solidFill>
                </w14:textFill>
              </w:rPr>
              <w:t>高</w:t>
            </w:r>
            <w:r>
              <w:rPr>
                <w:bCs/>
                <w:color w:val="000000" w:themeColor="text1"/>
                <w:sz w:val="24"/>
                <w:szCs w:val="22"/>
                <w14:textFill>
                  <w14:solidFill>
                    <w14:schemeClr w14:val="tx1"/>
                  </w14:solidFill>
                </w14:textFill>
              </w:rPr>
              <w:t>噪声设备</w:t>
            </w:r>
            <w:r>
              <w:rPr>
                <w:rFonts w:hint="eastAsia"/>
                <w:bCs/>
                <w:color w:val="000000" w:themeColor="text1"/>
                <w:sz w:val="24"/>
                <w:szCs w:val="22"/>
                <w14:textFill>
                  <w14:solidFill>
                    <w14:schemeClr w14:val="tx1"/>
                  </w14:solidFill>
                </w14:textFill>
              </w:rPr>
              <w:t>为</w:t>
            </w:r>
            <w:r>
              <w:rPr>
                <w:rFonts w:hint="eastAsia"/>
                <w:sz w:val="24"/>
              </w:rPr>
              <w:t>切割机、剪板机、折弯机</w:t>
            </w:r>
            <w:r>
              <w:rPr>
                <w:rFonts w:hint="eastAsia"/>
                <w:bCs/>
                <w:color w:val="000000" w:themeColor="text1"/>
                <w:sz w:val="24"/>
                <w:szCs w:val="22"/>
                <w14:textFill>
                  <w14:solidFill>
                    <w14:schemeClr w14:val="tx1"/>
                  </w14:solidFill>
                </w14:textFill>
              </w:rPr>
              <w:t>等，噪</w:t>
            </w:r>
            <w:r>
              <w:rPr>
                <w:rFonts w:hint="eastAsia"/>
                <w:bCs/>
                <w:color w:val="000000" w:themeColor="text1"/>
                <w:sz w:val="24"/>
                <w14:textFill>
                  <w14:solidFill>
                    <w14:schemeClr w14:val="tx1"/>
                  </w14:solidFill>
                </w14:textFill>
              </w:rPr>
              <w:t>声值在</w:t>
            </w:r>
            <w:r>
              <w:rPr>
                <w:bCs/>
                <w:color w:val="000000" w:themeColor="text1"/>
                <w:sz w:val="24"/>
                <w14:textFill>
                  <w14:solidFill>
                    <w14:schemeClr w14:val="tx1"/>
                  </w14:solidFill>
                </w14:textFill>
              </w:rPr>
              <w:t>75</w:t>
            </w:r>
            <w:r>
              <w:rPr>
                <w:rFonts w:hint="eastAsia"/>
                <w:bCs/>
                <w:color w:val="000000" w:themeColor="text1"/>
                <w:sz w:val="24"/>
                <w14:textFill>
                  <w14:solidFill>
                    <w14:schemeClr w14:val="tx1"/>
                  </w14:solidFill>
                </w14:textFill>
              </w:rPr>
              <w:t>~90dB（A）之间</w:t>
            </w:r>
            <w:r>
              <w:rPr>
                <w:color w:val="000000" w:themeColor="text1"/>
                <w:sz w:val="24"/>
                <w14:textFill>
                  <w14:solidFill>
                    <w14:schemeClr w14:val="tx1"/>
                  </w14:solidFill>
                </w14:textFill>
              </w:rPr>
              <w:t>。</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（2</w:t>
            </w:r>
            <w:r>
              <w:rPr>
                <w:color w:val="000000" w:themeColor="text1"/>
                <w:sz w:val="24"/>
                <w14:textFill>
                  <w14:solidFill>
                    <w14:schemeClr w14:val="tx1"/>
                  </w14:solidFill>
                </w14:textFill>
              </w:rPr>
              <w:t>）预测模式</w:t>
            </w:r>
          </w:p>
          <w:p>
            <w:pPr>
              <w:spacing w:line="360" w:lineRule="auto"/>
              <w:ind w:firstLine="480" w:firstLineChars="200"/>
              <w:rPr>
                <w:color w:val="000000" w:themeColor="text1"/>
                <w:kern w:val="0"/>
                <w:sz w:val="24"/>
                <w14:textFill>
                  <w14:solidFill>
                    <w14:schemeClr w14:val="tx1"/>
                  </w14:solidFill>
                </w14:textFill>
              </w:rPr>
            </w:pPr>
            <w:r>
              <w:rPr>
                <w:rFonts w:hint="eastAsia" w:ascii="宋体" w:cs="宋体"/>
                <w:color w:val="000000" w:themeColor="text1"/>
                <w:sz w:val="24"/>
                <w14:textFill>
                  <w14:solidFill>
                    <w14:schemeClr w14:val="tx1"/>
                  </w14:solidFill>
                </w14:textFill>
              </w:rPr>
              <w:t>①</w:t>
            </w:r>
            <w:r>
              <w:rPr>
                <w:color w:val="000000" w:themeColor="text1"/>
                <w:sz w:val="24"/>
                <w14:textFill>
                  <w14:solidFill>
                    <w14:schemeClr w14:val="tx1"/>
                  </w14:solidFill>
                </w14:textFill>
              </w:rPr>
              <w:t xml:space="preserve"> </w:t>
            </w:r>
            <w:r>
              <w:rPr>
                <w:color w:val="000000" w:themeColor="text1"/>
                <w:kern w:val="0"/>
                <w:sz w:val="24"/>
                <w14:textFill>
                  <w14:solidFill>
                    <w14:schemeClr w14:val="tx1"/>
                  </w14:solidFill>
                </w14:textFill>
              </w:rPr>
              <w:t>声级</w:t>
            </w:r>
            <w:r>
              <w:rPr>
                <w:color w:val="000000" w:themeColor="text1"/>
                <w:sz w:val="24"/>
                <w14:textFill>
                  <w14:solidFill>
                    <w14:schemeClr w14:val="tx1"/>
                  </w14:solidFill>
                </w14:textFill>
              </w:rPr>
              <w:t>计算</w:t>
            </w:r>
          </w:p>
          <w:p>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建设项目</w:t>
            </w:r>
            <w:r>
              <w:rPr>
                <w:color w:val="000000" w:themeColor="text1"/>
                <w:sz w:val="24"/>
                <w14:textFill>
                  <w14:solidFill>
                    <w14:schemeClr w14:val="tx1"/>
                  </w14:solidFill>
                </w14:textFill>
              </w:rPr>
              <w:t>声源</w:t>
            </w:r>
            <w:r>
              <w:rPr>
                <w:color w:val="000000" w:themeColor="text1"/>
                <w:kern w:val="0"/>
                <w:sz w:val="24"/>
                <w14:textFill>
                  <w14:solidFill>
                    <w14:schemeClr w14:val="tx1"/>
                  </w14:solidFill>
                </w14:textFill>
              </w:rPr>
              <w:t>在预测点产生的等效声级贡献值</w:t>
            </w:r>
            <w:r>
              <w:rPr>
                <w:rFonts w:hint="eastAsia"/>
                <w:color w:val="000000" w:themeColor="text1"/>
                <w:kern w:val="0"/>
                <w:sz w:val="24"/>
                <w14:textFill>
                  <w14:solidFill>
                    <w14:schemeClr w14:val="tx1"/>
                  </w14:solidFill>
                </w14:textFill>
              </w:rPr>
              <w:t>（</w:t>
            </w:r>
            <w:r>
              <w:rPr>
                <w:color w:val="000000" w:themeColor="text1"/>
                <w:kern w:val="0"/>
                <w:sz w:val="24"/>
                <w14:textFill>
                  <w14:solidFill>
                    <w14:schemeClr w14:val="tx1"/>
                  </w14:solidFill>
                </w14:textFill>
              </w:rPr>
              <w:t>L</w:t>
            </w:r>
            <w:r>
              <w:rPr>
                <w:i/>
                <w:iCs/>
                <w:color w:val="000000" w:themeColor="text1"/>
                <w:kern w:val="0"/>
                <w:sz w:val="24"/>
                <w14:textFill>
                  <w14:solidFill>
                    <w14:schemeClr w14:val="tx1"/>
                  </w14:solidFill>
                </w14:textFill>
              </w:rPr>
              <w:t>eq g</w:t>
            </w:r>
            <w:r>
              <w:rPr>
                <w:rFonts w:hint="eastAsia"/>
                <w:color w:val="000000" w:themeColor="text1"/>
                <w:kern w:val="0"/>
                <w:sz w:val="24"/>
                <w14:textFill>
                  <w14:solidFill>
                    <w14:schemeClr w14:val="tx1"/>
                  </w14:solidFill>
                </w14:textFill>
              </w:rPr>
              <w:t>）</w:t>
            </w:r>
            <w:r>
              <w:rPr>
                <w:color w:val="000000" w:themeColor="text1"/>
                <w:kern w:val="0"/>
                <w:sz w:val="24"/>
                <w14:textFill>
                  <w14:solidFill>
                    <w14:schemeClr w14:val="tx1"/>
                  </w14:solidFill>
                </w14:textFill>
              </w:rPr>
              <w:t>计算公式：</w:t>
            </w:r>
          </w:p>
          <w:p>
            <w:pPr>
              <w:spacing w:line="360" w:lineRule="auto"/>
              <w:jc w:val="center"/>
              <w:rPr>
                <w:color w:val="000000" w:themeColor="text1"/>
                <w:sz w:val="24"/>
                <w14:textFill>
                  <w14:solidFill>
                    <w14:schemeClr w14:val="tx1"/>
                  </w14:solidFill>
                </w14:textFill>
              </w:rPr>
            </w:pPr>
            <w:r>
              <w:rPr>
                <w:color w:val="000000" w:themeColor="text1"/>
                <w:position w:val="-28"/>
                <w:sz w:val="24"/>
                <w14:textFill>
                  <w14:solidFill>
                    <w14:schemeClr w14:val="tx1"/>
                  </w14:solidFill>
                </w14:textFill>
              </w:rPr>
              <w:object>
                <v:shape id="_x0000_i1027" o:spt="75" alt="7790355121556505032524" type="#_x0000_t75" style="height:23.15pt;width:93.3pt;" o:ole="t" filled="f" o:preferrelative="t" stroked="f" coordsize="21600,21600">
                  <v:path/>
                  <v:fill on="f" focussize="0,0"/>
                  <v:stroke on="f" joinstyle="miter"/>
                  <v:imagedata r:id="rId16" o:title=""/>
                  <o:lock v:ext="edit" aspectratio="t"/>
                  <w10:wrap type="none"/>
                  <w10:anchorlock/>
                </v:shape>
                <o:OLEObject Type="Embed" ProgID="Equation.3" ShapeID="_x0000_i1027" DrawAspect="Content" ObjectID="_1468075727" r:id="rId15">
                  <o:LockedField>false</o:LockedField>
                </o:OLEObject>
              </w:objec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式中：</w:t>
            </w:r>
            <w:r>
              <w:rPr>
                <w:i/>
                <w:color w:val="000000" w:themeColor="text1"/>
                <w:sz w:val="24"/>
                <w14:textFill>
                  <w14:solidFill>
                    <w14:schemeClr w14:val="tx1"/>
                  </w14:solidFill>
                </w14:textFill>
              </w:rPr>
              <w:t>L</w:t>
            </w:r>
            <w:r>
              <w:rPr>
                <w:color w:val="000000" w:themeColor="text1"/>
                <w:sz w:val="24"/>
                <w:vertAlign w:val="subscript"/>
                <w14:textFill>
                  <w14:solidFill>
                    <w14:schemeClr w14:val="tx1"/>
                  </w14:solidFill>
                </w14:textFill>
              </w:rPr>
              <w:t>eqg</w:t>
            </w:r>
            <w:r>
              <w:rPr>
                <w:color w:val="000000" w:themeColor="text1"/>
                <w:sz w:val="24"/>
                <w14:textFill>
                  <w14:solidFill>
                    <w14:schemeClr w14:val="tx1"/>
                  </w14:solidFill>
                </w14:textFill>
              </w:rPr>
              <w:t>—建设项目声源在预测点的等效声级贡献值，dB</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w:t>
            </w:r>
          </w:p>
          <w:p>
            <w:pPr>
              <w:spacing w:line="360" w:lineRule="auto"/>
              <w:ind w:firstLine="1200" w:firstLineChars="500"/>
              <w:rPr>
                <w:color w:val="000000" w:themeColor="text1"/>
                <w:sz w:val="24"/>
                <w14:textFill>
                  <w14:solidFill>
                    <w14:schemeClr w14:val="tx1"/>
                  </w14:solidFill>
                </w14:textFill>
              </w:rPr>
            </w:pPr>
            <w:r>
              <w:rPr>
                <w:i/>
                <w:color w:val="000000" w:themeColor="text1"/>
                <w:sz w:val="24"/>
                <w14:textFill>
                  <w14:solidFill>
                    <w14:schemeClr w14:val="tx1"/>
                  </w14:solidFill>
                </w14:textFill>
              </w:rPr>
              <w:t>L</w:t>
            </w:r>
            <w:r>
              <w:rPr>
                <w:color w:val="000000" w:themeColor="text1"/>
                <w:sz w:val="24"/>
                <w:vertAlign w:val="subscript"/>
                <w14:textFill>
                  <w14:solidFill>
                    <w14:schemeClr w14:val="tx1"/>
                  </w14:solidFill>
                </w14:textFill>
              </w:rPr>
              <w:t xml:space="preserve">Ai </w:t>
            </w:r>
            <w:r>
              <w:rPr>
                <w:color w:val="000000" w:themeColor="text1"/>
                <w:sz w:val="24"/>
                <w14:textFill>
                  <w14:solidFill>
                    <w14:schemeClr w14:val="tx1"/>
                  </w14:solidFill>
                </w14:textFill>
              </w:rPr>
              <w:t>— i声源在预测点产生的A 声级，dB</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A</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w:t>
            </w:r>
          </w:p>
          <w:p>
            <w:pPr>
              <w:spacing w:line="360" w:lineRule="auto"/>
              <w:ind w:firstLine="1200" w:firstLineChars="500"/>
              <w:rPr>
                <w:color w:val="000000" w:themeColor="text1"/>
                <w:sz w:val="24"/>
                <w14:textFill>
                  <w14:solidFill>
                    <w14:schemeClr w14:val="tx1"/>
                  </w14:solidFill>
                </w14:textFill>
              </w:rPr>
            </w:pPr>
            <w:r>
              <w:rPr>
                <w:i/>
                <w:color w:val="000000" w:themeColor="text1"/>
                <w:sz w:val="24"/>
                <w14:textFill>
                  <w14:solidFill>
                    <w14:schemeClr w14:val="tx1"/>
                  </w14:solidFill>
                </w14:textFill>
              </w:rPr>
              <w:t>T</w:t>
            </w:r>
            <w:r>
              <w:rPr>
                <w:color w:val="000000" w:themeColor="text1"/>
                <w:sz w:val="24"/>
                <w14:textFill>
                  <w14:solidFill>
                    <w14:schemeClr w14:val="tx1"/>
                  </w14:solidFill>
                </w14:textFill>
              </w:rPr>
              <w:t xml:space="preserve"> —预测计算的时间段，s；</w:t>
            </w:r>
          </w:p>
          <w:p>
            <w:pPr>
              <w:spacing w:line="360" w:lineRule="auto"/>
              <w:ind w:firstLine="1200" w:firstLineChars="500"/>
              <w:rPr>
                <w:color w:val="000000" w:themeColor="text1"/>
                <w:sz w:val="24"/>
                <w14:textFill>
                  <w14:solidFill>
                    <w14:schemeClr w14:val="tx1"/>
                  </w14:solidFill>
                </w14:textFill>
              </w:rPr>
            </w:pPr>
            <w:r>
              <w:rPr>
                <w:i/>
                <w:color w:val="000000" w:themeColor="text1"/>
                <w:sz w:val="24"/>
                <w14:textFill>
                  <w14:solidFill>
                    <w14:schemeClr w14:val="tx1"/>
                  </w14:solidFill>
                </w14:textFill>
              </w:rPr>
              <w:t>t</w:t>
            </w:r>
            <w:r>
              <w:rPr>
                <w:i/>
                <w:color w:val="000000" w:themeColor="text1"/>
                <w:sz w:val="24"/>
                <w:vertAlign w:val="subscript"/>
                <w14:textFill>
                  <w14:solidFill>
                    <w14:schemeClr w14:val="tx1"/>
                  </w14:solidFill>
                </w14:textFill>
              </w:rPr>
              <w:t>i</w:t>
            </w:r>
            <w:r>
              <w:rPr>
                <w:color w:val="000000" w:themeColor="text1"/>
                <w:sz w:val="24"/>
                <w14:textFill>
                  <w14:solidFill>
                    <w14:schemeClr w14:val="tx1"/>
                  </w14:solidFill>
                </w14:textFill>
              </w:rPr>
              <w:t>— i声源在T 时段内的运行时间，s。</w:t>
            </w:r>
          </w:p>
          <w:p>
            <w:pPr>
              <w:spacing w:line="360" w:lineRule="auto"/>
              <w:ind w:firstLine="480" w:firstLineChars="200"/>
              <w:rPr>
                <w:color w:val="000000" w:themeColor="text1"/>
                <w:kern w:val="0"/>
                <w:sz w:val="24"/>
                <w14:textFill>
                  <w14:solidFill>
                    <w14:schemeClr w14:val="tx1"/>
                  </w14:solidFill>
                </w14:textFill>
              </w:rPr>
            </w:pPr>
            <w:r>
              <w:rPr>
                <w:rFonts w:hint="eastAsia" w:ascii="宋体" w:cs="宋体"/>
                <w:color w:val="000000" w:themeColor="text1"/>
                <w:sz w:val="24"/>
                <w14:textFill>
                  <w14:solidFill>
                    <w14:schemeClr w14:val="tx1"/>
                  </w14:solidFill>
                </w14:textFill>
              </w:rPr>
              <w:t>②</w:t>
            </w:r>
            <w:r>
              <w:rPr>
                <w:color w:val="000000" w:themeColor="text1"/>
                <w:sz w:val="24"/>
                <w14:textFill>
                  <w14:solidFill>
                    <w14:schemeClr w14:val="tx1"/>
                  </w14:solidFill>
                </w14:textFill>
              </w:rPr>
              <w:t xml:space="preserve"> </w:t>
            </w:r>
            <w:r>
              <w:rPr>
                <w:color w:val="000000" w:themeColor="text1"/>
                <w:kern w:val="0"/>
                <w:sz w:val="24"/>
                <w14:textFill>
                  <w14:solidFill>
                    <w14:schemeClr w14:val="tx1"/>
                  </w14:solidFill>
                </w14:textFill>
              </w:rPr>
              <w:t>预测点的预测</w:t>
            </w:r>
            <w:r>
              <w:rPr>
                <w:color w:val="000000" w:themeColor="text1"/>
                <w:sz w:val="24"/>
                <w14:textFill>
                  <w14:solidFill>
                    <w14:schemeClr w14:val="tx1"/>
                  </w14:solidFill>
                </w14:textFill>
              </w:rPr>
              <w:t>等效</w:t>
            </w:r>
            <w:r>
              <w:rPr>
                <w:color w:val="000000" w:themeColor="text1"/>
                <w:kern w:val="0"/>
                <w:sz w:val="24"/>
                <w14:textFill>
                  <w14:solidFill>
                    <w14:schemeClr w14:val="tx1"/>
                  </w14:solidFill>
                </w14:textFill>
              </w:rPr>
              <w:t>声级</w:t>
            </w:r>
            <w:r>
              <w:rPr>
                <w:rFonts w:hint="eastAsia"/>
                <w:color w:val="000000" w:themeColor="text1"/>
                <w:kern w:val="0"/>
                <w:sz w:val="24"/>
                <w14:textFill>
                  <w14:solidFill>
                    <w14:schemeClr w14:val="tx1"/>
                  </w14:solidFill>
                </w14:textFill>
              </w:rPr>
              <w:t>（</w:t>
            </w:r>
            <w:r>
              <w:rPr>
                <w:i/>
                <w:iCs/>
                <w:color w:val="000000" w:themeColor="text1"/>
                <w:kern w:val="0"/>
                <w:sz w:val="24"/>
                <w14:textFill>
                  <w14:solidFill>
                    <w14:schemeClr w14:val="tx1"/>
                  </w14:solidFill>
                </w14:textFill>
              </w:rPr>
              <w:t xml:space="preserve">L eq </w:t>
            </w:r>
            <w:r>
              <w:rPr>
                <w:rFonts w:hint="eastAsia"/>
                <w:color w:val="000000" w:themeColor="text1"/>
                <w:kern w:val="0"/>
                <w:sz w:val="24"/>
                <w14:textFill>
                  <w14:solidFill>
                    <w14:schemeClr w14:val="tx1"/>
                  </w14:solidFill>
                </w14:textFill>
              </w:rPr>
              <w:t>）</w:t>
            </w:r>
            <w:r>
              <w:rPr>
                <w:color w:val="000000" w:themeColor="text1"/>
                <w:kern w:val="0"/>
                <w:sz w:val="24"/>
                <w14:textFill>
                  <w14:solidFill>
                    <w14:schemeClr w14:val="tx1"/>
                  </w14:solidFill>
                </w14:textFill>
              </w:rPr>
              <w:t>计算公式</w:t>
            </w:r>
          </w:p>
          <w:p>
            <w:pPr>
              <w:spacing w:line="360" w:lineRule="auto"/>
              <w:jc w:val="center"/>
              <w:rPr>
                <w:color w:val="000000" w:themeColor="text1"/>
                <w:sz w:val="24"/>
                <w14:textFill>
                  <w14:solidFill>
                    <w14:schemeClr w14:val="tx1"/>
                  </w14:solidFill>
                </w14:textFill>
              </w:rPr>
            </w:pPr>
            <w:r>
              <w:rPr>
                <w:color w:val="000000" w:themeColor="text1"/>
                <w:position w:val="-14"/>
                <w:sz w:val="24"/>
                <w14:textFill>
                  <w14:solidFill>
                    <w14:schemeClr w14:val="tx1"/>
                  </w14:solidFill>
                </w14:textFill>
              </w:rPr>
              <w:object>
                <v:shape id="_x0000_i1028" o:spt="75" type="#_x0000_t75" style="height:21.3pt;width:150.25pt;" o:ole="t" filled="f" o:preferrelative="t" stroked="f" coordsize="21600,21600">
                  <v:path/>
                  <v:fill on="f" focussize="0,0"/>
                  <v:stroke on="f" joinstyle="miter"/>
                  <v:imagedata r:id="rId18" o:title="7085883701556505032527"/>
                  <o:lock v:ext="edit" aspectratio="t"/>
                  <w10:wrap type="none"/>
                  <w10:anchorlock/>
                </v:shape>
                <o:OLEObject Type="Embed" ProgID="Equation.3" ShapeID="_x0000_i1028" DrawAspect="Content" ObjectID="_1468075728" r:id="rId17">
                  <o:LockedField>false</o:LockedField>
                </o:OLEObject>
              </w:object>
            </w:r>
          </w:p>
          <w:p>
            <w:pPr>
              <w:spacing w:line="360" w:lineRule="auto"/>
              <w:ind w:firstLine="480" w:firstLineChars="200"/>
              <w:rPr>
                <w:color w:val="000000" w:themeColor="text1"/>
                <w:kern w:val="0"/>
                <w:sz w:val="24"/>
                <w14:textFill>
                  <w14:solidFill>
                    <w14:schemeClr w14:val="tx1"/>
                  </w14:solidFill>
                </w14:textFill>
              </w:rPr>
            </w:pPr>
            <w:r>
              <w:rPr>
                <w:color w:val="000000" w:themeColor="text1"/>
                <w:kern w:val="0"/>
                <w:sz w:val="24"/>
                <w14:textFill>
                  <w14:solidFill>
                    <w14:schemeClr w14:val="tx1"/>
                  </w14:solidFill>
                </w14:textFill>
              </w:rPr>
              <w:t>式中：</w:t>
            </w:r>
            <w:r>
              <w:rPr>
                <w:i/>
                <w:iCs/>
                <w:color w:val="000000" w:themeColor="text1"/>
                <w:kern w:val="0"/>
                <w:sz w:val="24"/>
                <w14:textFill>
                  <w14:solidFill>
                    <w14:schemeClr w14:val="tx1"/>
                  </w14:solidFill>
                </w14:textFill>
              </w:rPr>
              <w:t>L</w:t>
            </w:r>
            <w:r>
              <w:rPr>
                <w:i/>
                <w:iCs/>
                <w:color w:val="000000" w:themeColor="text1"/>
                <w:kern w:val="0"/>
                <w:sz w:val="24"/>
                <w:vertAlign w:val="subscript"/>
                <w14:textFill>
                  <w14:solidFill>
                    <w14:schemeClr w14:val="tx1"/>
                  </w14:solidFill>
                </w14:textFill>
              </w:rPr>
              <w:t xml:space="preserve"> eq g</w:t>
            </w:r>
            <w:r>
              <w:rPr>
                <w:i/>
                <w:iCs/>
                <w:color w:val="000000" w:themeColor="text1"/>
                <w:kern w:val="0"/>
                <w:sz w:val="24"/>
                <w14:textFill>
                  <w14:solidFill>
                    <w14:schemeClr w14:val="tx1"/>
                  </w14:solidFill>
                </w14:textFill>
              </w:rPr>
              <w:t xml:space="preserve"> </w:t>
            </w:r>
            <w:r>
              <w:rPr>
                <w:color w:val="000000" w:themeColor="text1"/>
                <w:kern w:val="0"/>
                <w:sz w:val="24"/>
                <w14:textFill>
                  <w14:solidFill>
                    <w14:schemeClr w14:val="tx1"/>
                  </w14:solidFill>
                </w14:textFill>
              </w:rPr>
              <w:t>—建设项目声源在预测点的</w:t>
            </w:r>
            <w:r>
              <w:rPr>
                <w:color w:val="000000" w:themeColor="text1"/>
                <w:sz w:val="24"/>
                <w14:textFill>
                  <w14:solidFill>
                    <w14:schemeClr w14:val="tx1"/>
                  </w14:solidFill>
                </w14:textFill>
              </w:rPr>
              <w:t>等效</w:t>
            </w:r>
            <w:r>
              <w:rPr>
                <w:color w:val="000000" w:themeColor="text1"/>
                <w:kern w:val="0"/>
                <w:sz w:val="24"/>
                <w14:textFill>
                  <w14:solidFill>
                    <w14:schemeClr w14:val="tx1"/>
                  </w14:solidFill>
                </w14:textFill>
              </w:rPr>
              <w:t>声级贡献值，dB</w:t>
            </w:r>
            <w:r>
              <w:rPr>
                <w:rFonts w:hint="eastAsia"/>
                <w:color w:val="000000" w:themeColor="text1"/>
                <w:kern w:val="0"/>
                <w:sz w:val="24"/>
                <w14:textFill>
                  <w14:solidFill>
                    <w14:schemeClr w14:val="tx1"/>
                  </w14:solidFill>
                </w14:textFill>
              </w:rPr>
              <w:t>（</w:t>
            </w:r>
            <w:r>
              <w:rPr>
                <w:color w:val="000000" w:themeColor="text1"/>
                <w:kern w:val="0"/>
                <w:sz w:val="24"/>
                <w14:textFill>
                  <w14:solidFill>
                    <w14:schemeClr w14:val="tx1"/>
                  </w14:solidFill>
                </w14:textFill>
              </w:rPr>
              <w:t>A</w:t>
            </w:r>
            <w:r>
              <w:rPr>
                <w:rFonts w:hint="eastAsia"/>
                <w:color w:val="000000" w:themeColor="text1"/>
                <w:kern w:val="0"/>
                <w:sz w:val="24"/>
                <w14:textFill>
                  <w14:solidFill>
                    <w14:schemeClr w14:val="tx1"/>
                  </w14:solidFill>
                </w14:textFill>
              </w:rPr>
              <w:t>）</w:t>
            </w:r>
            <w:r>
              <w:rPr>
                <w:color w:val="000000" w:themeColor="text1"/>
                <w:kern w:val="0"/>
                <w:sz w:val="24"/>
                <w14:textFill>
                  <w14:solidFill>
                    <w14:schemeClr w14:val="tx1"/>
                  </w14:solidFill>
                </w14:textFill>
              </w:rPr>
              <w:t>；</w:t>
            </w:r>
          </w:p>
          <w:p>
            <w:pPr>
              <w:spacing w:line="360" w:lineRule="auto"/>
              <w:ind w:firstLine="1200" w:firstLineChars="500"/>
              <w:rPr>
                <w:color w:val="000000" w:themeColor="text1"/>
                <w:kern w:val="0"/>
                <w:sz w:val="24"/>
                <w14:textFill>
                  <w14:solidFill>
                    <w14:schemeClr w14:val="tx1"/>
                  </w14:solidFill>
                </w14:textFill>
              </w:rPr>
            </w:pPr>
            <w:r>
              <w:rPr>
                <w:i/>
                <w:iCs/>
                <w:color w:val="000000" w:themeColor="text1"/>
                <w:kern w:val="0"/>
                <w:sz w:val="24"/>
                <w14:textFill>
                  <w14:solidFill>
                    <w14:schemeClr w14:val="tx1"/>
                  </w14:solidFill>
                </w14:textFill>
              </w:rPr>
              <w:t>L</w:t>
            </w:r>
            <w:r>
              <w:rPr>
                <w:i/>
                <w:iCs/>
                <w:color w:val="000000" w:themeColor="text1"/>
                <w:kern w:val="0"/>
                <w:sz w:val="24"/>
                <w:vertAlign w:val="subscript"/>
                <w14:textFill>
                  <w14:solidFill>
                    <w14:schemeClr w14:val="tx1"/>
                  </w14:solidFill>
                </w14:textFill>
              </w:rPr>
              <w:t xml:space="preserve"> eqb</w:t>
            </w:r>
            <w:r>
              <w:rPr>
                <w:i/>
                <w:iCs/>
                <w:color w:val="000000" w:themeColor="text1"/>
                <w:kern w:val="0"/>
                <w:sz w:val="24"/>
                <w14:textFill>
                  <w14:solidFill>
                    <w14:schemeClr w14:val="tx1"/>
                  </w14:solidFill>
                </w14:textFill>
              </w:rPr>
              <w:t xml:space="preserve"> </w:t>
            </w:r>
            <w:r>
              <w:rPr>
                <w:color w:val="000000" w:themeColor="text1"/>
                <w:kern w:val="0"/>
                <w:sz w:val="24"/>
                <w14:textFill>
                  <w14:solidFill>
                    <w14:schemeClr w14:val="tx1"/>
                  </w14:solidFill>
                </w14:textFill>
              </w:rPr>
              <w:t>— 预测点的</w:t>
            </w:r>
            <w:r>
              <w:rPr>
                <w:color w:val="000000" w:themeColor="text1"/>
                <w:sz w:val="24"/>
                <w14:textFill>
                  <w14:solidFill>
                    <w14:schemeClr w14:val="tx1"/>
                  </w14:solidFill>
                </w14:textFill>
              </w:rPr>
              <w:t>背景值</w:t>
            </w:r>
            <w:r>
              <w:rPr>
                <w:color w:val="000000" w:themeColor="text1"/>
                <w:kern w:val="0"/>
                <w:sz w:val="24"/>
                <w14:textFill>
                  <w14:solidFill>
                    <w14:schemeClr w14:val="tx1"/>
                  </w14:solidFill>
                </w14:textFill>
              </w:rPr>
              <w:t>，dB</w:t>
            </w:r>
            <w:r>
              <w:rPr>
                <w:rFonts w:hint="eastAsia"/>
                <w:color w:val="000000" w:themeColor="text1"/>
                <w:kern w:val="0"/>
                <w:sz w:val="24"/>
                <w14:textFill>
                  <w14:solidFill>
                    <w14:schemeClr w14:val="tx1"/>
                  </w14:solidFill>
                </w14:textFill>
              </w:rPr>
              <w:t>（</w:t>
            </w:r>
            <w:r>
              <w:rPr>
                <w:color w:val="000000" w:themeColor="text1"/>
                <w:kern w:val="0"/>
                <w:sz w:val="24"/>
                <w14:textFill>
                  <w14:solidFill>
                    <w14:schemeClr w14:val="tx1"/>
                  </w14:solidFill>
                </w14:textFill>
              </w:rPr>
              <w:t>A</w:t>
            </w:r>
            <w:r>
              <w:rPr>
                <w:rFonts w:hint="eastAsia"/>
                <w:color w:val="000000" w:themeColor="text1"/>
                <w:kern w:val="0"/>
                <w:sz w:val="24"/>
                <w14:textFill>
                  <w14:solidFill>
                    <w14:schemeClr w14:val="tx1"/>
                  </w14:solidFill>
                </w14:textFill>
              </w:rPr>
              <w:t>）</w:t>
            </w:r>
          </w:p>
          <w:p>
            <w:pPr>
              <w:spacing w:line="360" w:lineRule="auto"/>
              <w:ind w:firstLine="480" w:firstLineChars="200"/>
              <w:rPr>
                <w:color w:val="000000" w:themeColor="text1"/>
                <w:sz w:val="24"/>
                <w14:textFill>
                  <w14:solidFill>
                    <w14:schemeClr w14:val="tx1"/>
                  </w14:solidFill>
                </w14:textFill>
              </w:rPr>
            </w:pPr>
            <w:r>
              <w:rPr>
                <w:rFonts w:hint="eastAsia" w:ascii="宋体" w:cs="宋体"/>
                <w:color w:val="000000" w:themeColor="text1"/>
                <w:sz w:val="24"/>
                <w14:textFill>
                  <w14:solidFill>
                    <w14:schemeClr w14:val="tx1"/>
                  </w14:solidFill>
                </w14:textFill>
              </w:rPr>
              <w:t>③</w:t>
            </w:r>
            <w:r>
              <w:rPr>
                <w:color w:val="000000" w:themeColor="text1"/>
                <w:sz w:val="24"/>
                <w14:textFill>
                  <w14:solidFill>
                    <w14:schemeClr w14:val="tx1"/>
                  </w14:solidFill>
                </w14:textFill>
              </w:rPr>
              <w:t xml:space="preserve"> 户外声传播衰减计算</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a.户外声传播衰减包括几何发散（</w:t>
            </w:r>
            <w:r>
              <w:rPr>
                <w:i/>
                <w:color w:val="000000" w:themeColor="text1"/>
                <w:sz w:val="24"/>
                <w14:textFill>
                  <w14:solidFill>
                    <w14:schemeClr w14:val="tx1"/>
                  </w14:solidFill>
                </w14:textFill>
              </w:rPr>
              <w:t>A</w:t>
            </w:r>
            <w:r>
              <w:rPr>
                <w:color w:val="000000" w:themeColor="text1"/>
                <w:sz w:val="24"/>
                <w:vertAlign w:val="subscript"/>
                <w14:textFill>
                  <w14:solidFill>
                    <w14:schemeClr w14:val="tx1"/>
                  </w14:solidFill>
                </w14:textFill>
              </w:rPr>
              <w:t>div</w:t>
            </w:r>
            <w:r>
              <w:rPr>
                <w:color w:val="000000" w:themeColor="text1"/>
                <w:sz w:val="24"/>
                <w14:textFill>
                  <w14:solidFill>
                    <w14:schemeClr w14:val="tx1"/>
                  </w14:solidFill>
                </w14:textFill>
              </w:rPr>
              <w:t>）、大气吸收（</w:t>
            </w:r>
            <w:r>
              <w:rPr>
                <w:i/>
                <w:color w:val="000000" w:themeColor="text1"/>
                <w:sz w:val="24"/>
                <w14:textFill>
                  <w14:solidFill>
                    <w14:schemeClr w14:val="tx1"/>
                  </w14:solidFill>
                </w14:textFill>
              </w:rPr>
              <w:t>A</w:t>
            </w:r>
            <w:r>
              <w:rPr>
                <w:color w:val="000000" w:themeColor="text1"/>
                <w:sz w:val="24"/>
                <w:vertAlign w:val="subscript"/>
                <w14:textFill>
                  <w14:solidFill>
                    <w14:schemeClr w14:val="tx1"/>
                  </w14:solidFill>
                </w14:textFill>
              </w:rPr>
              <w:t>atm</w:t>
            </w:r>
            <w:r>
              <w:rPr>
                <w:color w:val="000000" w:themeColor="text1"/>
                <w:sz w:val="24"/>
                <w14:textFill>
                  <w14:solidFill>
                    <w14:schemeClr w14:val="tx1"/>
                  </w14:solidFill>
                </w14:textFill>
              </w:rPr>
              <w:t>）、地面效应（</w:t>
            </w:r>
            <w:r>
              <w:rPr>
                <w:i/>
                <w:color w:val="000000" w:themeColor="text1"/>
                <w:sz w:val="24"/>
                <w14:textFill>
                  <w14:solidFill>
                    <w14:schemeClr w14:val="tx1"/>
                  </w14:solidFill>
                </w14:textFill>
              </w:rPr>
              <w:t>A</w:t>
            </w:r>
            <w:r>
              <w:rPr>
                <w:color w:val="000000" w:themeColor="text1"/>
                <w:sz w:val="24"/>
                <w:vertAlign w:val="subscript"/>
                <w14:textFill>
                  <w14:solidFill>
                    <w14:schemeClr w14:val="tx1"/>
                  </w14:solidFill>
                </w14:textFill>
              </w:rPr>
              <w:t>gr</w:t>
            </w:r>
            <w:r>
              <w:rPr>
                <w:color w:val="000000" w:themeColor="text1"/>
                <w:sz w:val="24"/>
                <w14:textFill>
                  <w14:solidFill>
                    <w14:schemeClr w14:val="tx1"/>
                  </w14:solidFill>
                </w14:textFill>
              </w:rPr>
              <w:t>）、屏障屏蔽（</w:t>
            </w:r>
            <w:r>
              <w:rPr>
                <w:i/>
                <w:color w:val="000000" w:themeColor="text1"/>
                <w:sz w:val="24"/>
                <w14:textFill>
                  <w14:solidFill>
                    <w14:schemeClr w14:val="tx1"/>
                  </w14:solidFill>
                </w14:textFill>
              </w:rPr>
              <w:t>A</w:t>
            </w:r>
            <w:r>
              <w:rPr>
                <w:color w:val="000000" w:themeColor="text1"/>
                <w:sz w:val="24"/>
                <w:vertAlign w:val="subscript"/>
                <w14:textFill>
                  <w14:solidFill>
                    <w14:schemeClr w14:val="tx1"/>
                  </w14:solidFill>
                </w14:textFill>
              </w:rPr>
              <w:t>bar</w:t>
            </w:r>
            <w:r>
              <w:rPr>
                <w:color w:val="000000" w:themeColor="text1"/>
                <w:sz w:val="24"/>
                <w14:textFill>
                  <w14:solidFill>
                    <w14:schemeClr w14:val="tx1"/>
                  </w14:solidFill>
                </w14:textFill>
              </w:rPr>
              <w:t>）、其他多方面效应（</w:t>
            </w:r>
            <w:r>
              <w:rPr>
                <w:i/>
                <w:color w:val="000000" w:themeColor="text1"/>
                <w:sz w:val="24"/>
                <w14:textFill>
                  <w14:solidFill>
                    <w14:schemeClr w14:val="tx1"/>
                  </w14:solidFill>
                </w14:textFill>
              </w:rPr>
              <w:t>A</w:t>
            </w:r>
            <w:r>
              <w:rPr>
                <w:color w:val="000000" w:themeColor="text1"/>
                <w:sz w:val="24"/>
                <w:vertAlign w:val="subscript"/>
                <w14:textFill>
                  <w14:solidFill>
                    <w14:schemeClr w14:val="tx1"/>
                  </w14:solidFill>
                </w14:textFill>
              </w:rPr>
              <w:t>misc</w:t>
            </w:r>
            <w:r>
              <w:rPr>
                <w:color w:val="000000" w:themeColor="text1"/>
                <w:sz w:val="24"/>
                <w14:textFill>
                  <w14:solidFill>
                    <w14:schemeClr w14:val="tx1"/>
                  </w14:solidFill>
                </w14:textFill>
              </w:rPr>
              <w:t>）引起的衰减。在已知距离无指向性点声源参考点 r</w:t>
            </w:r>
            <w:r>
              <w:rPr>
                <w:color w:val="000000" w:themeColor="text1"/>
                <w:sz w:val="24"/>
                <w:vertAlign w:val="subscript"/>
                <w14:textFill>
                  <w14:solidFill>
                    <w14:schemeClr w14:val="tx1"/>
                  </w14:solidFill>
                </w14:textFill>
              </w:rPr>
              <w:t>0</w:t>
            </w:r>
            <w:r>
              <w:rPr>
                <w:color w:val="000000" w:themeColor="text1"/>
                <w:sz w:val="24"/>
                <w14:textFill>
                  <w14:solidFill>
                    <w14:schemeClr w14:val="tx1"/>
                  </w14:solidFill>
                </w14:textFill>
              </w:rPr>
              <w:t>处的倍频带（用 63Hz 到8KHz 的 8 个标称倍频带中心频率）声压级</w:t>
            </w:r>
            <w:r>
              <w:rPr>
                <w:i/>
                <w:color w:val="000000" w:themeColor="text1"/>
                <w:sz w:val="24"/>
                <w14:textFill>
                  <w14:solidFill>
                    <w14:schemeClr w14:val="tx1"/>
                  </w14:solidFill>
                </w14:textFill>
              </w:rPr>
              <w:t>L</w:t>
            </w:r>
            <w:r>
              <w:rPr>
                <w:i/>
                <w:color w:val="000000" w:themeColor="text1"/>
                <w:sz w:val="24"/>
                <w:vertAlign w:val="subscript"/>
                <w14:textFill>
                  <w14:solidFill>
                    <w14:schemeClr w14:val="tx1"/>
                  </w14:solidFill>
                </w14:textFill>
              </w:rPr>
              <w:t>p</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r</w:t>
            </w:r>
            <w:r>
              <w:rPr>
                <w:color w:val="000000" w:themeColor="text1"/>
                <w:sz w:val="24"/>
                <w:vertAlign w:val="subscript"/>
                <w14:textFill>
                  <w14:solidFill>
                    <w14:schemeClr w14:val="tx1"/>
                  </w14:solidFill>
                </w14:textFill>
              </w:rPr>
              <w:t>0</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和计算出参考点</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r</w:t>
            </w:r>
            <w:r>
              <w:rPr>
                <w:color w:val="000000" w:themeColor="text1"/>
                <w:sz w:val="24"/>
                <w:vertAlign w:val="subscript"/>
                <w14:textFill>
                  <w14:solidFill>
                    <w14:schemeClr w14:val="tx1"/>
                  </w14:solidFill>
                </w14:textFill>
              </w:rPr>
              <w:t>0</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和预测点</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r</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处之间的户外声传播衰减后，预测点 8 个倍频带声压级可用下式计算：</w:t>
            </w:r>
          </w:p>
          <w:p>
            <w:pPr>
              <w:spacing w:before="60" w:after="60" w:line="360" w:lineRule="auto"/>
              <w:jc w:val="center"/>
              <w:rPr>
                <w:color w:val="000000" w:themeColor="text1"/>
                <w:sz w:val="24"/>
                <w14:textFill>
                  <w14:solidFill>
                    <w14:schemeClr w14:val="tx1"/>
                  </w14:solidFill>
                </w14:textFill>
              </w:rPr>
            </w:pPr>
            <w:r>
              <w:rPr>
                <w:color w:val="000000" w:themeColor="text1"/>
                <w:position w:val="-14"/>
                <w:sz w:val="24"/>
                <w14:textFill>
                  <w14:solidFill>
                    <w14:schemeClr w14:val="tx1"/>
                  </w14:solidFill>
                </w14:textFill>
              </w:rPr>
              <w:object>
                <v:shape id="_x0000_i1029" o:spt="75" type="#_x0000_t75" style="height:18.8pt;width:226pt;" o:ole="t" filled="f" o:preferrelative="t" stroked="f" coordsize="21600,21600">
                  <v:path/>
                  <v:fill on="f" focussize="0,0"/>
                  <v:stroke on="f" joinstyle="miter"/>
                  <v:imagedata r:id="rId20" o:title="4841332301556505032532"/>
                  <o:lock v:ext="edit" aspectratio="t"/>
                  <w10:wrap type="none"/>
                  <w10:anchorlock/>
                </v:shape>
                <o:OLEObject Type="Embed" ProgID="Equation.3" ShapeID="_x0000_i1029" DrawAspect="Content" ObjectID="_1468075729" r:id="rId19">
                  <o:LockedField>false</o:LockedField>
                </o:OLEObject>
              </w:objec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b.预测点的A声级</w:t>
            </w:r>
            <w:r>
              <w:rPr>
                <w:i/>
                <w:color w:val="000000" w:themeColor="text1"/>
                <w:sz w:val="24"/>
                <w14:textFill>
                  <w14:solidFill>
                    <w14:schemeClr w14:val="tx1"/>
                  </w14:solidFill>
                </w14:textFill>
              </w:rPr>
              <w:t>L</w:t>
            </w:r>
            <w:r>
              <w:rPr>
                <w:i/>
                <w:color w:val="000000" w:themeColor="text1"/>
                <w:sz w:val="24"/>
                <w:vertAlign w:val="subscript"/>
                <w14:textFill>
                  <w14:solidFill>
                    <w14:schemeClr w14:val="tx1"/>
                  </w14:solidFill>
                </w14:textFill>
              </w:rPr>
              <w:t>A</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r</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可按下式计算，即将8个倍频带声压级合成，计算出预测点的A声级</w:t>
            </w:r>
            <w:r>
              <w:rPr>
                <w:rFonts w:hint="eastAsia"/>
                <w:color w:val="000000" w:themeColor="text1"/>
                <w:sz w:val="24"/>
                <w14:textFill>
                  <w14:solidFill>
                    <w14:schemeClr w14:val="tx1"/>
                  </w14:solidFill>
                </w14:textFill>
              </w:rPr>
              <w:t>（</w:t>
            </w:r>
            <w:r>
              <w:rPr>
                <w:i/>
                <w:color w:val="000000" w:themeColor="text1"/>
                <w:sz w:val="24"/>
                <w14:textFill>
                  <w14:solidFill>
                    <w14:schemeClr w14:val="tx1"/>
                  </w14:solidFill>
                </w14:textFill>
              </w:rPr>
              <w:t>L</w:t>
            </w:r>
            <w:r>
              <w:rPr>
                <w:i/>
                <w:color w:val="000000" w:themeColor="text1"/>
                <w:sz w:val="24"/>
                <w:vertAlign w:val="subscript"/>
                <w14:textFill>
                  <w14:solidFill>
                    <w14:schemeClr w14:val="tx1"/>
                  </w14:solidFill>
                </w14:textFill>
              </w:rPr>
              <w:t>A</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r</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w:t>
            </w:r>
          </w:p>
          <w:p>
            <w:pPr>
              <w:spacing w:line="360" w:lineRule="auto"/>
              <w:ind w:firstLine="480" w:firstLineChars="200"/>
              <w:jc w:val="center"/>
              <w:rPr>
                <w:color w:val="000000" w:themeColor="text1"/>
                <w:sz w:val="24"/>
                <w14:textFill>
                  <w14:solidFill>
                    <w14:schemeClr w14:val="tx1"/>
                  </w14:solidFill>
                </w14:textFill>
              </w:rPr>
            </w:pPr>
            <w:r>
              <w:rPr>
                <w:color w:val="000000" w:themeColor="text1"/>
                <w:position w:val="-30"/>
                <w:sz w:val="24"/>
                <w14:textFill>
                  <w14:solidFill>
                    <w14:schemeClr w14:val="tx1"/>
                  </w14:solidFill>
                </w14:textFill>
              </w:rPr>
              <w:object>
                <v:shape id="_x0000_i1030" o:spt="75" alt="9572276721556505032536" type="#_x0000_t75" style="height:38.2pt;width:142.75pt;" o:ole="t" filled="f" o:preferrelative="t" stroked="f" coordsize="21600,21600">
                  <v:path/>
                  <v:fill on="f" focussize="0,0"/>
                  <v:stroke on="f" joinstyle="miter"/>
                  <v:imagedata r:id="rId22" o:title=""/>
                  <o:lock v:ext="edit" aspectratio="t"/>
                  <w10:wrap type="none"/>
                  <w10:anchorlock/>
                </v:shape>
                <o:OLEObject Type="Embed" ProgID="Equation.3" ShapeID="_x0000_i1030" DrawAspect="Content" ObjectID="_1468075730" r:id="rId21">
                  <o:LockedField>false</o:LockedField>
                </o:OLEObject>
              </w:objec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式中：</w:t>
            </w:r>
            <w:r>
              <w:rPr>
                <w:i/>
                <w:color w:val="000000" w:themeColor="text1"/>
                <w:sz w:val="24"/>
                <w14:textFill>
                  <w14:solidFill>
                    <w14:schemeClr w14:val="tx1"/>
                  </w14:solidFill>
                </w14:textFill>
              </w:rPr>
              <w:t>L</w:t>
            </w:r>
            <w:r>
              <w:rPr>
                <w:i/>
                <w:color w:val="000000" w:themeColor="text1"/>
                <w:sz w:val="24"/>
                <w:vertAlign w:val="subscript"/>
                <w14:textFill>
                  <w14:solidFill>
                    <w14:schemeClr w14:val="tx1"/>
                  </w14:solidFill>
                </w14:textFill>
              </w:rPr>
              <w:t xml:space="preserve"> </w:t>
            </w:r>
            <w:r>
              <w:rPr>
                <w:color w:val="000000" w:themeColor="text1"/>
                <w:sz w:val="24"/>
                <w:vertAlign w:val="subscript"/>
                <w14:textFill>
                  <w14:solidFill>
                    <w14:schemeClr w14:val="tx1"/>
                  </w14:solidFill>
                </w14:textFill>
              </w:rPr>
              <w:t>Pi</w:t>
            </w:r>
            <w:r>
              <w:rPr>
                <w:color w:val="000000" w:themeColor="text1"/>
                <w:sz w:val="24"/>
                <w14:textFill>
                  <w14:solidFill>
                    <w14:schemeClr w14:val="tx1"/>
                  </w14:solidFill>
                </w14:textFill>
              </w:rPr>
              <w:t xml:space="preserve"> </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r</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—预测点（r）处，第</w:t>
            </w:r>
            <w:r>
              <w:rPr>
                <w:i/>
                <w:color w:val="000000" w:themeColor="text1"/>
                <w:sz w:val="24"/>
                <w14:textFill>
                  <w14:solidFill>
                    <w14:schemeClr w14:val="tx1"/>
                  </w14:solidFill>
                </w14:textFill>
              </w:rPr>
              <w:t>i</w:t>
            </w:r>
            <w:r>
              <w:rPr>
                <w:color w:val="000000" w:themeColor="text1"/>
                <w:sz w:val="24"/>
                <w14:textFill>
                  <w14:solidFill>
                    <w14:schemeClr w14:val="tx1"/>
                  </w14:solidFill>
                </w14:textFill>
              </w:rPr>
              <w:t xml:space="preserve"> 倍频带声压级，dB；</w:t>
            </w:r>
          </w:p>
          <w:p>
            <w:pPr>
              <w:spacing w:line="360" w:lineRule="auto"/>
              <w:ind w:firstLine="1200" w:firstLineChars="500"/>
              <w:rPr>
                <w:color w:val="000000" w:themeColor="text1"/>
                <w:sz w:val="24"/>
                <w14:textFill>
                  <w14:solidFill>
                    <w14:schemeClr w14:val="tx1"/>
                  </w14:solidFill>
                </w14:textFill>
              </w:rPr>
            </w:pPr>
            <w:r>
              <w:rPr>
                <w:color w:val="000000" w:themeColor="text1"/>
                <w:sz w:val="24"/>
                <w14:textFill>
                  <w14:solidFill>
                    <w14:schemeClr w14:val="tx1"/>
                  </w14:solidFill>
                </w14:textFill>
              </w:rPr>
              <w:t>Δ</w:t>
            </w:r>
            <w:r>
              <w:rPr>
                <w:i/>
                <w:color w:val="000000" w:themeColor="text1"/>
                <w:sz w:val="24"/>
                <w14:textFill>
                  <w14:solidFill>
                    <w14:schemeClr w14:val="tx1"/>
                  </w14:solidFill>
                </w14:textFill>
              </w:rPr>
              <w:t>Li</w:t>
            </w:r>
            <w:r>
              <w:rPr>
                <w:color w:val="000000" w:themeColor="text1"/>
                <w:sz w:val="24"/>
                <w14:textFill>
                  <w14:solidFill>
                    <w14:schemeClr w14:val="tx1"/>
                  </w14:solidFill>
                </w14:textFill>
              </w:rPr>
              <w:t>—第</w:t>
            </w:r>
            <w:r>
              <w:rPr>
                <w:i/>
                <w:color w:val="000000" w:themeColor="text1"/>
                <w:sz w:val="24"/>
                <w14:textFill>
                  <w14:solidFill>
                    <w14:schemeClr w14:val="tx1"/>
                  </w14:solidFill>
                </w14:textFill>
              </w:rPr>
              <w:t>i</w:t>
            </w:r>
            <w:r>
              <w:rPr>
                <w:color w:val="000000" w:themeColor="text1"/>
                <w:sz w:val="24"/>
                <w14:textFill>
                  <w14:solidFill>
                    <w14:schemeClr w14:val="tx1"/>
                  </w14:solidFill>
                </w14:textFill>
              </w:rPr>
              <w:t>倍频带的 A计权网络修正值，dB。</w:t>
            </w:r>
          </w:p>
          <w:p>
            <w:pPr>
              <w:spacing w:line="360" w:lineRule="auto"/>
              <w:ind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（3</w:t>
            </w:r>
            <w:r>
              <w:rPr>
                <w:color w:val="000000" w:themeColor="text1"/>
                <w:sz w:val="24"/>
                <w14:textFill>
                  <w14:solidFill>
                    <w14:schemeClr w14:val="tx1"/>
                  </w14:solidFill>
                </w14:textFill>
              </w:rPr>
              <w:t>）预测结果及评价</w:t>
            </w:r>
          </w:p>
          <w:p>
            <w:pPr>
              <w:spacing w:line="360" w:lineRule="auto"/>
              <w:ind w:firstLine="480" w:firstLineChars="200"/>
              <w:rPr>
                <w:color w:val="000000" w:themeColor="text1"/>
                <w:spacing w:val="-2"/>
                <w:sz w:val="24"/>
                <w14:textFill>
                  <w14:solidFill>
                    <w14:schemeClr w14:val="tx1"/>
                  </w14:solidFill>
                </w14:textFill>
              </w:rPr>
            </w:pPr>
            <w:r>
              <w:rPr>
                <w:color w:val="000000" w:themeColor="text1"/>
                <w:sz w:val="24"/>
                <w14:textFill>
                  <w14:solidFill>
                    <w14:schemeClr w14:val="tx1"/>
                  </w14:solidFill>
                </w14:textFill>
              </w:rPr>
              <w:t>噪声在室外空间的传播，由于受到遮挡物的隔断，各种介质的吸收与反射，以及空气介质的吸收等物理作用而逐渐减弱。各声源与预测点间的距离表</w:t>
            </w:r>
            <w:r>
              <w:rPr>
                <w:rFonts w:hint="eastAsia"/>
                <w:color w:val="000000" w:themeColor="text1"/>
                <w:sz w:val="24"/>
                <w14:textFill>
                  <w14:solidFill>
                    <w14:schemeClr w14:val="tx1"/>
                  </w14:solidFill>
                </w14:textFill>
              </w:rPr>
              <w:t>7-</w:t>
            </w:r>
            <w:r>
              <w:rPr>
                <w:color w:val="000000" w:themeColor="text1"/>
                <w:sz w:val="24"/>
                <w14:textFill>
                  <w14:solidFill>
                    <w14:schemeClr w14:val="tx1"/>
                  </w14:solidFill>
                </w14:textFill>
              </w:rPr>
              <w:t>1</w:t>
            </w:r>
            <w:r>
              <w:rPr>
                <w:rFonts w:hint="eastAsia"/>
                <w:color w:val="000000" w:themeColor="text1"/>
                <w:sz w:val="24"/>
                <w:lang w:val="en-US" w:eastAsia="zh-CN"/>
                <w14:textFill>
                  <w14:solidFill>
                    <w14:schemeClr w14:val="tx1"/>
                  </w14:solidFill>
                </w14:textFill>
              </w:rPr>
              <w:t>8</w:t>
            </w:r>
            <w:r>
              <w:rPr>
                <w:rFonts w:hint="eastAsia"/>
                <w:color w:val="000000" w:themeColor="text1"/>
                <w:sz w:val="24"/>
                <w14:textFill>
                  <w14:solidFill>
                    <w14:schemeClr w14:val="tx1"/>
                  </w14:solidFill>
                </w14:textFill>
              </w:rPr>
              <w:t>，项目厂界噪声影响预测值详见表7-</w:t>
            </w:r>
            <w:r>
              <w:rPr>
                <w:color w:val="000000" w:themeColor="text1"/>
                <w:sz w:val="24"/>
                <w14:textFill>
                  <w14:solidFill>
                    <w14:schemeClr w14:val="tx1"/>
                  </w14:solidFill>
                </w14:textFill>
              </w:rPr>
              <w:t>1</w:t>
            </w:r>
            <w:r>
              <w:rPr>
                <w:rFonts w:hint="eastAsia"/>
                <w:color w:val="000000" w:themeColor="text1"/>
                <w:sz w:val="24"/>
                <w:lang w:val="en-US" w:eastAsia="zh-CN"/>
                <w14:textFill>
                  <w14:solidFill>
                    <w14:schemeClr w14:val="tx1"/>
                  </w14:solidFill>
                </w14:textFill>
              </w:rPr>
              <w:t>9</w:t>
            </w:r>
            <w:r>
              <w:rPr>
                <w:color w:val="000000" w:themeColor="text1"/>
                <w:spacing w:val="-2"/>
                <w:sz w:val="24"/>
                <w14:textFill>
                  <w14:solidFill>
                    <w14:schemeClr w14:val="tx1"/>
                  </w14:solidFill>
                </w14:textFill>
              </w:rPr>
              <w:t>。</w:t>
            </w:r>
          </w:p>
          <w:p>
            <w:pPr>
              <w:snapToGrid w:val="0"/>
              <w:spacing w:line="440" w:lineRule="exact"/>
              <w:jc w:val="center"/>
              <w:rPr>
                <w:b/>
                <w:sz w:val="24"/>
                <w:szCs w:val="24"/>
              </w:rPr>
            </w:pPr>
            <w:r>
              <w:rPr>
                <w:b/>
                <w:sz w:val="24"/>
                <w:szCs w:val="24"/>
              </w:rPr>
              <w:t>表7-1</w:t>
            </w:r>
            <w:r>
              <w:rPr>
                <w:rFonts w:hint="eastAsia"/>
                <w:b/>
                <w:sz w:val="24"/>
                <w:szCs w:val="24"/>
                <w:lang w:val="en-US" w:eastAsia="zh-CN"/>
              </w:rPr>
              <w:t>8</w:t>
            </w:r>
            <w:r>
              <w:rPr>
                <w:b/>
                <w:sz w:val="24"/>
                <w:szCs w:val="24"/>
              </w:rPr>
              <w:t xml:space="preserve"> 产噪车间</w:t>
            </w:r>
            <w:r>
              <w:rPr>
                <w:b/>
                <w:sz w:val="24"/>
              </w:rPr>
              <w:t>与厂界的距离</w:t>
            </w:r>
          </w:p>
          <w:tbl>
            <w:tblPr>
              <w:tblStyle w:val="17"/>
              <w:tblW w:w="0" w:type="auto"/>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851"/>
              <w:gridCol w:w="1625"/>
              <w:gridCol w:w="1006"/>
              <w:gridCol w:w="948"/>
              <w:gridCol w:w="969"/>
              <w:gridCol w:w="971"/>
              <w:gridCol w:w="971"/>
              <w:gridCol w:w="971"/>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851" w:type="dxa"/>
                  <w:tcMar>
                    <w:top w:w="28" w:type="dxa"/>
                    <w:left w:w="28" w:type="dxa"/>
                    <w:bottom w:w="28" w:type="dxa"/>
                    <w:right w:w="28" w:type="dxa"/>
                  </w:tcMar>
                  <w:vAlign w:val="center"/>
                </w:tcPr>
                <w:p>
                  <w:pPr>
                    <w:jc w:val="center"/>
                    <w:rPr>
                      <w:b/>
                      <w:snapToGrid w:val="0"/>
                      <w:kern w:val="0"/>
                      <w:szCs w:val="21"/>
                    </w:rPr>
                  </w:pPr>
                  <w:r>
                    <w:rPr>
                      <w:b/>
                      <w:snapToGrid w:val="0"/>
                      <w:kern w:val="0"/>
                      <w:szCs w:val="21"/>
                    </w:rPr>
                    <w:t>声源位置</w:t>
                  </w:r>
                </w:p>
              </w:tc>
              <w:tc>
                <w:tcPr>
                  <w:tcW w:w="1625" w:type="dxa"/>
                  <w:tcMar>
                    <w:top w:w="28" w:type="dxa"/>
                    <w:left w:w="28" w:type="dxa"/>
                    <w:bottom w:w="28" w:type="dxa"/>
                    <w:right w:w="28" w:type="dxa"/>
                  </w:tcMar>
                  <w:vAlign w:val="center"/>
                </w:tcPr>
                <w:p>
                  <w:pPr>
                    <w:jc w:val="center"/>
                    <w:rPr>
                      <w:b/>
                      <w:snapToGrid w:val="0"/>
                      <w:kern w:val="0"/>
                      <w:szCs w:val="21"/>
                    </w:rPr>
                  </w:pPr>
                  <w:r>
                    <w:rPr>
                      <w:b/>
                      <w:snapToGrid w:val="0"/>
                      <w:kern w:val="0"/>
                      <w:szCs w:val="21"/>
                    </w:rPr>
                    <w:t>噪声源</w:t>
                  </w:r>
                </w:p>
              </w:tc>
              <w:tc>
                <w:tcPr>
                  <w:tcW w:w="1006" w:type="dxa"/>
                  <w:tcMar>
                    <w:top w:w="28" w:type="dxa"/>
                    <w:left w:w="28" w:type="dxa"/>
                    <w:bottom w:w="28" w:type="dxa"/>
                    <w:right w:w="28" w:type="dxa"/>
                  </w:tcMar>
                  <w:vAlign w:val="center"/>
                </w:tcPr>
                <w:p>
                  <w:pPr>
                    <w:jc w:val="center"/>
                    <w:rPr>
                      <w:b/>
                      <w:snapToGrid w:val="0"/>
                      <w:kern w:val="0"/>
                      <w:szCs w:val="21"/>
                    </w:rPr>
                  </w:pPr>
                  <w:r>
                    <w:rPr>
                      <w:b/>
                      <w:snapToGrid w:val="0"/>
                      <w:kern w:val="0"/>
                      <w:szCs w:val="21"/>
                    </w:rPr>
                    <w:t>降噪后源强</w:t>
                  </w:r>
                </w:p>
              </w:tc>
              <w:tc>
                <w:tcPr>
                  <w:tcW w:w="948" w:type="dxa"/>
                  <w:tcMar>
                    <w:top w:w="28" w:type="dxa"/>
                    <w:left w:w="28" w:type="dxa"/>
                    <w:bottom w:w="28" w:type="dxa"/>
                    <w:right w:w="28" w:type="dxa"/>
                  </w:tcMar>
                  <w:vAlign w:val="center"/>
                </w:tcPr>
                <w:p>
                  <w:pPr>
                    <w:jc w:val="center"/>
                    <w:rPr>
                      <w:b/>
                      <w:snapToGrid w:val="0"/>
                      <w:kern w:val="0"/>
                      <w:szCs w:val="21"/>
                    </w:rPr>
                  </w:pPr>
                  <w:r>
                    <w:rPr>
                      <w:b/>
                      <w:snapToGrid w:val="0"/>
                      <w:kern w:val="0"/>
                      <w:szCs w:val="21"/>
                    </w:rPr>
                    <w:t>数量（台/套）</w:t>
                  </w:r>
                </w:p>
              </w:tc>
              <w:tc>
                <w:tcPr>
                  <w:tcW w:w="969" w:type="dxa"/>
                  <w:tcMar>
                    <w:top w:w="28" w:type="dxa"/>
                    <w:left w:w="28" w:type="dxa"/>
                    <w:bottom w:w="28" w:type="dxa"/>
                    <w:right w:w="28" w:type="dxa"/>
                  </w:tcMar>
                  <w:vAlign w:val="center"/>
                </w:tcPr>
                <w:p>
                  <w:pPr>
                    <w:jc w:val="center"/>
                    <w:rPr>
                      <w:b/>
                      <w:snapToGrid w:val="0"/>
                      <w:kern w:val="0"/>
                      <w:szCs w:val="21"/>
                    </w:rPr>
                  </w:pPr>
                  <w:r>
                    <w:rPr>
                      <w:b/>
                      <w:snapToGrid w:val="0"/>
                      <w:kern w:val="0"/>
                      <w:szCs w:val="21"/>
                    </w:rPr>
                    <w:t>东厂界</w:t>
                  </w:r>
                </w:p>
                <w:p>
                  <w:pPr>
                    <w:jc w:val="center"/>
                    <w:rPr>
                      <w:b/>
                      <w:snapToGrid w:val="0"/>
                      <w:kern w:val="0"/>
                      <w:szCs w:val="21"/>
                    </w:rPr>
                  </w:pPr>
                  <w:r>
                    <w:rPr>
                      <w:b/>
                      <w:snapToGrid w:val="0"/>
                      <w:kern w:val="0"/>
                      <w:szCs w:val="21"/>
                    </w:rPr>
                    <w:t>m</w:t>
                  </w:r>
                </w:p>
              </w:tc>
              <w:tc>
                <w:tcPr>
                  <w:tcW w:w="971" w:type="dxa"/>
                  <w:tcMar>
                    <w:top w:w="28" w:type="dxa"/>
                    <w:left w:w="28" w:type="dxa"/>
                    <w:bottom w:w="28" w:type="dxa"/>
                    <w:right w:w="28" w:type="dxa"/>
                  </w:tcMar>
                  <w:vAlign w:val="center"/>
                </w:tcPr>
                <w:p>
                  <w:pPr>
                    <w:jc w:val="center"/>
                    <w:rPr>
                      <w:b/>
                      <w:snapToGrid w:val="0"/>
                      <w:kern w:val="0"/>
                      <w:szCs w:val="21"/>
                    </w:rPr>
                  </w:pPr>
                  <w:r>
                    <w:rPr>
                      <w:b/>
                      <w:snapToGrid w:val="0"/>
                      <w:kern w:val="0"/>
                      <w:szCs w:val="21"/>
                    </w:rPr>
                    <w:t>南厂界</w:t>
                  </w:r>
                </w:p>
                <w:p>
                  <w:pPr>
                    <w:jc w:val="center"/>
                    <w:rPr>
                      <w:b/>
                      <w:snapToGrid w:val="0"/>
                      <w:kern w:val="0"/>
                      <w:szCs w:val="21"/>
                    </w:rPr>
                  </w:pPr>
                  <w:r>
                    <w:rPr>
                      <w:b/>
                      <w:snapToGrid w:val="0"/>
                      <w:kern w:val="0"/>
                      <w:szCs w:val="21"/>
                    </w:rPr>
                    <w:t>m</w:t>
                  </w:r>
                </w:p>
              </w:tc>
              <w:tc>
                <w:tcPr>
                  <w:tcW w:w="971" w:type="dxa"/>
                  <w:tcMar>
                    <w:top w:w="28" w:type="dxa"/>
                    <w:left w:w="28" w:type="dxa"/>
                    <w:bottom w:w="28" w:type="dxa"/>
                    <w:right w:w="28" w:type="dxa"/>
                  </w:tcMar>
                  <w:vAlign w:val="center"/>
                </w:tcPr>
                <w:p>
                  <w:pPr>
                    <w:jc w:val="center"/>
                    <w:rPr>
                      <w:b/>
                      <w:snapToGrid w:val="0"/>
                      <w:kern w:val="0"/>
                      <w:szCs w:val="21"/>
                    </w:rPr>
                  </w:pPr>
                  <w:r>
                    <w:rPr>
                      <w:b/>
                      <w:snapToGrid w:val="0"/>
                      <w:kern w:val="0"/>
                      <w:szCs w:val="21"/>
                    </w:rPr>
                    <w:t>西厂界</w:t>
                  </w:r>
                </w:p>
                <w:p>
                  <w:pPr>
                    <w:jc w:val="center"/>
                    <w:rPr>
                      <w:b/>
                      <w:snapToGrid w:val="0"/>
                      <w:kern w:val="0"/>
                      <w:szCs w:val="21"/>
                    </w:rPr>
                  </w:pPr>
                  <w:r>
                    <w:rPr>
                      <w:b/>
                      <w:snapToGrid w:val="0"/>
                      <w:kern w:val="0"/>
                      <w:szCs w:val="21"/>
                    </w:rPr>
                    <w:t>m</w:t>
                  </w:r>
                </w:p>
              </w:tc>
              <w:tc>
                <w:tcPr>
                  <w:tcW w:w="971" w:type="dxa"/>
                  <w:tcMar>
                    <w:top w:w="28" w:type="dxa"/>
                    <w:left w:w="28" w:type="dxa"/>
                    <w:bottom w:w="28" w:type="dxa"/>
                    <w:right w:w="28" w:type="dxa"/>
                  </w:tcMar>
                  <w:vAlign w:val="center"/>
                </w:tcPr>
                <w:p>
                  <w:pPr>
                    <w:jc w:val="center"/>
                    <w:rPr>
                      <w:b/>
                      <w:snapToGrid w:val="0"/>
                      <w:kern w:val="0"/>
                      <w:szCs w:val="21"/>
                    </w:rPr>
                  </w:pPr>
                  <w:r>
                    <w:rPr>
                      <w:b/>
                      <w:snapToGrid w:val="0"/>
                      <w:kern w:val="0"/>
                      <w:szCs w:val="21"/>
                    </w:rPr>
                    <w:t>北厂界</w:t>
                  </w:r>
                </w:p>
                <w:p>
                  <w:pPr>
                    <w:jc w:val="center"/>
                    <w:rPr>
                      <w:b/>
                      <w:snapToGrid w:val="0"/>
                      <w:kern w:val="0"/>
                      <w:szCs w:val="21"/>
                    </w:rPr>
                  </w:pPr>
                  <w:r>
                    <w:rPr>
                      <w:b/>
                      <w:snapToGrid w:val="0"/>
                      <w:kern w:val="0"/>
                      <w:szCs w:val="21"/>
                    </w:rPr>
                    <w:t>m</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52" w:hRule="atLeast"/>
                <w:jc w:val="center"/>
              </w:trPr>
              <w:tc>
                <w:tcPr>
                  <w:tcW w:w="851" w:type="dxa"/>
                  <w:tcMar>
                    <w:top w:w="28" w:type="dxa"/>
                    <w:left w:w="28" w:type="dxa"/>
                    <w:bottom w:w="28" w:type="dxa"/>
                    <w:right w:w="28" w:type="dxa"/>
                  </w:tcMar>
                  <w:vAlign w:val="center"/>
                </w:tcPr>
                <w:p>
                  <w:pPr>
                    <w:widowControl/>
                    <w:jc w:val="center"/>
                    <w:textAlignment w:val="center"/>
                    <w:rPr>
                      <w:snapToGrid w:val="0"/>
                      <w:kern w:val="0"/>
                      <w:szCs w:val="21"/>
                    </w:rPr>
                  </w:pPr>
                  <w:r>
                    <w:rPr>
                      <w:szCs w:val="21"/>
                    </w:rPr>
                    <w:t>生产车间</w:t>
                  </w:r>
                </w:p>
              </w:tc>
              <w:tc>
                <w:tcPr>
                  <w:tcW w:w="1625" w:type="dxa"/>
                  <w:tcMar>
                    <w:top w:w="28" w:type="dxa"/>
                    <w:left w:w="28" w:type="dxa"/>
                    <w:bottom w:w="28" w:type="dxa"/>
                    <w:right w:w="28" w:type="dxa"/>
                  </w:tcMar>
                  <w:vAlign w:val="center"/>
                </w:tcPr>
                <w:p>
                  <w:pPr>
                    <w:widowControl/>
                    <w:jc w:val="center"/>
                    <w:textAlignment w:val="center"/>
                    <w:rPr>
                      <w:szCs w:val="21"/>
                    </w:rPr>
                  </w:pPr>
                  <w:r>
                    <w:rPr>
                      <w:rFonts w:hint="eastAsia"/>
                      <w:szCs w:val="21"/>
                    </w:rPr>
                    <w:t>表5-</w:t>
                  </w:r>
                  <w:r>
                    <w:rPr>
                      <w:rFonts w:hint="eastAsia"/>
                      <w:szCs w:val="21"/>
                      <w:lang w:val="en-US" w:eastAsia="zh-CN"/>
                    </w:rPr>
                    <w:t>5</w:t>
                  </w:r>
                  <w:r>
                    <w:rPr>
                      <w:rFonts w:hint="eastAsia"/>
                      <w:szCs w:val="21"/>
                    </w:rPr>
                    <w:t>中声源</w:t>
                  </w:r>
                </w:p>
              </w:tc>
              <w:tc>
                <w:tcPr>
                  <w:tcW w:w="1006" w:type="dxa"/>
                  <w:tcMar>
                    <w:top w:w="28" w:type="dxa"/>
                    <w:left w:w="28" w:type="dxa"/>
                    <w:bottom w:w="28" w:type="dxa"/>
                    <w:right w:w="28" w:type="dxa"/>
                  </w:tcMar>
                  <w:vAlign w:val="center"/>
                </w:tcPr>
                <w:p>
                  <w:pPr>
                    <w:adjustRightInd w:val="0"/>
                    <w:jc w:val="center"/>
                    <w:rPr>
                      <w:rFonts w:hint="default" w:eastAsia="宋体"/>
                      <w:szCs w:val="21"/>
                      <w:lang w:val="en-US" w:eastAsia="zh-CN"/>
                    </w:rPr>
                  </w:pPr>
                  <w:r>
                    <w:rPr>
                      <w:rFonts w:hint="eastAsia"/>
                      <w:szCs w:val="21"/>
                    </w:rPr>
                    <w:t>6</w:t>
                  </w:r>
                  <w:r>
                    <w:rPr>
                      <w:rFonts w:hint="eastAsia"/>
                      <w:szCs w:val="21"/>
                      <w:lang w:val="en-US" w:eastAsia="zh-CN"/>
                    </w:rPr>
                    <w:t>5.04</w:t>
                  </w:r>
                </w:p>
              </w:tc>
              <w:tc>
                <w:tcPr>
                  <w:tcW w:w="948" w:type="dxa"/>
                  <w:tcMar>
                    <w:top w:w="28" w:type="dxa"/>
                    <w:left w:w="28" w:type="dxa"/>
                    <w:bottom w:w="28" w:type="dxa"/>
                    <w:right w:w="28" w:type="dxa"/>
                  </w:tcMar>
                  <w:vAlign w:val="center"/>
                </w:tcPr>
                <w:p>
                  <w:pPr>
                    <w:widowControl/>
                    <w:jc w:val="center"/>
                    <w:textAlignment w:val="center"/>
                    <w:rPr>
                      <w:rFonts w:hint="eastAsia" w:eastAsia="宋体"/>
                      <w:szCs w:val="21"/>
                      <w:lang w:eastAsia="zh-CN"/>
                    </w:rPr>
                  </w:pPr>
                  <w:r>
                    <w:rPr>
                      <w:rFonts w:hint="eastAsia"/>
                      <w:szCs w:val="21"/>
                      <w:lang w:val="en-US" w:eastAsia="zh-CN"/>
                    </w:rPr>
                    <w:t>7</w:t>
                  </w:r>
                </w:p>
              </w:tc>
              <w:tc>
                <w:tcPr>
                  <w:tcW w:w="969" w:type="dxa"/>
                  <w:tcMar>
                    <w:top w:w="28" w:type="dxa"/>
                    <w:left w:w="28" w:type="dxa"/>
                    <w:bottom w:w="28" w:type="dxa"/>
                    <w:right w:w="28" w:type="dxa"/>
                  </w:tcMar>
                  <w:vAlign w:val="center"/>
                </w:tcPr>
                <w:p>
                  <w:pPr>
                    <w:jc w:val="center"/>
                    <w:rPr>
                      <w:rFonts w:hint="eastAsia" w:eastAsia="宋体"/>
                      <w:snapToGrid w:val="0"/>
                      <w:kern w:val="0"/>
                      <w:szCs w:val="21"/>
                      <w:lang w:val="en-US" w:eastAsia="zh-CN"/>
                    </w:rPr>
                  </w:pPr>
                  <w:r>
                    <w:rPr>
                      <w:rFonts w:hint="eastAsia"/>
                      <w:snapToGrid w:val="0"/>
                      <w:kern w:val="0"/>
                      <w:szCs w:val="21"/>
                      <w:lang w:val="en-US" w:eastAsia="zh-CN"/>
                    </w:rPr>
                    <w:t>7</w:t>
                  </w:r>
                </w:p>
              </w:tc>
              <w:tc>
                <w:tcPr>
                  <w:tcW w:w="971" w:type="dxa"/>
                  <w:tcMar>
                    <w:top w:w="28" w:type="dxa"/>
                    <w:left w:w="28" w:type="dxa"/>
                    <w:bottom w:w="28" w:type="dxa"/>
                    <w:right w:w="28" w:type="dxa"/>
                  </w:tcMar>
                  <w:vAlign w:val="center"/>
                </w:tcPr>
                <w:p>
                  <w:pPr>
                    <w:jc w:val="center"/>
                    <w:rPr>
                      <w:rFonts w:hint="default" w:eastAsia="宋体"/>
                      <w:snapToGrid w:val="0"/>
                      <w:kern w:val="0"/>
                      <w:szCs w:val="21"/>
                      <w:lang w:val="en-US" w:eastAsia="zh-CN"/>
                    </w:rPr>
                  </w:pPr>
                  <w:r>
                    <w:rPr>
                      <w:rFonts w:hint="eastAsia"/>
                      <w:snapToGrid w:val="0"/>
                      <w:kern w:val="0"/>
                      <w:szCs w:val="21"/>
                      <w:lang w:val="en-US" w:eastAsia="zh-CN"/>
                    </w:rPr>
                    <w:t>55</w:t>
                  </w:r>
                </w:p>
              </w:tc>
              <w:tc>
                <w:tcPr>
                  <w:tcW w:w="971" w:type="dxa"/>
                  <w:tcMar>
                    <w:top w:w="28" w:type="dxa"/>
                    <w:left w:w="28" w:type="dxa"/>
                    <w:bottom w:w="28" w:type="dxa"/>
                    <w:right w:w="28" w:type="dxa"/>
                  </w:tcMar>
                  <w:vAlign w:val="center"/>
                </w:tcPr>
                <w:p>
                  <w:pPr>
                    <w:jc w:val="center"/>
                    <w:rPr>
                      <w:rFonts w:hint="default" w:eastAsia="宋体"/>
                      <w:snapToGrid w:val="0"/>
                      <w:kern w:val="0"/>
                      <w:szCs w:val="21"/>
                      <w:lang w:val="en-US" w:eastAsia="zh-CN"/>
                    </w:rPr>
                  </w:pPr>
                  <w:r>
                    <w:rPr>
                      <w:rFonts w:hint="eastAsia"/>
                      <w:snapToGrid w:val="0"/>
                      <w:kern w:val="0"/>
                      <w:szCs w:val="21"/>
                      <w:lang w:val="en-US" w:eastAsia="zh-CN"/>
                    </w:rPr>
                    <w:t>75</w:t>
                  </w:r>
                </w:p>
              </w:tc>
              <w:tc>
                <w:tcPr>
                  <w:tcW w:w="971" w:type="dxa"/>
                  <w:tcMar>
                    <w:top w:w="28" w:type="dxa"/>
                    <w:left w:w="28" w:type="dxa"/>
                    <w:bottom w:w="28" w:type="dxa"/>
                    <w:right w:w="28" w:type="dxa"/>
                  </w:tcMar>
                  <w:vAlign w:val="center"/>
                </w:tcPr>
                <w:p>
                  <w:pPr>
                    <w:jc w:val="center"/>
                    <w:rPr>
                      <w:rFonts w:hint="default" w:eastAsia="宋体"/>
                      <w:snapToGrid w:val="0"/>
                      <w:kern w:val="0"/>
                      <w:szCs w:val="21"/>
                      <w:lang w:val="en-US" w:eastAsia="zh-CN"/>
                    </w:rPr>
                  </w:pPr>
                  <w:r>
                    <w:rPr>
                      <w:rFonts w:hint="eastAsia"/>
                      <w:snapToGrid w:val="0"/>
                      <w:kern w:val="0"/>
                      <w:szCs w:val="21"/>
                      <w:lang w:val="en-US" w:eastAsia="zh-CN"/>
                    </w:rPr>
                    <w:t>55</w:t>
                  </w:r>
                </w:p>
              </w:tc>
            </w:tr>
          </w:tbl>
          <w:p>
            <w:pPr>
              <w:snapToGrid w:val="0"/>
              <w:spacing w:line="440" w:lineRule="exact"/>
              <w:jc w:val="center"/>
              <w:rPr>
                <w:b/>
                <w:sz w:val="24"/>
                <w:szCs w:val="24"/>
              </w:rPr>
            </w:pPr>
            <w:r>
              <w:rPr>
                <w:b/>
                <w:sz w:val="24"/>
                <w:szCs w:val="24"/>
              </w:rPr>
              <w:t>表7-1</w:t>
            </w:r>
            <w:r>
              <w:rPr>
                <w:rFonts w:hint="eastAsia"/>
                <w:b/>
                <w:sz w:val="24"/>
                <w:szCs w:val="24"/>
                <w:lang w:val="en-US" w:eastAsia="zh-CN"/>
              </w:rPr>
              <w:t>9</w:t>
            </w:r>
            <w:r>
              <w:rPr>
                <w:b/>
                <w:sz w:val="24"/>
                <w:szCs w:val="24"/>
              </w:rPr>
              <w:t xml:space="preserve"> 项目厂界噪声影响预测一览表（单位：</w:t>
            </w:r>
            <w:r>
              <w:rPr>
                <w:b/>
                <w:bCs/>
                <w:szCs w:val="21"/>
              </w:rPr>
              <w:t>dB（A）</w:t>
            </w:r>
            <w:r>
              <w:rPr>
                <w:b/>
                <w:bCs/>
                <w:sz w:val="24"/>
                <w:szCs w:val="24"/>
              </w:rPr>
              <w:t>）</w:t>
            </w:r>
          </w:p>
          <w:tbl>
            <w:tblPr>
              <w:tblStyle w:val="17"/>
              <w:tblW w:w="0" w:type="auto"/>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2083"/>
              <w:gridCol w:w="2312"/>
              <w:gridCol w:w="979"/>
              <w:gridCol w:w="979"/>
              <w:gridCol w:w="979"/>
              <w:gridCol w:w="980"/>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4395" w:type="dxa"/>
                  <w:gridSpan w:val="2"/>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rPr>
                      <w:b/>
                      <w:snapToGrid w:val="0"/>
                      <w:kern w:val="0"/>
                      <w:szCs w:val="21"/>
                    </w:rPr>
                  </w:pPr>
                  <w:r>
                    <w:rPr>
                      <w:b/>
                      <w:snapToGrid w:val="0"/>
                      <w:kern w:val="0"/>
                      <w:szCs w:val="21"/>
                    </w:rPr>
                    <w:t>噪声源</w:t>
                  </w:r>
                </w:p>
              </w:tc>
              <w:tc>
                <w:tcPr>
                  <w:tcW w:w="979" w:type="dxa"/>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rPr>
                      <w:b/>
                      <w:snapToGrid w:val="0"/>
                      <w:kern w:val="0"/>
                      <w:szCs w:val="21"/>
                    </w:rPr>
                  </w:pPr>
                  <w:r>
                    <w:rPr>
                      <w:b/>
                      <w:snapToGrid w:val="0"/>
                      <w:kern w:val="0"/>
                      <w:szCs w:val="21"/>
                    </w:rPr>
                    <w:t>东厂界</w:t>
                  </w:r>
                </w:p>
              </w:tc>
              <w:tc>
                <w:tcPr>
                  <w:tcW w:w="979" w:type="dxa"/>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rPr>
                      <w:b/>
                      <w:snapToGrid w:val="0"/>
                      <w:kern w:val="0"/>
                      <w:szCs w:val="21"/>
                    </w:rPr>
                  </w:pPr>
                  <w:r>
                    <w:rPr>
                      <w:b/>
                      <w:snapToGrid w:val="0"/>
                      <w:kern w:val="0"/>
                      <w:szCs w:val="21"/>
                    </w:rPr>
                    <w:t>南厂界</w:t>
                  </w:r>
                </w:p>
              </w:tc>
              <w:tc>
                <w:tcPr>
                  <w:tcW w:w="979" w:type="dxa"/>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rPr>
                      <w:b/>
                      <w:snapToGrid w:val="0"/>
                      <w:kern w:val="0"/>
                      <w:szCs w:val="21"/>
                    </w:rPr>
                  </w:pPr>
                  <w:r>
                    <w:rPr>
                      <w:b/>
                      <w:snapToGrid w:val="0"/>
                      <w:kern w:val="0"/>
                      <w:szCs w:val="21"/>
                    </w:rPr>
                    <w:t>西厂界</w:t>
                  </w:r>
                </w:p>
              </w:tc>
              <w:tc>
                <w:tcPr>
                  <w:tcW w:w="980" w:type="dxa"/>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rPr>
                      <w:b/>
                      <w:snapToGrid w:val="0"/>
                      <w:kern w:val="0"/>
                      <w:szCs w:val="21"/>
                    </w:rPr>
                  </w:pPr>
                  <w:r>
                    <w:rPr>
                      <w:b/>
                      <w:snapToGrid w:val="0"/>
                      <w:kern w:val="0"/>
                      <w:szCs w:val="21"/>
                    </w:rPr>
                    <w:t>北厂界</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52" w:hRule="atLeast"/>
                <w:jc w:val="center"/>
              </w:trPr>
              <w:tc>
                <w:tcPr>
                  <w:tcW w:w="2083" w:type="dxa"/>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adjustRightInd/>
                    <w:snapToGrid/>
                    <w:spacing w:before="63" w:beforeLines="20" w:after="63" w:afterLines="20"/>
                    <w:jc w:val="center"/>
                    <w:textAlignment w:val="center"/>
                    <w:rPr>
                      <w:szCs w:val="21"/>
                    </w:rPr>
                  </w:pPr>
                  <w:r>
                    <w:rPr>
                      <w:szCs w:val="21"/>
                    </w:rPr>
                    <w:t>生产车间</w:t>
                  </w:r>
                </w:p>
              </w:tc>
              <w:tc>
                <w:tcPr>
                  <w:tcW w:w="2312" w:type="dxa"/>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adjustRightInd/>
                    <w:snapToGrid/>
                    <w:spacing w:before="63" w:beforeLines="20" w:after="63" w:afterLines="20"/>
                    <w:jc w:val="center"/>
                    <w:textAlignment w:val="center"/>
                    <w:rPr>
                      <w:szCs w:val="21"/>
                    </w:rPr>
                  </w:pPr>
                  <w:r>
                    <w:rPr>
                      <w:szCs w:val="21"/>
                    </w:rPr>
                    <w:t>昼间</w:t>
                  </w:r>
                </w:p>
              </w:tc>
              <w:tc>
                <w:tcPr>
                  <w:tcW w:w="979" w:type="dxa"/>
                  <w:tcMar>
                    <w:top w:w="28" w:type="dxa"/>
                    <w:left w:w="28" w:type="dxa"/>
                    <w:bottom w:w="28" w:type="dxa"/>
                    <w:right w:w="28" w:type="dxa"/>
                  </w:tcMar>
                  <w:vAlign w:val="bottom"/>
                </w:tcPr>
                <w:p>
                  <w:pPr>
                    <w:keepNext w:val="0"/>
                    <w:keepLines w:val="0"/>
                    <w:pageBreakBefore w:val="0"/>
                    <w:widowControl/>
                    <w:kinsoku/>
                    <w:wordWrap/>
                    <w:overflowPunct/>
                    <w:topLinePunct w:val="0"/>
                    <w:autoSpaceDE/>
                    <w:autoSpaceDN/>
                    <w:bidi w:val="0"/>
                    <w:adjustRightInd/>
                    <w:snapToGrid/>
                    <w:spacing w:before="63" w:beforeLines="20" w:after="63" w:afterLines="20"/>
                    <w:jc w:val="center"/>
                    <w:rPr>
                      <w:rFonts w:hint="default" w:eastAsia="宋体"/>
                      <w:kern w:val="0"/>
                      <w:szCs w:val="21"/>
                      <w:lang w:val="en-US" w:eastAsia="zh-CN"/>
                    </w:rPr>
                  </w:pPr>
                  <w:r>
                    <w:rPr>
                      <w:rFonts w:hint="eastAsia"/>
                      <w:kern w:val="0"/>
                      <w:szCs w:val="21"/>
                      <w:lang w:val="en-US" w:eastAsia="zh-CN"/>
                    </w:rPr>
                    <w:t>48.13</w:t>
                  </w:r>
                </w:p>
              </w:tc>
              <w:tc>
                <w:tcPr>
                  <w:tcW w:w="979" w:type="dxa"/>
                  <w:tcMar>
                    <w:top w:w="28" w:type="dxa"/>
                    <w:left w:w="28" w:type="dxa"/>
                    <w:bottom w:w="28" w:type="dxa"/>
                    <w:right w:w="28" w:type="dxa"/>
                  </w:tcMar>
                  <w:vAlign w:val="bottom"/>
                </w:tcPr>
                <w:p>
                  <w:pPr>
                    <w:keepNext w:val="0"/>
                    <w:keepLines w:val="0"/>
                    <w:pageBreakBefore w:val="0"/>
                    <w:kinsoku/>
                    <w:wordWrap/>
                    <w:overflowPunct/>
                    <w:topLinePunct w:val="0"/>
                    <w:autoSpaceDE/>
                    <w:autoSpaceDN/>
                    <w:bidi w:val="0"/>
                    <w:adjustRightInd/>
                    <w:snapToGrid/>
                    <w:spacing w:before="63" w:beforeLines="20" w:after="63" w:afterLines="20"/>
                    <w:jc w:val="center"/>
                    <w:rPr>
                      <w:rFonts w:hint="default" w:eastAsia="宋体"/>
                      <w:szCs w:val="21"/>
                      <w:lang w:val="en-US" w:eastAsia="zh-CN"/>
                    </w:rPr>
                  </w:pPr>
                  <w:r>
                    <w:rPr>
                      <w:rFonts w:hint="eastAsia"/>
                      <w:szCs w:val="21"/>
                      <w:lang w:val="en-US" w:eastAsia="zh-CN"/>
                    </w:rPr>
                    <w:t>30.23</w:t>
                  </w:r>
                </w:p>
              </w:tc>
              <w:tc>
                <w:tcPr>
                  <w:tcW w:w="979" w:type="dxa"/>
                  <w:tcMar>
                    <w:top w:w="28" w:type="dxa"/>
                    <w:left w:w="28" w:type="dxa"/>
                    <w:bottom w:w="28" w:type="dxa"/>
                    <w:right w:w="28" w:type="dxa"/>
                  </w:tcMar>
                  <w:vAlign w:val="bottom"/>
                </w:tcPr>
                <w:p>
                  <w:pPr>
                    <w:keepNext w:val="0"/>
                    <w:keepLines w:val="0"/>
                    <w:pageBreakBefore w:val="0"/>
                    <w:kinsoku/>
                    <w:wordWrap/>
                    <w:overflowPunct/>
                    <w:topLinePunct w:val="0"/>
                    <w:autoSpaceDE/>
                    <w:autoSpaceDN/>
                    <w:bidi w:val="0"/>
                    <w:adjustRightInd/>
                    <w:snapToGrid/>
                    <w:spacing w:before="63" w:beforeLines="20" w:after="63" w:afterLines="20"/>
                    <w:jc w:val="center"/>
                    <w:rPr>
                      <w:rFonts w:hint="default" w:eastAsia="宋体"/>
                      <w:szCs w:val="21"/>
                      <w:lang w:val="en-US" w:eastAsia="zh-CN"/>
                    </w:rPr>
                  </w:pPr>
                  <w:r>
                    <w:rPr>
                      <w:rFonts w:hint="eastAsia"/>
                      <w:szCs w:val="21"/>
                      <w:lang w:val="en-US" w:eastAsia="zh-CN"/>
                    </w:rPr>
                    <w:t>27.54</w:t>
                  </w:r>
                </w:p>
              </w:tc>
              <w:tc>
                <w:tcPr>
                  <w:tcW w:w="980" w:type="dxa"/>
                  <w:tcMar>
                    <w:top w:w="28" w:type="dxa"/>
                    <w:left w:w="28" w:type="dxa"/>
                    <w:bottom w:w="28" w:type="dxa"/>
                    <w:right w:w="28" w:type="dxa"/>
                  </w:tcMar>
                  <w:vAlign w:val="bottom"/>
                </w:tcPr>
                <w:p>
                  <w:pPr>
                    <w:keepNext w:val="0"/>
                    <w:keepLines w:val="0"/>
                    <w:pageBreakBefore w:val="0"/>
                    <w:kinsoku/>
                    <w:wordWrap/>
                    <w:overflowPunct/>
                    <w:topLinePunct w:val="0"/>
                    <w:autoSpaceDE/>
                    <w:autoSpaceDN/>
                    <w:bidi w:val="0"/>
                    <w:adjustRightInd/>
                    <w:snapToGrid/>
                    <w:spacing w:before="63" w:beforeLines="20" w:after="63" w:afterLines="20"/>
                    <w:jc w:val="center"/>
                    <w:rPr>
                      <w:rFonts w:hint="default" w:eastAsia="宋体"/>
                      <w:szCs w:val="21"/>
                      <w:lang w:val="en-US" w:eastAsia="zh-CN"/>
                    </w:rPr>
                  </w:pPr>
                  <w:r>
                    <w:rPr>
                      <w:rFonts w:hint="eastAsia"/>
                      <w:szCs w:val="21"/>
                      <w:lang w:val="en-US" w:eastAsia="zh-CN"/>
                    </w:rPr>
                    <w:t>30.23</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52" w:hRule="atLeast"/>
                <w:jc w:val="center"/>
              </w:trPr>
              <w:tc>
                <w:tcPr>
                  <w:tcW w:w="2083" w:type="dxa"/>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rPr>
                      <w:color w:val="auto"/>
                      <w:szCs w:val="21"/>
                    </w:rPr>
                  </w:pPr>
                  <w:r>
                    <w:rPr>
                      <w:snapToGrid w:val="0"/>
                      <w:color w:val="auto"/>
                      <w:kern w:val="0"/>
                      <w:szCs w:val="21"/>
                    </w:rPr>
                    <w:t>背景值</w:t>
                  </w:r>
                </w:p>
              </w:tc>
              <w:tc>
                <w:tcPr>
                  <w:tcW w:w="2312" w:type="dxa"/>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rPr>
                      <w:color w:val="auto"/>
                      <w:szCs w:val="21"/>
                    </w:rPr>
                  </w:pPr>
                  <w:r>
                    <w:rPr>
                      <w:snapToGrid w:val="0"/>
                      <w:color w:val="auto"/>
                      <w:kern w:val="0"/>
                      <w:szCs w:val="21"/>
                    </w:rPr>
                    <w:t>昼间</w:t>
                  </w:r>
                </w:p>
              </w:tc>
              <w:tc>
                <w:tcPr>
                  <w:tcW w:w="979" w:type="dxa"/>
                  <w:tcMar>
                    <w:top w:w="28" w:type="dxa"/>
                    <w:left w:w="28" w:type="dxa"/>
                    <w:bottom w:w="28" w:type="dxa"/>
                    <w:right w:w="28" w:type="dxa"/>
                  </w:tcMar>
                  <w:vAlign w:val="bottom"/>
                </w:tcPr>
                <w:p>
                  <w:pPr>
                    <w:keepNext w:val="0"/>
                    <w:keepLines w:val="0"/>
                    <w:pageBreakBefore w:val="0"/>
                    <w:widowControl/>
                    <w:kinsoku/>
                    <w:wordWrap/>
                    <w:overflowPunct/>
                    <w:topLinePunct w:val="0"/>
                    <w:autoSpaceDE/>
                    <w:autoSpaceDN/>
                    <w:bidi w:val="0"/>
                    <w:adjustRightInd/>
                    <w:snapToGrid/>
                    <w:spacing w:before="63" w:beforeLines="20" w:after="63" w:afterLines="20"/>
                    <w:jc w:val="center"/>
                    <w:rPr>
                      <w:rFonts w:hint="default" w:eastAsia="宋体"/>
                      <w:kern w:val="0"/>
                      <w:szCs w:val="21"/>
                      <w:lang w:val="en-US" w:eastAsia="zh-CN"/>
                    </w:rPr>
                  </w:pPr>
                  <w:r>
                    <w:rPr>
                      <w:rFonts w:hint="eastAsia"/>
                      <w:kern w:val="0"/>
                      <w:szCs w:val="21"/>
                      <w:lang w:val="en-US" w:eastAsia="zh-CN"/>
                    </w:rPr>
                    <w:t>53.70</w:t>
                  </w:r>
                </w:p>
              </w:tc>
              <w:tc>
                <w:tcPr>
                  <w:tcW w:w="979" w:type="dxa"/>
                  <w:tcMar>
                    <w:top w:w="28" w:type="dxa"/>
                    <w:left w:w="28" w:type="dxa"/>
                    <w:bottom w:w="28" w:type="dxa"/>
                    <w:right w:w="28" w:type="dxa"/>
                  </w:tcMar>
                  <w:vAlign w:val="bottom"/>
                </w:tcPr>
                <w:p>
                  <w:pPr>
                    <w:keepNext w:val="0"/>
                    <w:keepLines w:val="0"/>
                    <w:pageBreakBefore w:val="0"/>
                    <w:kinsoku/>
                    <w:wordWrap/>
                    <w:overflowPunct/>
                    <w:topLinePunct w:val="0"/>
                    <w:autoSpaceDE/>
                    <w:autoSpaceDN/>
                    <w:bidi w:val="0"/>
                    <w:adjustRightInd/>
                    <w:snapToGrid/>
                    <w:spacing w:before="63" w:beforeLines="20" w:after="63" w:afterLines="20"/>
                    <w:jc w:val="center"/>
                    <w:rPr>
                      <w:rFonts w:hint="default" w:eastAsia="宋体"/>
                      <w:szCs w:val="21"/>
                      <w:lang w:val="en-US" w:eastAsia="zh-CN"/>
                    </w:rPr>
                  </w:pPr>
                  <w:r>
                    <w:rPr>
                      <w:rFonts w:hint="eastAsia"/>
                      <w:szCs w:val="21"/>
                      <w:lang w:val="en-US" w:eastAsia="zh-CN"/>
                    </w:rPr>
                    <w:t>54.20</w:t>
                  </w:r>
                </w:p>
              </w:tc>
              <w:tc>
                <w:tcPr>
                  <w:tcW w:w="979" w:type="dxa"/>
                  <w:tcMar>
                    <w:top w:w="28" w:type="dxa"/>
                    <w:left w:w="28" w:type="dxa"/>
                    <w:bottom w:w="28" w:type="dxa"/>
                    <w:right w:w="28" w:type="dxa"/>
                  </w:tcMar>
                  <w:vAlign w:val="bottom"/>
                </w:tcPr>
                <w:p>
                  <w:pPr>
                    <w:keepNext w:val="0"/>
                    <w:keepLines w:val="0"/>
                    <w:pageBreakBefore w:val="0"/>
                    <w:kinsoku/>
                    <w:wordWrap/>
                    <w:overflowPunct/>
                    <w:topLinePunct w:val="0"/>
                    <w:autoSpaceDE/>
                    <w:autoSpaceDN/>
                    <w:bidi w:val="0"/>
                    <w:adjustRightInd/>
                    <w:snapToGrid/>
                    <w:spacing w:before="63" w:beforeLines="20" w:after="63" w:afterLines="20"/>
                    <w:jc w:val="center"/>
                    <w:rPr>
                      <w:rFonts w:hint="default" w:eastAsia="宋体"/>
                      <w:szCs w:val="21"/>
                      <w:lang w:val="en-US" w:eastAsia="zh-CN"/>
                    </w:rPr>
                  </w:pPr>
                  <w:r>
                    <w:rPr>
                      <w:rFonts w:hint="eastAsia"/>
                      <w:szCs w:val="21"/>
                      <w:lang w:val="en-US" w:eastAsia="zh-CN"/>
                    </w:rPr>
                    <w:t>43.60</w:t>
                  </w:r>
                </w:p>
              </w:tc>
              <w:tc>
                <w:tcPr>
                  <w:tcW w:w="980" w:type="dxa"/>
                  <w:tcMar>
                    <w:top w:w="28" w:type="dxa"/>
                    <w:left w:w="28" w:type="dxa"/>
                    <w:bottom w:w="28" w:type="dxa"/>
                    <w:right w:w="28" w:type="dxa"/>
                  </w:tcMar>
                  <w:vAlign w:val="bottom"/>
                </w:tcPr>
                <w:p>
                  <w:pPr>
                    <w:keepNext w:val="0"/>
                    <w:keepLines w:val="0"/>
                    <w:pageBreakBefore w:val="0"/>
                    <w:kinsoku/>
                    <w:wordWrap/>
                    <w:overflowPunct/>
                    <w:topLinePunct w:val="0"/>
                    <w:autoSpaceDE/>
                    <w:autoSpaceDN/>
                    <w:bidi w:val="0"/>
                    <w:adjustRightInd/>
                    <w:snapToGrid/>
                    <w:spacing w:before="63" w:beforeLines="20" w:after="63" w:afterLines="20"/>
                    <w:jc w:val="center"/>
                    <w:rPr>
                      <w:rFonts w:hint="default" w:eastAsia="宋体"/>
                      <w:szCs w:val="21"/>
                      <w:lang w:val="en-US" w:eastAsia="zh-CN"/>
                    </w:rPr>
                  </w:pPr>
                  <w:r>
                    <w:rPr>
                      <w:rFonts w:hint="eastAsia"/>
                      <w:szCs w:val="21"/>
                      <w:lang w:val="en-US" w:eastAsia="zh-CN"/>
                    </w:rPr>
                    <w:t>44.40</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2083" w:type="dxa"/>
                  <w:tcMar>
                    <w:top w:w="28" w:type="dxa"/>
                    <w:left w:w="28" w:type="dxa"/>
                    <w:bottom w:w="28" w:type="dxa"/>
                    <w:right w:w="28" w:type="dxa"/>
                  </w:tcMar>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rPr>
                      <w:snapToGrid w:val="0"/>
                      <w:color w:val="auto"/>
                      <w:kern w:val="0"/>
                      <w:szCs w:val="21"/>
                    </w:rPr>
                  </w:pPr>
                  <w:r>
                    <w:rPr>
                      <w:rFonts w:hint="eastAsia"/>
                      <w:snapToGrid w:val="0"/>
                      <w:color w:val="auto"/>
                      <w:kern w:val="0"/>
                      <w:szCs w:val="21"/>
                    </w:rPr>
                    <w:t>叠加值</w:t>
                  </w:r>
                </w:p>
              </w:tc>
              <w:tc>
                <w:tcPr>
                  <w:tcW w:w="2312" w:type="dxa"/>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rPr>
                      <w:snapToGrid w:val="0"/>
                      <w:color w:val="auto"/>
                      <w:kern w:val="0"/>
                      <w:szCs w:val="21"/>
                    </w:rPr>
                  </w:pPr>
                  <w:r>
                    <w:rPr>
                      <w:snapToGrid w:val="0"/>
                      <w:color w:val="auto"/>
                      <w:kern w:val="0"/>
                      <w:szCs w:val="21"/>
                    </w:rPr>
                    <w:t>昼间</w:t>
                  </w:r>
                </w:p>
              </w:tc>
              <w:tc>
                <w:tcPr>
                  <w:tcW w:w="979" w:type="dxa"/>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adjustRightInd/>
                    <w:snapToGrid/>
                    <w:spacing w:before="63" w:beforeLines="20" w:after="63" w:afterLines="20"/>
                    <w:jc w:val="center"/>
                    <w:rPr>
                      <w:rFonts w:hint="default" w:eastAsia="宋体"/>
                      <w:szCs w:val="21"/>
                      <w:lang w:val="en-US" w:eastAsia="zh-CN"/>
                    </w:rPr>
                  </w:pPr>
                  <w:r>
                    <w:rPr>
                      <w:rFonts w:hint="eastAsia"/>
                      <w:szCs w:val="21"/>
                      <w:lang w:val="en-US" w:eastAsia="zh-CN"/>
                    </w:rPr>
                    <w:t>54.76</w:t>
                  </w:r>
                </w:p>
              </w:tc>
              <w:tc>
                <w:tcPr>
                  <w:tcW w:w="979" w:type="dxa"/>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adjustRightInd/>
                    <w:snapToGrid/>
                    <w:spacing w:before="63" w:beforeLines="20" w:after="63" w:afterLines="20"/>
                    <w:jc w:val="center"/>
                    <w:rPr>
                      <w:rFonts w:hint="default" w:eastAsia="宋体"/>
                      <w:szCs w:val="21"/>
                      <w:lang w:val="en-US" w:eastAsia="zh-CN"/>
                    </w:rPr>
                  </w:pPr>
                  <w:r>
                    <w:rPr>
                      <w:rFonts w:hint="eastAsia"/>
                      <w:szCs w:val="21"/>
                      <w:lang w:val="en-US" w:eastAsia="zh-CN"/>
                    </w:rPr>
                    <w:t>54.22</w:t>
                  </w:r>
                </w:p>
              </w:tc>
              <w:tc>
                <w:tcPr>
                  <w:tcW w:w="979" w:type="dxa"/>
                  <w:tcMar>
                    <w:top w:w="28" w:type="dxa"/>
                    <w:left w:w="28" w:type="dxa"/>
                    <w:bottom w:w="28" w:type="dxa"/>
                    <w:right w:w="28" w:type="dxa"/>
                  </w:tcMar>
                  <w:vAlign w:val="center"/>
                </w:tcPr>
                <w:p>
                  <w:pPr>
                    <w:keepNext w:val="0"/>
                    <w:keepLines w:val="0"/>
                    <w:pageBreakBefore w:val="0"/>
                    <w:widowControl/>
                    <w:kinsoku/>
                    <w:wordWrap/>
                    <w:overflowPunct/>
                    <w:topLinePunct w:val="0"/>
                    <w:autoSpaceDE/>
                    <w:autoSpaceDN/>
                    <w:bidi w:val="0"/>
                    <w:adjustRightInd/>
                    <w:snapToGrid/>
                    <w:spacing w:before="63" w:beforeLines="20" w:after="63" w:afterLines="20"/>
                    <w:jc w:val="center"/>
                    <w:rPr>
                      <w:rFonts w:hint="default" w:eastAsia="宋体"/>
                      <w:szCs w:val="21"/>
                      <w:lang w:val="en-US" w:eastAsia="zh-CN"/>
                    </w:rPr>
                  </w:pPr>
                  <w:r>
                    <w:rPr>
                      <w:rFonts w:hint="eastAsia"/>
                      <w:szCs w:val="21"/>
                      <w:lang w:val="en-US" w:eastAsia="zh-CN"/>
                    </w:rPr>
                    <w:t>43.71</w:t>
                  </w:r>
                </w:p>
              </w:tc>
              <w:tc>
                <w:tcPr>
                  <w:tcW w:w="980" w:type="dxa"/>
                </w:tcPr>
                <w:p>
                  <w:pPr>
                    <w:keepNext w:val="0"/>
                    <w:keepLines w:val="0"/>
                    <w:pageBreakBefore w:val="0"/>
                    <w:widowControl/>
                    <w:kinsoku/>
                    <w:wordWrap/>
                    <w:overflowPunct/>
                    <w:topLinePunct w:val="0"/>
                    <w:autoSpaceDE/>
                    <w:autoSpaceDN/>
                    <w:bidi w:val="0"/>
                    <w:adjustRightInd/>
                    <w:snapToGrid/>
                    <w:spacing w:before="63" w:beforeLines="20" w:after="63" w:afterLines="20"/>
                    <w:jc w:val="center"/>
                    <w:rPr>
                      <w:rFonts w:hint="default" w:eastAsia="宋体"/>
                      <w:szCs w:val="21"/>
                      <w:lang w:val="en-US" w:eastAsia="zh-CN"/>
                    </w:rPr>
                  </w:pPr>
                  <w:r>
                    <w:rPr>
                      <w:rFonts w:hint="eastAsia"/>
                      <w:szCs w:val="21"/>
                      <w:lang w:val="en-US" w:eastAsia="zh-CN"/>
                    </w:rPr>
                    <w:t>44.56</w:t>
                  </w:r>
                </w:p>
              </w:tc>
            </w:tr>
          </w:tbl>
          <w:p>
            <w:pPr>
              <w:ind w:firstLine="412" w:firstLineChars="200"/>
              <w:rPr>
                <w:b/>
                <w:color w:val="000000" w:themeColor="text1"/>
                <w:spacing w:val="-2"/>
                <w:sz w:val="24"/>
                <w:szCs w:val="24"/>
                <w14:textFill>
                  <w14:solidFill>
                    <w14:schemeClr w14:val="tx1"/>
                  </w14:solidFill>
                </w14:textFill>
              </w:rPr>
            </w:pPr>
            <w:r>
              <w:rPr>
                <w:rFonts w:hint="eastAsia"/>
                <w:b/>
                <w:color w:val="000000" w:themeColor="text1"/>
                <w:spacing w:val="-2"/>
                <w:szCs w:val="24"/>
                <w14:textFill>
                  <w14:solidFill>
                    <w14:schemeClr w14:val="tx1"/>
                  </w14:solidFill>
                </w14:textFill>
              </w:rPr>
              <w:t>注：本项目夜间不生产，因此本次仅预测昼间的叠加值；现状背景值选监测最大值。</w:t>
            </w:r>
          </w:p>
          <w:p>
            <w:pPr>
              <w:spacing w:line="360" w:lineRule="auto"/>
              <w:ind w:firstLine="472" w:firstLineChars="200"/>
              <w:rPr>
                <w:color w:val="000000" w:themeColor="text1"/>
                <w:spacing w:val="-2"/>
                <w:sz w:val="24"/>
                <w:szCs w:val="24"/>
                <w14:textFill>
                  <w14:solidFill>
                    <w14:schemeClr w14:val="tx1"/>
                  </w14:solidFill>
                </w14:textFill>
              </w:rPr>
            </w:pPr>
            <w:r>
              <w:rPr>
                <w:color w:val="000000" w:themeColor="text1"/>
                <w:spacing w:val="-2"/>
                <w:sz w:val="24"/>
                <w:szCs w:val="24"/>
                <w14:textFill>
                  <w14:solidFill>
                    <w14:schemeClr w14:val="tx1"/>
                  </w14:solidFill>
                </w14:textFill>
              </w:rPr>
              <w:t>根据</w:t>
            </w:r>
            <w:r>
              <w:rPr>
                <w:rFonts w:hint="eastAsia"/>
                <w:color w:val="000000" w:themeColor="text1"/>
                <w:spacing w:val="-2"/>
                <w:sz w:val="24"/>
                <w:szCs w:val="24"/>
                <w:lang w:eastAsia="zh-CN"/>
                <w14:textFill>
                  <w14:solidFill>
                    <w14:schemeClr w14:val="tx1"/>
                  </w14:solidFill>
                </w14:textFill>
              </w:rPr>
              <w:t>上表</w:t>
            </w:r>
            <w:r>
              <w:rPr>
                <w:color w:val="000000" w:themeColor="text1"/>
                <w:spacing w:val="-2"/>
                <w:sz w:val="24"/>
                <w:szCs w:val="24"/>
                <w14:textFill>
                  <w14:solidFill>
                    <w14:schemeClr w14:val="tx1"/>
                  </w14:solidFill>
                </w14:textFill>
              </w:rPr>
              <w:t>可知，在采取相应的隔声减振措施后，本项目营运时噪声排放均满足《工业企业厂界环境噪声排放标准》（GB12348-2008）中</w:t>
            </w:r>
            <w:r>
              <w:rPr>
                <w:rFonts w:hint="eastAsia"/>
                <w:color w:val="000000" w:themeColor="text1"/>
                <w:spacing w:val="-2"/>
                <w:sz w:val="24"/>
                <w:szCs w:val="24"/>
                <w14:textFill>
                  <w14:solidFill>
                    <w14:schemeClr w14:val="tx1"/>
                  </w14:solidFill>
                </w14:textFill>
              </w:rPr>
              <w:t>3</w:t>
            </w:r>
            <w:r>
              <w:rPr>
                <w:color w:val="000000" w:themeColor="text1"/>
                <w:spacing w:val="-2"/>
                <w:sz w:val="24"/>
                <w:szCs w:val="24"/>
                <w14:textFill>
                  <w14:solidFill>
                    <w14:schemeClr w14:val="tx1"/>
                  </w14:solidFill>
                </w14:textFill>
              </w:rPr>
              <w:t>类区标准</w:t>
            </w:r>
            <w:r>
              <w:rPr>
                <w:rFonts w:hint="eastAsia"/>
                <w:color w:val="000000" w:themeColor="text1"/>
                <w:spacing w:val="-2"/>
                <w:sz w:val="24"/>
                <w:szCs w:val="24"/>
                <w:lang w:eastAsia="zh-CN"/>
                <w14:textFill>
                  <w14:solidFill>
                    <w14:schemeClr w14:val="tx1"/>
                  </w14:solidFill>
                </w14:textFill>
              </w:rPr>
              <w:t>限值</w:t>
            </w:r>
            <w:r>
              <w:rPr>
                <w:color w:val="000000" w:themeColor="text1"/>
                <w:spacing w:val="-2"/>
                <w:sz w:val="24"/>
                <w:szCs w:val="24"/>
                <w14:textFill>
                  <w14:solidFill>
                    <w14:schemeClr w14:val="tx1"/>
                  </w14:solidFill>
                </w14:textFill>
              </w:rPr>
              <w:t>（即昼间</w:t>
            </w:r>
            <w:r>
              <w:rPr>
                <w:bCs/>
                <w:color w:val="000000" w:themeColor="text1"/>
                <w:sz w:val="24"/>
                <w:szCs w:val="24"/>
                <w14:textFill>
                  <w14:solidFill>
                    <w14:schemeClr w14:val="tx1"/>
                  </w14:solidFill>
                </w14:textFill>
              </w:rPr>
              <w:t>≤</w:t>
            </w:r>
            <w:r>
              <w:rPr>
                <w:color w:val="000000" w:themeColor="text1"/>
                <w:spacing w:val="-2"/>
                <w:sz w:val="24"/>
                <w:szCs w:val="24"/>
                <w14:textFill>
                  <w14:solidFill>
                    <w14:schemeClr w14:val="tx1"/>
                  </w14:solidFill>
                </w14:textFill>
              </w:rPr>
              <w:t>6</w:t>
            </w:r>
            <w:r>
              <w:rPr>
                <w:rFonts w:hint="eastAsia"/>
                <w:color w:val="000000" w:themeColor="text1"/>
                <w:spacing w:val="-2"/>
                <w:sz w:val="24"/>
                <w:szCs w:val="24"/>
                <w14:textFill>
                  <w14:solidFill>
                    <w14:schemeClr w14:val="tx1"/>
                  </w14:solidFill>
                </w14:textFill>
              </w:rPr>
              <w:t>5</w:t>
            </w:r>
            <w:r>
              <w:rPr>
                <w:bCs/>
                <w:color w:val="000000" w:themeColor="text1"/>
                <w:sz w:val="24"/>
                <w:szCs w:val="24"/>
                <w14:textFill>
                  <w14:solidFill>
                    <w14:schemeClr w14:val="tx1"/>
                  </w14:solidFill>
                </w14:textFill>
              </w:rPr>
              <w:t>dB</w:t>
            </w:r>
            <w:r>
              <w:rPr>
                <w:rFonts w:hint="eastAsia"/>
                <w:bCs/>
                <w:color w:val="000000" w:themeColor="text1"/>
                <w:sz w:val="24"/>
                <w:szCs w:val="24"/>
                <w14:textFill>
                  <w14:solidFill>
                    <w14:schemeClr w14:val="tx1"/>
                  </w14:solidFill>
                </w14:textFill>
              </w:rPr>
              <w:t>（</w:t>
            </w:r>
            <w:r>
              <w:rPr>
                <w:bCs/>
                <w:color w:val="000000" w:themeColor="text1"/>
                <w:sz w:val="24"/>
                <w:szCs w:val="24"/>
                <w14:textFill>
                  <w14:solidFill>
                    <w14:schemeClr w14:val="tx1"/>
                  </w14:solidFill>
                </w14:textFill>
              </w:rPr>
              <w:t>A</w:t>
            </w:r>
            <w:r>
              <w:rPr>
                <w:rFonts w:hint="eastAsia"/>
                <w:bCs/>
                <w:color w:val="000000" w:themeColor="text1"/>
                <w:sz w:val="24"/>
                <w:szCs w:val="24"/>
                <w14:textFill>
                  <w14:solidFill>
                    <w14:schemeClr w14:val="tx1"/>
                  </w14:solidFill>
                </w14:textFill>
              </w:rPr>
              <w:t>）</w:t>
            </w:r>
            <w:r>
              <w:rPr>
                <w:color w:val="000000" w:themeColor="text1"/>
                <w:spacing w:val="-2"/>
                <w:sz w:val="24"/>
                <w:szCs w:val="24"/>
                <w14:textFill>
                  <w14:solidFill>
                    <w14:schemeClr w14:val="tx1"/>
                  </w14:solidFill>
                </w14:textFill>
              </w:rPr>
              <w:t>）。因此，在采取相应措施后，本项目营运期对周边声环境影响较小。</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4、固废影响分析</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（1）固体</w:t>
            </w:r>
            <w:r>
              <w:rPr>
                <w:b/>
                <w:color w:val="000000" w:themeColor="text1"/>
                <w:sz w:val="24"/>
                <w14:textFill>
                  <w14:solidFill>
                    <w14:schemeClr w14:val="tx1"/>
                  </w14:solidFill>
                </w14:textFill>
              </w:rPr>
              <w:t>废物产生以及处置</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建设项目</w:t>
            </w:r>
            <w:r>
              <w:rPr>
                <w:rFonts w:hint="eastAsia"/>
                <w:color w:val="000000" w:themeColor="text1"/>
                <w:sz w:val="24"/>
                <w:szCs w:val="24"/>
                <w14:textFill>
                  <w14:solidFill>
                    <w14:schemeClr w14:val="tx1"/>
                  </w14:solidFill>
                </w14:textFill>
              </w:rPr>
              <w:t>固废包括一般工业固废、危险废物和生活垃圾。一般</w:t>
            </w:r>
            <w:r>
              <w:rPr>
                <w:color w:val="000000" w:themeColor="text1"/>
                <w:sz w:val="24"/>
                <w:szCs w:val="24"/>
                <w14:textFill>
                  <w14:solidFill>
                    <w14:schemeClr w14:val="tx1"/>
                  </w14:solidFill>
                </w14:textFill>
              </w:rPr>
              <w:t>固废主要为</w:t>
            </w:r>
            <w:r>
              <w:rPr>
                <w:rFonts w:hint="eastAsia"/>
                <w:color w:val="000000" w:themeColor="text1"/>
                <w:sz w:val="24"/>
                <w:szCs w:val="24"/>
                <w14:textFill>
                  <w14:solidFill>
                    <w14:schemeClr w14:val="tx1"/>
                  </w14:solidFill>
                </w14:textFill>
              </w:rPr>
              <w:t>废</w:t>
            </w:r>
            <w:r>
              <w:rPr>
                <w:rFonts w:hint="eastAsia"/>
                <w:color w:val="000000" w:themeColor="text1"/>
                <w:sz w:val="24"/>
                <w:szCs w:val="24"/>
                <w:lang w:eastAsia="zh-CN"/>
                <w14:textFill>
                  <w14:solidFill>
                    <w14:schemeClr w14:val="tx1"/>
                  </w14:solidFill>
                </w14:textFill>
              </w:rPr>
              <w:t>塑粉</w:t>
            </w:r>
            <w:r>
              <w:rPr>
                <w:rFonts w:hint="eastAsia"/>
                <w:color w:val="000000" w:themeColor="text1"/>
                <w:sz w:val="24"/>
                <w:szCs w:val="24"/>
                <w14:textFill>
                  <w14:solidFill>
                    <w14:schemeClr w14:val="tx1"/>
                  </w14:solidFill>
                </w14:textFill>
              </w:rPr>
              <w:t>、</w:t>
            </w:r>
            <w:r>
              <w:rPr>
                <w:rFonts w:hint="eastAsia"/>
                <w:bCs/>
                <w:color w:val="000000" w:themeColor="text1"/>
                <w:sz w:val="24"/>
                <w:szCs w:val="24"/>
                <w:lang w:eastAsia="zh-CN"/>
                <w14:textFill>
                  <w14:solidFill>
                    <w14:schemeClr w14:val="tx1"/>
                  </w14:solidFill>
                </w14:textFill>
              </w:rPr>
              <w:t>废包装材料</w:t>
            </w:r>
            <w:r>
              <w:rPr>
                <w:rFonts w:hint="eastAsia"/>
                <w:bCs/>
                <w:color w:val="000000" w:themeColor="text1"/>
                <w:sz w:val="24"/>
                <w:szCs w:val="24"/>
                <w14:textFill>
                  <w14:solidFill>
                    <w14:schemeClr w14:val="tx1"/>
                  </w14:solidFill>
                </w14:textFill>
              </w:rPr>
              <w:t>，外售相关单位；危险废物主要为废包装桶、废活性炭，委托有资质单位处置；</w:t>
            </w:r>
            <w:r>
              <w:rPr>
                <w:rFonts w:hint="eastAsia" w:ascii="宋体"/>
                <w:color w:val="000000" w:themeColor="text1"/>
                <w:spacing w:val="-2"/>
                <w:sz w:val="24"/>
                <w14:textFill>
                  <w14:solidFill>
                    <w14:schemeClr w14:val="tx1"/>
                  </w14:solidFill>
                </w14:textFill>
              </w:rPr>
              <w:t>生活垃圾</w:t>
            </w:r>
            <w:r>
              <w:rPr>
                <w:rFonts w:hint="eastAsia" w:ascii="宋体"/>
                <w:color w:val="000000" w:themeColor="text1"/>
                <w:spacing w:val="-2"/>
                <w:sz w:val="24"/>
                <w:lang w:eastAsia="zh-CN"/>
                <w14:textFill>
                  <w14:solidFill>
                    <w14:schemeClr w14:val="tx1"/>
                  </w14:solidFill>
                </w14:textFill>
              </w:rPr>
              <w:t>（含含油抹布和手套）</w:t>
            </w:r>
            <w:r>
              <w:rPr>
                <w:rFonts w:hint="eastAsia" w:ascii="宋体"/>
                <w:color w:val="000000" w:themeColor="text1"/>
                <w:spacing w:val="-2"/>
                <w:sz w:val="24"/>
                <w14:textFill>
                  <w14:solidFill>
                    <w14:schemeClr w14:val="tx1"/>
                  </w14:solidFill>
                </w14:textFill>
              </w:rPr>
              <w:t>委托环卫部门清运</w:t>
            </w:r>
            <w:r>
              <w:rPr>
                <w:rFonts w:hint="eastAsia"/>
                <w:color w:val="000000" w:themeColor="text1"/>
                <w:sz w:val="24"/>
                <w14:textFill>
                  <w14:solidFill>
                    <w14:schemeClr w14:val="tx1"/>
                  </w14:solidFill>
                </w14:textFill>
              </w:rPr>
              <w:t>。</w:t>
            </w:r>
          </w:p>
          <w:p>
            <w:pPr>
              <w:keepNext w:val="0"/>
              <w:keepLines w:val="0"/>
              <w:pageBreakBefore w:val="0"/>
              <w:widowControl w:val="0"/>
              <w:kinsoku/>
              <w:wordWrap/>
              <w:overflowPunct/>
              <w:topLinePunct w:val="0"/>
              <w:autoSpaceDE/>
              <w:autoSpaceDN/>
              <w:bidi w:val="0"/>
              <w:spacing w:line="360" w:lineRule="auto"/>
              <w:ind w:firstLine="480" w:firstLineChars="200"/>
              <w:textAlignment w:val="auto"/>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本项目</w:t>
            </w:r>
            <w:r>
              <w:rPr>
                <w:color w:val="000000" w:themeColor="text1"/>
                <w:sz w:val="24"/>
                <w:szCs w:val="24"/>
                <w14:textFill>
                  <w14:solidFill>
                    <w14:schemeClr w14:val="tx1"/>
                  </w14:solidFill>
                </w14:textFill>
              </w:rPr>
              <w:t>设有一般固废</w:t>
            </w:r>
            <w:r>
              <w:rPr>
                <w:rFonts w:hint="eastAsia"/>
                <w:color w:val="000000" w:themeColor="text1"/>
                <w:sz w:val="24"/>
                <w:szCs w:val="24"/>
                <w14:textFill>
                  <w14:solidFill>
                    <w14:schemeClr w14:val="tx1"/>
                  </w14:solidFill>
                </w14:textFill>
              </w:rPr>
              <w:t>仓库一处（建筑面积</w:t>
            </w:r>
            <w:r>
              <w:rPr>
                <w:color w:val="000000" w:themeColor="text1"/>
                <w:sz w:val="24"/>
                <w:szCs w:val="24"/>
                <w14:textFill>
                  <w14:solidFill>
                    <w14:schemeClr w14:val="tx1"/>
                  </w14:solidFill>
                </w14:textFill>
              </w:rPr>
              <w:t>为</w:t>
            </w:r>
            <w:r>
              <w:rPr>
                <w:rFonts w:hint="eastAsia"/>
                <w:color w:val="000000" w:themeColor="text1"/>
                <w:sz w:val="24"/>
                <w:szCs w:val="24"/>
                <w14:textFill>
                  <w14:solidFill>
                    <w14:schemeClr w14:val="tx1"/>
                  </w14:solidFill>
                </w14:textFill>
              </w:rPr>
              <w:t>1</w:t>
            </w:r>
            <w:r>
              <w:rPr>
                <w:rFonts w:hint="eastAsia"/>
                <w:color w:val="000000" w:themeColor="text1"/>
                <w:sz w:val="24"/>
                <w:szCs w:val="24"/>
                <w:lang w:val="en-US" w:eastAsia="zh-CN"/>
                <w14:textFill>
                  <w14:solidFill>
                    <w14:schemeClr w14:val="tx1"/>
                  </w14:solidFill>
                </w14:textFill>
              </w:rPr>
              <w:t>0</w:t>
            </w:r>
            <w:r>
              <w:rPr>
                <w:bCs/>
                <w:color w:val="000000" w:themeColor="text1"/>
                <w:sz w:val="24"/>
                <w:szCs w:val="24"/>
                <w14:textFill>
                  <w14:solidFill>
                    <w14:schemeClr w14:val="tx1"/>
                  </w14:solidFill>
                </w14:textFill>
              </w:rPr>
              <w:t>m</w:t>
            </w:r>
            <w:r>
              <w:rPr>
                <w:bCs/>
                <w:color w:val="000000" w:themeColor="text1"/>
                <w:sz w:val="24"/>
                <w:szCs w:val="24"/>
                <w:vertAlign w:val="superscript"/>
                <w14:textFill>
                  <w14:solidFill>
                    <w14:schemeClr w14:val="tx1"/>
                  </w14:solidFill>
                </w14:textFill>
              </w:rPr>
              <w:t>2</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和</w:t>
            </w:r>
            <w:r>
              <w:rPr>
                <w:rFonts w:hint="eastAsia"/>
                <w:color w:val="000000" w:themeColor="text1"/>
                <w:sz w:val="24"/>
                <w:szCs w:val="24"/>
                <w14:textFill>
                  <w14:solidFill>
                    <w14:schemeClr w14:val="tx1"/>
                  </w14:solidFill>
                </w14:textFill>
              </w:rPr>
              <w:t>危险废物仓库</w:t>
            </w:r>
            <w:r>
              <w:rPr>
                <w:color w:val="000000" w:themeColor="text1"/>
                <w:sz w:val="24"/>
                <w:szCs w:val="24"/>
                <w14:textFill>
                  <w14:solidFill>
                    <w14:schemeClr w14:val="tx1"/>
                  </w14:solidFill>
                </w14:textFill>
              </w:rPr>
              <w:t>一</w:t>
            </w:r>
            <w:r>
              <w:rPr>
                <w:rFonts w:hint="eastAsia"/>
                <w:color w:val="000000" w:themeColor="text1"/>
                <w:sz w:val="24"/>
                <w:szCs w:val="24"/>
                <w14:textFill>
                  <w14:solidFill>
                    <w14:schemeClr w14:val="tx1"/>
                  </w14:solidFill>
                </w14:textFill>
              </w:rPr>
              <w:t>间（建筑面积</w:t>
            </w:r>
            <w:r>
              <w:rPr>
                <w:color w:val="000000" w:themeColor="text1"/>
                <w:sz w:val="24"/>
                <w:szCs w:val="24"/>
                <w14:textFill>
                  <w14:solidFill>
                    <w14:schemeClr w14:val="tx1"/>
                  </w14:solidFill>
                </w14:textFill>
              </w:rPr>
              <w:t>为</w:t>
            </w:r>
            <w:r>
              <w:rPr>
                <w:rFonts w:hint="eastAsia"/>
                <w:bCs/>
                <w:color w:val="000000" w:themeColor="text1"/>
                <w:sz w:val="24"/>
                <w:szCs w:val="24"/>
                <w14:textFill>
                  <w14:solidFill>
                    <w14:schemeClr w14:val="tx1"/>
                  </w14:solidFill>
                </w14:textFill>
              </w:rPr>
              <w:t>1</w:t>
            </w:r>
            <w:r>
              <w:rPr>
                <w:rFonts w:hint="eastAsia"/>
                <w:bCs/>
                <w:color w:val="000000" w:themeColor="text1"/>
                <w:sz w:val="24"/>
                <w:szCs w:val="24"/>
                <w:lang w:val="en-US" w:eastAsia="zh-CN"/>
                <w14:textFill>
                  <w14:solidFill>
                    <w14:schemeClr w14:val="tx1"/>
                  </w14:solidFill>
                </w14:textFill>
              </w:rPr>
              <w:t>0</w:t>
            </w:r>
            <w:r>
              <w:rPr>
                <w:bCs/>
                <w:color w:val="000000" w:themeColor="text1"/>
                <w:sz w:val="24"/>
                <w:szCs w:val="24"/>
                <w14:textFill>
                  <w14:solidFill>
                    <w14:schemeClr w14:val="tx1"/>
                  </w14:solidFill>
                </w14:textFill>
              </w:rPr>
              <w:t>m</w:t>
            </w:r>
            <w:r>
              <w:rPr>
                <w:bCs/>
                <w:color w:val="000000" w:themeColor="text1"/>
                <w:sz w:val="24"/>
                <w:szCs w:val="24"/>
                <w:vertAlign w:val="superscript"/>
                <w14:textFill>
                  <w14:solidFill>
                    <w14:schemeClr w14:val="tx1"/>
                  </w14:solidFill>
                </w14:textFill>
              </w:rPr>
              <w:t>2</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spacing w:line="360" w:lineRule="auto"/>
              <w:ind w:leftChars="200"/>
              <w:textAlignment w:val="auto"/>
              <w:rPr>
                <w:rFonts w:hint="eastAsia"/>
                <w:b/>
                <w:color w:val="000000" w:themeColor="text1"/>
                <w:sz w:val="24"/>
                <w14:textFill>
                  <w14:solidFill>
                    <w14:schemeClr w14:val="tx1"/>
                  </w14:solidFill>
                </w14:textFill>
              </w:rPr>
            </w:pPr>
            <w:r>
              <w:rPr>
                <w:rFonts w:hint="eastAsia"/>
                <w:b/>
                <w:color w:val="000000" w:themeColor="text1"/>
                <w:sz w:val="24"/>
                <w:lang w:eastAsia="zh-CN"/>
                <w14:textFill>
                  <w14:solidFill>
                    <w14:schemeClr w14:val="tx1"/>
                  </w14:solidFill>
                </w14:textFill>
              </w:rPr>
              <w:t>（</w:t>
            </w:r>
            <w:r>
              <w:rPr>
                <w:rFonts w:hint="eastAsia"/>
                <w:b/>
                <w:color w:val="000000" w:themeColor="text1"/>
                <w:sz w:val="24"/>
                <w:lang w:val="en-US" w:eastAsia="zh-CN"/>
                <w14:textFill>
                  <w14:solidFill>
                    <w14:schemeClr w14:val="tx1"/>
                  </w14:solidFill>
                </w14:textFill>
              </w:rPr>
              <w:t>2</w:t>
            </w:r>
            <w:r>
              <w:rPr>
                <w:rFonts w:hint="eastAsia"/>
                <w:b/>
                <w:color w:val="000000" w:themeColor="text1"/>
                <w:sz w:val="24"/>
                <w:lang w:eastAsia="zh-CN"/>
                <w14:textFill>
                  <w14:solidFill>
                    <w14:schemeClr w14:val="tx1"/>
                  </w14:solidFill>
                </w14:textFill>
              </w:rPr>
              <w:t>）</w:t>
            </w:r>
            <w:r>
              <w:rPr>
                <w:b/>
                <w:color w:val="000000" w:themeColor="text1"/>
                <w:sz w:val="24"/>
                <w14:textFill>
                  <w14:solidFill>
                    <w14:schemeClr w14:val="tx1"/>
                  </w14:solidFill>
                </w14:textFill>
              </w:rPr>
              <w:t>固体废物环境管理</w:t>
            </w:r>
            <w:r>
              <w:rPr>
                <w:rFonts w:hint="eastAsia"/>
                <w:b/>
                <w:color w:val="000000" w:themeColor="text1"/>
                <w:sz w:val="24"/>
                <w14:textFill>
                  <w14:solidFill>
                    <w14:schemeClr w14:val="tx1"/>
                  </w14:solidFill>
                </w14:textFill>
              </w:rPr>
              <w:t xml:space="preserve"> </w:t>
            </w:r>
          </w:p>
          <w:p>
            <w:pPr>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color w:val="000000" w:themeColor="text1"/>
                <w:sz w:val="24"/>
                <w14:textFill>
                  <w14:solidFill>
                    <w14:schemeClr w14:val="tx1"/>
                  </w14:solidFill>
                </w14:textFill>
              </w:rPr>
            </w:pPr>
            <w:r>
              <w:rPr>
                <w:color w:val="000000" w:themeColor="text1"/>
                <w:sz w:val="24"/>
                <w14:textFill>
                  <w14:solidFill>
                    <w14:schemeClr w14:val="tx1"/>
                  </w14:solidFill>
                </w14:textFill>
              </w:rPr>
              <w:t>企业为固体废物污染防治的责任主体，企业应建立有关转移管理的相关规定、人员培训考核制度、档案管理制度、全过程管理制度等。</w:t>
            </w:r>
          </w:p>
          <w:p>
            <w:pPr>
              <w:keepNext w:val="0"/>
              <w:keepLines w:val="0"/>
              <w:pageBreakBefore w:val="0"/>
              <w:widowControl w:val="0"/>
              <w:numPr>
                <w:ilvl w:val="0"/>
                <w:numId w:val="7"/>
              </w:numPr>
              <w:kinsoku/>
              <w:wordWrap/>
              <w:overflowPunct/>
              <w:topLinePunct w:val="0"/>
              <w:autoSpaceDE/>
              <w:autoSpaceDN/>
              <w:bidi w:val="0"/>
              <w:spacing w:line="360" w:lineRule="auto"/>
              <w:ind w:firstLine="480" w:firstLineChars="200"/>
              <w:textAlignment w:val="auto"/>
              <w:rPr>
                <w:color w:val="000000" w:themeColor="text1"/>
                <w:sz w:val="24"/>
                <w14:textFill>
                  <w14:solidFill>
                    <w14:schemeClr w14:val="tx1"/>
                  </w14:solidFill>
                </w14:textFill>
              </w:rPr>
            </w:pPr>
            <w:r>
              <w:rPr>
                <w:color w:val="000000" w:themeColor="text1"/>
                <w:sz w:val="24"/>
                <w14:textFill>
                  <w14:solidFill>
                    <w14:schemeClr w14:val="tx1"/>
                  </w14:solidFill>
                </w14:textFill>
              </w:rPr>
              <w:t>环境监测：项目危险废物委托处置，不自行利用。</w:t>
            </w:r>
          </w:p>
          <w:p>
            <w:pPr>
              <w:keepNext w:val="0"/>
              <w:keepLines w:val="0"/>
              <w:pageBreakBefore w:val="0"/>
              <w:widowControl w:val="0"/>
              <w:numPr>
                <w:ilvl w:val="0"/>
                <w:numId w:val="7"/>
              </w:numPr>
              <w:kinsoku/>
              <w:wordWrap/>
              <w:overflowPunct/>
              <w:topLinePunct w:val="0"/>
              <w:autoSpaceDE/>
              <w:autoSpaceDN/>
              <w:bidi w:val="0"/>
              <w:spacing w:line="360" w:lineRule="auto"/>
              <w:ind w:left="0" w:leftChars="0" w:firstLine="480" w:firstLineChars="200"/>
              <w:textAlignment w:val="auto"/>
              <w:rPr>
                <w:color w:val="000000" w:themeColor="text1"/>
                <w:sz w:val="24"/>
                <w14:textFill>
                  <w14:solidFill>
                    <w14:schemeClr w14:val="tx1"/>
                  </w14:solidFill>
                </w14:textFill>
              </w:rPr>
            </w:pPr>
            <w:r>
              <w:rPr>
                <w:color w:val="000000" w:themeColor="text1"/>
                <w:sz w:val="24"/>
                <w14:textFill>
                  <w14:solidFill>
                    <w14:schemeClr w14:val="tx1"/>
                  </w14:solidFill>
                </w14:textFill>
              </w:rPr>
              <w:t>环境管理</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建设单位应进行危险废物申报登记。将危险废物的实际产生、贮存、利用、处置等情况纳入生产记录，建立危险废物台账和企业内部产生和收集、贮存、转移等部门危险废物交接制度。</w:t>
            </w:r>
          </w:p>
          <w:p>
            <w:pPr>
              <w:keepNext w:val="0"/>
              <w:keepLines w:val="0"/>
              <w:pageBreakBefore w:val="0"/>
              <w:widowControl w:val="0"/>
              <w:numPr>
                <w:ilvl w:val="0"/>
                <w:numId w:val="7"/>
              </w:numPr>
              <w:kinsoku/>
              <w:wordWrap/>
              <w:overflowPunct/>
              <w:topLinePunct w:val="0"/>
              <w:autoSpaceDE/>
              <w:autoSpaceDN/>
              <w:bidi w:val="0"/>
              <w:spacing w:line="360" w:lineRule="auto"/>
              <w:ind w:left="0" w:leftChars="0" w:firstLine="480" w:firstLineChars="200"/>
              <w:textAlignment w:val="auto"/>
              <w:rPr>
                <w:b/>
                <w:color w:val="000000" w:themeColor="text1"/>
                <w:sz w:val="24"/>
                <w14:textFill>
                  <w14:solidFill>
                    <w14:schemeClr w14:val="tx1"/>
                  </w14:solidFill>
                </w14:textFill>
              </w:rPr>
            </w:pPr>
            <w:r>
              <w:rPr>
                <w:color w:val="000000" w:themeColor="text1"/>
                <w:sz w:val="24"/>
                <w14:textFill>
                  <w14:solidFill>
                    <w14:schemeClr w14:val="tx1"/>
                  </w14:solidFill>
                </w14:textFill>
              </w:rPr>
              <w:t>企业应规范建设危险废物贮存场所并按照要求设置警告标志，贮存场所应按照要求张贴标识。</w:t>
            </w:r>
          </w:p>
          <w:p>
            <w:pPr>
              <w:keepNext w:val="0"/>
              <w:keepLines w:val="0"/>
              <w:pageBreakBefore w:val="0"/>
              <w:widowControl w:val="0"/>
              <w:numPr>
                <w:ilvl w:val="0"/>
                <w:numId w:val="6"/>
              </w:numPr>
              <w:kinsoku/>
              <w:wordWrap/>
              <w:overflowPunct/>
              <w:topLinePunct w:val="0"/>
              <w:autoSpaceDE/>
              <w:autoSpaceDN/>
              <w:bidi w:val="0"/>
              <w:spacing w:line="360" w:lineRule="auto"/>
              <w:ind w:left="0" w:leftChars="0" w:firstLine="480" w:firstLineChars="200"/>
              <w:textAlignment w:val="auto"/>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固体废物</w:t>
            </w:r>
            <w:r>
              <w:rPr>
                <w:b/>
                <w:color w:val="000000" w:themeColor="text1"/>
                <w:sz w:val="24"/>
                <w14:textFill>
                  <w14:solidFill>
                    <w14:schemeClr w14:val="tx1"/>
                  </w14:solidFill>
                </w14:textFill>
              </w:rPr>
              <w:t>环境影响分析</w:t>
            </w:r>
          </w:p>
          <w:p>
            <w:pPr>
              <w:keepNext w:val="0"/>
              <w:keepLines w:val="0"/>
              <w:pageBreakBefore w:val="0"/>
              <w:widowControl w:val="0"/>
              <w:numPr>
                <w:ilvl w:val="0"/>
                <w:numId w:val="0"/>
              </w:numPr>
              <w:kinsoku/>
              <w:wordWrap/>
              <w:overflowPunct/>
              <w:topLinePunct w:val="0"/>
              <w:autoSpaceDE/>
              <w:autoSpaceDN/>
              <w:bidi w:val="0"/>
              <w:spacing w:line="360" w:lineRule="auto"/>
              <w:ind w:firstLine="480" w:firstLineChars="200"/>
              <w:textAlignment w:val="auto"/>
              <w:rPr>
                <w:color w:val="000000" w:themeColor="text1"/>
                <w:sz w:val="24"/>
                <w14:textFill>
                  <w14:solidFill>
                    <w14:schemeClr w14:val="tx1"/>
                  </w14:solidFill>
                </w14:textFill>
              </w:rPr>
            </w:pPr>
            <w:r>
              <w:rPr>
                <w:color w:val="000000" w:themeColor="text1"/>
                <w:sz w:val="24"/>
                <w14:textFill>
                  <w14:solidFill>
                    <w14:schemeClr w14:val="tx1"/>
                  </w14:solidFill>
                </w14:textFill>
              </w:rPr>
              <w:t>依据固体废物的种类、产生量及其管理的全过程可能造成的环境影响进行分析：</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①</w:t>
            </w:r>
            <w:r>
              <w:rPr>
                <w:color w:val="000000" w:themeColor="text1"/>
                <w:sz w:val="24"/>
                <w14:textFill>
                  <w14:solidFill>
                    <w14:schemeClr w14:val="tx1"/>
                  </w14:solidFill>
                </w14:textFill>
              </w:rPr>
              <w:t xml:space="preserve">全厂固废分类收集与贮存，不混放，固废相互间不影响。 </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②</w:t>
            </w:r>
            <w:r>
              <w:rPr>
                <w:color w:val="000000" w:themeColor="text1"/>
                <w:sz w:val="24"/>
                <w14:textFill>
                  <w14:solidFill>
                    <w14:schemeClr w14:val="tx1"/>
                  </w14:solidFill>
                </w14:textFill>
              </w:rPr>
              <w:t>全厂固废运输由专业的运输单位负责，在运输过程中采用封闭运输，运输过程中不易散落和泄漏的，对环境影响较小。</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③</w:t>
            </w:r>
            <w:r>
              <w:rPr>
                <w:color w:val="000000" w:themeColor="text1"/>
                <w:sz w:val="24"/>
                <w14:textFill>
                  <w14:solidFill>
                    <w14:schemeClr w14:val="tx1"/>
                  </w14:solidFill>
                </w14:textFill>
              </w:rPr>
              <w:t>固废的贮存场所地面采用防渗地面，发生渗漏等事故可能性较小或甚微，对土壤、地下水产生的影响较小。</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④</w:t>
            </w:r>
            <w:r>
              <w:rPr>
                <w:color w:val="000000" w:themeColor="text1"/>
                <w:sz w:val="24"/>
                <w14:textFill>
                  <w14:solidFill>
                    <w14:schemeClr w14:val="tx1"/>
                  </w14:solidFill>
                </w14:textFill>
              </w:rPr>
              <w:t>全厂的</w:t>
            </w:r>
            <w:r>
              <w:rPr>
                <w:rFonts w:hint="eastAsia"/>
                <w:color w:val="000000" w:themeColor="text1"/>
                <w:sz w:val="24"/>
                <w14:textFill>
                  <w14:solidFill>
                    <w14:schemeClr w14:val="tx1"/>
                  </w14:solidFill>
                </w14:textFill>
              </w:rPr>
              <w:t>生活垃圾、一般固废</w:t>
            </w:r>
            <w:r>
              <w:rPr>
                <w:color w:val="000000" w:themeColor="text1"/>
                <w:sz w:val="24"/>
                <w14:textFill>
                  <w14:solidFill>
                    <w14:schemeClr w14:val="tx1"/>
                  </w14:solidFill>
                </w14:textFill>
              </w:rPr>
              <w:t>通过</w:t>
            </w:r>
            <w:r>
              <w:rPr>
                <w:rFonts w:hint="eastAsia"/>
                <w:color w:val="000000" w:themeColor="text1"/>
                <w:sz w:val="24"/>
                <w14:textFill>
                  <w14:solidFill>
                    <w14:schemeClr w14:val="tx1"/>
                  </w14:solidFill>
                </w14:textFill>
              </w:rPr>
              <w:t>外卖、</w:t>
            </w:r>
            <w:r>
              <w:rPr>
                <w:color w:val="000000" w:themeColor="text1"/>
                <w:sz w:val="24"/>
                <w14:textFill>
                  <w14:solidFill>
                    <w14:schemeClr w14:val="tx1"/>
                  </w14:solidFill>
                </w14:textFill>
              </w:rPr>
              <w:t>环卫清运方式处置或利用</w:t>
            </w:r>
            <w:r>
              <w:rPr>
                <w:rFonts w:hint="eastAsia"/>
                <w:color w:val="000000" w:themeColor="text1"/>
                <w:sz w:val="24"/>
                <w14:textFill>
                  <w14:solidFill>
                    <w14:schemeClr w14:val="tx1"/>
                  </w14:solidFill>
                </w14:textFill>
              </w:rPr>
              <w:t>；危险固废委托有资质单位处置，</w:t>
            </w:r>
            <w:r>
              <w:rPr>
                <w:color w:val="000000" w:themeColor="text1"/>
                <w:sz w:val="24"/>
                <w14:textFill>
                  <w14:solidFill>
                    <w14:schemeClr w14:val="tx1"/>
                  </w14:solidFill>
                </w14:textFill>
              </w:rPr>
              <w:t>均不在厂内自行建设施处理，对大气、水体、土壤环境基本不产生影响。</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color w:val="000000" w:themeColor="text1"/>
                <w:sz w:val="24"/>
                <w14:textFill>
                  <w14:solidFill>
                    <w14:schemeClr w14:val="tx1"/>
                  </w14:solidFill>
                </w14:textFill>
              </w:rPr>
            </w:pPr>
            <w:r>
              <w:rPr>
                <w:color w:val="000000" w:themeColor="text1"/>
                <w:sz w:val="24"/>
                <w14:textFill>
                  <w14:solidFill>
                    <w14:schemeClr w14:val="tx1"/>
                  </w14:solidFill>
                </w14:textFill>
              </w:rPr>
              <w:t>因此，项目所产生的固废均得到合理处置，固废零排放，对周围环境影响较小。</w:t>
            </w:r>
          </w:p>
          <w:p>
            <w:pPr>
              <w:numPr>
                <w:ilvl w:val="0"/>
                <w:numId w:val="6"/>
              </w:numPr>
              <w:adjustRightInd w:val="0"/>
              <w:snapToGrid w:val="0"/>
              <w:spacing w:line="360" w:lineRule="auto"/>
              <w:ind w:firstLine="480" w:firstLineChars="200"/>
              <w:rPr>
                <w:b/>
                <w:sz w:val="24"/>
                <w:szCs w:val="24"/>
              </w:rPr>
            </w:pPr>
            <w:r>
              <w:rPr>
                <w:b/>
                <w:sz w:val="24"/>
                <w:szCs w:val="24"/>
              </w:rPr>
              <w:t>固体废物污染防治措施分析</w:t>
            </w:r>
          </w:p>
          <w:p>
            <w:pPr>
              <w:adjustRightInd w:val="0"/>
              <w:snapToGrid w:val="0"/>
              <w:spacing w:line="360" w:lineRule="auto"/>
              <w:ind w:firstLine="480" w:firstLineChars="200"/>
              <w:rPr>
                <w:rStyle w:val="22"/>
                <w:bCs/>
                <w:sz w:val="24"/>
                <w:szCs w:val="24"/>
              </w:rPr>
            </w:pPr>
            <w:r>
              <w:rPr>
                <w:rStyle w:val="22"/>
                <w:bCs/>
                <w:sz w:val="24"/>
                <w:szCs w:val="24"/>
              </w:rPr>
              <w:t>项目建成运营后项目固废分类处置。一般废物由企业</w:t>
            </w:r>
            <w:r>
              <w:rPr>
                <w:rStyle w:val="22"/>
                <w:rFonts w:hint="eastAsia"/>
                <w:bCs/>
                <w:sz w:val="24"/>
                <w:szCs w:val="24"/>
              </w:rPr>
              <w:t>分类</w:t>
            </w:r>
            <w:r>
              <w:rPr>
                <w:rStyle w:val="22"/>
                <w:bCs/>
                <w:sz w:val="24"/>
                <w:szCs w:val="24"/>
              </w:rPr>
              <w:t>收集后外售综合利用；危险废物收集后委托有资质单位处置</w:t>
            </w:r>
            <w:r>
              <w:rPr>
                <w:rStyle w:val="22"/>
                <w:rFonts w:hint="eastAsia"/>
                <w:bCs/>
                <w:sz w:val="24"/>
                <w:szCs w:val="24"/>
              </w:rPr>
              <w:t>，</w:t>
            </w:r>
            <w:r>
              <w:rPr>
                <w:rStyle w:val="22"/>
                <w:bCs/>
                <w:sz w:val="24"/>
                <w:szCs w:val="24"/>
              </w:rPr>
              <w:t>生活垃圾</w:t>
            </w:r>
            <w:r>
              <w:rPr>
                <w:rStyle w:val="22"/>
                <w:rFonts w:hint="eastAsia"/>
                <w:bCs/>
                <w:sz w:val="24"/>
                <w:szCs w:val="24"/>
                <w:lang w:eastAsia="zh-CN"/>
              </w:rPr>
              <w:t>（含含有抹布和手套）</w:t>
            </w:r>
            <w:r>
              <w:rPr>
                <w:rStyle w:val="22"/>
                <w:bCs/>
                <w:sz w:val="24"/>
                <w:szCs w:val="24"/>
              </w:rPr>
              <w:t>由环卫部门统一清运；金坛地区危险废物处置单位统计情况见下表。</w:t>
            </w:r>
          </w:p>
          <w:p>
            <w:pPr>
              <w:jc w:val="center"/>
              <w:rPr>
                <w:b/>
                <w:sz w:val="24"/>
                <w:szCs w:val="24"/>
              </w:rPr>
            </w:pPr>
            <w:r>
              <w:rPr>
                <w:b/>
                <w:sz w:val="24"/>
                <w:szCs w:val="24"/>
              </w:rPr>
              <w:t>表</w:t>
            </w:r>
            <w:r>
              <w:rPr>
                <w:rFonts w:eastAsia="等线"/>
                <w:b/>
                <w:sz w:val="24"/>
                <w:szCs w:val="24"/>
              </w:rPr>
              <w:t>7-</w:t>
            </w:r>
            <w:r>
              <w:rPr>
                <w:rFonts w:hint="eastAsia" w:eastAsia="等线"/>
                <w:b/>
                <w:sz w:val="24"/>
                <w:szCs w:val="24"/>
                <w:lang w:val="en-US" w:eastAsia="zh-CN"/>
              </w:rPr>
              <w:t>20</w:t>
            </w:r>
            <w:r>
              <w:rPr>
                <w:b/>
                <w:sz w:val="24"/>
                <w:szCs w:val="24"/>
              </w:rPr>
              <w:t>金坛地区危险废物处置单位及处置能力</w:t>
            </w:r>
          </w:p>
          <w:tbl>
            <w:tblPr>
              <w:tblStyle w:val="17"/>
              <w:tblW w:w="4998"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28" w:type="dxa"/>
                <w:bottom w:w="0" w:type="dxa"/>
                <w:right w:w="28" w:type="dxa"/>
              </w:tblCellMar>
            </w:tblPr>
            <w:tblGrid>
              <w:gridCol w:w="264"/>
              <w:gridCol w:w="1448"/>
              <w:gridCol w:w="1019"/>
              <w:gridCol w:w="1319"/>
              <w:gridCol w:w="3489"/>
              <w:gridCol w:w="770"/>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jc w:val="center"/>
              </w:trPr>
              <w:tc>
                <w:tcPr>
                  <w:tcW w:w="15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b/>
                      <w:szCs w:val="21"/>
                    </w:rPr>
                  </w:pPr>
                  <w:r>
                    <w:rPr>
                      <w:b/>
                      <w:szCs w:val="21"/>
                    </w:rPr>
                    <w:t>序号</w:t>
                  </w:r>
                </w:p>
              </w:tc>
              <w:tc>
                <w:tcPr>
                  <w:tcW w:w="87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b/>
                      <w:szCs w:val="21"/>
                    </w:rPr>
                  </w:pPr>
                  <w:r>
                    <w:rPr>
                      <w:b/>
                      <w:szCs w:val="21"/>
                    </w:rPr>
                    <w:t>危险废物处置单位名称</w:t>
                  </w:r>
                </w:p>
              </w:tc>
              <w:tc>
                <w:tcPr>
                  <w:tcW w:w="61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b/>
                      <w:szCs w:val="21"/>
                    </w:rPr>
                  </w:pPr>
                  <w:r>
                    <w:rPr>
                      <w:b/>
                      <w:szCs w:val="21"/>
                    </w:rPr>
                    <w:t>地址</w:t>
                  </w:r>
                </w:p>
              </w:tc>
              <w:tc>
                <w:tcPr>
                  <w:tcW w:w="79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b/>
                      <w:szCs w:val="21"/>
                    </w:rPr>
                  </w:pPr>
                  <w:r>
                    <w:rPr>
                      <w:b/>
                      <w:szCs w:val="21"/>
                    </w:rPr>
                    <w:t>许可证号</w:t>
                  </w:r>
                </w:p>
              </w:tc>
              <w:tc>
                <w:tcPr>
                  <w:tcW w:w="209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b/>
                      <w:szCs w:val="21"/>
                    </w:rPr>
                  </w:pPr>
                  <w:r>
                    <w:rPr>
                      <w:b/>
                      <w:szCs w:val="21"/>
                    </w:rPr>
                    <w:t>经营类别</w:t>
                  </w:r>
                </w:p>
              </w:tc>
              <w:tc>
                <w:tcPr>
                  <w:tcW w:w="4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b/>
                      <w:szCs w:val="21"/>
                    </w:rPr>
                  </w:pPr>
                  <w:r>
                    <w:rPr>
                      <w:b/>
                      <w:szCs w:val="21"/>
                    </w:rPr>
                    <w:t>许可数量（t/a）</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jc w:val="center"/>
              </w:trPr>
              <w:tc>
                <w:tcPr>
                  <w:tcW w:w="15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1</w:t>
                  </w:r>
                </w:p>
              </w:tc>
              <w:tc>
                <w:tcPr>
                  <w:tcW w:w="87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常州市金坛金东环保工程有限公司</w:t>
                  </w:r>
                </w:p>
              </w:tc>
              <w:tc>
                <w:tcPr>
                  <w:tcW w:w="61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金坛区华兴路88号</w:t>
                  </w:r>
                </w:p>
              </w:tc>
              <w:tc>
                <w:tcPr>
                  <w:tcW w:w="79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JSCZ0413OOD013-1</w:t>
                  </w:r>
                </w:p>
              </w:tc>
              <w:tc>
                <w:tcPr>
                  <w:tcW w:w="209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预处理废矿物油（HW08）3000吨/年、处置、利用油/水、烃/水混合物或乳化液（HW09）14000吨/年</w:t>
                  </w:r>
                </w:p>
              </w:tc>
              <w:tc>
                <w:tcPr>
                  <w:tcW w:w="4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17000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jc w:val="center"/>
              </w:trPr>
              <w:tc>
                <w:tcPr>
                  <w:tcW w:w="15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2</w:t>
                  </w:r>
                </w:p>
              </w:tc>
              <w:tc>
                <w:tcPr>
                  <w:tcW w:w="87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常州菲纳斯能源科技有限公司</w:t>
                  </w:r>
                </w:p>
              </w:tc>
              <w:tc>
                <w:tcPr>
                  <w:tcW w:w="61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金坛区中兴路89号</w:t>
                  </w:r>
                </w:p>
              </w:tc>
              <w:tc>
                <w:tcPr>
                  <w:tcW w:w="79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JSCZ0413OOD026-2</w:t>
                  </w:r>
                </w:p>
              </w:tc>
              <w:tc>
                <w:tcPr>
                  <w:tcW w:w="209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处置、利用废润滑油（HW08，900-201-08、900-203-08、900-204-08、900-214-08、900-217-08、900-249-08）60000吨/年</w:t>
                  </w:r>
                </w:p>
              </w:tc>
              <w:tc>
                <w:tcPr>
                  <w:tcW w:w="4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60000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jc w:val="center"/>
              </w:trPr>
              <w:tc>
                <w:tcPr>
                  <w:tcW w:w="15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3</w:t>
                  </w:r>
                </w:p>
              </w:tc>
              <w:tc>
                <w:tcPr>
                  <w:tcW w:w="87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常州普达环保清洗有限公司</w:t>
                  </w:r>
                </w:p>
              </w:tc>
              <w:tc>
                <w:tcPr>
                  <w:tcW w:w="61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金坛经济开发区汇贤北路1号</w:t>
                  </w:r>
                </w:p>
              </w:tc>
              <w:tc>
                <w:tcPr>
                  <w:tcW w:w="79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JSCZ0413OOD027-1</w:t>
                  </w:r>
                </w:p>
              </w:tc>
              <w:tc>
                <w:tcPr>
                  <w:tcW w:w="209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清洗处置含</w:t>
                  </w:r>
                  <w:r>
                    <w:rPr>
                      <w:rFonts w:hint="eastAsia"/>
                      <w:szCs w:val="21"/>
                      <w:lang w:eastAsia="zh-CN"/>
                    </w:rPr>
                    <w:t>〔</w:t>
                  </w:r>
                  <w:r>
                    <w:rPr>
                      <w:szCs w:val="21"/>
                    </w:rPr>
                    <w:t>废有机溶剂与含有机溶剂废物（HW06）、废矿物油与含矿物油废物（HW08）、油/水、烃/水混合物或乳化液（HW09）、染料、涂料废物（HW12）、有机树脂类废物（HW13）、废酸（HW34）、废碱（HW35）、含醚废物（HW40）</w:t>
                  </w:r>
                  <w:r>
                    <w:rPr>
                      <w:rFonts w:hint="eastAsia"/>
                      <w:szCs w:val="21"/>
                      <w:lang w:eastAsia="zh-CN"/>
                    </w:rPr>
                    <w:t>〕</w:t>
                  </w:r>
                  <w:r>
                    <w:rPr>
                      <w:szCs w:val="21"/>
                    </w:rPr>
                    <w:t xml:space="preserve"> 废包装桶(HW49)59万只/年（其中200L包装桶46万只/年、1000L包装桶（IBC吨桶）13万只/年）</w:t>
                  </w:r>
                </w:p>
              </w:tc>
              <w:tc>
                <w:tcPr>
                  <w:tcW w:w="4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59万只/年</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28" w:type="dxa"/>
                  <w:bottom w:w="0" w:type="dxa"/>
                  <w:right w:w="28" w:type="dxa"/>
                </w:tblCellMar>
              </w:tblPrEx>
              <w:trPr>
                <w:jc w:val="center"/>
              </w:trPr>
              <w:tc>
                <w:tcPr>
                  <w:tcW w:w="159"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4</w:t>
                  </w:r>
                </w:p>
              </w:tc>
              <w:tc>
                <w:tcPr>
                  <w:tcW w:w="871"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常州润克环保科技有限公司</w:t>
                  </w:r>
                </w:p>
              </w:tc>
              <w:tc>
                <w:tcPr>
                  <w:tcW w:w="61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金坛区经济开发区东康路101号</w:t>
                  </w:r>
                </w:p>
              </w:tc>
              <w:tc>
                <w:tcPr>
                  <w:tcW w:w="79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JS0482OOI550</w:t>
                  </w:r>
                </w:p>
              </w:tc>
              <w:tc>
                <w:tcPr>
                  <w:tcW w:w="2098"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回转窑焚烧处置医药废物HW02、废药物药品HW03、农药废物HW04、木材防腐剂废物HW05、废有机溶剂与含有机溶剂废物HW06、废矿物油与含矿物油废物HW08、油/水、烃/水混合物或乳化液HW09、精（蒸）馏残渣HW11、染料及涂料废物HW12、有机树脂类废物HW13、新化学物质废物HW14、感光材料废物HW16、有机氰化物废物HW38、含酚废物HW39、含醚废物HW40、含有机卤化物废物HW45、其他废物HW49，合计10000吨/年，热解炉焚烧处置废有机溶剂与含有机溶剂废物HW06共计2500吨/年</w:t>
                  </w:r>
                </w:p>
              </w:tc>
              <w:tc>
                <w:tcPr>
                  <w:tcW w:w="463" w:type="pct"/>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12500</w:t>
                  </w:r>
                </w:p>
              </w:tc>
            </w:tr>
          </w:tbl>
          <w:p>
            <w:pPr>
              <w:pStyle w:val="10"/>
              <w:spacing w:before="0" w:line="360" w:lineRule="auto"/>
              <w:ind w:firstLine="472" w:firstLineChars="200"/>
              <w:rPr>
                <w:sz w:val="24"/>
                <w:szCs w:val="24"/>
              </w:rPr>
            </w:pPr>
            <w:r>
              <w:rPr>
                <w:sz w:val="24"/>
                <w:szCs w:val="24"/>
              </w:rPr>
              <w:t>本项目待处置的危险废物</w:t>
            </w:r>
            <w:r>
              <w:rPr>
                <w:rFonts w:ascii="Times New Roman"/>
                <w:sz w:val="24"/>
                <w:szCs w:val="24"/>
              </w:rPr>
              <w:t>主要为</w:t>
            </w:r>
            <w:r>
              <w:rPr>
                <w:rFonts w:ascii="Times New Roman"/>
                <w:sz w:val="24"/>
              </w:rPr>
              <w:t>废包装桶（HW49）</w:t>
            </w:r>
            <w:r>
              <w:rPr>
                <w:rFonts w:hint="eastAsia"/>
                <w:bCs/>
                <w:color w:val="000000" w:themeColor="text1"/>
                <w:sz w:val="24"/>
                <w:szCs w:val="24"/>
                <w:lang w:eastAsia="zh-CN"/>
                <w14:textFill>
                  <w14:solidFill>
                    <w14:schemeClr w14:val="tx1"/>
                  </w14:solidFill>
                </w14:textFill>
              </w:rPr>
              <w:t>、</w:t>
            </w:r>
            <w:r>
              <w:rPr>
                <w:rFonts w:ascii="Times New Roman"/>
                <w:sz w:val="24"/>
              </w:rPr>
              <w:t>废活性炭（HW49）</w:t>
            </w:r>
            <w:r>
              <w:rPr>
                <w:rFonts w:ascii="Times New Roman"/>
                <w:sz w:val="24"/>
                <w:szCs w:val="24"/>
              </w:rPr>
              <w:t>，</w:t>
            </w:r>
            <w:r>
              <w:rPr>
                <w:sz w:val="24"/>
                <w:szCs w:val="24"/>
              </w:rPr>
              <w:t>对照金坛地区现有危险废物处置单位的经营类别及许可处理能力，本项目各类危险废物均在金坛地区现有危险废物处置单位的处置范围内，即本项目各类危险废物可实现在金坛区域内处置。</w:t>
            </w:r>
          </w:p>
          <w:p>
            <w:pPr>
              <w:pStyle w:val="10"/>
              <w:spacing w:before="0" w:line="360" w:lineRule="auto"/>
              <w:ind w:firstLine="480" w:firstLineChars="200"/>
            </w:pPr>
            <w:r>
              <w:rPr>
                <w:rStyle w:val="22"/>
                <w:rFonts w:ascii="Times New Roman"/>
                <w:bCs/>
                <w:spacing w:val="0"/>
                <w:kern w:val="2"/>
                <w:sz w:val="24"/>
                <w:szCs w:val="24"/>
              </w:rPr>
              <w:t>综合上述，项目各项固体废物均能得到经妥善处理，对当地环境影响较小。</w:t>
            </w:r>
          </w:p>
          <w:p>
            <w:pPr>
              <w:pStyle w:val="10"/>
              <w:spacing w:before="0" w:line="360" w:lineRule="auto"/>
              <w:ind w:left="478" w:leftChars="228"/>
              <w:rPr>
                <w:rFonts w:hint="default" w:ascii="Times New Roman" w:hAnsi="Times New Roman" w:cs="Times New Roman"/>
                <w:b/>
                <w:color w:val="auto"/>
                <w:sz w:val="24"/>
              </w:rPr>
            </w:pPr>
            <w:r>
              <w:rPr>
                <w:rFonts w:hint="default" w:ascii="Times New Roman" w:hAnsi="Times New Roman" w:cs="Times New Roman"/>
                <w:b/>
                <w:color w:val="auto"/>
                <w:sz w:val="24"/>
              </w:rPr>
              <w:t>5、地下水影响分析</w:t>
            </w:r>
          </w:p>
          <w:p>
            <w:pPr>
              <w:spacing w:line="36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根据《环境影响评价技术导则 地下水》HJ610－2016评价工作等级划分依据附录A：</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rPr>
              <w:t>I金属制品53、金属制品加工制造</w:t>
            </w:r>
            <w:r>
              <w:rPr>
                <w:rFonts w:hint="eastAsia" w:ascii="Times New Roman" w:hAnsi="Times New Roman" w:cs="Times New Roman"/>
                <w:color w:val="auto"/>
                <w:sz w:val="24"/>
                <w:szCs w:val="24"/>
                <w:lang w:eastAsia="zh-CN"/>
              </w:rPr>
              <w:t>”</w:t>
            </w:r>
            <w:r>
              <w:rPr>
                <w:rFonts w:hint="default" w:ascii="Times New Roman" w:hAnsi="Times New Roman" w:cs="Times New Roman"/>
                <w:color w:val="auto"/>
                <w:sz w:val="24"/>
                <w:szCs w:val="24"/>
              </w:rPr>
              <w:t>，本项目属于IV类项目，项目评价区域没有集中式饮用水水源，敏感程度为不敏感。</w:t>
            </w:r>
          </w:p>
          <w:p>
            <w:pPr>
              <w:spacing w:line="360" w:lineRule="auto"/>
              <w:ind w:firstLine="480" w:firstLineChars="200"/>
              <w:rPr>
                <w:rFonts w:hint="default" w:ascii="Times New Roman" w:hAnsi="Times New Roman" w:cs="Times New Roman"/>
                <w:b/>
                <w:color w:val="auto"/>
                <w:sz w:val="24"/>
              </w:rPr>
            </w:pPr>
            <w:r>
              <w:rPr>
                <w:rFonts w:hint="default" w:ascii="Times New Roman" w:hAnsi="Times New Roman" w:cs="Times New Roman"/>
                <w:color w:val="auto"/>
                <w:sz w:val="24"/>
                <w:szCs w:val="24"/>
              </w:rPr>
              <w:t>根据《环境影响评价技术导则 地下水环境》（HJ610-2016）中4.1，IV类建设项目不开展地下水环境影响评价。</w:t>
            </w:r>
          </w:p>
          <w:p>
            <w:pPr>
              <w:pStyle w:val="10"/>
              <w:spacing w:before="0" w:line="360" w:lineRule="auto"/>
              <w:ind w:firstLine="480" w:firstLineChars="200"/>
              <w:rPr>
                <w:rStyle w:val="22"/>
                <w:rFonts w:ascii="Times New Roman"/>
                <w:b/>
                <w:color w:val="000000" w:themeColor="text1"/>
                <w:spacing w:val="0"/>
                <w:kern w:val="2"/>
                <w:sz w:val="24"/>
                <w:szCs w:val="24"/>
                <w14:textFill>
                  <w14:solidFill>
                    <w14:schemeClr w14:val="tx1"/>
                  </w14:solidFill>
                </w14:textFill>
              </w:rPr>
            </w:pPr>
            <w:r>
              <w:rPr>
                <w:rStyle w:val="22"/>
                <w:rFonts w:hint="eastAsia" w:ascii="Times New Roman"/>
                <w:b/>
                <w:color w:val="000000" w:themeColor="text1"/>
                <w:spacing w:val="0"/>
                <w:kern w:val="2"/>
                <w:sz w:val="24"/>
                <w:szCs w:val="24"/>
                <w:lang w:val="en-US" w:eastAsia="zh-CN"/>
                <w14:textFill>
                  <w14:solidFill>
                    <w14:schemeClr w14:val="tx1"/>
                  </w14:solidFill>
                </w14:textFill>
              </w:rPr>
              <w:t>6、</w:t>
            </w:r>
            <w:r>
              <w:rPr>
                <w:rStyle w:val="22"/>
                <w:rFonts w:hint="eastAsia" w:ascii="Times New Roman"/>
                <w:b/>
                <w:color w:val="000000" w:themeColor="text1"/>
                <w:spacing w:val="0"/>
                <w:kern w:val="2"/>
                <w:sz w:val="24"/>
                <w:szCs w:val="24"/>
                <w14:textFill>
                  <w14:solidFill>
                    <w14:schemeClr w14:val="tx1"/>
                  </w14:solidFill>
                </w14:textFill>
              </w:rPr>
              <w:t>土壤环境影响评价</w:t>
            </w:r>
          </w:p>
          <w:p>
            <w:pPr>
              <w:spacing w:line="360" w:lineRule="auto"/>
              <w:ind w:firstLine="480" w:firstLineChars="200"/>
              <w:rPr>
                <w:kern w:val="24"/>
                <w:sz w:val="24"/>
              </w:rPr>
            </w:pPr>
            <w:r>
              <w:rPr>
                <w:kern w:val="24"/>
                <w:sz w:val="24"/>
              </w:rPr>
              <w:t>本项目属于污染影响型项目。根据《环境影响评价技术导则 土壤环境（试行）》（HJ 964-2018）进行评价等级判定。</w:t>
            </w:r>
          </w:p>
          <w:p>
            <w:pPr>
              <w:spacing w:line="360" w:lineRule="auto"/>
              <w:ind w:firstLine="480" w:firstLineChars="200"/>
              <w:rPr>
                <w:kern w:val="24"/>
                <w:sz w:val="24"/>
              </w:rPr>
            </w:pPr>
            <w:r>
              <w:rPr>
                <w:kern w:val="24"/>
                <w:sz w:val="24"/>
              </w:rPr>
              <w:t>1）占地面积</w:t>
            </w:r>
          </w:p>
          <w:p>
            <w:pPr>
              <w:pStyle w:val="9"/>
              <w:adjustRightInd/>
              <w:snapToGrid/>
              <w:spacing w:line="360" w:lineRule="auto"/>
              <w:ind w:left="0" w:leftChars="0" w:right="0" w:rightChars="0" w:firstLine="480"/>
              <w:jc w:val="left"/>
              <w:rPr>
                <w:b/>
                <w:snapToGrid w:val="0"/>
                <w:color w:val="auto"/>
                <w:sz w:val="21"/>
                <w:szCs w:val="21"/>
              </w:rPr>
            </w:pPr>
            <w:r>
              <w:rPr>
                <w:color w:val="auto"/>
                <w:kern w:val="24"/>
                <w:sz w:val="24"/>
              </w:rPr>
              <w:t>本项目占地面积</w:t>
            </w:r>
            <w:r>
              <w:rPr>
                <w:rFonts w:hint="eastAsia"/>
                <w:color w:val="auto"/>
                <w:kern w:val="24"/>
                <w:sz w:val="24"/>
                <w:lang w:val="en-US" w:eastAsia="zh-CN"/>
              </w:rPr>
              <w:t>2264</w:t>
            </w:r>
            <w:r>
              <w:rPr>
                <w:color w:val="auto"/>
                <w:kern w:val="24"/>
                <w:sz w:val="24"/>
              </w:rPr>
              <w:t>m</w:t>
            </w:r>
            <w:r>
              <w:rPr>
                <w:color w:val="auto"/>
                <w:kern w:val="24"/>
                <w:sz w:val="24"/>
                <w:vertAlign w:val="superscript"/>
              </w:rPr>
              <w:t>2</w:t>
            </w:r>
            <w:r>
              <w:rPr>
                <w:color w:val="auto"/>
                <w:kern w:val="24"/>
                <w:sz w:val="24"/>
              </w:rPr>
              <w:t>≤5hm</w:t>
            </w:r>
            <w:r>
              <w:rPr>
                <w:color w:val="auto"/>
                <w:kern w:val="24"/>
                <w:sz w:val="24"/>
                <w:vertAlign w:val="superscript"/>
              </w:rPr>
              <w:t>2</w:t>
            </w:r>
            <w:r>
              <w:rPr>
                <w:color w:val="auto"/>
                <w:kern w:val="24"/>
                <w:sz w:val="24"/>
              </w:rPr>
              <w:t>，占地规模属于小型。</w:t>
            </w:r>
          </w:p>
          <w:p>
            <w:pPr>
              <w:spacing w:line="360" w:lineRule="auto"/>
              <w:ind w:left="420" w:leftChars="200"/>
              <w:rPr>
                <w:kern w:val="24"/>
                <w:sz w:val="24"/>
              </w:rPr>
            </w:pPr>
            <w:r>
              <w:rPr>
                <w:kern w:val="24"/>
                <w:sz w:val="24"/>
              </w:rPr>
              <w:t>2）建设项目所在地周边土壤环境敏感程度分级表及如下</w:t>
            </w:r>
          </w:p>
          <w:p>
            <w:pPr>
              <w:pStyle w:val="9"/>
              <w:adjustRightInd/>
              <w:snapToGrid/>
              <w:spacing w:line="240" w:lineRule="auto"/>
              <w:ind w:left="0" w:leftChars="0" w:right="0" w:rightChars="0" w:firstLine="0" w:firstLineChars="0"/>
              <w:jc w:val="center"/>
              <w:rPr>
                <w:color w:val="auto"/>
                <w:sz w:val="24"/>
              </w:rPr>
            </w:pPr>
            <w:r>
              <w:rPr>
                <w:b/>
                <w:snapToGrid w:val="0"/>
                <w:color w:val="auto"/>
                <w:sz w:val="24"/>
              </w:rPr>
              <w:t>表7-</w:t>
            </w:r>
            <w:r>
              <w:rPr>
                <w:rFonts w:hint="eastAsia"/>
                <w:b/>
                <w:snapToGrid w:val="0"/>
                <w:color w:val="auto"/>
                <w:sz w:val="24"/>
              </w:rPr>
              <w:t>2</w:t>
            </w:r>
            <w:r>
              <w:rPr>
                <w:rFonts w:hint="eastAsia"/>
                <w:b/>
                <w:snapToGrid w:val="0"/>
                <w:color w:val="auto"/>
                <w:sz w:val="24"/>
                <w:lang w:val="en-US" w:eastAsia="zh-CN"/>
              </w:rPr>
              <w:t>1</w:t>
            </w:r>
            <w:r>
              <w:rPr>
                <w:b/>
                <w:snapToGrid w:val="0"/>
                <w:color w:val="auto"/>
                <w:sz w:val="24"/>
              </w:rPr>
              <w:t xml:space="preserve">   污染影响型敏感程度分级表</w:t>
            </w:r>
          </w:p>
          <w:tbl>
            <w:tblPr>
              <w:tblStyle w:val="17"/>
              <w:tblW w:w="0" w:type="auto"/>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074"/>
              <w:gridCol w:w="7218"/>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77" w:hRule="atLeast"/>
                <w:jc w:val="center"/>
              </w:trPr>
              <w:tc>
                <w:tcPr>
                  <w:tcW w:w="1074" w:type="dxa"/>
                  <w:vAlign w:val="center"/>
                </w:tcPr>
                <w:p>
                  <w:pPr>
                    <w:keepNext w:val="0"/>
                    <w:keepLines w:val="0"/>
                    <w:pageBreakBefore w:val="0"/>
                    <w:widowControl w:val="0"/>
                    <w:kinsoku/>
                    <w:wordWrap/>
                    <w:overflowPunct/>
                    <w:topLinePunct/>
                    <w:autoSpaceDE/>
                    <w:autoSpaceDN/>
                    <w:bidi w:val="0"/>
                    <w:adjustRightInd w:val="0"/>
                    <w:snapToGrid w:val="0"/>
                    <w:spacing w:before="63" w:beforeLines="20" w:after="63" w:afterLines="20"/>
                    <w:jc w:val="center"/>
                    <w:textAlignment w:val="auto"/>
                    <w:rPr>
                      <w:b/>
                      <w:bCs/>
                      <w:szCs w:val="21"/>
                    </w:rPr>
                  </w:pPr>
                  <w:r>
                    <w:rPr>
                      <w:b/>
                      <w:bCs/>
                      <w:szCs w:val="21"/>
                    </w:rPr>
                    <w:t>敏感程度</w:t>
                  </w:r>
                </w:p>
              </w:tc>
              <w:tc>
                <w:tcPr>
                  <w:tcW w:w="7218" w:type="dxa"/>
                  <w:vAlign w:val="center"/>
                </w:tcPr>
                <w:p>
                  <w:pPr>
                    <w:keepNext w:val="0"/>
                    <w:keepLines w:val="0"/>
                    <w:pageBreakBefore w:val="0"/>
                    <w:widowControl w:val="0"/>
                    <w:kinsoku/>
                    <w:wordWrap/>
                    <w:overflowPunct/>
                    <w:topLinePunct/>
                    <w:autoSpaceDE/>
                    <w:autoSpaceDN/>
                    <w:bidi w:val="0"/>
                    <w:adjustRightInd w:val="0"/>
                    <w:snapToGrid w:val="0"/>
                    <w:spacing w:before="63" w:beforeLines="20" w:after="63" w:afterLines="20"/>
                    <w:jc w:val="center"/>
                    <w:textAlignment w:val="auto"/>
                    <w:rPr>
                      <w:b/>
                      <w:bCs/>
                      <w:szCs w:val="21"/>
                    </w:rPr>
                  </w:pPr>
                  <w:r>
                    <w:rPr>
                      <w:b/>
                      <w:bCs/>
                      <w:szCs w:val="21"/>
                    </w:rPr>
                    <w:t>判别依据</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67" w:hRule="atLeast"/>
                <w:jc w:val="center"/>
              </w:trPr>
              <w:tc>
                <w:tcPr>
                  <w:tcW w:w="1074" w:type="dxa"/>
                  <w:vAlign w:val="center"/>
                </w:tcPr>
                <w:p>
                  <w:pPr>
                    <w:keepNext w:val="0"/>
                    <w:keepLines w:val="0"/>
                    <w:pageBreakBefore w:val="0"/>
                    <w:widowControl w:val="0"/>
                    <w:kinsoku/>
                    <w:wordWrap/>
                    <w:overflowPunct/>
                    <w:topLinePunct/>
                    <w:autoSpaceDE/>
                    <w:autoSpaceDN/>
                    <w:bidi w:val="0"/>
                    <w:adjustRightInd w:val="0"/>
                    <w:snapToGrid w:val="0"/>
                    <w:spacing w:before="63" w:beforeLines="20" w:after="63" w:afterLines="20"/>
                    <w:jc w:val="center"/>
                    <w:textAlignment w:val="auto"/>
                    <w:rPr>
                      <w:szCs w:val="21"/>
                    </w:rPr>
                  </w:pPr>
                  <w:r>
                    <w:rPr>
                      <w:szCs w:val="21"/>
                    </w:rPr>
                    <w:t>敏感</w:t>
                  </w:r>
                </w:p>
              </w:tc>
              <w:tc>
                <w:tcPr>
                  <w:tcW w:w="7218" w:type="dxa"/>
                  <w:vAlign w:val="center"/>
                </w:tcPr>
                <w:p>
                  <w:pPr>
                    <w:keepNext w:val="0"/>
                    <w:keepLines w:val="0"/>
                    <w:pageBreakBefore w:val="0"/>
                    <w:widowControl w:val="0"/>
                    <w:kinsoku/>
                    <w:wordWrap/>
                    <w:overflowPunct/>
                    <w:topLinePunct/>
                    <w:autoSpaceDE/>
                    <w:autoSpaceDN/>
                    <w:bidi w:val="0"/>
                    <w:adjustRightInd w:val="0"/>
                    <w:snapToGrid w:val="0"/>
                    <w:spacing w:before="63" w:beforeLines="20" w:after="63" w:afterLines="20"/>
                    <w:jc w:val="left"/>
                    <w:textAlignment w:val="auto"/>
                    <w:rPr>
                      <w:szCs w:val="21"/>
                    </w:rPr>
                  </w:pPr>
                  <w:r>
                    <w:rPr>
                      <w:szCs w:val="21"/>
                    </w:rPr>
                    <w:t>建设项目周边存在耕地、园地、牧草地、饮用水水源地或居民区、学校、医院、疗养院、养老院等土壤环境敏感目标的</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12" w:hRule="atLeast"/>
                <w:jc w:val="center"/>
              </w:trPr>
              <w:tc>
                <w:tcPr>
                  <w:tcW w:w="1074" w:type="dxa"/>
                  <w:vAlign w:val="center"/>
                </w:tcPr>
                <w:p>
                  <w:pPr>
                    <w:keepNext w:val="0"/>
                    <w:keepLines w:val="0"/>
                    <w:pageBreakBefore w:val="0"/>
                    <w:widowControl w:val="0"/>
                    <w:kinsoku/>
                    <w:wordWrap/>
                    <w:overflowPunct/>
                    <w:topLinePunct/>
                    <w:autoSpaceDE/>
                    <w:autoSpaceDN/>
                    <w:bidi w:val="0"/>
                    <w:adjustRightInd w:val="0"/>
                    <w:snapToGrid w:val="0"/>
                    <w:spacing w:before="63" w:beforeLines="20" w:after="63" w:afterLines="20"/>
                    <w:jc w:val="center"/>
                    <w:textAlignment w:val="auto"/>
                    <w:rPr>
                      <w:szCs w:val="21"/>
                    </w:rPr>
                  </w:pPr>
                  <w:r>
                    <w:rPr>
                      <w:szCs w:val="21"/>
                    </w:rPr>
                    <w:t>较敏感</w:t>
                  </w:r>
                </w:p>
              </w:tc>
              <w:tc>
                <w:tcPr>
                  <w:tcW w:w="7218" w:type="dxa"/>
                  <w:vAlign w:val="center"/>
                </w:tcPr>
                <w:p>
                  <w:pPr>
                    <w:keepNext w:val="0"/>
                    <w:keepLines w:val="0"/>
                    <w:pageBreakBefore w:val="0"/>
                    <w:widowControl w:val="0"/>
                    <w:kinsoku/>
                    <w:wordWrap/>
                    <w:overflowPunct/>
                    <w:topLinePunct/>
                    <w:autoSpaceDE/>
                    <w:autoSpaceDN/>
                    <w:bidi w:val="0"/>
                    <w:adjustRightInd w:val="0"/>
                    <w:snapToGrid w:val="0"/>
                    <w:spacing w:before="63" w:beforeLines="20" w:after="63" w:afterLines="20"/>
                    <w:jc w:val="left"/>
                    <w:textAlignment w:val="auto"/>
                    <w:rPr>
                      <w:szCs w:val="21"/>
                    </w:rPr>
                  </w:pPr>
                  <w:r>
                    <w:rPr>
                      <w:szCs w:val="21"/>
                    </w:rPr>
                    <w:t>建设项目周边存在其他土壤环境敏感目标的</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1074" w:type="dxa"/>
                  <w:vAlign w:val="center"/>
                </w:tcPr>
                <w:p>
                  <w:pPr>
                    <w:keepNext w:val="0"/>
                    <w:keepLines w:val="0"/>
                    <w:pageBreakBefore w:val="0"/>
                    <w:widowControl w:val="0"/>
                    <w:kinsoku/>
                    <w:wordWrap/>
                    <w:overflowPunct/>
                    <w:topLinePunct/>
                    <w:autoSpaceDE/>
                    <w:autoSpaceDN/>
                    <w:bidi w:val="0"/>
                    <w:adjustRightInd w:val="0"/>
                    <w:snapToGrid w:val="0"/>
                    <w:spacing w:before="63" w:beforeLines="20" w:after="63" w:afterLines="20"/>
                    <w:jc w:val="center"/>
                    <w:textAlignment w:val="auto"/>
                    <w:rPr>
                      <w:szCs w:val="21"/>
                    </w:rPr>
                  </w:pPr>
                  <w:r>
                    <w:rPr>
                      <w:szCs w:val="21"/>
                    </w:rPr>
                    <w:t>不敏感</w:t>
                  </w:r>
                </w:p>
              </w:tc>
              <w:tc>
                <w:tcPr>
                  <w:tcW w:w="7218" w:type="dxa"/>
                  <w:vAlign w:val="center"/>
                </w:tcPr>
                <w:p>
                  <w:pPr>
                    <w:keepNext w:val="0"/>
                    <w:keepLines w:val="0"/>
                    <w:pageBreakBefore w:val="0"/>
                    <w:widowControl w:val="0"/>
                    <w:kinsoku/>
                    <w:wordWrap/>
                    <w:overflowPunct/>
                    <w:topLinePunct/>
                    <w:autoSpaceDE/>
                    <w:autoSpaceDN/>
                    <w:bidi w:val="0"/>
                    <w:adjustRightInd w:val="0"/>
                    <w:snapToGrid w:val="0"/>
                    <w:spacing w:before="63" w:beforeLines="20" w:after="63" w:afterLines="20"/>
                    <w:jc w:val="left"/>
                    <w:textAlignment w:val="auto"/>
                    <w:rPr>
                      <w:szCs w:val="21"/>
                    </w:rPr>
                  </w:pPr>
                  <w:r>
                    <w:rPr>
                      <w:szCs w:val="21"/>
                    </w:rPr>
                    <w:t>其他情况</w:t>
                  </w:r>
                </w:p>
              </w:tc>
            </w:tr>
          </w:tbl>
          <w:p>
            <w:pPr>
              <w:pStyle w:val="9"/>
              <w:adjustRightInd/>
              <w:snapToGrid/>
              <w:spacing w:line="360" w:lineRule="auto"/>
              <w:ind w:left="0" w:leftChars="0" w:right="0" w:rightChars="0" w:firstLine="480"/>
              <w:jc w:val="left"/>
              <w:rPr>
                <w:color w:val="auto"/>
                <w:sz w:val="24"/>
              </w:rPr>
            </w:pPr>
            <w:r>
              <w:rPr>
                <w:color w:val="auto"/>
                <w:sz w:val="24"/>
              </w:rPr>
              <w:t>本项目位于</w:t>
            </w:r>
            <w:r>
              <w:rPr>
                <w:rFonts w:hint="eastAsia"/>
                <w:kern w:val="0"/>
                <w:sz w:val="24"/>
              </w:rPr>
              <w:t>直溪镇工业园区</w:t>
            </w:r>
            <w:r>
              <w:rPr>
                <w:color w:val="auto"/>
                <w:sz w:val="24"/>
              </w:rPr>
              <w:t>，建设项目周边不存在耕地、园地、牧草地、饮用水水源地或居民区等其他土壤环境敏感目标，因此本项目所在地周边土壤环境属于不敏感地区。</w:t>
            </w:r>
          </w:p>
          <w:p>
            <w:pPr>
              <w:pStyle w:val="9"/>
              <w:adjustRightInd/>
              <w:snapToGrid/>
              <w:spacing w:line="360" w:lineRule="auto"/>
              <w:ind w:left="420" w:leftChars="200" w:right="0" w:rightChars="0" w:firstLine="0" w:firstLineChars="0"/>
              <w:jc w:val="left"/>
              <w:rPr>
                <w:color w:val="auto"/>
                <w:sz w:val="24"/>
              </w:rPr>
            </w:pPr>
            <w:r>
              <w:rPr>
                <w:rFonts w:hint="eastAsia"/>
                <w:color w:val="auto"/>
                <w:sz w:val="24"/>
              </w:rPr>
              <w:t>3）</w:t>
            </w:r>
            <w:r>
              <w:rPr>
                <w:color w:val="auto"/>
                <w:sz w:val="24"/>
              </w:rPr>
              <w:t>项目类别判定</w:t>
            </w:r>
          </w:p>
          <w:p>
            <w:pPr>
              <w:pStyle w:val="9"/>
              <w:adjustRightInd/>
              <w:snapToGrid/>
              <w:spacing w:line="360" w:lineRule="auto"/>
              <w:ind w:left="0" w:leftChars="0" w:right="0" w:rightChars="0" w:firstLine="480"/>
              <w:jc w:val="left"/>
              <w:rPr>
                <w:color w:val="auto"/>
                <w:kern w:val="24"/>
                <w:sz w:val="24"/>
              </w:rPr>
            </w:pPr>
            <w:r>
              <w:rPr>
                <w:color w:val="auto"/>
                <w:kern w:val="24"/>
                <w:sz w:val="24"/>
              </w:rPr>
              <w:t>根据《环境影响评价技术导则 土壤环境（试行）》（HJ 964-2018）附录A，本项目制造业中其他类，属于III类项目；</w:t>
            </w:r>
          </w:p>
          <w:p>
            <w:pPr>
              <w:pStyle w:val="9"/>
              <w:adjustRightInd/>
              <w:snapToGrid/>
              <w:spacing w:line="360" w:lineRule="auto"/>
              <w:ind w:left="420" w:leftChars="200" w:right="0" w:rightChars="0" w:firstLine="0" w:firstLineChars="0"/>
              <w:jc w:val="left"/>
              <w:rPr>
                <w:color w:val="auto"/>
                <w:kern w:val="24"/>
                <w:sz w:val="24"/>
              </w:rPr>
            </w:pPr>
            <w:r>
              <w:rPr>
                <w:rFonts w:hint="eastAsia"/>
                <w:color w:val="auto"/>
                <w:kern w:val="24"/>
                <w:sz w:val="24"/>
              </w:rPr>
              <w:t>4）</w:t>
            </w:r>
            <w:r>
              <w:rPr>
                <w:color w:val="auto"/>
                <w:kern w:val="24"/>
                <w:sz w:val="24"/>
              </w:rPr>
              <w:t>项目评价等级判定</w:t>
            </w:r>
          </w:p>
          <w:p>
            <w:pPr>
              <w:pStyle w:val="9"/>
              <w:adjustRightInd/>
              <w:snapToGrid/>
              <w:spacing w:line="360" w:lineRule="auto"/>
              <w:ind w:left="0" w:leftChars="0" w:right="0" w:rightChars="0" w:firstLine="480"/>
              <w:jc w:val="left"/>
              <w:rPr>
                <w:color w:val="auto"/>
              </w:rPr>
            </w:pPr>
            <w:r>
              <w:rPr>
                <w:color w:val="auto"/>
                <w:kern w:val="24"/>
                <w:sz w:val="24"/>
              </w:rPr>
              <w:t>根据土壤环境影响评价项目类别，占地规模与敏感程度进行判定，具体判定标准详见下表：</w:t>
            </w:r>
          </w:p>
          <w:p>
            <w:pPr>
              <w:pStyle w:val="9"/>
              <w:adjustRightInd/>
              <w:snapToGrid/>
              <w:spacing w:line="240" w:lineRule="auto"/>
              <w:ind w:left="0" w:leftChars="0" w:right="0" w:rightChars="0" w:firstLine="0" w:firstLineChars="0"/>
              <w:jc w:val="center"/>
              <w:rPr>
                <w:color w:val="auto"/>
                <w:sz w:val="24"/>
              </w:rPr>
            </w:pPr>
            <w:r>
              <w:rPr>
                <w:b/>
                <w:snapToGrid w:val="0"/>
                <w:color w:val="auto"/>
                <w:sz w:val="24"/>
              </w:rPr>
              <w:t>表7-</w:t>
            </w:r>
            <w:r>
              <w:rPr>
                <w:rFonts w:hint="eastAsia"/>
                <w:b/>
                <w:snapToGrid w:val="0"/>
                <w:color w:val="auto"/>
                <w:sz w:val="24"/>
              </w:rPr>
              <w:t>2</w:t>
            </w:r>
            <w:r>
              <w:rPr>
                <w:rFonts w:hint="eastAsia"/>
                <w:b/>
                <w:snapToGrid w:val="0"/>
                <w:color w:val="auto"/>
                <w:sz w:val="24"/>
                <w:lang w:val="en-US" w:eastAsia="zh-CN"/>
              </w:rPr>
              <w:t>2</w:t>
            </w:r>
            <w:r>
              <w:rPr>
                <w:b/>
                <w:snapToGrid w:val="0"/>
                <w:color w:val="auto"/>
                <w:sz w:val="24"/>
              </w:rPr>
              <w:t xml:space="preserve"> 污染影响型评价工作等级分级表</w:t>
            </w:r>
          </w:p>
          <w:tbl>
            <w:tblPr>
              <w:tblStyle w:val="17"/>
              <w:tblW w:w="0" w:type="auto"/>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351"/>
              <w:gridCol w:w="618"/>
              <w:gridCol w:w="643"/>
              <w:gridCol w:w="644"/>
              <w:gridCol w:w="677"/>
              <w:gridCol w:w="874"/>
              <w:gridCol w:w="873"/>
              <w:gridCol w:w="871"/>
              <w:gridCol w:w="870"/>
              <w:gridCol w:w="871"/>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77" w:hRule="atLeast"/>
                <w:jc w:val="center"/>
              </w:trPr>
              <w:tc>
                <w:tcPr>
                  <w:tcW w:w="1351" w:type="dxa"/>
                  <w:vMerge w:val="restart"/>
                  <w:vAlign w:val="center"/>
                </w:tcPr>
                <w:p>
                  <w:pPr>
                    <w:topLinePunct/>
                    <w:adjustRightInd w:val="0"/>
                    <w:snapToGrid w:val="0"/>
                    <w:jc w:val="center"/>
                    <w:rPr>
                      <w:b/>
                      <w:bCs/>
                    </w:rPr>
                  </w:pPr>
                  <w:r>
                    <w:rPr>
                      <w:b/>
                      <w:bCs/>
                    </w:rPr>
                    <mc:AlternateContent>
                      <mc:Choice Requires="wps">
                        <w:drawing>
                          <wp:anchor distT="0" distB="0" distL="114300" distR="114300" simplePos="0" relativeHeight="251678720" behindDoc="0" locked="0" layoutInCell="1" allowOverlap="1">
                            <wp:simplePos x="0" y="0"/>
                            <wp:positionH relativeFrom="column">
                              <wp:posOffset>-67310</wp:posOffset>
                            </wp:positionH>
                            <wp:positionV relativeFrom="paragraph">
                              <wp:posOffset>12700</wp:posOffset>
                            </wp:positionV>
                            <wp:extent cx="875030" cy="837565"/>
                            <wp:effectExtent l="3175" t="3175" r="10795" b="10160"/>
                            <wp:wrapNone/>
                            <wp:docPr id="53" name="直接箭头连接符 53"/>
                            <wp:cNvGraphicFramePr/>
                            <a:graphic xmlns:a="http://schemas.openxmlformats.org/drawingml/2006/main">
                              <a:graphicData uri="http://schemas.microsoft.com/office/word/2010/wordprocessingShape">
                                <wps:wsp>
                                  <wps:cNvCnPr/>
                                  <wps:spPr>
                                    <a:xfrm>
                                      <a:off x="0" y="0"/>
                                      <a:ext cx="875030" cy="83756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5.3pt;margin-top:1pt;height:65.95pt;width:68.9pt;z-index:251678720;mso-width-relative:page;mso-height-relative:page;" filled="f" stroked="t" coordsize="21600,21600" o:gfxdata="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TPDi&#10;2AAAAAkBAAAPAAAAAAAAAAEAIAAAACIAAABkcnMvZG93bnJldi54bWxQSwECFAAUAAAACACHTuJA&#10;52fo++gBAACkAwAADgAAAAAAAAABACAAAAAnAQAAZHJzL2Uyb0RvYy54bWxQSwUGAAAAAAYABgBZ&#10;AQAAgQUAAAAA&#10;">
                            <v:fill on="f" focussize="0,0"/>
                            <v:stroke color="#000000" joinstyle="round"/>
                            <v:imagedata o:title=""/>
                            <o:lock v:ext="edit" aspectratio="f"/>
                          </v:shape>
                        </w:pict>
                      </mc:Fallback>
                    </mc:AlternateContent>
                  </w:r>
                  <w:r>
                    <w:rPr>
                      <w:b/>
                      <w:bCs/>
                    </w:rPr>
                    <w:t xml:space="preserve">  占地规模</w:t>
                  </w:r>
                </w:p>
                <w:p>
                  <w:pPr>
                    <w:pStyle w:val="9"/>
                    <w:adjustRightInd/>
                    <w:snapToGrid/>
                    <w:ind w:left="0" w:leftChars="0" w:right="-449" w:firstLine="0" w:firstLineChars="0"/>
                    <w:rPr>
                      <w:b/>
                      <w:bCs/>
                      <w:color w:val="auto"/>
                      <w:sz w:val="21"/>
                      <w:szCs w:val="21"/>
                    </w:rPr>
                  </w:pPr>
                  <w:r>
                    <w:rPr>
                      <w:b/>
                      <w:bCs/>
                      <w:color w:val="auto"/>
                      <w:sz w:val="21"/>
                      <w:szCs w:val="21"/>
                    </w:rPr>
                    <w:t>评价工作等级</w:t>
                  </w:r>
                </w:p>
                <w:p>
                  <w:pPr>
                    <w:pStyle w:val="9"/>
                    <w:adjustRightInd/>
                    <w:snapToGrid/>
                    <w:spacing w:before="120" w:line="360" w:lineRule="auto"/>
                    <w:ind w:left="0" w:leftChars="0" w:right="-449" w:firstLine="0" w:firstLineChars="0"/>
                    <w:rPr>
                      <w:b/>
                      <w:bCs/>
                      <w:color w:val="auto"/>
                      <w:szCs w:val="21"/>
                    </w:rPr>
                  </w:pPr>
                  <w:r>
                    <w:rPr>
                      <w:b/>
                      <w:bCs/>
                      <w:color w:val="auto"/>
                      <w:sz w:val="21"/>
                      <w:szCs w:val="21"/>
                    </w:rPr>
                    <mc:AlternateContent>
                      <mc:Choice Requires="wps">
                        <w:drawing>
                          <wp:anchor distT="0" distB="0" distL="114300" distR="114300" simplePos="0" relativeHeight="251679744" behindDoc="0" locked="0" layoutInCell="1" allowOverlap="1">
                            <wp:simplePos x="0" y="0"/>
                            <wp:positionH relativeFrom="column">
                              <wp:posOffset>-58420</wp:posOffset>
                            </wp:positionH>
                            <wp:positionV relativeFrom="paragraph">
                              <wp:posOffset>6350</wp:posOffset>
                            </wp:positionV>
                            <wp:extent cx="835025" cy="352425"/>
                            <wp:effectExtent l="1905" t="4445" r="13970" b="11430"/>
                            <wp:wrapNone/>
                            <wp:docPr id="52" name="直接箭头连接符 52"/>
                            <wp:cNvGraphicFramePr/>
                            <a:graphic xmlns:a="http://schemas.openxmlformats.org/drawingml/2006/main">
                              <a:graphicData uri="http://schemas.microsoft.com/office/word/2010/wordprocessingShape">
                                <wps:wsp>
                                  <wps:cNvCnPr/>
                                  <wps:spPr>
                                    <a:xfrm>
                                      <a:off x="0" y="0"/>
                                      <a:ext cx="835025" cy="35242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6pt;margin-top:0.5pt;height:27.75pt;width:65.75pt;z-index:251679744;mso-width-relative:page;mso-height-relative:page;" filled="f" stroked="t" coordsize="21600,21600" o:gfxdata="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2cEzO1QAAAAcB&#10;AAAPAAAAAAAAAAEAIAAAACIAAABkcnMvZG93bnJldi54bWxQSwECFAAUAAAACACHTuJA4gFZkeUB&#10;AACkAwAADgAAAAAAAAABACAAAAAkAQAAZHJzL2Uyb0RvYy54bWxQSwUGAAAAAAYABgBZAQAAewUA&#10;AAAA&#10;">
                            <v:fill on="f" focussize="0,0"/>
                            <v:stroke color="#000000" joinstyle="round"/>
                            <v:imagedata o:title=""/>
                            <o:lock v:ext="edit" aspectratio="f"/>
                          </v:shape>
                        </w:pict>
                      </mc:Fallback>
                    </mc:AlternateContent>
                  </w:r>
                  <w:r>
                    <w:rPr>
                      <w:b/>
                      <w:bCs/>
                      <w:color w:val="auto"/>
                      <w:sz w:val="21"/>
                      <w:szCs w:val="21"/>
                    </w:rPr>
                    <w:t>敏感程度</w:t>
                  </w:r>
                </w:p>
              </w:tc>
              <w:tc>
                <w:tcPr>
                  <w:tcW w:w="1905" w:type="dxa"/>
                  <w:gridSpan w:val="3"/>
                  <w:vAlign w:val="center"/>
                </w:tcPr>
                <w:p>
                  <w:pPr>
                    <w:topLinePunct/>
                    <w:adjustRightInd w:val="0"/>
                    <w:snapToGrid w:val="0"/>
                    <w:jc w:val="center"/>
                    <w:rPr>
                      <w:b/>
                      <w:bCs/>
                      <w:szCs w:val="21"/>
                    </w:rPr>
                  </w:pPr>
                  <w:r>
                    <w:rPr>
                      <w:b/>
                      <w:bCs/>
                      <w:szCs w:val="21"/>
                    </w:rPr>
                    <w:fldChar w:fldCharType="begin"/>
                  </w:r>
                  <w:r>
                    <w:rPr>
                      <w:b/>
                      <w:bCs/>
                      <w:szCs w:val="21"/>
                    </w:rPr>
                    <w:instrText xml:space="preserve"> = 1 \* ROMAN \* MERGEFORMAT </w:instrText>
                  </w:r>
                  <w:r>
                    <w:rPr>
                      <w:b/>
                      <w:bCs/>
                      <w:szCs w:val="21"/>
                    </w:rPr>
                    <w:fldChar w:fldCharType="separate"/>
                  </w:r>
                  <w:r>
                    <w:rPr>
                      <w:b/>
                      <w:bCs/>
                    </w:rPr>
                    <w:t>I</w:t>
                  </w:r>
                  <w:r>
                    <w:rPr>
                      <w:b/>
                      <w:bCs/>
                      <w:szCs w:val="21"/>
                    </w:rPr>
                    <w:fldChar w:fldCharType="end"/>
                  </w:r>
                  <w:r>
                    <w:rPr>
                      <w:b/>
                      <w:bCs/>
                      <w:szCs w:val="21"/>
                    </w:rPr>
                    <w:t>类</w:t>
                  </w:r>
                </w:p>
              </w:tc>
              <w:tc>
                <w:tcPr>
                  <w:tcW w:w="2424" w:type="dxa"/>
                  <w:gridSpan w:val="3"/>
                  <w:vAlign w:val="center"/>
                </w:tcPr>
                <w:p>
                  <w:pPr>
                    <w:topLinePunct/>
                    <w:adjustRightInd w:val="0"/>
                    <w:snapToGrid w:val="0"/>
                    <w:jc w:val="center"/>
                    <w:rPr>
                      <w:b/>
                      <w:bCs/>
                      <w:szCs w:val="21"/>
                    </w:rPr>
                  </w:pPr>
                  <w:r>
                    <w:rPr>
                      <w:b/>
                      <w:bCs/>
                      <w:szCs w:val="21"/>
                    </w:rPr>
                    <w:fldChar w:fldCharType="begin"/>
                  </w:r>
                  <w:r>
                    <w:rPr>
                      <w:b/>
                      <w:bCs/>
                      <w:szCs w:val="21"/>
                    </w:rPr>
                    <w:instrText xml:space="preserve"> = 2 \* ROMAN \* MERGEFORMAT </w:instrText>
                  </w:r>
                  <w:r>
                    <w:rPr>
                      <w:b/>
                      <w:bCs/>
                      <w:szCs w:val="21"/>
                    </w:rPr>
                    <w:fldChar w:fldCharType="separate"/>
                  </w:r>
                  <w:r>
                    <w:rPr>
                      <w:b/>
                      <w:bCs/>
                    </w:rPr>
                    <w:t>II</w:t>
                  </w:r>
                  <w:r>
                    <w:rPr>
                      <w:b/>
                      <w:bCs/>
                      <w:szCs w:val="21"/>
                    </w:rPr>
                    <w:fldChar w:fldCharType="end"/>
                  </w:r>
                  <w:r>
                    <w:rPr>
                      <w:b/>
                      <w:bCs/>
                      <w:szCs w:val="21"/>
                    </w:rPr>
                    <w:t>类</w:t>
                  </w:r>
                </w:p>
              </w:tc>
              <w:tc>
                <w:tcPr>
                  <w:tcW w:w="2612" w:type="dxa"/>
                  <w:gridSpan w:val="3"/>
                  <w:vAlign w:val="center"/>
                </w:tcPr>
                <w:p>
                  <w:pPr>
                    <w:topLinePunct/>
                    <w:adjustRightInd w:val="0"/>
                    <w:snapToGrid w:val="0"/>
                    <w:jc w:val="center"/>
                    <w:rPr>
                      <w:b/>
                      <w:bCs/>
                      <w:szCs w:val="21"/>
                    </w:rPr>
                  </w:pPr>
                  <w:r>
                    <w:rPr>
                      <w:b/>
                      <w:bCs/>
                      <w:szCs w:val="21"/>
                    </w:rPr>
                    <w:fldChar w:fldCharType="begin"/>
                  </w:r>
                  <w:r>
                    <w:rPr>
                      <w:b/>
                      <w:bCs/>
                      <w:szCs w:val="21"/>
                    </w:rPr>
                    <w:instrText xml:space="preserve"> = 3 \* ROMAN \* MERGEFORMAT </w:instrText>
                  </w:r>
                  <w:r>
                    <w:rPr>
                      <w:b/>
                      <w:bCs/>
                      <w:szCs w:val="21"/>
                    </w:rPr>
                    <w:fldChar w:fldCharType="separate"/>
                  </w:r>
                  <w:r>
                    <w:rPr>
                      <w:b/>
                      <w:bCs/>
                    </w:rPr>
                    <w:t>III</w:t>
                  </w:r>
                  <w:r>
                    <w:rPr>
                      <w:b/>
                      <w:bCs/>
                      <w:szCs w:val="21"/>
                    </w:rPr>
                    <w:fldChar w:fldCharType="end"/>
                  </w:r>
                  <w:r>
                    <w:rPr>
                      <w:b/>
                      <w:bCs/>
                      <w:szCs w:val="21"/>
                    </w:rPr>
                    <w:t>类</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77" w:hRule="atLeast"/>
                <w:jc w:val="center"/>
              </w:trPr>
              <w:tc>
                <w:tcPr>
                  <w:tcW w:w="1351" w:type="dxa"/>
                  <w:vMerge w:val="continue"/>
                  <w:vAlign w:val="center"/>
                </w:tcPr>
                <w:p>
                  <w:pPr>
                    <w:topLinePunct/>
                    <w:adjustRightInd w:val="0"/>
                    <w:snapToGrid w:val="0"/>
                    <w:jc w:val="center"/>
                    <w:rPr>
                      <w:b/>
                      <w:bCs/>
                      <w:szCs w:val="21"/>
                    </w:rPr>
                  </w:pPr>
                </w:p>
              </w:tc>
              <w:tc>
                <w:tcPr>
                  <w:tcW w:w="618" w:type="dxa"/>
                  <w:vAlign w:val="center"/>
                </w:tcPr>
                <w:p>
                  <w:pPr>
                    <w:topLinePunct/>
                    <w:adjustRightInd w:val="0"/>
                    <w:snapToGrid w:val="0"/>
                    <w:jc w:val="center"/>
                    <w:rPr>
                      <w:b/>
                      <w:bCs/>
                      <w:szCs w:val="21"/>
                    </w:rPr>
                  </w:pPr>
                  <w:r>
                    <w:rPr>
                      <w:b/>
                      <w:bCs/>
                      <w:szCs w:val="21"/>
                    </w:rPr>
                    <w:t>大</w:t>
                  </w:r>
                </w:p>
              </w:tc>
              <w:tc>
                <w:tcPr>
                  <w:tcW w:w="643" w:type="dxa"/>
                  <w:vAlign w:val="center"/>
                </w:tcPr>
                <w:p>
                  <w:pPr>
                    <w:topLinePunct/>
                    <w:adjustRightInd w:val="0"/>
                    <w:snapToGrid w:val="0"/>
                    <w:jc w:val="center"/>
                    <w:rPr>
                      <w:b/>
                      <w:bCs/>
                      <w:szCs w:val="21"/>
                    </w:rPr>
                  </w:pPr>
                  <w:r>
                    <w:rPr>
                      <w:b/>
                      <w:bCs/>
                      <w:szCs w:val="21"/>
                    </w:rPr>
                    <w:t>中</w:t>
                  </w:r>
                </w:p>
              </w:tc>
              <w:tc>
                <w:tcPr>
                  <w:tcW w:w="644" w:type="dxa"/>
                  <w:vAlign w:val="center"/>
                </w:tcPr>
                <w:p>
                  <w:pPr>
                    <w:topLinePunct/>
                    <w:adjustRightInd w:val="0"/>
                    <w:snapToGrid w:val="0"/>
                    <w:jc w:val="center"/>
                    <w:rPr>
                      <w:b/>
                      <w:bCs/>
                      <w:szCs w:val="21"/>
                    </w:rPr>
                  </w:pPr>
                  <w:r>
                    <w:rPr>
                      <w:b/>
                      <w:bCs/>
                      <w:szCs w:val="21"/>
                    </w:rPr>
                    <w:t>小</w:t>
                  </w:r>
                </w:p>
              </w:tc>
              <w:tc>
                <w:tcPr>
                  <w:tcW w:w="677" w:type="dxa"/>
                  <w:vAlign w:val="center"/>
                </w:tcPr>
                <w:p>
                  <w:pPr>
                    <w:topLinePunct/>
                    <w:adjustRightInd w:val="0"/>
                    <w:snapToGrid w:val="0"/>
                    <w:jc w:val="center"/>
                    <w:rPr>
                      <w:b/>
                      <w:bCs/>
                      <w:szCs w:val="21"/>
                    </w:rPr>
                  </w:pPr>
                  <w:r>
                    <w:rPr>
                      <w:b/>
                      <w:bCs/>
                      <w:szCs w:val="21"/>
                    </w:rPr>
                    <w:t>大</w:t>
                  </w:r>
                </w:p>
              </w:tc>
              <w:tc>
                <w:tcPr>
                  <w:tcW w:w="874" w:type="dxa"/>
                  <w:vAlign w:val="center"/>
                </w:tcPr>
                <w:p>
                  <w:pPr>
                    <w:topLinePunct/>
                    <w:adjustRightInd w:val="0"/>
                    <w:snapToGrid w:val="0"/>
                    <w:jc w:val="center"/>
                    <w:rPr>
                      <w:b/>
                      <w:bCs/>
                      <w:szCs w:val="21"/>
                    </w:rPr>
                  </w:pPr>
                  <w:r>
                    <w:rPr>
                      <w:b/>
                      <w:bCs/>
                      <w:szCs w:val="21"/>
                    </w:rPr>
                    <w:t>中</w:t>
                  </w:r>
                </w:p>
              </w:tc>
              <w:tc>
                <w:tcPr>
                  <w:tcW w:w="873" w:type="dxa"/>
                  <w:vAlign w:val="center"/>
                </w:tcPr>
                <w:p>
                  <w:pPr>
                    <w:topLinePunct/>
                    <w:adjustRightInd w:val="0"/>
                    <w:snapToGrid w:val="0"/>
                    <w:jc w:val="center"/>
                    <w:rPr>
                      <w:b/>
                      <w:bCs/>
                      <w:szCs w:val="21"/>
                    </w:rPr>
                  </w:pPr>
                  <w:r>
                    <w:rPr>
                      <w:b/>
                      <w:bCs/>
                      <w:szCs w:val="21"/>
                    </w:rPr>
                    <w:t>小</w:t>
                  </w:r>
                </w:p>
              </w:tc>
              <w:tc>
                <w:tcPr>
                  <w:tcW w:w="871" w:type="dxa"/>
                  <w:vAlign w:val="center"/>
                </w:tcPr>
                <w:p>
                  <w:pPr>
                    <w:topLinePunct/>
                    <w:adjustRightInd w:val="0"/>
                    <w:snapToGrid w:val="0"/>
                    <w:jc w:val="center"/>
                    <w:rPr>
                      <w:b/>
                      <w:bCs/>
                      <w:szCs w:val="21"/>
                    </w:rPr>
                  </w:pPr>
                  <w:r>
                    <w:rPr>
                      <w:b/>
                      <w:bCs/>
                      <w:szCs w:val="21"/>
                    </w:rPr>
                    <w:t>大</w:t>
                  </w:r>
                </w:p>
              </w:tc>
              <w:tc>
                <w:tcPr>
                  <w:tcW w:w="870" w:type="dxa"/>
                  <w:vAlign w:val="center"/>
                </w:tcPr>
                <w:p>
                  <w:pPr>
                    <w:topLinePunct/>
                    <w:adjustRightInd w:val="0"/>
                    <w:snapToGrid w:val="0"/>
                    <w:jc w:val="center"/>
                    <w:rPr>
                      <w:b/>
                      <w:bCs/>
                      <w:szCs w:val="21"/>
                    </w:rPr>
                  </w:pPr>
                  <w:r>
                    <w:rPr>
                      <w:b/>
                      <w:bCs/>
                      <w:szCs w:val="21"/>
                    </w:rPr>
                    <w:t>中</w:t>
                  </w:r>
                </w:p>
              </w:tc>
              <w:tc>
                <w:tcPr>
                  <w:tcW w:w="871" w:type="dxa"/>
                  <w:vAlign w:val="center"/>
                </w:tcPr>
                <w:p>
                  <w:pPr>
                    <w:topLinePunct/>
                    <w:adjustRightInd w:val="0"/>
                    <w:snapToGrid w:val="0"/>
                    <w:jc w:val="center"/>
                    <w:rPr>
                      <w:b/>
                      <w:bCs/>
                      <w:szCs w:val="21"/>
                    </w:rPr>
                  </w:pPr>
                  <w:r>
                    <w:rPr>
                      <w:b/>
                      <w:bCs/>
                      <w:szCs w:val="21"/>
                    </w:rPr>
                    <w:t>小</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67" w:hRule="atLeast"/>
                <w:jc w:val="center"/>
              </w:trPr>
              <w:tc>
                <w:tcPr>
                  <w:tcW w:w="1351" w:type="dxa"/>
                  <w:vAlign w:val="center"/>
                </w:tcPr>
                <w:p>
                  <w:pPr>
                    <w:topLinePunct/>
                    <w:adjustRightInd w:val="0"/>
                    <w:snapToGrid w:val="0"/>
                    <w:jc w:val="center"/>
                    <w:rPr>
                      <w:szCs w:val="21"/>
                    </w:rPr>
                  </w:pPr>
                  <w:r>
                    <w:rPr>
                      <w:szCs w:val="21"/>
                    </w:rPr>
                    <w:t>敏感</w:t>
                  </w:r>
                </w:p>
              </w:tc>
              <w:tc>
                <w:tcPr>
                  <w:tcW w:w="618" w:type="dxa"/>
                  <w:vAlign w:val="center"/>
                </w:tcPr>
                <w:p>
                  <w:pPr>
                    <w:topLinePunct/>
                    <w:adjustRightInd w:val="0"/>
                    <w:snapToGrid w:val="0"/>
                    <w:jc w:val="center"/>
                    <w:rPr>
                      <w:szCs w:val="21"/>
                    </w:rPr>
                  </w:pPr>
                  <w:r>
                    <w:rPr>
                      <w:szCs w:val="21"/>
                    </w:rPr>
                    <w:t>一级</w:t>
                  </w:r>
                </w:p>
              </w:tc>
              <w:tc>
                <w:tcPr>
                  <w:tcW w:w="643" w:type="dxa"/>
                  <w:vAlign w:val="center"/>
                </w:tcPr>
                <w:p>
                  <w:pPr>
                    <w:topLinePunct/>
                    <w:adjustRightInd w:val="0"/>
                    <w:snapToGrid w:val="0"/>
                    <w:jc w:val="center"/>
                    <w:rPr>
                      <w:szCs w:val="21"/>
                    </w:rPr>
                  </w:pPr>
                  <w:r>
                    <w:rPr>
                      <w:szCs w:val="21"/>
                    </w:rPr>
                    <w:t>一级</w:t>
                  </w:r>
                </w:p>
              </w:tc>
              <w:tc>
                <w:tcPr>
                  <w:tcW w:w="644" w:type="dxa"/>
                  <w:vAlign w:val="center"/>
                </w:tcPr>
                <w:p>
                  <w:pPr>
                    <w:topLinePunct/>
                    <w:adjustRightInd w:val="0"/>
                    <w:snapToGrid w:val="0"/>
                    <w:jc w:val="center"/>
                    <w:rPr>
                      <w:szCs w:val="21"/>
                    </w:rPr>
                  </w:pPr>
                  <w:r>
                    <w:rPr>
                      <w:szCs w:val="21"/>
                    </w:rPr>
                    <w:t>一级</w:t>
                  </w:r>
                </w:p>
              </w:tc>
              <w:tc>
                <w:tcPr>
                  <w:tcW w:w="677" w:type="dxa"/>
                  <w:vAlign w:val="center"/>
                </w:tcPr>
                <w:p>
                  <w:pPr>
                    <w:topLinePunct/>
                    <w:adjustRightInd w:val="0"/>
                    <w:snapToGrid w:val="0"/>
                    <w:jc w:val="center"/>
                    <w:rPr>
                      <w:szCs w:val="21"/>
                    </w:rPr>
                  </w:pPr>
                  <w:r>
                    <w:rPr>
                      <w:szCs w:val="21"/>
                    </w:rPr>
                    <w:t>二级</w:t>
                  </w:r>
                </w:p>
              </w:tc>
              <w:tc>
                <w:tcPr>
                  <w:tcW w:w="874" w:type="dxa"/>
                  <w:vAlign w:val="center"/>
                </w:tcPr>
                <w:p>
                  <w:pPr>
                    <w:topLinePunct/>
                    <w:adjustRightInd w:val="0"/>
                    <w:snapToGrid w:val="0"/>
                    <w:jc w:val="center"/>
                    <w:rPr>
                      <w:szCs w:val="21"/>
                    </w:rPr>
                  </w:pPr>
                  <w:r>
                    <w:rPr>
                      <w:szCs w:val="21"/>
                    </w:rPr>
                    <w:t>二级</w:t>
                  </w:r>
                </w:p>
              </w:tc>
              <w:tc>
                <w:tcPr>
                  <w:tcW w:w="873" w:type="dxa"/>
                  <w:vAlign w:val="center"/>
                </w:tcPr>
                <w:p>
                  <w:pPr>
                    <w:topLinePunct/>
                    <w:adjustRightInd w:val="0"/>
                    <w:snapToGrid w:val="0"/>
                    <w:jc w:val="center"/>
                    <w:rPr>
                      <w:szCs w:val="21"/>
                    </w:rPr>
                  </w:pPr>
                  <w:r>
                    <w:rPr>
                      <w:szCs w:val="21"/>
                    </w:rPr>
                    <w:t>二级</w:t>
                  </w:r>
                </w:p>
              </w:tc>
              <w:tc>
                <w:tcPr>
                  <w:tcW w:w="871" w:type="dxa"/>
                  <w:vAlign w:val="center"/>
                </w:tcPr>
                <w:p>
                  <w:pPr>
                    <w:topLinePunct/>
                    <w:adjustRightInd w:val="0"/>
                    <w:snapToGrid w:val="0"/>
                    <w:jc w:val="center"/>
                    <w:rPr>
                      <w:szCs w:val="21"/>
                    </w:rPr>
                  </w:pPr>
                  <w:r>
                    <w:rPr>
                      <w:szCs w:val="21"/>
                    </w:rPr>
                    <w:t>三级</w:t>
                  </w:r>
                </w:p>
              </w:tc>
              <w:tc>
                <w:tcPr>
                  <w:tcW w:w="870" w:type="dxa"/>
                  <w:vAlign w:val="center"/>
                </w:tcPr>
                <w:p>
                  <w:pPr>
                    <w:topLinePunct/>
                    <w:adjustRightInd w:val="0"/>
                    <w:snapToGrid w:val="0"/>
                    <w:jc w:val="center"/>
                    <w:rPr>
                      <w:szCs w:val="21"/>
                    </w:rPr>
                  </w:pPr>
                  <w:r>
                    <w:rPr>
                      <w:szCs w:val="21"/>
                    </w:rPr>
                    <w:t>三级</w:t>
                  </w:r>
                </w:p>
              </w:tc>
              <w:tc>
                <w:tcPr>
                  <w:tcW w:w="871" w:type="dxa"/>
                  <w:vAlign w:val="center"/>
                </w:tcPr>
                <w:p>
                  <w:pPr>
                    <w:topLinePunct/>
                    <w:adjustRightInd w:val="0"/>
                    <w:snapToGrid w:val="0"/>
                    <w:jc w:val="center"/>
                    <w:rPr>
                      <w:szCs w:val="21"/>
                    </w:rPr>
                  </w:pPr>
                  <w:r>
                    <w:rPr>
                      <w:szCs w:val="21"/>
                    </w:rPr>
                    <w:t>三级</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412" w:hRule="atLeast"/>
                <w:jc w:val="center"/>
              </w:trPr>
              <w:tc>
                <w:tcPr>
                  <w:tcW w:w="1351" w:type="dxa"/>
                  <w:vAlign w:val="center"/>
                </w:tcPr>
                <w:p>
                  <w:pPr>
                    <w:topLinePunct/>
                    <w:adjustRightInd w:val="0"/>
                    <w:snapToGrid w:val="0"/>
                    <w:jc w:val="center"/>
                    <w:rPr>
                      <w:szCs w:val="21"/>
                    </w:rPr>
                  </w:pPr>
                  <w:r>
                    <w:rPr>
                      <w:szCs w:val="21"/>
                    </w:rPr>
                    <w:t>较敏感</w:t>
                  </w:r>
                </w:p>
              </w:tc>
              <w:tc>
                <w:tcPr>
                  <w:tcW w:w="618" w:type="dxa"/>
                  <w:vAlign w:val="center"/>
                </w:tcPr>
                <w:p>
                  <w:pPr>
                    <w:topLinePunct/>
                    <w:adjustRightInd w:val="0"/>
                    <w:snapToGrid w:val="0"/>
                    <w:jc w:val="center"/>
                    <w:rPr>
                      <w:szCs w:val="21"/>
                    </w:rPr>
                  </w:pPr>
                  <w:r>
                    <w:rPr>
                      <w:szCs w:val="21"/>
                    </w:rPr>
                    <w:t>一级</w:t>
                  </w:r>
                </w:p>
              </w:tc>
              <w:tc>
                <w:tcPr>
                  <w:tcW w:w="643" w:type="dxa"/>
                  <w:vAlign w:val="center"/>
                </w:tcPr>
                <w:p>
                  <w:pPr>
                    <w:topLinePunct/>
                    <w:adjustRightInd w:val="0"/>
                    <w:snapToGrid w:val="0"/>
                    <w:jc w:val="center"/>
                    <w:rPr>
                      <w:szCs w:val="21"/>
                    </w:rPr>
                  </w:pPr>
                  <w:r>
                    <w:rPr>
                      <w:szCs w:val="21"/>
                    </w:rPr>
                    <w:t>一级</w:t>
                  </w:r>
                </w:p>
              </w:tc>
              <w:tc>
                <w:tcPr>
                  <w:tcW w:w="644" w:type="dxa"/>
                  <w:vAlign w:val="center"/>
                </w:tcPr>
                <w:p>
                  <w:pPr>
                    <w:topLinePunct/>
                    <w:adjustRightInd w:val="0"/>
                    <w:snapToGrid w:val="0"/>
                    <w:jc w:val="center"/>
                    <w:rPr>
                      <w:szCs w:val="21"/>
                    </w:rPr>
                  </w:pPr>
                  <w:r>
                    <w:rPr>
                      <w:szCs w:val="21"/>
                    </w:rPr>
                    <w:t>二级</w:t>
                  </w:r>
                </w:p>
              </w:tc>
              <w:tc>
                <w:tcPr>
                  <w:tcW w:w="677" w:type="dxa"/>
                  <w:vAlign w:val="center"/>
                </w:tcPr>
                <w:p>
                  <w:pPr>
                    <w:topLinePunct/>
                    <w:adjustRightInd w:val="0"/>
                    <w:snapToGrid w:val="0"/>
                    <w:jc w:val="center"/>
                    <w:rPr>
                      <w:szCs w:val="21"/>
                    </w:rPr>
                  </w:pPr>
                  <w:r>
                    <w:rPr>
                      <w:szCs w:val="21"/>
                    </w:rPr>
                    <w:t>二级</w:t>
                  </w:r>
                </w:p>
              </w:tc>
              <w:tc>
                <w:tcPr>
                  <w:tcW w:w="874" w:type="dxa"/>
                  <w:vAlign w:val="center"/>
                </w:tcPr>
                <w:p>
                  <w:pPr>
                    <w:topLinePunct/>
                    <w:adjustRightInd w:val="0"/>
                    <w:snapToGrid w:val="0"/>
                    <w:jc w:val="center"/>
                    <w:rPr>
                      <w:szCs w:val="21"/>
                    </w:rPr>
                  </w:pPr>
                  <w:r>
                    <w:rPr>
                      <w:szCs w:val="21"/>
                    </w:rPr>
                    <w:t>二级</w:t>
                  </w:r>
                </w:p>
              </w:tc>
              <w:tc>
                <w:tcPr>
                  <w:tcW w:w="873" w:type="dxa"/>
                  <w:vAlign w:val="center"/>
                </w:tcPr>
                <w:p>
                  <w:pPr>
                    <w:topLinePunct/>
                    <w:adjustRightInd w:val="0"/>
                    <w:snapToGrid w:val="0"/>
                    <w:jc w:val="center"/>
                    <w:rPr>
                      <w:szCs w:val="21"/>
                    </w:rPr>
                  </w:pPr>
                  <w:r>
                    <w:rPr>
                      <w:szCs w:val="21"/>
                    </w:rPr>
                    <w:t>三级</w:t>
                  </w:r>
                </w:p>
              </w:tc>
              <w:tc>
                <w:tcPr>
                  <w:tcW w:w="871" w:type="dxa"/>
                  <w:vAlign w:val="center"/>
                </w:tcPr>
                <w:p>
                  <w:pPr>
                    <w:topLinePunct/>
                    <w:adjustRightInd w:val="0"/>
                    <w:snapToGrid w:val="0"/>
                    <w:jc w:val="center"/>
                    <w:rPr>
                      <w:szCs w:val="21"/>
                    </w:rPr>
                  </w:pPr>
                  <w:r>
                    <w:rPr>
                      <w:szCs w:val="21"/>
                    </w:rPr>
                    <w:t>三级</w:t>
                  </w:r>
                </w:p>
              </w:tc>
              <w:tc>
                <w:tcPr>
                  <w:tcW w:w="870" w:type="dxa"/>
                  <w:vAlign w:val="center"/>
                </w:tcPr>
                <w:p>
                  <w:pPr>
                    <w:topLinePunct/>
                    <w:adjustRightInd w:val="0"/>
                    <w:snapToGrid w:val="0"/>
                    <w:jc w:val="center"/>
                    <w:rPr>
                      <w:szCs w:val="21"/>
                    </w:rPr>
                  </w:pPr>
                  <w:r>
                    <w:rPr>
                      <w:szCs w:val="21"/>
                    </w:rPr>
                    <w:t>三级</w:t>
                  </w:r>
                </w:p>
              </w:tc>
              <w:tc>
                <w:tcPr>
                  <w:tcW w:w="871" w:type="dxa"/>
                  <w:vAlign w:val="center"/>
                </w:tcPr>
                <w:p>
                  <w:pPr>
                    <w:topLinePunct/>
                    <w:adjustRightInd w:val="0"/>
                    <w:snapToGrid w:val="0"/>
                    <w:jc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1351" w:type="dxa"/>
                  <w:vAlign w:val="center"/>
                </w:tcPr>
                <w:p>
                  <w:pPr>
                    <w:topLinePunct/>
                    <w:adjustRightInd w:val="0"/>
                    <w:snapToGrid w:val="0"/>
                    <w:jc w:val="center"/>
                    <w:rPr>
                      <w:szCs w:val="21"/>
                    </w:rPr>
                  </w:pPr>
                  <w:r>
                    <w:rPr>
                      <w:szCs w:val="21"/>
                    </w:rPr>
                    <w:t>不敏感</w:t>
                  </w:r>
                </w:p>
              </w:tc>
              <w:tc>
                <w:tcPr>
                  <w:tcW w:w="618" w:type="dxa"/>
                  <w:vAlign w:val="center"/>
                </w:tcPr>
                <w:p>
                  <w:pPr>
                    <w:topLinePunct/>
                    <w:adjustRightInd w:val="0"/>
                    <w:snapToGrid w:val="0"/>
                    <w:jc w:val="center"/>
                    <w:rPr>
                      <w:szCs w:val="21"/>
                    </w:rPr>
                  </w:pPr>
                  <w:r>
                    <w:rPr>
                      <w:szCs w:val="21"/>
                    </w:rPr>
                    <w:t>一级</w:t>
                  </w:r>
                </w:p>
              </w:tc>
              <w:tc>
                <w:tcPr>
                  <w:tcW w:w="643" w:type="dxa"/>
                  <w:vAlign w:val="center"/>
                </w:tcPr>
                <w:p>
                  <w:pPr>
                    <w:topLinePunct/>
                    <w:adjustRightInd w:val="0"/>
                    <w:snapToGrid w:val="0"/>
                    <w:jc w:val="center"/>
                    <w:rPr>
                      <w:szCs w:val="21"/>
                    </w:rPr>
                  </w:pPr>
                  <w:r>
                    <w:rPr>
                      <w:szCs w:val="21"/>
                    </w:rPr>
                    <w:t>二级</w:t>
                  </w:r>
                </w:p>
              </w:tc>
              <w:tc>
                <w:tcPr>
                  <w:tcW w:w="644" w:type="dxa"/>
                  <w:vAlign w:val="center"/>
                </w:tcPr>
                <w:p>
                  <w:pPr>
                    <w:topLinePunct/>
                    <w:adjustRightInd w:val="0"/>
                    <w:snapToGrid w:val="0"/>
                    <w:jc w:val="center"/>
                    <w:rPr>
                      <w:szCs w:val="21"/>
                    </w:rPr>
                  </w:pPr>
                  <w:r>
                    <w:rPr>
                      <w:szCs w:val="21"/>
                    </w:rPr>
                    <w:t>二级</w:t>
                  </w:r>
                </w:p>
              </w:tc>
              <w:tc>
                <w:tcPr>
                  <w:tcW w:w="677" w:type="dxa"/>
                  <w:vAlign w:val="center"/>
                </w:tcPr>
                <w:p>
                  <w:pPr>
                    <w:topLinePunct/>
                    <w:adjustRightInd w:val="0"/>
                    <w:snapToGrid w:val="0"/>
                    <w:jc w:val="center"/>
                    <w:rPr>
                      <w:szCs w:val="21"/>
                    </w:rPr>
                  </w:pPr>
                  <w:r>
                    <w:rPr>
                      <w:szCs w:val="21"/>
                    </w:rPr>
                    <w:t>二级</w:t>
                  </w:r>
                </w:p>
              </w:tc>
              <w:tc>
                <w:tcPr>
                  <w:tcW w:w="874" w:type="dxa"/>
                  <w:vAlign w:val="center"/>
                </w:tcPr>
                <w:p>
                  <w:pPr>
                    <w:topLinePunct/>
                    <w:adjustRightInd w:val="0"/>
                    <w:snapToGrid w:val="0"/>
                    <w:jc w:val="center"/>
                    <w:rPr>
                      <w:szCs w:val="21"/>
                    </w:rPr>
                  </w:pPr>
                  <w:r>
                    <w:rPr>
                      <w:szCs w:val="21"/>
                    </w:rPr>
                    <w:t>三级</w:t>
                  </w:r>
                </w:p>
              </w:tc>
              <w:tc>
                <w:tcPr>
                  <w:tcW w:w="873" w:type="dxa"/>
                  <w:vAlign w:val="center"/>
                </w:tcPr>
                <w:p>
                  <w:pPr>
                    <w:topLinePunct/>
                    <w:adjustRightInd w:val="0"/>
                    <w:snapToGrid w:val="0"/>
                    <w:jc w:val="center"/>
                    <w:rPr>
                      <w:szCs w:val="21"/>
                    </w:rPr>
                  </w:pPr>
                  <w:r>
                    <w:rPr>
                      <w:szCs w:val="21"/>
                    </w:rPr>
                    <w:t>三级</w:t>
                  </w:r>
                </w:p>
              </w:tc>
              <w:tc>
                <w:tcPr>
                  <w:tcW w:w="871" w:type="dxa"/>
                  <w:vAlign w:val="center"/>
                </w:tcPr>
                <w:p>
                  <w:pPr>
                    <w:topLinePunct/>
                    <w:adjustRightInd w:val="0"/>
                    <w:snapToGrid w:val="0"/>
                    <w:jc w:val="center"/>
                    <w:rPr>
                      <w:szCs w:val="21"/>
                    </w:rPr>
                  </w:pPr>
                  <w:r>
                    <w:rPr>
                      <w:szCs w:val="21"/>
                    </w:rPr>
                    <w:t>三级</w:t>
                  </w:r>
                </w:p>
              </w:tc>
              <w:tc>
                <w:tcPr>
                  <w:tcW w:w="870" w:type="dxa"/>
                  <w:vAlign w:val="center"/>
                </w:tcPr>
                <w:p>
                  <w:pPr>
                    <w:topLinePunct/>
                    <w:adjustRightInd w:val="0"/>
                    <w:snapToGrid w:val="0"/>
                    <w:jc w:val="center"/>
                    <w:rPr>
                      <w:szCs w:val="21"/>
                    </w:rPr>
                  </w:pPr>
                  <w:r>
                    <w:rPr>
                      <w:szCs w:val="21"/>
                    </w:rPr>
                    <w:t>-</w:t>
                  </w:r>
                </w:p>
              </w:tc>
              <w:tc>
                <w:tcPr>
                  <w:tcW w:w="871" w:type="dxa"/>
                  <w:vAlign w:val="center"/>
                </w:tcPr>
                <w:p>
                  <w:pPr>
                    <w:topLinePunct/>
                    <w:adjustRightInd w:val="0"/>
                    <w:snapToGrid w:val="0"/>
                    <w:jc w:val="center"/>
                    <w:rPr>
                      <w:szCs w:val="21"/>
                    </w:rPr>
                  </w:pPr>
                  <w:r>
                    <w:rPr>
                      <w:szCs w:val="21"/>
                    </w:rPr>
                    <w:t>-</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trHeight w:val="312" w:hRule="atLeast"/>
                <w:jc w:val="center"/>
              </w:trPr>
              <w:tc>
                <w:tcPr>
                  <w:tcW w:w="8292" w:type="dxa"/>
                  <w:gridSpan w:val="10"/>
                  <w:vAlign w:val="center"/>
                </w:tcPr>
                <w:p>
                  <w:pPr>
                    <w:topLinePunct/>
                    <w:adjustRightInd w:val="0"/>
                    <w:snapToGrid w:val="0"/>
                    <w:jc w:val="center"/>
                    <w:rPr>
                      <w:szCs w:val="21"/>
                    </w:rPr>
                  </w:pPr>
                  <w:r>
                    <w:rPr>
                      <w:szCs w:val="21"/>
                    </w:rPr>
                    <w:t>- 表示可不开展土壤环境影响评价工作</w:t>
                  </w:r>
                </w:p>
              </w:tc>
            </w:tr>
          </w:tbl>
          <w:p>
            <w:pPr>
              <w:pStyle w:val="9"/>
              <w:adjustRightInd/>
              <w:snapToGrid/>
              <w:spacing w:line="360" w:lineRule="auto"/>
              <w:ind w:left="0" w:leftChars="0" w:right="0" w:rightChars="0" w:firstLine="480"/>
              <w:jc w:val="left"/>
              <w:rPr>
                <w:color w:val="auto"/>
                <w:sz w:val="24"/>
              </w:rPr>
            </w:pPr>
            <w:r>
              <w:rPr>
                <w:color w:val="auto"/>
                <w:sz w:val="24"/>
              </w:rPr>
              <w:t>根据上表，本项目可不开展土壤环境影响评价工作。</w:t>
            </w:r>
          </w:p>
          <w:p>
            <w:pPr>
              <w:pStyle w:val="9"/>
              <w:adjustRightInd/>
              <w:snapToGrid/>
              <w:spacing w:line="360" w:lineRule="auto"/>
              <w:ind w:left="0" w:leftChars="0" w:right="0" w:rightChars="0" w:firstLine="480"/>
              <w:jc w:val="left"/>
              <w:rPr>
                <w:color w:val="auto"/>
                <w:sz w:val="24"/>
              </w:rPr>
            </w:pPr>
            <w:r>
              <w:rPr>
                <w:color w:val="auto"/>
                <w:sz w:val="24"/>
              </w:rPr>
              <w:t>综上所述，本项目运营过程中，对土壤环境影响较小。</w:t>
            </w:r>
          </w:p>
          <w:p>
            <w:pPr>
              <w:pStyle w:val="9"/>
              <w:numPr>
                <w:ilvl w:val="0"/>
                <w:numId w:val="0"/>
              </w:numPr>
              <w:adjustRightInd/>
              <w:snapToGrid/>
              <w:spacing w:line="360" w:lineRule="auto"/>
              <w:ind w:leftChars="200" w:right="0" w:rightChars="0"/>
              <w:jc w:val="left"/>
              <w:rPr>
                <w:rFonts w:hint="eastAsia"/>
                <w:b/>
                <w:color w:val="000000" w:themeColor="text1"/>
                <w:sz w:val="24"/>
                <w14:textFill>
                  <w14:solidFill>
                    <w14:schemeClr w14:val="tx1"/>
                  </w14:solidFill>
                </w14:textFill>
              </w:rPr>
            </w:pPr>
            <w:r>
              <w:rPr>
                <w:rFonts w:hint="eastAsia"/>
                <w:b/>
                <w:color w:val="000000" w:themeColor="text1"/>
                <w:sz w:val="24"/>
                <w:lang w:val="en-US" w:eastAsia="zh-CN"/>
                <w14:textFill>
                  <w14:solidFill>
                    <w14:schemeClr w14:val="tx1"/>
                  </w14:solidFill>
                </w14:textFill>
              </w:rPr>
              <w:t>7、</w:t>
            </w:r>
            <w:r>
              <w:rPr>
                <w:rFonts w:hint="eastAsia"/>
                <w:b/>
                <w:color w:val="000000" w:themeColor="text1"/>
                <w:sz w:val="24"/>
                <w14:textFill>
                  <w14:solidFill>
                    <w14:schemeClr w14:val="tx1"/>
                  </w14:solidFill>
                </w14:textFill>
              </w:rPr>
              <w:t>环境风险评价</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（1）评价依据</w: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b/>
                <w:bCs/>
                <w:color w:val="auto"/>
                <w:sz w:val="24"/>
                <w:szCs w:val="24"/>
                <w:lang w:val="en-US" w:eastAsia="zh-CN"/>
              </w:rPr>
            </w:pPr>
            <w:r>
              <w:rPr>
                <w:rFonts w:hint="eastAsia" w:ascii="Times New Roman" w:hAnsi="Times New Roman" w:eastAsia="宋体" w:cs="Times New Roman"/>
                <w:b/>
                <w:bCs/>
                <w:color w:val="auto"/>
                <w:sz w:val="24"/>
                <w:szCs w:val="24"/>
                <w:lang w:val="en-US" w:eastAsia="zh-CN"/>
              </w:rPr>
              <w:t>1）风险调查</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按照《建设项目环境风险评价技术导则》（HJ/T169-2018）附录B及</w:t>
            </w:r>
          </w:p>
          <w:p>
            <w:pPr>
              <w:keepNext w:val="0"/>
              <w:keepLines w:val="0"/>
              <w:suppressLineNumbers w:val="0"/>
              <w:spacing w:before="0" w:beforeAutospacing="0" w:after="0" w:afterAutospacing="0" w:line="360" w:lineRule="auto"/>
              <w:ind w:right="0"/>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eastAsia="zh-CN"/>
              </w:rPr>
              <w:t>危险化学品</w:t>
            </w:r>
            <w:r>
              <w:rPr>
                <w:rFonts w:hint="default" w:ascii="Times New Roman" w:hAnsi="Times New Roman" w:eastAsia="宋体" w:cs="Times New Roman"/>
                <w:color w:val="auto"/>
                <w:sz w:val="24"/>
                <w:szCs w:val="24"/>
              </w:rPr>
              <w:t>重大危险源辨识》（GB1828-2018），本项目</w:t>
            </w:r>
            <w:r>
              <w:rPr>
                <w:rFonts w:hint="default" w:ascii="Times New Roman" w:hAnsi="Times New Roman" w:eastAsia="宋体" w:cs="Times New Roman"/>
                <w:color w:val="auto"/>
                <w:sz w:val="24"/>
                <w:szCs w:val="24"/>
                <w:lang w:eastAsia="zh-CN"/>
              </w:rPr>
              <w:t>风险物质主要为</w:t>
            </w:r>
            <w:r>
              <w:rPr>
                <w:rFonts w:hint="eastAsia" w:cs="Times New Roman"/>
                <w:color w:val="auto"/>
                <w:sz w:val="24"/>
                <w:szCs w:val="24"/>
                <w:lang w:eastAsia="zh-CN"/>
              </w:rPr>
              <w:t>润滑脂</w:t>
            </w:r>
            <w:r>
              <w:rPr>
                <w:rFonts w:hint="default" w:ascii="Times New Roman" w:hAnsi="Times New Roman" w:eastAsia="宋体" w:cs="Times New Roman"/>
                <w:color w:val="auto"/>
                <w:sz w:val="24"/>
                <w:szCs w:val="24"/>
                <w:lang w:eastAsia="zh-CN"/>
              </w:rPr>
              <w:t>，</w:t>
            </w:r>
            <w:r>
              <w:rPr>
                <w:rFonts w:hint="eastAsia" w:cs="Times New Roman"/>
                <w:color w:val="auto"/>
                <w:sz w:val="24"/>
                <w:szCs w:val="24"/>
                <w:lang w:eastAsia="zh-CN"/>
              </w:rPr>
              <w:t>桶</w:t>
            </w:r>
            <w:r>
              <w:rPr>
                <w:rFonts w:hint="eastAsia" w:ascii="Times New Roman" w:hAnsi="Times New Roman" w:eastAsia="宋体" w:cs="Times New Roman"/>
                <w:color w:val="auto"/>
                <w:sz w:val="24"/>
                <w:szCs w:val="24"/>
                <w:lang w:eastAsia="zh-CN"/>
              </w:rPr>
              <w:t>装，</w:t>
            </w:r>
            <w:r>
              <w:rPr>
                <w:rFonts w:hint="default" w:ascii="Times New Roman" w:hAnsi="Times New Roman" w:eastAsia="宋体" w:cs="Times New Roman"/>
                <w:color w:val="auto"/>
                <w:sz w:val="24"/>
                <w:szCs w:val="24"/>
                <w:lang w:eastAsia="zh-CN"/>
              </w:rPr>
              <w:t>最大存储量</w:t>
            </w:r>
            <w:r>
              <w:rPr>
                <w:rFonts w:hint="eastAsia" w:cs="Times New Roman"/>
                <w:color w:val="auto"/>
                <w:sz w:val="24"/>
                <w:szCs w:val="24"/>
                <w:lang w:val="en-US" w:eastAsia="zh-CN"/>
              </w:rPr>
              <w:t>0.1</w:t>
            </w:r>
            <w:r>
              <w:rPr>
                <w:rFonts w:hint="default" w:ascii="Times New Roman" w:hAnsi="Times New Roman" w:eastAsia="宋体" w:cs="Times New Roman"/>
                <w:color w:val="auto"/>
                <w:sz w:val="24"/>
                <w:szCs w:val="24"/>
                <w:lang w:val="en-US" w:eastAsia="zh-CN"/>
              </w:rPr>
              <w:t>t</w:t>
            </w:r>
            <w:r>
              <w:rPr>
                <w:rFonts w:hint="default" w:ascii="Times New Roman" w:hAnsi="Times New Roman" w:eastAsia="宋体" w:cs="Times New Roman"/>
                <w:color w:val="auto"/>
                <w:sz w:val="24"/>
                <w:szCs w:val="24"/>
                <w:lang w:eastAsia="zh-CN"/>
              </w:rPr>
              <w:t>。</w:t>
            </w:r>
          </w:p>
          <w:p>
            <w:pPr>
              <w:keepNext w:val="0"/>
              <w:keepLines w:val="0"/>
              <w:suppressLineNumbers w:val="0"/>
              <w:spacing w:before="0" w:beforeAutospacing="0" w:after="0" w:afterAutospacing="0" w:line="360" w:lineRule="auto"/>
              <w:ind w:right="0" w:firstLine="480" w:firstLineChars="200"/>
              <w:rPr>
                <w:i w:val="0"/>
                <w:iCs w:val="0"/>
                <w:color w:val="auto"/>
                <w:sz w:val="24"/>
              </w:rPr>
            </w:pPr>
            <w:r>
              <w:rPr>
                <w:rFonts w:hint="eastAsia"/>
                <w:b/>
                <w:i w:val="0"/>
                <w:iCs w:val="0"/>
                <w:color w:val="auto"/>
                <w:sz w:val="24"/>
              </w:rPr>
              <w:t>2）风险潜势初判</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
                <w:bCs/>
                <w:color w:val="auto"/>
                <w:sz w:val="24"/>
                <w:szCs w:val="24"/>
              </w:rPr>
            </w:pPr>
            <w:r>
              <w:rPr>
                <w:rFonts w:hint="default" w:ascii="Times New Roman" w:hAnsi="Times New Roman" w:eastAsia="宋体" w:cs="Times New Roman"/>
                <w:color w:val="auto"/>
                <w:kern w:val="2"/>
                <w:sz w:val="24"/>
                <w:szCs w:val="32"/>
                <w:lang w:val="en-US" w:eastAsia="zh-CN" w:bidi="ar-SA"/>
              </w:rPr>
              <w:t>根据</w:t>
            </w:r>
            <w:r>
              <w:rPr>
                <w:rFonts w:hint="default" w:ascii="Times New Roman" w:hAnsi="Times New Roman" w:eastAsia="宋体" w:cs="Times New Roman"/>
                <w:color w:val="auto"/>
                <w:sz w:val="24"/>
                <w:szCs w:val="24"/>
              </w:rPr>
              <w:t>《建设项目环境风险评价技术导则》（HJ/T169-2018）附录B</w:t>
            </w:r>
            <w:r>
              <w:rPr>
                <w:rFonts w:hint="eastAsia" w:ascii="Times New Roman" w:hAnsi="Times New Roman" w:eastAsia="宋体" w:cs="Times New Roman"/>
                <w:color w:val="auto"/>
                <w:kern w:val="2"/>
                <w:sz w:val="24"/>
                <w:szCs w:val="32"/>
                <w:lang w:val="en-US" w:eastAsia="zh-CN" w:bidi="ar-SA"/>
              </w:rPr>
              <w:t>中突发环境事件风险物质</w:t>
            </w:r>
            <w:r>
              <w:rPr>
                <w:rFonts w:hint="default" w:ascii="Times New Roman" w:hAnsi="Times New Roman" w:eastAsia="宋体" w:cs="Times New Roman"/>
                <w:color w:val="auto"/>
                <w:kern w:val="2"/>
                <w:sz w:val="24"/>
                <w:szCs w:val="32"/>
                <w:lang w:val="en-US" w:eastAsia="zh-CN" w:bidi="ar-SA"/>
              </w:rPr>
              <w:t>其临界量，</w:t>
            </w:r>
            <w:r>
              <w:rPr>
                <w:rFonts w:hint="default" w:ascii="Times New Roman" w:hAnsi="Times New Roman" w:eastAsia="宋体" w:cs="Times New Roman"/>
                <w:color w:val="auto"/>
                <w:sz w:val="24"/>
              </w:rPr>
              <w:t>标准规定的临界量见下表</w:t>
            </w:r>
            <w:r>
              <w:rPr>
                <w:rFonts w:hint="default" w:ascii="Times New Roman" w:hAnsi="Times New Roman" w:eastAsia="宋体" w:cs="Times New Roman"/>
                <w:color w:val="auto"/>
                <w:sz w:val="24"/>
                <w:lang w:eastAsia="zh-CN"/>
              </w:rPr>
              <w:t>。</w:t>
            </w:r>
          </w:p>
          <w:p>
            <w:pPr>
              <w:keepNext w:val="0"/>
              <w:keepLines w:val="0"/>
              <w:suppressLineNumbers w:val="0"/>
              <w:spacing w:before="0" w:beforeLines="0" w:beforeAutospacing="0" w:after="0" w:afterLines="0" w:afterAutospacing="0" w:line="240" w:lineRule="auto"/>
              <w:ind w:left="0" w:right="0"/>
              <w:jc w:val="center"/>
              <w:rPr>
                <w:rFonts w:hint="default" w:ascii="Times New Roman" w:hAnsi="Times New Roman" w:eastAsia="宋体" w:cs="Times New Roman"/>
                <w:b/>
                <w:bCs/>
                <w:color w:val="auto"/>
                <w:sz w:val="24"/>
                <w:szCs w:val="24"/>
              </w:rPr>
            </w:pPr>
            <w:r>
              <w:rPr>
                <w:rFonts w:hint="default" w:ascii="Times New Roman" w:hAnsi="Times New Roman" w:eastAsia="宋体" w:cs="Times New Roman"/>
                <w:b/>
                <w:bCs/>
                <w:color w:val="auto"/>
                <w:sz w:val="24"/>
                <w:szCs w:val="24"/>
              </w:rPr>
              <w:t>表</w:t>
            </w:r>
            <w:r>
              <w:rPr>
                <w:rFonts w:hint="default" w:ascii="Times New Roman" w:hAnsi="Times New Roman" w:eastAsia="宋体" w:cs="Times New Roman"/>
                <w:b/>
                <w:bCs/>
                <w:color w:val="auto"/>
                <w:sz w:val="24"/>
                <w:szCs w:val="24"/>
                <w:lang w:val="en-US" w:eastAsia="zh-CN"/>
              </w:rPr>
              <w:t>7-</w:t>
            </w:r>
            <w:r>
              <w:rPr>
                <w:rFonts w:hint="eastAsia" w:ascii="Times New Roman" w:hAnsi="Times New Roman" w:cs="Times New Roman"/>
                <w:b/>
                <w:bCs/>
                <w:color w:val="auto"/>
                <w:sz w:val="24"/>
                <w:szCs w:val="24"/>
                <w:lang w:val="en-US" w:eastAsia="zh-CN"/>
              </w:rPr>
              <w:t>2</w:t>
            </w:r>
            <w:r>
              <w:rPr>
                <w:rFonts w:hint="eastAsia" w:cs="Times New Roman"/>
                <w:b/>
                <w:bCs/>
                <w:color w:val="auto"/>
                <w:sz w:val="24"/>
                <w:szCs w:val="24"/>
                <w:lang w:val="en-US" w:eastAsia="zh-CN"/>
              </w:rPr>
              <w:t>3</w:t>
            </w:r>
            <w:r>
              <w:rPr>
                <w:rFonts w:hint="default" w:ascii="Times New Roman" w:hAnsi="Times New Roman" w:eastAsia="宋体" w:cs="Times New Roman"/>
                <w:b/>
                <w:bCs/>
                <w:color w:val="auto"/>
                <w:sz w:val="24"/>
                <w:szCs w:val="24"/>
                <w:lang w:val="en-US" w:eastAsia="zh-CN"/>
              </w:rPr>
              <w:t xml:space="preserve">  </w:t>
            </w:r>
            <w:r>
              <w:rPr>
                <w:rFonts w:hint="default" w:ascii="Times New Roman" w:hAnsi="Times New Roman" w:eastAsia="宋体" w:cs="Times New Roman"/>
                <w:b/>
                <w:bCs/>
                <w:color w:val="auto"/>
                <w:sz w:val="24"/>
                <w:szCs w:val="24"/>
              </w:rPr>
              <w:t>项目主要危险物质的储量及临界量</w:t>
            </w:r>
          </w:p>
          <w:tbl>
            <w:tblPr>
              <w:tblStyle w:val="1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60"/>
              <w:gridCol w:w="1732"/>
              <w:gridCol w:w="1234"/>
              <w:gridCol w:w="1396"/>
              <w:gridCol w:w="1106"/>
              <w:gridCol w:w="118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6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63" w:beforeLines="20" w:beforeAutospacing="0" w:after="63" w:afterLines="20" w:afterAutospacing="0"/>
                    <w:ind w:left="0" w:right="0"/>
                    <w:jc w:val="center"/>
                    <w:textAlignment w:val="auto"/>
                    <w:rPr>
                      <w:rFonts w:hint="default" w:ascii="Times New Roman" w:hAnsi="Times New Roman" w:eastAsia="宋体" w:cs="Times New Roman"/>
                      <w:b/>
                      <w:bCs/>
                      <w:color w:val="auto"/>
                      <w:sz w:val="21"/>
                    </w:rPr>
                  </w:pPr>
                  <w:r>
                    <w:rPr>
                      <w:rFonts w:hint="default" w:ascii="Times New Roman" w:hAnsi="Times New Roman" w:eastAsia="宋体" w:cs="Times New Roman"/>
                      <w:b/>
                      <w:bCs/>
                      <w:color w:val="auto"/>
                      <w:sz w:val="21"/>
                      <w:lang w:eastAsia="zh-CN"/>
                    </w:rPr>
                    <w:t>风险</w:t>
                  </w:r>
                  <w:r>
                    <w:rPr>
                      <w:rFonts w:hint="default" w:ascii="Times New Roman" w:hAnsi="Times New Roman" w:eastAsia="宋体" w:cs="Times New Roman"/>
                      <w:b/>
                      <w:bCs/>
                      <w:color w:val="auto"/>
                      <w:sz w:val="21"/>
                    </w:rPr>
                    <w:t>物质</w:t>
                  </w:r>
                </w:p>
              </w:tc>
              <w:tc>
                <w:tcPr>
                  <w:tcW w:w="173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63" w:beforeLines="20" w:beforeAutospacing="0" w:after="63" w:afterLines="20" w:afterAutospacing="0"/>
                    <w:ind w:left="0" w:right="0"/>
                    <w:jc w:val="center"/>
                    <w:textAlignment w:val="auto"/>
                    <w:rPr>
                      <w:rFonts w:hint="default" w:ascii="Times New Roman" w:hAnsi="Times New Roman" w:eastAsia="宋体" w:cs="Times New Roman"/>
                      <w:b/>
                      <w:bCs/>
                      <w:color w:val="auto"/>
                      <w:sz w:val="21"/>
                      <w:lang w:eastAsia="zh-CN"/>
                    </w:rPr>
                  </w:pPr>
                  <w:r>
                    <w:rPr>
                      <w:rFonts w:hint="default" w:ascii="Times New Roman" w:hAnsi="Times New Roman" w:eastAsia="宋体" w:cs="Times New Roman"/>
                      <w:b/>
                      <w:bCs/>
                      <w:color w:val="auto"/>
                      <w:sz w:val="21"/>
                      <w:lang w:eastAsia="zh-CN"/>
                    </w:rPr>
                    <w:t>储存位置</w:t>
                  </w:r>
                </w:p>
              </w:tc>
              <w:tc>
                <w:tcPr>
                  <w:tcW w:w="1234"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63" w:beforeLines="20" w:beforeAutospacing="0" w:after="63" w:afterLines="20" w:afterAutospacing="0"/>
                    <w:ind w:left="0" w:right="0"/>
                    <w:jc w:val="center"/>
                    <w:textAlignment w:val="auto"/>
                    <w:rPr>
                      <w:rFonts w:hint="default" w:ascii="Times New Roman" w:hAnsi="Times New Roman" w:eastAsia="宋体" w:cs="Times New Roman"/>
                      <w:b/>
                      <w:bCs/>
                      <w:color w:val="auto"/>
                      <w:sz w:val="21"/>
                      <w:lang w:eastAsia="zh-CN"/>
                    </w:rPr>
                  </w:pPr>
                  <w:r>
                    <w:rPr>
                      <w:rFonts w:hint="default" w:ascii="Times New Roman" w:hAnsi="Times New Roman" w:eastAsia="宋体" w:cs="Times New Roman"/>
                      <w:b/>
                      <w:bCs/>
                      <w:color w:val="auto"/>
                      <w:sz w:val="21"/>
                      <w:lang w:eastAsia="zh-CN"/>
                    </w:rPr>
                    <w:t>储存方式</w:t>
                  </w:r>
                </w:p>
              </w:tc>
              <w:tc>
                <w:tcPr>
                  <w:tcW w:w="1396"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63" w:beforeLines="20" w:beforeAutospacing="0" w:after="63" w:afterLines="20" w:afterAutospacing="0"/>
                    <w:ind w:left="0" w:right="0"/>
                    <w:jc w:val="center"/>
                    <w:textAlignment w:val="auto"/>
                    <w:rPr>
                      <w:rFonts w:hint="default" w:ascii="Times New Roman" w:hAnsi="Times New Roman" w:eastAsia="宋体" w:cs="Times New Roman"/>
                      <w:b/>
                      <w:bCs/>
                      <w:color w:val="auto"/>
                      <w:sz w:val="21"/>
                    </w:rPr>
                  </w:pPr>
                  <w:r>
                    <w:rPr>
                      <w:rFonts w:hint="default" w:ascii="Times New Roman" w:hAnsi="Times New Roman" w:eastAsia="宋体" w:cs="Times New Roman"/>
                      <w:b/>
                      <w:bCs/>
                      <w:color w:val="auto"/>
                      <w:sz w:val="21"/>
                      <w:lang w:eastAsia="zh-CN"/>
                    </w:rPr>
                    <w:t>实际</w:t>
                  </w:r>
                  <w:r>
                    <w:rPr>
                      <w:rFonts w:hint="default" w:ascii="Times New Roman" w:hAnsi="Times New Roman" w:eastAsia="宋体" w:cs="Times New Roman"/>
                      <w:b/>
                      <w:bCs/>
                      <w:color w:val="auto"/>
                      <w:sz w:val="21"/>
                    </w:rPr>
                    <w:t>贮存量</w:t>
                  </w:r>
                </w:p>
              </w:tc>
              <w:tc>
                <w:tcPr>
                  <w:tcW w:w="1106"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63" w:beforeLines="20" w:beforeAutospacing="0" w:after="63" w:afterLines="20" w:afterAutospacing="0"/>
                    <w:ind w:left="0" w:right="0"/>
                    <w:jc w:val="center"/>
                    <w:textAlignment w:val="auto"/>
                    <w:rPr>
                      <w:rFonts w:hint="default" w:ascii="Times New Roman" w:hAnsi="Times New Roman" w:eastAsia="宋体" w:cs="Times New Roman"/>
                      <w:b/>
                      <w:bCs/>
                      <w:color w:val="auto"/>
                      <w:sz w:val="21"/>
                    </w:rPr>
                  </w:pPr>
                  <w:r>
                    <w:rPr>
                      <w:rFonts w:hint="default" w:ascii="Times New Roman" w:hAnsi="Times New Roman" w:eastAsia="宋体" w:cs="Times New Roman"/>
                      <w:b/>
                      <w:bCs/>
                      <w:color w:val="auto"/>
                      <w:sz w:val="21"/>
                    </w:rPr>
                    <w:t>临界量</w:t>
                  </w:r>
                </w:p>
              </w:tc>
              <w:tc>
                <w:tcPr>
                  <w:tcW w:w="1184"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63" w:beforeLines="20" w:beforeAutospacing="0" w:after="63" w:afterLines="20" w:afterAutospacing="0"/>
                    <w:ind w:left="0" w:right="0"/>
                    <w:jc w:val="center"/>
                    <w:textAlignment w:val="auto"/>
                    <w:rPr>
                      <w:rFonts w:hint="default" w:ascii="Times New Roman" w:hAnsi="Times New Roman" w:eastAsia="宋体" w:cs="Times New Roman"/>
                      <w:b/>
                      <w:bCs/>
                      <w:color w:val="auto"/>
                      <w:sz w:val="21"/>
                    </w:rPr>
                  </w:pPr>
                  <w:r>
                    <w:rPr>
                      <w:rFonts w:hint="default" w:ascii="Times New Roman" w:hAnsi="Times New Roman" w:eastAsia="宋体" w:cs="Times New Roman"/>
                      <w:b/>
                      <w:bCs/>
                      <w:color w:val="auto"/>
                      <w:sz w:val="21"/>
                    </w:rPr>
                    <w:t>Q值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660"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63" w:beforeLines="20" w:beforeAutospacing="0" w:after="63" w:afterLines="20" w:afterAutospacing="0"/>
                    <w:ind w:left="0" w:right="0"/>
                    <w:jc w:val="center"/>
                    <w:textAlignment w:val="auto"/>
                    <w:rPr>
                      <w:rFonts w:hint="default" w:ascii="Times New Roman" w:hAnsi="Times New Roman" w:eastAsia="宋体" w:cs="Times New Roman"/>
                      <w:color w:val="auto"/>
                      <w:sz w:val="21"/>
                      <w:lang w:eastAsia="zh-CN"/>
                    </w:rPr>
                  </w:pPr>
                  <w:r>
                    <w:rPr>
                      <w:rFonts w:hint="eastAsia" w:cs="Times New Roman"/>
                      <w:color w:val="auto"/>
                      <w:sz w:val="21"/>
                      <w:lang w:eastAsia="zh-CN"/>
                    </w:rPr>
                    <w:t>润滑脂</w:t>
                  </w:r>
                </w:p>
              </w:tc>
              <w:tc>
                <w:tcPr>
                  <w:tcW w:w="1732"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63" w:beforeLines="20" w:beforeAutospacing="0" w:after="63" w:afterLines="20" w:afterAutospacing="0"/>
                    <w:ind w:left="0" w:right="0"/>
                    <w:jc w:val="center"/>
                    <w:textAlignment w:val="auto"/>
                    <w:rPr>
                      <w:rFonts w:hint="default" w:ascii="Times New Roman" w:hAnsi="Times New Roman" w:eastAsia="宋体" w:cs="Times New Roman"/>
                      <w:color w:val="auto"/>
                      <w:sz w:val="21"/>
                      <w:lang w:val="en-US" w:eastAsia="zh-CN"/>
                    </w:rPr>
                  </w:pPr>
                  <w:r>
                    <w:rPr>
                      <w:rFonts w:hint="eastAsia" w:ascii="Times New Roman" w:hAnsi="Times New Roman" w:eastAsia="宋体" w:cs="Times New Roman"/>
                      <w:color w:val="auto"/>
                      <w:sz w:val="21"/>
                      <w:lang w:val="en-US" w:eastAsia="zh-CN"/>
                    </w:rPr>
                    <w:t>原料</w:t>
                  </w:r>
                  <w:r>
                    <w:rPr>
                      <w:rFonts w:hint="default" w:ascii="Times New Roman" w:hAnsi="Times New Roman" w:eastAsia="宋体" w:cs="Times New Roman"/>
                      <w:color w:val="auto"/>
                      <w:sz w:val="21"/>
                      <w:lang w:val="en-US" w:eastAsia="zh-CN"/>
                    </w:rPr>
                    <w:t>库</w:t>
                  </w:r>
                </w:p>
              </w:tc>
              <w:tc>
                <w:tcPr>
                  <w:tcW w:w="1234"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63" w:beforeLines="20" w:beforeAutospacing="0" w:after="63" w:afterLines="20" w:afterAutospacing="0"/>
                    <w:ind w:left="0" w:right="0"/>
                    <w:jc w:val="center"/>
                    <w:textAlignment w:val="auto"/>
                    <w:rPr>
                      <w:rFonts w:hint="default" w:ascii="Times New Roman" w:hAnsi="Times New Roman" w:eastAsia="宋体" w:cs="Times New Roman"/>
                      <w:color w:val="auto"/>
                      <w:sz w:val="21"/>
                      <w:lang w:eastAsia="zh-CN"/>
                    </w:rPr>
                  </w:pPr>
                  <w:r>
                    <w:rPr>
                      <w:rFonts w:hint="eastAsia" w:cs="Times New Roman"/>
                      <w:color w:val="auto"/>
                      <w:sz w:val="21"/>
                      <w:lang w:eastAsia="zh-CN"/>
                    </w:rPr>
                    <w:t>桶</w:t>
                  </w:r>
                  <w:r>
                    <w:rPr>
                      <w:rFonts w:hint="eastAsia" w:ascii="Times New Roman" w:hAnsi="Times New Roman" w:cs="Times New Roman"/>
                      <w:color w:val="auto"/>
                      <w:sz w:val="21"/>
                      <w:lang w:eastAsia="zh-CN"/>
                    </w:rPr>
                    <w:t>装</w:t>
                  </w:r>
                </w:p>
              </w:tc>
              <w:tc>
                <w:tcPr>
                  <w:tcW w:w="1396"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63" w:beforeLines="20" w:beforeAutospacing="0" w:after="63" w:afterLines="20" w:afterAutospacing="0"/>
                    <w:ind w:left="0" w:right="0"/>
                    <w:jc w:val="center"/>
                    <w:textAlignment w:val="auto"/>
                    <w:rPr>
                      <w:rFonts w:hint="default" w:ascii="Times New Roman" w:hAnsi="Times New Roman" w:eastAsia="宋体" w:cs="Times New Roman"/>
                      <w:color w:val="auto"/>
                      <w:sz w:val="21"/>
                      <w:lang w:val="en-US"/>
                    </w:rPr>
                  </w:pPr>
                  <w:r>
                    <w:rPr>
                      <w:rFonts w:hint="eastAsia" w:cs="Times New Roman"/>
                      <w:color w:val="auto"/>
                      <w:sz w:val="21"/>
                      <w:lang w:val="en-US" w:eastAsia="zh-CN"/>
                    </w:rPr>
                    <w:t>0.1</w:t>
                  </w:r>
                  <w:r>
                    <w:rPr>
                      <w:rFonts w:hint="default" w:ascii="Times New Roman" w:hAnsi="Times New Roman" w:eastAsia="宋体" w:cs="Times New Roman"/>
                      <w:color w:val="auto"/>
                      <w:sz w:val="21"/>
                      <w:lang w:val="en-US" w:eastAsia="zh-CN"/>
                    </w:rPr>
                    <w:t>t</w:t>
                  </w:r>
                </w:p>
              </w:tc>
              <w:tc>
                <w:tcPr>
                  <w:tcW w:w="1106"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63" w:beforeLines="20" w:beforeAutospacing="0" w:after="63" w:afterLines="20" w:afterAutospacing="0"/>
                    <w:ind w:left="0" w:right="0"/>
                    <w:jc w:val="center"/>
                    <w:textAlignment w:val="auto"/>
                    <w:rPr>
                      <w:rFonts w:hint="default" w:ascii="Times New Roman" w:hAnsi="Times New Roman" w:eastAsia="宋体" w:cs="Times New Roman"/>
                      <w:color w:val="auto"/>
                      <w:sz w:val="21"/>
                      <w:lang w:val="en-US" w:eastAsia="zh-CN"/>
                    </w:rPr>
                  </w:pPr>
                  <w:r>
                    <w:rPr>
                      <w:rFonts w:hint="eastAsia" w:cs="Times New Roman"/>
                      <w:color w:val="auto"/>
                      <w:sz w:val="21"/>
                      <w:lang w:val="en-US" w:eastAsia="zh-CN"/>
                    </w:rPr>
                    <w:t>2500</w:t>
                  </w:r>
                  <w:r>
                    <w:rPr>
                      <w:rFonts w:hint="default" w:ascii="Times New Roman" w:hAnsi="Times New Roman" w:eastAsia="宋体" w:cs="Times New Roman"/>
                      <w:color w:val="auto"/>
                      <w:sz w:val="21"/>
                      <w:lang w:val="en-US" w:eastAsia="zh-CN"/>
                    </w:rPr>
                    <w:t>t</w:t>
                  </w:r>
                </w:p>
              </w:tc>
              <w:tc>
                <w:tcPr>
                  <w:tcW w:w="1184"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63" w:beforeLines="20" w:beforeAutospacing="0" w:after="63" w:afterLines="20" w:afterAutospacing="0"/>
                    <w:ind w:left="0" w:right="0"/>
                    <w:jc w:val="center"/>
                    <w:textAlignment w:val="auto"/>
                    <w:rPr>
                      <w:rFonts w:hint="default" w:ascii="Times New Roman" w:hAnsi="Times New Roman" w:eastAsia="宋体" w:cs="Times New Roman"/>
                      <w:color w:val="auto"/>
                      <w:sz w:val="21"/>
                      <w:lang w:val="en-US"/>
                    </w:rPr>
                  </w:pPr>
                  <w:r>
                    <w:rPr>
                      <w:rFonts w:hint="default" w:ascii="Times New Roman" w:hAnsi="Times New Roman" w:eastAsia="宋体" w:cs="Times New Roman"/>
                      <w:color w:val="auto"/>
                      <w:sz w:val="21"/>
                      <w:lang w:val="en-US" w:eastAsia="zh-CN"/>
                    </w:rPr>
                    <w:t>0.0</w:t>
                  </w:r>
                  <w:r>
                    <w:rPr>
                      <w:rFonts w:hint="eastAsia" w:ascii="Times New Roman" w:hAnsi="Times New Roman" w:cs="Times New Roman"/>
                      <w:color w:val="auto"/>
                      <w:sz w:val="21"/>
                      <w:lang w:val="en-US" w:eastAsia="zh-CN"/>
                    </w:rPr>
                    <w:t>00</w:t>
                  </w:r>
                  <w:r>
                    <w:rPr>
                      <w:rFonts w:hint="eastAsia" w:cs="Times New Roman"/>
                      <w:color w:val="auto"/>
                      <w:sz w:val="21"/>
                      <w:lang w:val="en-US" w:eastAsia="zh-CN"/>
                    </w:rPr>
                    <w:t>04</w:t>
                  </w:r>
                </w:p>
              </w:tc>
            </w:tr>
          </w:tbl>
          <w:p>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240" w:lineRule="auto"/>
              <w:ind w:left="0" w:right="0"/>
              <w:jc w:val="center"/>
              <w:textAlignment w:val="auto"/>
              <w:rPr>
                <w:rFonts w:hint="default" w:ascii="Times New Roman" w:hAnsi="Times New Roman" w:eastAsia="宋体" w:cs="Times New Roman"/>
                <w:b/>
                <w:bCs w:val="0"/>
                <w:snapToGrid w:val="0"/>
                <w:color w:val="auto"/>
                <w:kern w:val="0"/>
                <w:sz w:val="24"/>
                <w:szCs w:val="24"/>
              </w:rPr>
            </w:pPr>
            <w:r>
              <w:rPr>
                <w:rFonts w:hint="default" w:ascii="Times New Roman" w:hAnsi="Times New Roman" w:eastAsia="宋体" w:cs="Times New Roman"/>
                <w:b/>
                <w:bCs w:val="0"/>
                <w:snapToGrid w:val="0"/>
                <w:color w:val="auto"/>
                <w:kern w:val="0"/>
                <w:sz w:val="24"/>
                <w:szCs w:val="24"/>
              </w:rPr>
              <w:t>表</w:t>
            </w:r>
            <w:r>
              <w:rPr>
                <w:rFonts w:hint="default" w:ascii="Times New Roman" w:hAnsi="Times New Roman" w:eastAsia="宋体" w:cs="Times New Roman"/>
                <w:b/>
                <w:bCs w:val="0"/>
                <w:snapToGrid w:val="0"/>
                <w:color w:val="auto"/>
                <w:kern w:val="0"/>
                <w:sz w:val="24"/>
                <w:szCs w:val="24"/>
                <w:lang w:val="en-US" w:eastAsia="zh-CN"/>
              </w:rPr>
              <w:t>7-2</w:t>
            </w:r>
            <w:r>
              <w:rPr>
                <w:rFonts w:hint="eastAsia" w:cs="Times New Roman"/>
                <w:b/>
                <w:bCs w:val="0"/>
                <w:snapToGrid w:val="0"/>
                <w:color w:val="auto"/>
                <w:kern w:val="0"/>
                <w:sz w:val="24"/>
                <w:szCs w:val="24"/>
                <w:lang w:val="en-US" w:eastAsia="zh-CN"/>
              </w:rPr>
              <w:t>4</w:t>
            </w:r>
            <w:r>
              <w:rPr>
                <w:rFonts w:hint="default" w:ascii="Times New Roman" w:hAnsi="Times New Roman" w:eastAsia="宋体" w:cs="Times New Roman"/>
                <w:b/>
                <w:bCs w:val="0"/>
                <w:snapToGrid w:val="0"/>
                <w:color w:val="auto"/>
                <w:kern w:val="0"/>
                <w:sz w:val="24"/>
                <w:szCs w:val="24"/>
              </w:rPr>
              <w:t xml:space="preserve"> 企业Q值划分一览表</w:t>
            </w:r>
          </w:p>
          <w:tbl>
            <w:tblPr>
              <w:tblStyle w:val="1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33"/>
              <w:gridCol w:w="4201"/>
              <w:gridCol w:w="276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3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63" w:beforeLines="20" w:beforeAutospacing="0" w:after="63" w:afterLines="2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序号</w:t>
                  </w:r>
                </w:p>
              </w:tc>
              <w:tc>
                <w:tcPr>
                  <w:tcW w:w="420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63" w:beforeLines="20" w:beforeAutospacing="0" w:after="63" w:afterLines="2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企业突发环境事件风险物质数量与临界量比值Q</w:t>
                  </w:r>
                </w:p>
              </w:tc>
              <w:tc>
                <w:tcPr>
                  <w:tcW w:w="2768"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63" w:beforeLines="20" w:beforeAutospacing="0" w:after="63" w:afterLines="20" w:afterAutospacing="0"/>
                    <w:ind w:left="0" w:right="0"/>
                    <w:jc w:val="center"/>
                    <w:textAlignment w:val="auto"/>
                    <w:rPr>
                      <w:rFonts w:hint="default" w:ascii="Times New Roman" w:hAnsi="Times New Roman" w:eastAsia="宋体" w:cs="Times New Roman"/>
                      <w:b/>
                      <w:bCs w:val="0"/>
                      <w:snapToGrid w:val="0"/>
                      <w:color w:val="auto"/>
                      <w:kern w:val="0"/>
                      <w:szCs w:val="21"/>
                    </w:rPr>
                  </w:pPr>
                  <w:r>
                    <w:rPr>
                      <w:rFonts w:hint="default" w:ascii="Times New Roman" w:hAnsi="Times New Roman" w:eastAsia="宋体" w:cs="Times New Roman"/>
                      <w:b/>
                      <w:bCs w:val="0"/>
                      <w:snapToGrid w:val="0"/>
                      <w:color w:val="auto"/>
                      <w:kern w:val="0"/>
                      <w:szCs w:val="21"/>
                    </w:rPr>
                    <w:t>企业突发环境事件风险物质数量与临界量比值水平</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3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63" w:beforeLines="20" w:beforeAutospacing="0" w:after="63" w:afterLines="20" w:afterAutospacing="0"/>
                    <w:ind w:left="0" w:right="0"/>
                    <w:jc w:val="center"/>
                    <w:textAlignment w:val="auto"/>
                    <w:rPr>
                      <w:rFonts w:hint="default" w:ascii="Times New Roman" w:hAnsi="Times New Roman" w:eastAsia="宋体" w:cs="Times New Roman"/>
                      <w:b w:val="0"/>
                      <w:bCs/>
                      <w:snapToGrid w:val="0"/>
                      <w:color w:val="auto"/>
                      <w:kern w:val="0"/>
                      <w:szCs w:val="21"/>
                    </w:rPr>
                  </w:pPr>
                  <w:r>
                    <w:rPr>
                      <w:rFonts w:hint="default" w:ascii="Times New Roman" w:hAnsi="Times New Roman" w:eastAsia="宋体" w:cs="Times New Roman"/>
                      <w:b w:val="0"/>
                      <w:bCs/>
                      <w:snapToGrid w:val="0"/>
                      <w:color w:val="auto"/>
                      <w:kern w:val="0"/>
                      <w:szCs w:val="21"/>
                    </w:rPr>
                    <w:t>1</w:t>
                  </w:r>
                </w:p>
              </w:tc>
              <w:tc>
                <w:tcPr>
                  <w:tcW w:w="420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63" w:beforeLines="20" w:beforeAutospacing="0" w:after="63" w:afterLines="20" w:afterAutospacing="0"/>
                    <w:ind w:left="0" w:right="0"/>
                    <w:jc w:val="center"/>
                    <w:textAlignment w:val="auto"/>
                    <w:rPr>
                      <w:rFonts w:hint="default" w:ascii="Times New Roman" w:hAnsi="Times New Roman" w:eastAsia="宋体" w:cs="Times New Roman"/>
                      <w:b w:val="0"/>
                      <w:bCs/>
                      <w:snapToGrid w:val="0"/>
                      <w:color w:val="auto"/>
                      <w:kern w:val="0"/>
                      <w:szCs w:val="21"/>
                    </w:rPr>
                  </w:pPr>
                  <w:r>
                    <w:rPr>
                      <w:rFonts w:hint="default" w:ascii="Times New Roman" w:hAnsi="Times New Roman" w:eastAsia="宋体" w:cs="Times New Roman"/>
                      <w:b w:val="0"/>
                      <w:bCs/>
                      <w:snapToGrid w:val="0"/>
                      <w:color w:val="auto"/>
                      <w:kern w:val="0"/>
                      <w:szCs w:val="21"/>
                    </w:rPr>
                    <w:t>Q＜1</w:t>
                  </w:r>
                </w:p>
              </w:tc>
              <w:tc>
                <w:tcPr>
                  <w:tcW w:w="2768"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63" w:beforeLines="20" w:beforeAutospacing="0" w:after="63" w:afterLines="20" w:afterAutospacing="0"/>
                    <w:ind w:left="0" w:right="0"/>
                    <w:jc w:val="center"/>
                    <w:textAlignment w:val="auto"/>
                    <w:rPr>
                      <w:rFonts w:hint="default" w:ascii="Times New Roman" w:hAnsi="Times New Roman" w:eastAsia="宋体" w:cs="Times New Roman"/>
                      <w:b w:val="0"/>
                      <w:bCs/>
                      <w:snapToGrid w:val="0"/>
                      <w:color w:val="auto"/>
                      <w:kern w:val="0"/>
                      <w:szCs w:val="21"/>
                    </w:rPr>
                  </w:pPr>
                  <w:r>
                    <w:rPr>
                      <w:rFonts w:hint="default" w:ascii="Times New Roman" w:hAnsi="Times New Roman" w:eastAsia="宋体" w:cs="Times New Roman"/>
                      <w:b w:val="0"/>
                      <w:bCs/>
                      <w:snapToGrid w:val="0"/>
                      <w:color w:val="auto"/>
                      <w:kern w:val="0"/>
                      <w:szCs w:val="21"/>
                    </w:rPr>
                    <w:t>Q</w:t>
                  </w:r>
                  <w:r>
                    <w:rPr>
                      <w:rFonts w:hint="default" w:ascii="Times New Roman" w:hAnsi="Times New Roman" w:eastAsia="宋体" w:cs="Times New Roman"/>
                      <w:b w:val="0"/>
                      <w:bCs/>
                      <w:snapToGrid w:val="0"/>
                      <w:color w:val="auto"/>
                      <w:kern w:val="0"/>
                      <w:szCs w:val="21"/>
                      <w:vertAlign w:val="subscript"/>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3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63" w:beforeLines="20" w:beforeAutospacing="0" w:after="63" w:afterLines="20" w:afterAutospacing="0"/>
                    <w:ind w:left="0" w:right="0"/>
                    <w:jc w:val="center"/>
                    <w:textAlignment w:val="auto"/>
                    <w:rPr>
                      <w:rFonts w:hint="default" w:ascii="Times New Roman" w:hAnsi="Times New Roman" w:eastAsia="宋体" w:cs="Times New Roman"/>
                      <w:b w:val="0"/>
                      <w:bCs/>
                      <w:snapToGrid w:val="0"/>
                      <w:color w:val="auto"/>
                      <w:kern w:val="0"/>
                      <w:szCs w:val="21"/>
                    </w:rPr>
                  </w:pPr>
                  <w:r>
                    <w:rPr>
                      <w:rFonts w:hint="default" w:ascii="Times New Roman" w:hAnsi="Times New Roman" w:eastAsia="宋体" w:cs="Times New Roman"/>
                      <w:b w:val="0"/>
                      <w:bCs/>
                      <w:snapToGrid w:val="0"/>
                      <w:color w:val="auto"/>
                      <w:kern w:val="0"/>
                      <w:szCs w:val="21"/>
                    </w:rPr>
                    <w:t>2</w:t>
                  </w:r>
                </w:p>
              </w:tc>
              <w:tc>
                <w:tcPr>
                  <w:tcW w:w="420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63" w:beforeLines="20" w:beforeAutospacing="0" w:after="63" w:afterLines="20" w:afterAutospacing="0"/>
                    <w:ind w:left="0" w:right="0"/>
                    <w:jc w:val="center"/>
                    <w:textAlignment w:val="auto"/>
                    <w:rPr>
                      <w:rFonts w:hint="default" w:ascii="Times New Roman" w:hAnsi="Times New Roman" w:eastAsia="宋体" w:cs="Times New Roman"/>
                      <w:b w:val="0"/>
                      <w:bCs/>
                      <w:snapToGrid w:val="0"/>
                      <w:color w:val="auto"/>
                      <w:kern w:val="0"/>
                      <w:szCs w:val="21"/>
                    </w:rPr>
                  </w:pPr>
                  <w:r>
                    <w:rPr>
                      <w:rFonts w:hint="default" w:ascii="Times New Roman" w:hAnsi="Times New Roman" w:eastAsia="宋体" w:cs="Times New Roman"/>
                      <w:b w:val="0"/>
                      <w:bCs/>
                      <w:snapToGrid w:val="0"/>
                      <w:color w:val="auto"/>
                      <w:kern w:val="0"/>
                      <w:szCs w:val="21"/>
                    </w:rPr>
                    <w:t>1≤Q＜10</w:t>
                  </w:r>
                </w:p>
              </w:tc>
              <w:tc>
                <w:tcPr>
                  <w:tcW w:w="2768"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63" w:beforeLines="20" w:beforeAutospacing="0" w:after="63" w:afterLines="20" w:afterAutospacing="0"/>
                    <w:ind w:left="0" w:right="0"/>
                    <w:jc w:val="center"/>
                    <w:textAlignment w:val="auto"/>
                    <w:rPr>
                      <w:rFonts w:hint="default" w:ascii="Times New Roman" w:hAnsi="Times New Roman" w:eastAsia="宋体" w:cs="Times New Roman"/>
                      <w:b w:val="0"/>
                      <w:bCs/>
                      <w:snapToGrid w:val="0"/>
                      <w:color w:val="auto"/>
                      <w:kern w:val="0"/>
                      <w:szCs w:val="21"/>
                    </w:rPr>
                  </w:pPr>
                  <w:r>
                    <w:rPr>
                      <w:rFonts w:hint="default" w:ascii="Times New Roman" w:hAnsi="Times New Roman" w:eastAsia="宋体" w:cs="Times New Roman"/>
                      <w:b w:val="0"/>
                      <w:bCs/>
                      <w:snapToGrid w:val="0"/>
                      <w:color w:val="auto"/>
                      <w:kern w:val="0"/>
                      <w:szCs w:val="21"/>
                    </w:rPr>
                    <w:t>Q1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3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63" w:beforeLines="20" w:beforeAutospacing="0" w:after="63" w:afterLines="20" w:afterAutospacing="0"/>
                    <w:ind w:left="0" w:right="0"/>
                    <w:jc w:val="center"/>
                    <w:textAlignment w:val="auto"/>
                    <w:rPr>
                      <w:rFonts w:hint="default" w:ascii="Times New Roman" w:hAnsi="Times New Roman" w:eastAsia="宋体" w:cs="Times New Roman"/>
                      <w:b w:val="0"/>
                      <w:bCs/>
                      <w:snapToGrid w:val="0"/>
                      <w:color w:val="auto"/>
                      <w:kern w:val="0"/>
                      <w:szCs w:val="21"/>
                    </w:rPr>
                  </w:pPr>
                  <w:r>
                    <w:rPr>
                      <w:rFonts w:hint="default" w:ascii="Times New Roman" w:hAnsi="Times New Roman" w:eastAsia="宋体" w:cs="Times New Roman"/>
                      <w:b w:val="0"/>
                      <w:bCs/>
                      <w:snapToGrid w:val="0"/>
                      <w:color w:val="auto"/>
                      <w:kern w:val="0"/>
                      <w:szCs w:val="21"/>
                    </w:rPr>
                    <w:t>3</w:t>
                  </w:r>
                </w:p>
              </w:tc>
              <w:tc>
                <w:tcPr>
                  <w:tcW w:w="420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63" w:beforeLines="20" w:beforeAutospacing="0" w:after="63" w:afterLines="20" w:afterAutospacing="0"/>
                    <w:ind w:left="0" w:right="0"/>
                    <w:jc w:val="center"/>
                    <w:textAlignment w:val="auto"/>
                    <w:rPr>
                      <w:rFonts w:hint="default" w:ascii="Times New Roman" w:hAnsi="Times New Roman" w:eastAsia="宋体" w:cs="Times New Roman"/>
                      <w:b w:val="0"/>
                      <w:bCs/>
                      <w:snapToGrid w:val="0"/>
                      <w:color w:val="auto"/>
                      <w:kern w:val="0"/>
                      <w:szCs w:val="21"/>
                    </w:rPr>
                  </w:pPr>
                  <w:r>
                    <w:rPr>
                      <w:rFonts w:hint="default" w:ascii="Times New Roman" w:hAnsi="Times New Roman" w:eastAsia="宋体" w:cs="Times New Roman"/>
                      <w:b w:val="0"/>
                      <w:bCs/>
                      <w:snapToGrid w:val="0"/>
                      <w:color w:val="auto"/>
                      <w:kern w:val="0"/>
                      <w:szCs w:val="21"/>
                    </w:rPr>
                    <w:t>10≤Q＜100</w:t>
                  </w:r>
                </w:p>
              </w:tc>
              <w:tc>
                <w:tcPr>
                  <w:tcW w:w="2768"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63" w:beforeLines="20" w:beforeAutospacing="0" w:after="63" w:afterLines="20" w:afterAutospacing="0"/>
                    <w:ind w:left="0" w:right="0"/>
                    <w:jc w:val="center"/>
                    <w:textAlignment w:val="auto"/>
                    <w:rPr>
                      <w:rFonts w:hint="default" w:ascii="Times New Roman" w:hAnsi="Times New Roman" w:eastAsia="宋体" w:cs="Times New Roman"/>
                      <w:b w:val="0"/>
                      <w:bCs/>
                      <w:snapToGrid w:val="0"/>
                      <w:color w:val="auto"/>
                      <w:kern w:val="0"/>
                      <w:szCs w:val="21"/>
                    </w:rPr>
                  </w:pPr>
                  <w:r>
                    <w:rPr>
                      <w:rFonts w:hint="default" w:ascii="Times New Roman" w:hAnsi="Times New Roman" w:eastAsia="宋体" w:cs="Times New Roman"/>
                      <w:b w:val="0"/>
                      <w:bCs/>
                      <w:snapToGrid w:val="0"/>
                      <w:color w:val="auto"/>
                      <w:kern w:val="0"/>
                      <w:szCs w:val="21"/>
                    </w:rPr>
                    <w:t>Q2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333"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63" w:beforeLines="20" w:beforeAutospacing="0" w:after="63" w:afterLines="20" w:afterAutospacing="0"/>
                    <w:ind w:left="0" w:right="0"/>
                    <w:jc w:val="center"/>
                    <w:textAlignment w:val="auto"/>
                    <w:rPr>
                      <w:rFonts w:hint="default" w:ascii="Times New Roman" w:hAnsi="Times New Roman" w:eastAsia="宋体" w:cs="Times New Roman"/>
                      <w:b w:val="0"/>
                      <w:bCs/>
                      <w:snapToGrid w:val="0"/>
                      <w:color w:val="auto"/>
                      <w:kern w:val="0"/>
                      <w:szCs w:val="21"/>
                    </w:rPr>
                  </w:pPr>
                  <w:r>
                    <w:rPr>
                      <w:rFonts w:hint="default" w:ascii="Times New Roman" w:hAnsi="Times New Roman" w:eastAsia="宋体" w:cs="Times New Roman"/>
                      <w:b w:val="0"/>
                      <w:bCs/>
                      <w:snapToGrid w:val="0"/>
                      <w:color w:val="auto"/>
                      <w:kern w:val="0"/>
                      <w:szCs w:val="21"/>
                    </w:rPr>
                    <w:t>4</w:t>
                  </w:r>
                </w:p>
              </w:tc>
              <w:tc>
                <w:tcPr>
                  <w:tcW w:w="4201"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63" w:beforeLines="20" w:beforeAutospacing="0" w:after="63" w:afterLines="20" w:afterAutospacing="0"/>
                    <w:ind w:left="0" w:right="0"/>
                    <w:jc w:val="center"/>
                    <w:textAlignment w:val="auto"/>
                    <w:rPr>
                      <w:rFonts w:hint="default" w:ascii="Times New Roman" w:hAnsi="Times New Roman" w:eastAsia="宋体" w:cs="Times New Roman"/>
                      <w:b w:val="0"/>
                      <w:bCs/>
                      <w:snapToGrid w:val="0"/>
                      <w:color w:val="auto"/>
                      <w:kern w:val="0"/>
                      <w:szCs w:val="21"/>
                    </w:rPr>
                  </w:pPr>
                  <w:r>
                    <w:rPr>
                      <w:rFonts w:hint="default" w:ascii="Times New Roman" w:hAnsi="Times New Roman" w:eastAsia="宋体" w:cs="Times New Roman"/>
                      <w:b w:val="0"/>
                      <w:bCs/>
                      <w:snapToGrid w:val="0"/>
                      <w:color w:val="auto"/>
                      <w:kern w:val="0"/>
                      <w:szCs w:val="21"/>
                    </w:rPr>
                    <w:t>Q≥100</w:t>
                  </w:r>
                </w:p>
              </w:tc>
              <w:tc>
                <w:tcPr>
                  <w:tcW w:w="2768" w:type="dxa"/>
                  <w:tcBorders>
                    <w:tl2br w:val="nil"/>
                    <w:tr2bl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63" w:beforeLines="20" w:beforeAutospacing="0" w:after="63" w:afterLines="20" w:afterAutospacing="0"/>
                    <w:ind w:left="0" w:right="0"/>
                    <w:jc w:val="center"/>
                    <w:textAlignment w:val="auto"/>
                    <w:rPr>
                      <w:rFonts w:hint="default" w:ascii="Times New Roman" w:hAnsi="Times New Roman" w:eastAsia="宋体" w:cs="Times New Roman"/>
                      <w:b w:val="0"/>
                      <w:bCs/>
                      <w:snapToGrid w:val="0"/>
                      <w:color w:val="auto"/>
                      <w:kern w:val="0"/>
                      <w:szCs w:val="21"/>
                    </w:rPr>
                  </w:pPr>
                  <w:r>
                    <w:rPr>
                      <w:rFonts w:hint="default" w:ascii="Times New Roman" w:hAnsi="Times New Roman" w:eastAsia="宋体" w:cs="Times New Roman"/>
                      <w:b w:val="0"/>
                      <w:bCs/>
                      <w:snapToGrid w:val="0"/>
                      <w:color w:val="auto"/>
                      <w:kern w:val="0"/>
                      <w:szCs w:val="21"/>
                    </w:rPr>
                    <w:t>Q3</w:t>
                  </w:r>
                </w:p>
              </w:tc>
            </w:tr>
          </w:tbl>
          <w:p>
            <w:pPr>
              <w:pStyle w:val="2"/>
              <w:ind w:firstLine="480" w:firstLineChars="200"/>
              <w:jc w:val="left"/>
              <w:rPr>
                <w:i w:val="0"/>
                <w:iCs w:val="0"/>
                <w:color w:val="auto"/>
                <w:sz w:val="24"/>
              </w:rPr>
            </w:pPr>
            <w:r>
              <w:rPr>
                <w:rFonts w:hint="eastAsia"/>
                <w:i w:val="0"/>
                <w:iCs w:val="0"/>
                <w:color w:val="auto"/>
                <w:sz w:val="24"/>
              </w:rPr>
              <w:t>根据</w:t>
            </w:r>
            <w:r>
              <w:rPr>
                <w:i w:val="0"/>
                <w:iCs w:val="0"/>
                <w:color w:val="auto"/>
                <w:sz w:val="24"/>
              </w:rPr>
              <w:t>《建设项目环境风险评价技术导则》</w:t>
            </w:r>
            <w:r>
              <w:rPr>
                <w:rFonts w:hint="eastAsia"/>
                <w:i w:val="0"/>
                <w:iCs w:val="0"/>
                <w:color w:val="auto"/>
                <w:sz w:val="24"/>
                <w:lang w:eastAsia="zh-CN"/>
              </w:rPr>
              <w:t>（</w:t>
            </w:r>
            <w:r>
              <w:rPr>
                <w:i w:val="0"/>
                <w:iCs w:val="0"/>
                <w:color w:val="auto"/>
                <w:sz w:val="24"/>
              </w:rPr>
              <w:t>HJ169-2018</w:t>
            </w:r>
            <w:r>
              <w:rPr>
                <w:rFonts w:hint="eastAsia"/>
                <w:i w:val="0"/>
                <w:iCs w:val="0"/>
                <w:color w:val="auto"/>
                <w:sz w:val="24"/>
                <w:lang w:eastAsia="zh-CN"/>
              </w:rPr>
              <w:t>）</w:t>
            </w:r>
            <w:r>
              <w:rPr>
                <w:rFonts w:hint="eastAsia"/>
                <w:i w:val="0"/>
                <w:iCs w:val="0"/>
                <w:color w:val="auto"/>
                <w:sz w:val="24"/>
              </w:rPr>
              <w:t>附录C中相关内容：</w:t>
            </w:r>
          </w:p>
          <w:p>
            <w:pPr>
              <w:pStyle w:val="2"/>
              <w:jc w:val="left"/>
              <w:rPr>
                <w:i w:val="0"/>
                <w:iCs w:val="0"/>
                <w:color w:val="FF0000"/>
                <w:sz w:val="24"/>
              </w:rPr>
            </w:pPr>
            <w:r>
              <w:rPr>
                <w:rFonts w:hint="eastAsia"/>
                <w:i w:val="0"/>
                <w:iCs w:val="0"/>
                <w:color w:val="auto"/>
                <w:sz w:val="24"/>
                <w:lang w:eastAsia="zh-CN"/>
              </w:rPr>
              <w:t>本项目</w:t>
            </w:r>
            <w:r>
              <w:rPr>
                <w:rFonts w:hint="eastAsia"/>
                <w:i w:val="0"/>
                <w:iCs w:val="0"/>
                <w:color w:val="auto"/>
                <w:sz w:val="24"/>
              </w:rPr>
              <w:t>Q＜1时，</w:t>
            </w:r>
            <w:r>
              <w:rPr>
                <w:i w:val="0"/>
                <w:iCs w:val="0"/>
                <w:color w:val="auto"/>
                <w:sz w:val="24"/>
              </w:rPr>
              <w:t>项目</w:t>
            </w:r>
            <w:r>
              <w:rPr>
                <w:rFonts w:hint="eastAsia"/>
                <w:i w:val="0"/>
                <w:iCs w:val="0"/>
                <w:color w:val="auto"/>
                <w:sz w:val="24"/>
              </w:rPr>
              <w:t>环境风险潜势为Ⅰ。</w:t>
            </w:r>
          </w:p>
          <w:p>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textAlignment w:val="baseline"/>
              <w:rPr>
                <w:rFonts w:hint="default"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b/>
                <w:bCs/>
                <w:color w:val="auto"/>
                <w:sz w:val="24"/>
                <w:szCs w:val="24"/>
                <w:lang w:val="en-US" w:eastAsia="zh-CN"/>
              </w:rPr>
              <w:t>3）评价等级</w:t>
            </w:r>
          </w:p>
          <w:p>
            <w:pPr>
              <w:snapToGrid w:val="0"/>
              <w:spacing w:line="360" w:lineRule="auto"/>
              <w:ind w:firstLine="480" w:firstLineChars="200"/>
              <w:outlineLvl w:val="3"/>
              <w:rPr>
                <w:i w:val="0"/>
                <w:iCs w:val="0"/>
                <w:color w:val="auto"/>
                <w:sz w:val="24"/>
                <w:szCs w:val="24"/>
              </w:rPr>
            </w:pPr>
            <w:r>
              <w:rPr>
                <w:i w:val="0"/>
                <w:iCs w:val="0"/>
                <w:color w:val="auto"/>
                <w:sz w:val="24"/>
                <w:szCs w:val="24"/>
              </w:rPr>
              <w:t>根据《建设项目环境风险评价技术导则》(HJ169-2018)分级判据，</w:t>
            </w:r>
            <w:r>
              <w:rPr>
                <w:rFonts w:hint="eastAsia"/>
                <w:i w:val="0"/>
                <w:iCs w:val="0"/>
                <w:color w:val="auto"/>
                <w:sz w:val="24"/>
                <w:szCs w:val="24"/>
              </w:rPr>
              <w:t>项目风险等级详见下表。</w:t>
            </w:r>
          </w:p>
          <w:p>
            <w:pPr>
              <w:keepNext w:val="0"/>
              <w:keepLines w:val="0"/>
              <w:pageBreakBefore w:val="0"/>
              <w:widowControl w:val="0"/>
              <w:kinsoku/>
              <w:wordWrap/>
              <w:overflowPunct/>
              <w:topLinePunct w:val="0"/>
              <w:autoSpaceDE/>
              <w:autoSpaceDN/>
              <w:bidi w:val="0"/>
              <w:adjustRightInd/>
              <w:snapToGrid/>
              <w:jc w:val="center"/>
              <w:textAlignment w:val="auto"/>
              <w:rPr>
                <w:b/>
                <w:bCs/>
                <w:i w:val="0"/>
                <w:iCs w:val="0"/>
                <w:color w:val="auto"/>
                <w:sz w:val="24"/>
                <w:szCs w:val="24"/>
              </w:rPr>
            </w:pPr>
            <w:r>
              <w:rPr>
                <w:b/>
                <w:bCs/>
                <w:i w:val="0"/>
                <w:iCs w:val="0"/>
                <w:color w:val="auto"/>
                <w:sz w:val="24"/>
                <w:szCs w:val="24"/>
              </w:rPr>
              <w:t>表7-2</w:t>
            </w:r>
            <w:r>
              <w:rPr>
                <w:rFonts w:hint="eastAsia"/>
                <w:b/>
                <w:bCs/>
                <w:i w:val="0"/>
                <w:iCs w:val="0"/>
                <w:color w:val="auto"/>
                <w:sz w:val="24"/>
                <w:szCs w:val="24"/>
                <w:lang w:val="en-US" w:eastAsia="zh-CN"/>
              </w:rPr>
              <w:t xml:space="preserve">5 </w:t>
            </w:r>
            <w:r>
              <w:rPr>
                <w:b/>
                <w:bCs/>
                <w:i w:val="0"/>
                <w:iCs w:val="0"/>
                <w:color w:val="auto"/>
                <w:sz w:val="24"/>
                <w:szCs w:val="24"/>
              </w:rPr>
              <w:t xml:space="preserve"> 风险评价工作等级划分表</w:t>
            </w:r>
          </w:p>
          <w:tbl>
            <w:tblPr>
              <w:tblStyle w:val="17"/>
              <w:tblW w:w="8312" w:type="dxa"/>
              <w:tblInd w:w="0" w:type="dxa"/>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1843"/>
              <w:gridCol w:w="1560"/>
              <w:gridCol w:w="1562"/>
              <w:gridCol w:w="1674"/>
              <w:gridCol w:w="1673"/>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293" w:hRule="atLeast"/>
              </w:trPr>
              <w:tc>
                <w:tcPr>
                  <w:tcW w:w="1843" w:type="dxa"/>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line="320" w:lineRule="exact"/>
                    <w:jc w:val="center"/>
                    <w:textAlignment w:val="auto"/>
                    <w:rPr>
                      <w:b/>
                      <w:i w:val="0"/>
                      <w:iCs w:val="0"/>
                      <w:color w:val="auto"/>
                      <w:szCs w:val="21"/>
                    </w:rPr>
                  </w:pPr>
                  <w:r>
                    <w:rPr>
                      <w:b/>
                      <w:i w:val="0"/>
                      <w:iCs w:val="0"/>
                      <w:color w:val="auto"/>
                      <w:szCs w:val="21"/>
                    </w:rPr>
                    <w:t>环境分险潜势</w:t>
                  </w:r>
                </w:p>
              </w:tc>
              <w:tc>
                <w:tcPr>
                  <w:tcW w:w="1560" w:type="dxa"/>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line="320" w:lineRule="exact"/>
                    <w:jc w:val="center"/>
                    <w:textAlignment w:val="auto"/>
                    <w:rPr>
                      <w:i w:val="0"/>
                      <w:iCs w:val="0"/>
                      <w:color w:val="auto"/>
                      <w:szCs w:val="21"/>
                    </w:rPr>
                  </w:pPr>
                  <w:r>
                    <w:rPr>
                      <w:rFonts w:hint="eastAsia" w:ascii="宋体" w:cs="宋体"/>
                      <w:i w:val="0"/>
                      <w:iCs w:val="0"/>
                      <w:color w:val="auto"/>
                      <w:szCs w:val="21"/>
                    </w:rPr>
                    <w:t>Ⅵ</w:t>
                  </w:r>
                  <w:r>
                    <w:rPr>
                      <w:i w:val="0"/>
                      <w:iCs w:val="0"/>
                      <w:color w:val="auto"/>
                      <w:szCs w:val="21"/>
                    </w:rPr>
                    <w:t>、</w:t>
                  </w:r>
                  <w:r>
                    <w:rPr>
                      <w:rFonts w:hint="eastAsia" w:ascii="宋体" w:cs="宋体"/>
                      <w:i w:val="0"/>
                      <w:iCs w:val="0"/>
                      <w:color w:val="auto"/>
                      <w:szCs w:val="21"/>
                    </w:rPr>
                    <w:t>Ⅵ</w:t>
                  </w:r>
                  <w:r>
                    <w:rPr>
                      <w:i w:val="0"/>
                      <w:iCs w:val="0"/>
                      <w:color w:val="auto"/>
                      <w:szCs w:val="21"/>
                      <w:vertAlign w:val="superscript"/>
                    </w:rPr>
                    <w:t>+</w:t>
                  </w:r>
                </w:p>
              </w:tc>
              <w:tc>
                <w:tcPr>
                  <w:tcW w:w="1562" w:type="dxa"/>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line="320" w:lineRule="exact"/>
                    <w:jc w:val="center"/>
                    <w:textAlignment w:val="auto"/>
                    <w:rPr>
                      <w:i w:val="0"/>
                      <w:iCs w:val="0"/>
                      <w:color w:val="auto"/>
                      <w:szCs w:val="21"/>
                    </w:rPr>
                  </w:pPr>
                  <w:r>
                    <w:rPr>
                      <w:rFonts w:hint="eastAsia" w:ascii="宋体" w:cs="宋体"/>
                      <w:i w:val="0"/>
                      <w:iCs w:val="0"/>
                      <w:color w:val="auto"/>
                      <w:szCs w:val="21"/>
                    </w:rPr>
                    <w:t>Ⅲ</w:t>
                  </w:r>
                  <w:r>
                    <w:rPr>
                      <w:i w:val="0"/>
                      <w:iCs w:val="0"/>
                      <w:color w:val="auto"/>
                      <w:szCs w:val="21"/>
                    </w:rPr>
                    <w:t xml:space="preserve"> </w:t>
                  </w:r>
                </w:p>
              </w:tc>
              <w:tc>
                <w:tcPr>
                  <w:tcW w:w="1674" w:type="dxa"/>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line="320" w:lineRule="exact"/>
                    <w:jc w:val="center"/>
                    <w:textAlignment w:val="auto"/>
                    <w:rPr>
                      <w:i w:val="0"/>
                      <w:iCs w:val="0"/>
                      <w:color w:val="auto"/>
                      <w:szCs w:val="21"/>
                    </w:rPr>
                  </w:pPr>
                  <w:r>
                    <w:rPr>
                      <w:rFonts w:hint="eastAsia" w:ascii="宋体" w:cs="宋体"/>
                      <w:i w:val="0"/>
                      <w:iCs w:val="0"/>
                      <w:color w:val="auto"/>
                      <w:szCs w:val="21"/>
                    </w:rPr>
                    <w:t>Ⅱ</w:t>
                  </w:r>
                </w:p>
              </w:tc>
              <w:tc>
                <w:tcPr>
                  <w:tcW w:w="1673" w:type="dxa"/>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line="320" w:lineRule="exact"/>
                    <w:jc w:val="center"/>
                    <w:textAlignment w:val="auto"/>
                    <w:rPr>
                      <w:i w:val="0"/>
                      <w:iCs w:val="0"/>
                      <w:color w:val="auto"/>
                      <w:szCs w:val="21"/>
                    </w:rPr>
                  </w:pPr>
                  <w:r>
                    <w:rPr>
                      <w:rFonts w:hint="eastAsia" w:ascii="宋体" w:cs="宋体"/>
                      <w:i w:val="0"/>
                      <w:iCs w:val="0"/>
                      <w:color w:val="auto"/>
                      <w:szCs w:val="21"/>
                    </w:rPr>
                    <w:t>Ⅰ</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c>
                <w:tcPr>
                  <w:tcW w:w="1843" w:type="dxa"/>
                  <w:shd w:val="clear" w:color="auto" w:fill="auto"/>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line="320" w:lineRule="exact"/>
                    <w:jc w:val="center"/>
                    <w:textAlignment w:val="auto"/>
                    <w:rPr>
                      <w:i w:val="0"/>
                      <w:iCs w:val="0"/>
                      <w:color w:val="auto"/>
                      <w:szCs w:val="21"/>
                    </w:rPr>
                  </w:pPr>
                  <w:r>
                    <w:rPr>
                      <w:i w:val="0"/>
                      <w:iCs w:val="0"/>
                      <w:color w:val="auto"/>
                      <w:szCs w:val="21"/>
                    </w:rPr>
                    <w:t>评价工作等级</w:t>
                  </w:r>
                </w:p>
              </w:tc>
              <w:tc>
                <w:tcPr>
                  <w:tcW w:w="1560" w:type="dxa"/>
                  <w:shd w:val="clear" w:color="auto" w:fill="auto"/>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i w:val="0"/>
                      <w:iCs w:val="0"/>
                      <w:color w:val="auto"/>
                      <w:szCs w:val="21"/>
                    </w:rPr>
                  </w:pPr>
                  <w:r>
                    <w:rPr>
                      <w:i w:val="0"/>
                      <w:iCs w:val="0"/>
                      <w:color w:val="auto"/>
                      <w:szCs w:val="21"/>
                    </w:rPr>
                    <w:t>一</w:t>
                  </w:r>
                </w:p>
              </w:tc>
              <w:tc>
                <w:tcPr>
                  <w:tcW w:w="1562" w:type="dxa"/>
                  <w:shd w:val="clear" w:color="auto" w:fill="auto"/>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i w:val="0"/>
                      <w:iCs w:val="0"/>
                      <w:color w:val="auto"/>
                      <w:szCs w:val="21"/>
                    </w:rPr>
                  </w:pPr>
                  <w:r>
                    <w:rPr>
                      <w:i w:val="0"/>
                      <w:iCs w:val="0"/>
                      <w:color w:val="auto"/>
                      <w:szCs w:val="21"/>
                    </w:rPr>
                    <w:t>二</w:t>
                  </w:r>
                </w:p>
              </w:tc>
              <w:tc>
                <w:tcPr>
                  <w:tcW w:w="1674" w:type="dxa"/>
                  <w:shd w:val="clear" w:color="auto" w:fill="auto"/>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line="320" w:lineRule="exact"/>
                    <w:jc w:val="center"/>
                    <w:textAlignment w:val="auto"/>
                    <w:rPr>
                      <w:i w:val="0"/>
                      <w:iCs w:val="0"/>
                      <w:color w:val="auto"/>
                      <w:szCs w:val="21"/>
                    </w:rPr>
                  </w:pPr>
                  <w:r>
                    <w:rPr>
                      <w:i w:val="0"/>
                      <w:iCs w:val="0"/>
                      <w:color w:val="auto"/>
                      <w:szCs w:val="21"/>
                    </w:rPr>
                    <w:t>三</w:t>
                  </w:r>
                </w:p>
              </w:tc>
              <w:tc>
                <w:tcPr>
                  <w:tcW w:w="1673" w:type="dxa"/>
                  <w:shd w:val="clear" w:color="auto" w:fill="AEAAAA"/>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line="320" w:lineRule="exact"/>
                    <w:jc w:val="center"/>
                    <w:textAlignment w:val="auto"/>
                    <w:rPr>
                      <w:i w:val="0"/>
                      <w:iCs w:val="0"/>
                      <w:color w:val="auto"/>
                      <w:szCs w:val="21"/>
                    </w:rPr>
                  </w:pPr>
                  <w:r>
                    <w:rPr>
                      <w:i w:val="0"/>
                      <w:iCs w:val="0"/>
                      <w:color w:val="auto"/>
                      <w:szCs w:val="21"/>
                    </w:rPr>
                    <w:t>简单分析</w:t>
                  </w:r>
                  <w:r>
                    <w:rPr>
                      <w:i w:val="0"/>
                      <w:iCs w:val="0"/>
                      <w:color w:val="auto"/>
                      <w:szCs w:val="21"/>
                      <w:vertAlign w:val="superscript"/>
                    </w:rPr>
                    <w:t>a</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c>
                <w:tcPr>
                  <w:tcW w:w="8312" w:type="dxa"/>
                  <w:gridSpan w:val="5"/>
                  <w:noWrap w:val="0"/>
                  <w:tcMar>
                    <w:left w:w="28" w:type="dxa"/>
                    <w:right w:w="28" w:type="dxa"/>
                  </w:tcMar>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line="320" w:lineRule="exact"/>
                    <w:jc w:val="center"/>
                    <w:textAlignment w:val="auto"/>
                    <w:rPr>
                      <w:i w:val="0"/>
                      <w:iCs w:val="0"/>
                      <w:color w:val="auto"/>
                      <w:szCs w:val="21"/>
                    </w:rPr>
                  </w:pPr>
                  <w:r>
                    <w:rPr>
                      <w:i w:val="0"/>
                      <w:iCs w:val="0"/>
                      <w:color w:val="auto"/>
                      <w:szCs w:val="21"/>
                    </w:rPr>
                    <w:t>a相对于详细评价工作内容而言，在描述危险物质、环境影响途径、环境危害后果、风险防范措施等方面给出定性的说明。</w:t>
                  </w:r>
                </w:p>
              </w:tc>
            </w:tr>
          </w:tbl>
          <w:p>
            <w:pPr>
              <w:adjustRightInd w:val="0"/>
              <w:snapToGrid w:val="0"/>
              <w:spacing w:line="360" w:lineRule="auto"/>
              <w:ind w:firstLine="480" w:firstLineChars="200"/>
              <w:rPr>
                <w:rFonts w:hint="default" w:ascii="Times New Roman" w:hAnsi="Times New Roman" w:eastAsia="宋体" w:cs="Times New Roman"/>
                <w:color w:val="auto"/>
                <w:kern w:val="2"/>
                <w:sz w:val="24"/>
                <w:szCs w:val="24"/>
                <w:lang w:val="en-US" w:eastAsia="zh-CN" w:bidi="ar-SA"/>
              </w:rPr>
            </w:pPr>
            <w:r>
              <w:rPr>
                <w:rFonts w:hint="eastAsia"/>
                <w:i w:val="0"/>
                <w:iCs w:val="0"/>
                <w:color w:val="auto"/>
                <w:sz w:val="24"/>
                <w:szCs w:val="24"/>
              </w:rPr>
              <w:t>由上表可知，</w:t>
            </w:r>
            <w:r>
              <w:rPr>
                <w:i w:val="0"/>
                <w:iCs w:val="0"/>
                <w:color w:val="auto"/>
                <w:sz w:val="24"/>
                <w:szCs w:val="24"/>
              </w:rPr>
              <w:t>确定本项目</w:t>
            </w:r>
            <w:r>
              <w:rPr>
                <w:rFonts w:hint="eastAsia"/>
                <w:i w:val="0"/>
                <w:iCs w:val="0"/>
                <w:color w:val="auto"/>
                <w:sz w:val="24"/>
                <w:szCs w:val="24"/>
              </w:rPr>
              <w:t>风险评价做简单分析。</w:t>
            </w:r>
          </w:p>
          <w:p>
            <w:pPr>
              <w:snapToGrid w:val="0"/>
              <w:spacing w:line="360" w:lineRule="auto"/>
              <w:ind w:left="63" w:leftChars="30" w:right="63" w:rightChars="30" w:firstLine="480" w:firstLineChars="200"/>
              <w:rPr>
                <w:b/>
                <w:i w:val="0"/>
                <w:iCs w:val="0"/>
                <w:color w:val="auto"/>
                <w:sz w:val="24"/>
              </w:rPr>
            </w:pPr>
            <w:r>
              <w:rPr>
                <w:rFonts w:hint="eastAsia"/>
                <w:b/>
                <w:i w:val="0"/>
                <w:iCs w:val="0"/>
                <w:color w:val="auto"/>
                <w:sz w:val="24"/>
                <w:lang w:eastAsia="zh-CN"/>
              </w:rPr>
              <w:t>（</w:t>
            </w:r>
            <w:r>
              <w:rPr>
                <w:rFonts w:hint="eastAsia"/>
                <w:b/>
                <w:i w:val="0"/>
                <w:iCs w:val="0"/>
                <w:color w:val="auto"/>
                <w:sz w:val="24"/>
                <w:lang w:val="en-US" w:eastAsia="zh-CN"/>
              </w:rPr>
              <w:t>2</w:t>
            </w:r>
            <w:r>
              <w:rPr>
                <w:rFonts w:hint="eastAsia"/>
                <w:b/>
                <w:i w:val="0"/>
                <w:iCs w:val="0"/>
                <w:color w:val="auto"/>
                <w:sz w:val="24"/>
                <w:lang w:eastAsia="zh-CN"/>
              </w:rPr>
              <w:t>）</w:t>
            </w:r>
            <w:r>
              <w:rPr>
                <w:rFonts w:hint="eastAsia"/>
                <w:b/>
                <w:i w:val="0"/>
                <w:iCs w:val="0"/>
                <w:color w:val="auto"/>
                <w:sz w:val="24"/>
              </w:rPr>
              <w:t>环境敏感目标概况</w:t>
            </w:r>
          </w:p>
          <w:p>
            <w:pPr>
              <w:snapToGrid w:val="0"/>
              <w:spacing w:line="360" w:lineRule="auto"/>
              <w:ind w:firstLine="480" w:firstLineChars="200"/>
              <w:outlineLvl w:val="3"/>
              <w:rPr>
                <w:i w:val="0"/>
                <w:iCs w:val="0"/>
                <w:color w:val="auto"/>
                <w:sz w:val="24"/>
                <w:szCs w:val="24"/>
              </w:rPr>
            </w:pPr>
            <w:r>
              <w:rPr>
                <w:i w:val="0"/>
                <w:iCs w:val="0"/>
                <w:color w:val="auto"/>
                <w:sz w:val="24"/>
                <w:szCs w:val="24"/>
              </w:rPr>
              <w:t>根据</w:t>
            </w:r>
            <w:r>
              <w:rPr>
                <w:rFonts w:hint="eastAsia"/>
                <w:i w:val="0"/>
                <w:iCs w:val="0"/>
                <w:color w:val="auto"/>
                <w:sz w:val="24"/>
                <w:szCs w:val="24"/>
              </w:rPr>
              <w:t>建设项目周边环境概况，本项目周边主要环境敏感目标详见下表：</w:t>
            </w:r>
          </w:p>
          <w:p>
            <w:pPr>
              <w:jc w:val="center"/>
              <w:rPr>
                <w:b/>
                <w:bCs/>
                <w:i w:val="0"/>
                <w:iCs w:val="0"/>
                <w:color w:val="auto"/>
                <w:sz w:val="24"/>
                <w:szCs w:val="24"/>
              </w:rPr>
            </w:pPr>
            <w:r>
              <w:rPr>
                <w:b/>
                <w:bCs/>
                <w:i w:val="0"/>
                <w:iCs w:val="0"/>
                <w:color w:val="auto"/>
                <w:sz w:val="24"/>
                <w:szCs w:val="24"/>
              </w:rPr>
              <w:t>表7-2</w:t>
            </w:r>
            <w:r>
              <w:rPr>
                <w:rFonts w:hint="eastAsia"/>
                <w:b/>
                <w:bCs/>
                <w:i w:val="0"/>
                <w:iCs w:val="0"/>
                <w:color w:val="auto"/>
                <w:sz w:val="24"/>
                <w:szCs w:val="24"/>
                <w:lang w:val="en-US" w:eastAsia="zh-CN"/>
              </w:rPr>
              <w:t xml:space="preserve">6 </w:t>
            </w:r>
            <w:r>
              <w:rPr>
                <w:b/>
                <w:bCs/>
                <w:i w:val="0"/>
                <w:iCs w:val="0"/>
                <w:color w:val="auto"/>
                <w:sz w:val="24"/>
                <w:szCs w:val="24"/>
              </w:rPr>
              <w:t xml:space="preserve"> 环境</w:t>
            </w:r>
            <w:r>
              <w:rPr>
                <w:rFonts w:hint="eastAsia"/>
                <w:b/>
                <w:bCs/>
                <w:i w:val="0"/>
                <w:iCs w:val="0"/>
                <w:color w:val="auto"/>
                <w:sz w:val="24"/>
                <w:szCs w:val="24"/>
              </w:rPr>
              <w:t>风险主要</w:t>
            </w:r>
            <w:r>
              <w:rPr>
                <w:b/>
                <w:bCs/>
                <w:i w:val="0"/>
                <w:iCs w:val="0"/>
                <w:color w:val="auto"/>
                <w:sz w:val="24"/>
                <w:szCs w:val="24"/>
              </w:rPr>
              <w:t>保护目标一览表</w:t>
            </w:r>
          </w:p>
          <w:tbl>
            <w:tblPr>
              <w:tblStyle w:val="17"/>
              <w:tblW w:w="8312" w:type="dxa"/>
              <w:jc w:val="center"/>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Layout w:type="fixed"/>
              <w:tblCellMar>
                <w:top w:w="0" w:type="dxa"/>
                <w:left w:w="108" w:type="dxa"/>
                <w:bottom w:w="0" w:type="dxa"/>
                <w:right w:w="108" w:type="dxa"/>
              </w:tblCellMar>
            </w:tblPr>
            <w:tblGrid>
              <w:gridCol w:w="883"/>
              <w:gridCol w:w="1044"/>
              <w:gridCol w:w="1089"/>
              <w:gridCol w:w="1044"/>
              <w:gridCol w:w="1044"/>
              <w:gridCol w:w="1044"/>
              <w:gridCol w:w="1082"/>
              <w:gridCol w:w="1082"/>
            </w:tblGrid>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883" w:type="dxa"/>
                  <w:vMerge w:val="restart"/>
                  <w:vAlign w:val="center"/>
                </w:tcPr>
                <w:p>
                  <w:pPr>
                    <w:jc w:val="center"/>
                    <w:rPr>
                      <w:b/>
                      <w:szCs w:val="21"/>
                    </w:rPr>
                  </w:pPr>
                  <w:r>
                    <w:rPr>
                      <w:rFonts w:hint="eastAsia"/>
                      <w:b/>
                      <w:szCs w:val="21"/>
                    </w:rPr>
                    <w:t>名称</w:t>
                  </w:r>
                </w:p>
              </w:tc>
              <w:tc>
                <w:tcPr>
                  <w:tcW w:w="2133" w:type="dxa"/>
                  <w:gridSpan w:val="2"/>
                  <w:vAlign w:val="center"/>
                </w:tcPr>
                <w:p>
                  <w:pPr>
                    <w:jc w:val="center"/>
                    <w:rPr>
                      <w:b/>
                      <w:szCs w:val="21"/>
                    </w:rPr>
                  </w:pPr>
                  <w:r>
                    <w:rPr>
                      <w:rFonts w:hint="eastAsia"/>
                      <w:b/>
                      <w:szCs w:val="21"/>
                    </w:rPr>
                    <w:t>坐标</w:t>
                  </w:r>
                </w:p>
              </w:tc>
              <w:tc>
                <w:tcPr>
                  <w:tcW w:w="1044" w:type="dxa"/>
                  <w:vMerge w:val="restart"/>
                  <w:vAlign w:val="center"/>
                </w:tcPr>
                <w:p>
                  <w:pPr>
                    <w:jc w:val="center"/>
                    <w:rPr>
                      <w:b/>
                      <w:szCs w:val="21"/>
                    </w:rPr>
                  </w:pPr>
                  <w:r>
                    <w:rPr>
                      <w:rFonts w:hint="eastAsia"/>
                      <w:b/>
                      <w:szCs w:val="21"/>
                    </w:rPr>
                    <w:t>保护</w:t>
                  </w:r>
                  <w:r>
                    <w:rPr>
                      <w:b/>
                      <w:szCs w:val="21"/>
                    </w:rPr>
                    <w:t>对象</w:t>
                  </w:r>
                </w:p>
              </w:tc>
              <w:tc>
                <w:tcPr>
                  <w:tcW w:w="1044" w:type="dxa"/>
                  <w:vMerge w:val="restart"/>
                  <w:vAlign w:val="center"/>
                </w:tcPr>
                <w:p>
                  <w:pPr>
                    <w:jc w:val="center"/>
                    <w:rPr>
                      <w:b/>
                      <w:szCs w:val="21"/>
                    </w:rPr>
                  </w:pPr>
                  <w:r>
                    <w:rPr>
                      <w:rFonts w:hint="eastAsia"/>
                      <w:b/>
                      <w:szCs w:val="21"/>
                    </w:rPr>
                    <w:t>保护</w:t>
                  </w:r>
                </w:p>
                <w:p>
                  <w:pPr>
                    <w:jc w:val="center"/>
                    <w:rPr>
                      <w:b/>
                      <w:szCs w:val="21"/>
                    </w:rPr>
                  </w:pPr>
                  <w:r>
                    <w:rPr>
                      <w:rFonts w:hint="eastAsia"/>
                      <w:b/>
                      <w:szCs w:val="21"/>
                    </w:rPr>
                    <w:t>内容（人）</w:t>
                  </w:r>
                </w:p>
              </w:tc>
              <w:tc>
                <w:tcPr>
                  <w:tcW w:w="1044" w:type="dxa"/>
                  <w:vMerge w:val="restart"/>
                  <w:vAlign w:val="center"/>
                </w:tcPr>
                <w:p>
                  <w:pPr>
                    <w:jc w:val="center"/>
                    <w:rPr>
                      <w:b/>
                      <w:szCs w:val="21"/>
                    </w:rPr>
                  </w:pPr>
                  <w:r>
                    <w:rPr>
                      <w:rFonts w:hint="eastAsia"/>
                      <w:b/>
                      <w:szCs w:val="21"/>
                    </w:rPr>
                    <w:t>环境功能区</w:t>
                  </w:r>
                </w:p>
              </w:tc>
              <w:tc>
                <w:tcPr>
                  <w:tcW w:w="1082" w:type="dxa"/>
                  <w:vMerge w:val="restart"/>
                  <w:vAlign w:val="center"/>
                </w:tcPr>
                <w:p>
                  <w:pPr>
                    <w:jc w:val="center"/>
                    <w:rPr>
                      <w:b/>
                      <w:szCs w:val="21"/>
                    </w:rPr>
                  </w:pPr>
                  <w:r>
                    <w:rPr>
                      <w:rFonts w:hint="eastAsia"/>
                      <w:b/>
                      <w:szCs w:val="21"/>
                    </w:rPr>
                    <w:t>相对厂址方位</w:t>
                  </w:r>
                </w:p>
              </w:tc>
              <w:tc>
                <w:tcPr>
                  <w:tcW w:w="1082" w:type="dxa"/>
                  <w:vMerge w:val="restart"/>
                  <w:vAlign w:val="center"/>
                </w:tcPr>
                <w:p>
                  <w:pPr>
                    <w:jc w:val="center"/>
                    <w:rPr>
                      <w:b/>
                      <w:szCs w:val="21"/>
                    </w:rPr>
                  </w:pPr>
                  <w:r>
                    <w:rPr>
                      <w:rFonts w:hint="eastAsia"/>
                      <w:b/>
                      <w:szCs w:val="21"/>
                    </w:rPr>
                    <w:t>相对距离/m</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883" w:type="dxa"/>
                  <w:vMerge w:val="continue"/>
                  <w:vAlign w:val="center"/>
                </w:tcPr>
                <w:p>
                  <w:pPr>
                    <w:rPr>
                      <w:szCs w:val="21"/>
                    </w:rPr>
                  </w:pPr>
                </w:p>
              </w:tc>
              <w:tc>
                <w:tcPr>
                  <w:tcW w:w="1044" w:type="dxa"/>
                  <w:vAlign w:val="center"/>
                </w:tcPr>
                <w:p>
                  <w:pPr>
                    <w:jc w:val="center"/>
                    <w:rPr>
                      <w:szCs w:val="21"/>
                    </w:rPr>
                  </w:pPr>
                  <w:r>
                    <w:rPr>
                      <w:rFonts w:hint="eastAsia"/>
                      <w:szCs w:val="21"/>
                    </w:rPr>
                    <w:t>X</w:t>
                  </w:r>
                </w:p>
              </w:tc>
              <w:tc>
                <w:tcPr>
                  <w:tcW w:w="1089" w:type="dxa"/>
                  <w:vAlign w:val="center"/>
                </w:tcPr>
                <w:p>
                  <w:pPr>
                    <w:jc w:val="center"/>
                    <w:rPr>
                      <w:szCs w:val="21"/>
                    </w:rPr>
                  </w:pPr>
                  <w:r>
                    <w:rPr>
                      <w:rFonts w:hint="eastAsia"/>
                      <w:szCs w:val="21"/>
                    </w:rPr>
                    <w:t>Y</w:t>
                  </w:r>
                </w:p>
              </w:tc>
              <w:tc>
                <w:tcPr>
                  <w:tcW w:w="1044" w:type="dxa"/>
                  <w:vMerge w:val="continue"/>
                  <w:vAlign w:val="center"/>
                </w:tcPr>
                <w:p>
                  <w:pPr>
                    <w:rPr>
                      <w:szCs w:val="21"/>
                    </w:rPr>
                  </w:pPr>
                </w:p>
              </w:tc>
              <w:tc>
                <w:tcPr>
                  <w:tcW w:w="1044" w:type="dxa"/>
                  <w:vMerge w:val="continue"/>
                  <w:vAlign w:val="center"/>
                </w:tcPr>
                <w:p>
                  <w:pPr>
                    <w:rPr>
                      <w:szCs w:val="21"/>
                    </w:rPr>
                  </w:pPr>
                </w:p>
              </w:tc>
              <w:tc>
                <w:tcPr>
                  <w:tcW w:w="1044" w:type="dxa"/>
                  <w:vMerge w:val="continue"/>
                  <w:vAlign w:val="center"/>
                </w:tcPr>
                <w:p>
                  <w:pPr>
                    <w:rPr>
                      <w:szCs w:val="21"/>
                    </w:rPr>
                  </w:pPr>
                </w:p>
              </w:tc>
              <w:tc>
                <w:tcPr>
                  <w:tcW w:w="1082" w:type="dxa"/>
                  <w:vMerge w:val="continue"/>
                  <w:vAlign w:val="center"/>
                </w:tcPr>
                <w:p>
                  <w:pPr>
                    <w:rPr>
                      <w:szCs w:val="21"/>
                    </w:rPr>
                  </w:pPr>
                </w:p>
              </w:tc>
              <w:tc>
                <w:tcPr>
                  <w:tcW w:w="1082" w:type="dxa"/>
                  <w:vMerge w:val="continue"/>
                  <w:vAlign w:val="center"/>
                </w:tcPr>
                <w:p>
                  <w:pPr>
                    <w:rPr>
                      <w:szCs w:val="21"/>
                    </w:rPr>
                  </w:pP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735" w:hRule="atLeast"/>
                <w:jc w:val="center"/>
              </w:trPr>
              <w:tc>
                <w:tcPr>
                  <w:tcW w:w="883" w:type="dxa"/>
                  <w:vAlign w:val="center"/>
                </w:tcPr>
                <w:p>
                  <w:pPr>
                    <w:jc w:val="center"/>
                    <w:rPr>
                      <w:szCs w:val="21"/>
                    </w:rPr>
                  </w:pPr>
                  <w:r>
                    <w:rPr>
                      <w:rFonts w:hint="eastAsia"/>
                      <w:szCs w:val="21"/>
                    </w:rPr>
                    <w:t>水北村</w:t>
                  </w:r>
                </w:p>
              </w:tc>
              <w:tc>
                <w:tcPr>
                  <w:tcW w:w="1044" w:type="dxa"/>
                  <w:vAlign w:val="center"/>
                </w:tcPr>
                <w:p>
                  <w:pPr>
                    <w:jc w:val="center"/>
                    <w:rPr>
                      <w:szCs w:val="21"/>
                    </w:rPr>
                  </w:pPr>
                  <w:r>
                    <w:rPr>
                      <w:rFonts w:hint="eastAsia"/>
                      <w:szCs w:val="21"/>
                    </w:rPr>
                    <w:t>31.7920</w:t>
                  </w:r>
                </w:p>
              </w:tc>
              <w:tc>
                <w:tcPr>
                  <w:tcW w:w="1089" w:type="dxa"/>
                  <w:vAlign w:val="center"/>
                </w:tcPr>
                <w:p>
                  <w:pPr>
                    <w:jc w:val="center"/>
                    <w:rPr>
                      <w:szCs w:val="21"/>
                    </w:rPr>
                  </w:pPr>
                  <w:r>
                    <w:rPr>
                      <w:rFonts w:hint="eastAsia"/>
                      <w:szCs w:val="21"/>
                    </w:rPr>
                    <w:t>119.4583</w:t>
                  </w:r>
                </w:p>
              </w:tc>
              <w:tc>
                <w:tcPr>
                  <w:tcW w:w="1044" w:type="dxa"/>
                  <w:vAlign w:val="center"/>
                </w:tcPr>
                <w:p>
                  <w:pPr>
                    <w:jc w:val="center"/>
                    <w:rPr>
                      <w:szCs w:val="21"/>
                    </w:rPr>
                  </w:pPr>
                  <w:r>
                    <w:rPr>
                      <w:rFonts w:hint="eastAsia"/>
                      <w:szCs w:val="21"/>
                    </w:rPr>
                    <w:t>居民区</w:t>
                  </w:r>
                </w:p>
              </w:tc>
              <w:tc>
                <w:tcPr>
                  <w:tcW w:w="1044" w:type="dxa"/>
                  <w:vAlign w:val="center"/>
                </w:tcPr>
                <w:p>
                  <w:pPr>
                    <w:jc w:val="center"/>
                    <w:rPr>
                      <w:szCs w:val="21"/>
                    </w:rPr>
                  </w:pPr>
                  <w:r>
                    <w:rPr>
                      <w:rFonts w:hint="eastAsia"/>
                      <w:szCs w:val="21"/>
                    </w:rPr>
                    <w:t>1200</w:t>
                  </w:r>
                </w:p>
              </w:tc>
              <w:tc>
                <w:tcPr>
                  <w:tcW w:w="1044" w:type="dxa"/>
                  <w:vAlign w:val="center"/>
                </w:tcPr>
                <w:p>
                  <w:pPr>
                    <w:jc w:val="center"/>
                    <w:rPr>
                      <w:szCs w:val="21"/>
                    </w:rPr>
                  </w:pPr>
                  <w:r>
                    <w:rPr>
                      <w:rFonts w:hint="eastAsia"/>
                      <w:szCs w:val="21"/>
                    </w:rPr>
                    <w:t>二类区</w:t>
                  </w:r>
                </w:p>
              </w:tc>
              <w:tc>
                <w:tcPr>
                  <w:tcW w:w="1082" w:type="dxa"/>
                  <w:vAlign w:val="center"/>
                </w:tcPr>
                <w:p>
                  <w:pPr>
                    <w:jc w:val="center"/>
                    <w:rPr>
                      <w:szCs w:val="21"/>
                    </w:rPr>
                  </w:pPr>
                  <w:r>
                    <w:rPr>
                      <w:rFonts w:hint="eastAsia"/>
                      <w:szCs w:val="21"/>
                    </w:rPr>
                    <w:t>N</w:t>
                  </w:r>
                </w:p>
              </w:tc>
              <w:tc>
                <w:tcPr>
                  <w:tcW w:w="1082" w:type="dxa"/>
                  <w:vAlign w:val="center"/>
                </w:tcPr>
                <w:p>
                  <w:pPr>
                    <w:jc w:val="center"/>
                    <w:rPr>
                      <w:rFonts w:hint="default" w:eastAsia="宋体"/>
                      <w:szCs w:val="21"/>
                      <w:lang w:val="en-US" w:eastAsia="zh-CN"/>
                    </w:rPr>
                  </w:pPr>
                  <w:r>
                    <w:rPr>
                      <w:rFonts w:hint="eastAsia"/>
                      <w:szCs w:val="21"/>
                    </w:rPr>
                    <w:t>1</w:t>
                  </w:r>
                  <w:r>
                    <w:rPr>
                      <w:rFonts w:hint="eastAsia"/>
                      <w:szCs w:val="21"/>
                      <w:lang w:val="en-US" w:eastAsia="zh-CN"/>
                    </w:rPr>
                    <w:t>180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735" w:hRule="atLeast"/>
                <w:jc w:val="center"/>
              </w:trPr>
              <w:tc>
                <w:tcPr>
                  <w:tcW w:w="883" w:type="dxa"/>
                  <w:vAlign w:val="center"/>
                </w:tcPr>
                <w:p>
                  <w:pPr>
                    <w:jc w:val="center"/>
                    <w:rPr>
                      <w:szCs w:val="21"/>
                    </w:rPr>
                  </w:pPr>
                  <w:r>
                    <w:rPr>
                      <w:rFonts w:hint="eastAsia"/>
                      <w:szCs w:val="21"/>
                    </w:rPr>
                    <w:t>张地墩</w:t>
                  </w:r>
                </w:p>
              </w:tc>
              <w:tc>
                <w:tcPr>
                  <w:tcW w:w="1044" w:type="dxa"/>
                  <w:vAlign w:val="center"/>
                </w:tcPr>
                <w:p>
                  <w:pPr>
                    <w:jc w:val="center"/>
                    <w:rPr>
                      <w:szCs w:val="21"/>
                    </w:rPr>
                  </w:pPr>
                  <w:r>
                    <w:rPr>
                      <w:rFonts w:hint="eastAsia"/>
                      <w:szCs w:val="21"/>
                    </w:rPr>
                    <w:t>31.7953</w:t>
                  </w:r>
                </w:p>
              </w:tc>
              <w:tc>
                <w:tcPr>
                  <w:tcW w:w="1089" w:type="dxa"/>
                  <w:vAlign w:val="center"/>
                </w:tcPr>
                <w:p>
                  <w:pPr>
                    <w:jc w:val="center"/>
                    <w:rPr>
                      <w:szCs w:val="21"/>
                    </w:rPr>
                  </w:pPr>
                  <w:r>
                    <w:rPr>
                      <w:rFonts w:hint="eastAsia"/>
                      <w:szCs w:val="21"/>
                    </w:rPr>
                    <w:t>119.4703</w:t>
                  </w:r>
                </w:p>
              </w:tc>
              <w:tc>
                <w:tcPr>
                  <w:tcW w:w="1044" w:type="dxa"/>
                  <w:vAlign w:val="center"/>
                </w:tcPr>
                <w:p>
                  <w:pPr>
                    <w:jc w:val="center"/>
                    <w:rPr>
                      <w:szCs w:val="21"/>
                    </w:rPr>
                  </w:pPr>
                  <w:r>
                    <w:rPr>
                      <w:rFonts w:hint="eastAsia"/>
                      <w:szCs w:val="21"/>
                    </w:rPr>
                    <w:t>居民区</w:t>
                  </w:r>
                </w:p>
              </w:tc>
              <w:tc>
                <w:tcPr>
                  <w:tcW w:w="1044" w:type="dxa"/>
                  <w:vAlign w:val="center"/>
                </w:tcPr>
                <w:p>
                  <w:pPr>
                    <w:jc w:val="center"/>
                    <w:rPr>
                      <w:szCs w:val="21"/>
                    </w:rPr>
                  </w:pPr>
                  <w:r>
                    <w:rPr>
                      <w:rFonts w:hint="eastAsia"/>
                      <w:szCs w:val="21"/>
                    </w:rPr>
                    <w:t>900</w:t>
                  </w:r>
                </w:p>
              </w:tc>
              <w:tc>
                <w:tcPr>
                  <w:tcW w:w="1044" w:type="dxa"/>
                  <w:vAlign w:val="center"/>
                </w:tcPr>
                <w:p>
                  <w:pPr>
                    <w:jc w:val="center"/>
                    <w:rPr>
                      <w:szCs w:val="21"/>
                    </w:rPr>
                  </w:pPr>
                  <w:r>
                    <w:rPr>
                      <w:rFonts w:hint="eastAsia"/>
                      <w:szCs w:val="21"/>
                    </w:rPr>
                    <w:t>二类区</w:t>
                  </w:r>
                </w:p>
              </w:tc>
              <w:tc>
                <w:tcPr>
                  <w:tcW w:w="1082" w:type="dxa"/>
                  <w:vAlign w:val="center"/>
                </w:tcPr>
                <w:p>
                  <w:pPr>
                    <w:jc w:val="center"/>
                    <w:rPr>
                      <w:szCs w:val="21"/>
                    </w:rPr>
                  </w:pPr>
                  <w:r>
                    <w:rPr>
                      <w:rFonts w:hint="eastAsia"/>
                      <w:szCs w:val="21"/>
                    </w:rPr>
                    <w:t>NE</w:t>
                  </w:r>
                </w:p>
              </w:tc>
              <w:tc>
                <w:tcPr>
                  <w:tcW w:w="1082" w:type="dxa"/>
                  <w:vAlign w:val="center"/>
                </w:tcPr>
                <w:p>
                  <w:pPr>
                    <w:jc w:val="center"/>
                    <w:rPr>
                      <w:rFonts w:hint="default" w:eastAsia="宋体"/>
                      <w:szCs w:val="21"/>
                      <w:lang w:val="en-US" w:eastAsia="zh-CN"/>
                    </w:rPr>
                  </w:pPr>
                  <w:r>
                    <w:rPr>
                      <w:rFonts w:hint="eastAsia"/>
                      <w:szCs w:val="21"/>
                    </w:rPr>
                    <w:t>18</w:t>
                  </w:r>
                  <w:r>
                    <w:rPr>
                      <w:rFonts w:hint="eastAsia"/>
                      <w:szCs w:val="21"/>
                      <w:lang w:val="en-US" w:eastAsia="zh-CN"/>
                    </w:rPr>
                    <w:t>40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735" w:hRule="atLeast"/>
                <w:jc w:val="center"/>
              </w:trPr>
              <w:tc>
                <w:tcPr>
                  <w:tcW w:w="883" w:type="dxa"/>
                  <w:vAlign w:val="center"/>
                </w:tcPr>
                <w:p>
                  <w:pPr>
                    <w:jc w:val="center"/>
                    <w:rPr>
                      <w:szCs w:val="21"/>
                    </w:rPr>
                  </w:pPr>
                  <w:r>
                    <w:rPr>
                      <w:rFonts w:hint="eastAsia"/>
                      <w:szCs w:val="21"/>
                    </w:rPr>
                    <w:t>鹤科村</w:t>
                  </w:r>
                </w:p>
              </w:tc>
              <w:tc>
                <w:tcPr>
                  <w:tcW w:w="1044" w:type="dxa"/>
                  <w:vAlign w:val="center"/>
                </w:tcPr>
                <w:p>
                  <w:pPr>
                    <w:jc w:val="center"/>
                    <w:rPr>
                      <w:szCs w:val="21"/>
                    </w:rPr>
                  </w:pPr>
                  <w:r>
                    <w:rPr>
                      <w:rFonts w:hint="eastAsia"/>
                      <w:szCs w:val="21"/>
                    </w:rPr>
                    <w:t>31.7921</w:t>
                  </w:r>
                </w:p>
              </w:tc>
              <w:tc>
                <w:tcPr>
                  <w:tcW w:w="1089" w:type="dxa"/>
                  <w:vAlign w:val="center"/>
                </w:tcPr>
                <w:p>
                  <w:pPr>
                    <w:jc w:val="center"/>
                    <w:rPr>
                      <w:szCs w:val="21"/>
                    </w:rPr>
                  </w:pPr>
                  <w:r>
                    <w:rPr>
                      <w:rFonts w:hint="eastAsia"/>
                      <w:szCs w:val="21"/>
                    </w:rPr>
                    <w:t>119.4789</w:t>
                  </w:r>
                </w:p>
              </w:tc>
              <w:tc>
                <w:tcPr>
                  <w:tcW w:w="1044" w:type="dxa"/>
                  <w:vAlign w:val="center"/>
                </w:tcPr>
                <w:p>
                  <w:pPr>
                    <w:jc w:val="center"/>
                    <w:rPr>
                      <w:szCs w:val="21"/>
                    </w:rPr>
                  </w:pPr>
                  <w:r>
                    <w:rPr>
                      <w:rFonts w:hint="eastAsia"/>
                      <w:szCs w:val="21"/>
                    </w:rPr>
                    <w:t>居民区</w:t>
                  </w:r>
                </w:p>
              </w:tc>
              <w:tc>
                <w:tcPr>
                  <w:tcW w:w="1044" w:type="dxa"/>
                  <w:vAlign w:val="center"/>
                </w:tcPr>
                <w:p>
                  <w:pPr>
                    <w:jc w:val="center"/>
                    <w:rPr>
                      <w:szCs w:val="21"/>
                    </w:rPr>
                  </w:pPr>
                  <w:r>
                    <w:rPr>
                      <w:rFonts w:hint="eastAsia"/>
                      <w:szCs w:val="21"/>
                    </w:rPr>
                    <w:t>1500</w:t>
                  </w:r>
                </w:p>
              </w:tc>
              <w:tc>
                <w:tcPr>
                  <w:tcW w:w="1044" w:type="dxa"/>
                  <w:vAlign w:val="center"/>
                </w:tcPr>
                <w:p>
                  <w:pPr>
                    <w:jc w:val="center"/>
                    <w:rPr>
                      <w:szCs w:val="21"/>
                    </w:rPr>
                  </w:pPr>
                  <w:r>
                    <w:rPr>
                      <w:rFonts w:hint="eastAsia"/>
                      <w:szCs w:val="21"/>
                    </w:rPr>
                    <w:t>二类区</w:t>
                  </w:r>
                </w:p>
              </w:tc>
              <w:tc>
                <w:tcPr>
                  <w:tcW w:w="1082" w:type="dxa"/>
                  <w:vAlign w:val="center"/>
                </w:tcPr>
                <w:p>
                  <w:pPr>
                    <w:jc w:val="center"/>
                    <w:rPr>
                      <w:szCs w:val="21"/>
                    </w:rPr>
                  </w:pPr>
                  <w:r>
                    <w:rPr>
                      <w:rFonts w:hint="eastAsia"/>
                      <w:szCs w:val="21"/>
                    </w:rPr>
                    <w:t>NE</w:t>
                  </w:r>
                </w:p>
              </w:tc>
              <w:tc>
                <w:tcPr>
                  <w:tcW w:w="1082" w:type="dxa"/>
                  <w:vAlign w:val="center"/>
                </w:tcPr>
                <w:p>
                  <w:pPr>
                    <w:jc w:val="center"/>
                    <w:rPr>
                      <w:rFonts w:hint="default" w:eastAsia="宋体"/>
                      <w:szCs w:val="21"/>
                      <w:lang w:val="en-US" w:eastAsia="zh-CN"/>
                    </w:rPr>
                  </w:pPr>
                  <w:r>
                    <w:rPr>
                      <w:rFonts w:hint="eastAsia"/>
                      <w:szCs w:val="21"/>
                    </w:rPr>
                    <w:t>2</w:t>
                  </w:r>
                  <w:r>
                    <w:rPr>
                      <w:rFonts w:hint="eastAsia"/>
                      <w:szCs w:val="21"/>
                      <w:lang w:val="en-US" w:eastAsia="zh-CN"/>
                    </w:rPr>
                    <w:t>080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735" w:hRule="atLeast"/>
                <w:jc w:val="center"/>
              </w:trPr>
              <w:tc>
                <w:tcPr>
                  <w:tcW w:w="883" w:type="dxa"/>
                  <w:vAlign w:val="center"/>
                </w:tcPr>
                <w:p>
                  <w:pPr>
                    <w:jc w:val="center"/>
                    <w:rPr>
                      <w:szCs w:val="21"/>
                    </w:rPr>
                  </w:pPr>
                  <w:r>
                    <w:rPr>
                      <w:rFonts w:hint="eastAsia"/>
                      <w:szCs w:val="21"/>
                    </w:rPr>
                    <w:t>坞家村</w:t>
                  </w:r>
                </w:p>
              </w:tc>
              <w:tc>
                <w:tcPr>
                  <w:tcW w:w="1044" w:type="dxa"/>
                  <w:vAlign w:val="center"/>
                </w:tcPr>
                <w:p>
                  <w:pPr>
                    <w:jc w:val="center"/>
                    <w:rPr>
                      <w:szCs w:val="21"/>
                    </w:rPr>
                  </w:pPr>
                  <w:r>
                    <w:rPr>
                      <w:rFonts w:hint="eastAsia"/>
                      <w:szCs w:val="21"/>
                    </w:rPr>
                    <w:t>31.7837</w:t>
                  </w:r>
                </w:p>
              </w:tc>
              <w:tc>
                <w:tcPr>
                  <w:tcW w:w="1089" w:type="dxa"/>
                  <w:vAlign w:val="center"/>
                </w:tcPr>
                <w:p>
                  <w:pPr>
                    <w:jc w:val="center"/>
                    <w:rPr>
                      <w:szCs w:val="21"/>
                    </w:rPr>
                  </w:pPr>
                  <w:r>
                    <w:rPr>
                      <w:rFonts w:hint="eastAsia"/>
                      <w:szCs w:val="21"/>
                    </w:rPr>
                    <w:t>119.4824</w:t>
                  </w:r>
                </w:p>
              </w:tc>
              <w:tc>
                <w:tcPr>
                  <w:tcW w:w="1044" w:type="dxa"/>
                  <w:vAlign w:val="center"/>
                </w:tcPr>
                <w:p>
                  <w:pPr>
                    <w:jc w:val="center"/>
                    <w:rPr>
                      <w:szCs w:val="21"/>
                    </w:rPr>
                  </w:pPr>
                  <w:r>
                    <w:rPr>
                      <w:rFonts w:hint="eastAsia"/>
                      <w:szCs w:val="21"/>
                    </w:rPr>
                    <w:t>居民区</w:t>
                  </w:r>
                </w:p>
              </w:tc>
              <w:tc>
                <w:tcPr>
                  <w:tcW w:w="1044" w:type="dxa"/>
                  <w:vAlign w:val="center"/>
                </w:tcPr>
                <w:p>
                  <w:pPr>
                    <w:jc w:val="center"/>
                    <w:rPr>
                      <w:szCs w:val="21"/>
                    </w:rPr>
                  </w:pPr>
                  <w:r>
                    <w:rPr>
                      <w:rFonts w:hint="eastAsia"/>
                      <w:szCs w:val="21"/>
                    </w:rPr>
                    <w:t>800</w:t>
                  </w:r>
                </w:p>
              </w:tc>
              <w:tc>
                <w:tcPr>
                  <w:tcW w:w="1044" w:type="dxa"/>
                  <w:vAlign w:val="center"/>
                </w:tcPr>
                <w:p>
                  <w:pPr>
                    <w:jc w:val="center"/>
                    <w:rPr>
                      <w:szCs w:val="21"/>
                    </w:rPr>
                  </w:pPr>
                  <w:r>
                    <w:rPr>
                      <w:rFonts w:hint="eastAsia"/>
                      <w:szCs w:val="21"/>
                    </w:rPr>
                    <w:t>二类区</w:t>
                  </w:r>
                </w:p>
              </w:tc>
              <w:tc>
                <w:tcPr>
                  <w:tcW w:w="1082" w:type="dxa"/>
                  <w:vAlign w:val="center"/>
                </w:tcPr>
                <w:p>
                  <w:pPr>
                    <w:jc w:val="center"/>
                    <w:rPr>
                      <w:szCs w:val="21"/>
                    </w:rPr>
                  </w:pPr>
                  <w:r>
                    <w:rPr>
                      <w:rFonts w:hint="eastAsia"/>
                      <w:szCs w:val="21"/>
                    </w:rPr>
                    <w:t>E</w:t>
                  </w:r>
                </w:p>
              </w:tc>
              <w:tc>
                <w:tcPr>
                  <w:tcW w:w="1082" w:type="dxa"/>
                  <w:vAlign w:val="center"/>
                </w:tcPr>
                <w:p>
                  <w:pPr>
                    <w:jc w:val="center"/>
                    <w:rPr>
                      <w:rFonts w:hint="default" w:eastAsia="宋体"/>
                      <w:szCs w:val="21"/>
                      <w:lang w:val="en-US" w:eastAsia="zh-CN"/>
                    </w:rPr>
                  </w:pPr>
                  <w:r>
                    <w:rPr>
                      <w:rFonts w:hint="eastAsia"/>
                      <w:szCs w:val="21"/>
                      <w:lang w:val="en-US" w:eastAsia="zh-CN"/>
                    </w:rPr>
                    <w:t>2030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735" w:hRule="atLeast"/>
                <w:jc w:val="center"/>
              </w:trPr>
              <w:tc>
                <w:tcPr>
                  <w:tcW w:w="883" w:type="dxa"/>
                  <w:vAlign w:val="center"/>
                </w:tcPr>
                <w:p>
                  <w:pPr>
                    <w:jc w:val="center"/>
                    <w:rPr>
                      <w:szCs w:val="21"/>
                    </w:rPr>
                  </w:pPr>
                  <w:r>
                    <w:rPr>
                      <w:rFonts w:hint="eastAsia"/>
                      <w:szCs w:val="21"/>
                    </w:rPr>
                    <w:t>玉门</w:t>
                  </w:r>
                </w:p>
              </w:tc>
              <w:tc>
                <w:tcPr>
                  <w:tcW w:w="1044" w:type="dxa"/>
                  <w:vAlign w:val="center"/>
                </w:tcPr>
                <w:p>
                  <w:pPr>
                    <w:jc w:val="center"/>
                    <w:rPr>
                      <w:szCs w:val="21"/>
                    </w:rPr>
                  </w:pPr>
                  <w:r>
                    <w:rPr>
                      <w:rFonts w:hint="eastAsia"/>
                      <w:szCs w:val="21"/>
                    </w:rPr>
                    <w:t>31.7786</w:t>
                  </w:r>
                </w:p>
              </w:tc>
              <w:tc>
                <w:tcPr>
                  <w:tcW w:w="1089" w:type="dxa"/>
                  <w:vAlign w:val="center"/>
                </w:tcPr>
                <w:p>
                  <w:pPr>
                    <w:jc w:val="center"/>
                    <w:rPr>
                      <w:szCs w:val="21"/>
                    </w:rPr>
                  </w:pPr>
                  <w:r>
                    <w:rPr>
                      <w:rFonts w:hint="eastAsia"/>
                      <w:szCs w:val="21"/>
                    </w:rPr>
                    <w:t>119.4488</w:t>
                  </w:r>
                </w:p>
              </w:tc>
              <w:tc>
                <w:tcPr>
                  <w:tcW w:w="1044" w:type="dxa"/>
                  <w:vAlign w:val="center"/>
                </w:tcPr>
                <w:p>
                  <w:pPr>
                    <w:jc w:val="center"/>
                    <w:rPr>
                      <w:szCs w:val="21"/>
                    </w:rPr>
                  </w:pPr>
                  <w:r>
                    <w:rPr>
                      <w:rFonts w:hint="eastAsia"/>
                      <w:szCs w:val="21"/>
                    </w:rPr>
                    <w:t>居民区</w:t>
                  </w:r>
                </w:p>
              </w:tc>
              <w:tc>
                <w:tcPr>
                  <w:tcW w:w="1044" w:type="dxa"/>
                  <w:vAlign w:val="center"/>
                </w:tcPr>
                <w:p>
                  <w:pPr>
                    <w:jc w:val="center"/>
                    <w:rPr>
                      <w:szCs w:val="21"/>
                    </w:rPr>
                  </w:pPr>
                  <w:r>
                    <w:rPr>
                      <w:rFonts w:hint="eastAsia"/>
                      <w:szCs w:val="21"/>
                    </w:rPr>
                    <w:t>500</w:t>
                  </w:r>
                </w:p>
              </w:tc>
              <w:tc>
                <w:tcPr>
                  <w:tcW w:w="1044" w:type="dxa"/>
                  <w:vAlign w:val="center"/>
                </w:tcPr>
                <w:p>
                  <w:pPr>
                    <w:jc w:val="center"/>
                    <w:rPr>
                      <w:szCs w:val="21"/>
                    </w:rPr>
                  </w:pPr>
                  <w:r>
                    <w:rPr>
                      <w:rFonts w:hint="eastAsia"/>
                      <w:szCs w:val="21"/>
                    </w:rPr>
                    <w:t>二类区</w:t>
                  </w:r>
                </w:p>
              </w:tc>
              <w:tc>
                <w:tcPr>
                  <w:tcW w:w="1082" w:type="dxa"/>
                  <w:vAlign w:val="center"/>
                </w:tcPr>
                <w:p>
                  <w:pPr>
                    <w:jc w:val="center"/>
                    <w:rPr>
                      <w:szCs w:val="21"/>
                    </w:rPr>
                  </w:pPr>
                  <w:r>
                    <w:rPr>
                      <w:rFonts w:hint="eastAsia"/>
                      <w:szCs w:val="21"/>
                    </w:rPr>
                    <w:t>SW</w:t>
                  </w:r>
                </w:p>
              </w:tc>
              <w:tc>
                <w:tcPr>
                  <w:tcW w:w="1082" w:type="dxa"/>
                  <w:vAlign w:val="center"/>
                </w:tcPr>
                <w:p>
                  <w:pPr>
                    <w:jc w:val="center"/>
                    <w:rPr>
                      <w:rFonts w:hint="default" w:eastAsia="宋体"/>
                      <w:szCs w:val="21"/>
                      <w:lang w:val="en-US" w:eastAsia="zh-CN"/>
                    </w:rPr>
                  </w:pPr>
                  <w:r>
                    <w:rPr>
                      <w:rFonts w:hint="eastAsia"/>
                      <w:szCs w:val="21"/>
                      <w:lang w:val="en-US" w:eastAsia="zh-CN"/>
                    </w:rPr>
                    <w:t>490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735" w:hRule="atLeast"/>
                <w:jc w:val="center"/>
              </w:trPr>
              <w:tc>
                <w:tcPr>
                  <w:tcW w:w="883" w:type="dxa"/>
                  <w:vAlign w:val="center"/>
                </w:tcPr>
                <w:p>
                  <w:pPr>
                    <w:jc w:val="center"/>
                    <w:rPr>
                      <w:szCs w:val="21"/>
                    </w:rPr>
                  </w:pPr>
                  <w:r>
                    <w:rPr>
                      <w:rFonts w:hint="eastAsia"/>
                      <w:szCs w:val="21"/>
                    </w:rPr>
                    <w:t>滩田村</w:t>
                  </w:r>
                </w:p>
              </w:tc>
              <w:tc>
                <w:tcPr>
                  <w:tcW w:w="1044" w:type="dxa"/>
                  <w:vAlign w:val="center"/>
                </w:tcPr>
                <w:p>
                  <w:pPr>
                    <w:jc w:val="center"/>
                    <w:rPr>
                      <w:szCs w:val="21"/>
                    </w:rPr>
                  </w:pPr>
                  <w:r>
                    <w:rPr>
                      <w:rFonts w:hint="eastAsia"/>
                      <w:szCs w:val="21"/>
                    </w:rPr>
                    <w:t>31.7812</w:t>
                  </w:r>
                </w:p>
              </w:tc>
              <w:tc>
                <w:tcPr>
                  <w:tcW w:w="1089" w:type="dxa"/>
                  <w:vAlign w:val="center"/>
                </w:tcPr>
                <w:p>
                  <w:pPr>
                    <w:jc w:val="center"/>
                    <w:rPr>
                      <w:szCs w:val="21"/>
                    </w:rPr>
                  </w:pPr>
                  <w:r>
                    <w:rPr>
                      <w:rFonts w:hint="eastAsia"/>
                      <w:szCs w:val="21"/>
                    </w:rPr>
                    <w:t>119.4479</w:t>
                  </w:r>
                </w:p>
              </w:tc>
              <w:tc>
                <w:tcPr>
                  <w:tcW w:w="1044" w:type="dxa"/>
                  <w:vAlign w:val="center"/>
                </w:tcPr>
                <w:p>
                  <w:pPr>
                    <w:jc w:val="center"/>
                    <w:rPr>
                      <w:szCs w:val="21"/>
                    </w:rPr>
                  </w:pPr>
                  <w:r>
                    <w:rPr>
                      <w:rFonts w:hint="eastAsia"/>
                      <w:szCs w:val="21"/>
                    </w:rPr>
                    <w:t>居民区</w:t>
                  </w:r>
                </w:p>
              </w:tc>
              <w:tc>
                <w:tcPr>
                  <w:tcW w:w="1044" w:type="dxa"/>
                  <w:vAlign w:val="center"/>
                </w:tcPr>
                <w:p>
                  <w:pPr>
                    <w:jc w:val="center"/>
                    <w:rPr>
                      <w:szCs w:val="21"/>
                    </w:rPr>
                  </w:pPr>
                  <w:r>
                    <w:rPr>
                      <w:rFonts w:hint="eastAsia"/>
                      <w:szCs w:val="21"/>
                    </w:rPr>
                    <w:t>800</w:t>
                  </w:r>
                </w:p>
              </w:tc>
              <w:tc>
                <w:tcPr>
                  <w:tcW w:w="1044" w:type="dxa"/>
                  <w:vAlign w:val="center"/>
                </w:tcPr>
                <w:p>
                  <w:pPr>
                    <w:jc w:val="center"/>
                    <w:rPr>
                      <w:szCs w:val="21"/>
                    </w:rPr>
                  </w:pPr>
                  <w:r>
                    <w:rPr>
                      <w:rFonts w:hint="eastAsia"/>
                      <w:szCs w:val="21"/>
                    </w:rPr>
                    <w:t>二类区</w:t>
                  </w:r>
                </w:p>
              </w:tc>
              <w:tc>
                <w:tcPr>
                  <w:tcW w:w="1082" w:type="dxa"/>
                  <w:vAlign w:val="center"/>
                </w:tcPr>
                <w:p>
                  <w:pPr>
                    <w:jc w:val="center"/>
                    <w:rPr>
                      <w:szCs w:val="21"/>
                    </w:rPr>
                  </w:pPr>
                  <w:r>
                    <w:rPr>
                      <w:rFonts w:hint="eastAsia"/>
                      <w:szCs w:val="21"/>
                    </w:rPr>
                    <w:t>W</w:t>
                  </w:r>
                </w:p>
              </w:tc>
              <w:tc>
                <w:tcPr>
                  <w:tcW w:w="1082" w:type="dxa"/>
                  <w:vAlign w:val="center"/>
                </w:tcPr>
                <w:p>
                  <w:pPr>
                    <w:jc w:val="center"/>
                    <w:rPr>
                      <w:rFonts w:hint="default" w:eastAsia="宋体"/>
                      <w:szCs w:val="21"/>
                      <w:lang w:val="en-US" w:eastAsia="zh-CN"/>
                    </w:rPr>
                  </w:pPr>
                  <w:r>
                    <w:rPr>
                      <w:rFonts w:hint="eastAsia"/>
                      <w:szCs w:val="21"/>
                    </w:rPr>
                    <w:t>1</w:t>
                  </w:r>
                  <w:r>
                    <w:rPr>
                      <w:rFonts w:hint="eastAsia"/>
                      <w:szCs w:val="21"/>
                      <w:lang w:val="en-US" w:eastAsia="zh-CN"/>
                    </w:rPr>
                    <w:t>120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735" w:hRule="atLeast"/>
                <w:jc w:val="center"/>
              </w:trPr>
              <w:tc>
                <w:tcPr>
                  <w:tcW w:w="883" w:type="dxa"/>
                  <w:vAlign w:val="center"/>
                </w:tcPr>
                <w:p>
                  <w:pPr>
                    <w:jc w:val="center"/>
                    <w:rPr>
                      <w:szCs w:val="21"/>
                    </w:rPr>
                  </w:pPr>
                  <w:r>
                    <w:rPr>
                      <w:rFonts w:hint="eastAsia"/>
                      <w:szCs w:val="21"/>
                    </w:rPr>
                    <w:t>湖西村</w:t>
                  </w:r>
                </w:p>
              </w:tc>
              <w:tc>
                <w:tcPr>
                  <w:tcW w:w="1044" w:type="dxa"/>
                  <w:vAlign w:val="center"/>
                </w:tcPr>
                <w:p>
                  <w:pPr>
                    <w:jc w:val="center"/>
                    <w:rPr>
                      <w:szCs w:val="21"/>
                    </w:rPr>
                  </w:pPr>
                  <w:r>
                    <w:rPr>
                      <w:rFonts w:hint="eastAsia"/>
                      <w:szCs w:val="21"/>
                    </w:rPr>
                    <w:t>31.7858</w:t>
                  </w:r>
                </w:p>
              </w:tc>
              <w:tc>
                <w:tcPr>
                  <w:tcW w:w="1089" w:type="dxa"/>
                  <w:vAlign w:val="center"/>
                </w:tcPr>
                <w:p>
                  <w:pPr>
                    <w:jc w:val="center"/>
                    <w:rPr>
                      <w:szCs w:val="21"/>
                    </w:rPr>
                  </w:pPr>
                  <w:r>
                    <w:rPr>
                      <w:rFonts w:hint="eastAsia"/>
                      <w:szCs w:val="21"/>
                    </w:rPr>
                    <w:t>119.4441</w:t>
                  </w:r>
                </w:p>
              </w:tc>
              <w:tc>
                <w:tcPr>
                  <w:tcW w:w="1044" w:type="dxa"/>
                  <w:vAlign w:val="center"/>
                </w:tcPr>
                <w:p>
                  <w:pPr>
                    <w:jc w:val="center"/>
                    <w:rPr>
                      <w:szCs w:val="21"/>
                    </w:rPr>
                  </w:pPr>
                  <w:r>
                    <w:rPr>
                      <w:rFonts w:hint="eastAsia"/>
                      <w:szCs w:val="21"/>
                    </w:rPr>
                    <w:t>居民区</w:t>
                  </w:r>
                </w:p>
              </w:tc>
              <w:tc>
                <w:tcPr>
                  <w:tcW w:w="1044" w:type="dxa"/>
                  <w:vAlign w:val="center"/>
                </w:tcPr>
                <w:p>
                  <w:pPr>
                    <w:jc w:val="center"/>
                    <w:rPr>
                      <w:szCs w:val="21"/>
                    </w:rPr>
                  </w:pPr>
                  <w:r>
                    <w:rPr>
                      <w:rFonts w:hint="eastAsia"/>
                      <w:szCs w:val="21"/>
                    </w:rPr>
                    <w:t>1000</w:t>
                  </w:r>
                </w:p>
              </w:tc>
              <w:tc>
                <w:tcPr>
                  <w:tcW w:w="1044" w:type="dxa"/>
                  <w:vAlign w:val="center"/>
                </w:tcPr>
                <w:p>
                  <w:pPr>
                    <w:jc w:val="center"/>
                    <w:rPr>
                      <w:szCs w:val="21"/>
                    </w:rPr>
                  </w:pPr>
                  <w:r>
                    <w:rPr>
                      <w:rFonts w:hint="eastAsia"/>
                      <w:szCs w:val="21"/>
                    </w:rPr>
                    <w:t>二类区</w:t>
                  </w:r>
                </w:p>
              </w:tc>
              <w:tc>
                <w:tcPr>
                  <w:tcW w:w="1082" w:type="dxa"/>
                  <w:vAlign w:val="center"/>
                </w:tcPr>
                <w:p>
                  <w:pPr>
                    <w:jc w:val="center"/>
                    <w:rPr>
                      <w:szCs w:val="21"/>
                    </w:rPr>
                  </w:pPr>
                  <w:r>
                    <w:rPr>
                      <w:rFonts w:hint="eastAsia"/>
                      <w:szCs w:val="21"/>
                    </w:rPr>
                    <w:t>NW</w:t>
                  </w:r>
                </w:p>
              </w:tc>
              <w:tc>
                <w:tcPr>
                  <w:tcW w:w="1082" w:type="dxa"/>
                  <w:vAlign w:val="center"/>
                </w:tcPr>
                <w:p>
                  <w:pPr>
                    <w:jc w:val="center"/>
                    <w:rPr>
                      <w:rFonts w:hint="default" w:eastAsia="宋体"/>
                      <w:szCs w:val="21"/>
                      <w:lang w:val="en-US" w:eastAsia="zh-CN"/>
                    </w:rPr>
                  </w:pPr>
                  <w:r>
                    <w:rPr>
                      <w:rFonts w:hint="eastAsia"/>
                      <w:szCs w:val="21"/>
                    </w:rPr>
                    <w:t>15</w:t>
                  </w:r>
                  <w:r>
                    <w:rPr>
                      <w:rFonts w:hint="eastAsia"/>
                      <w:szCs w:val="21"/>
                      <w:lang w:val="en-US" w:eastAsia="zh-CN"/>
                    </w:rPr>
                    <w:t>60</w:t>
                  </w:r>
                </w:p>
              </w:tc>
            </w:tr>
            <w:tr>
              <w:tblPrEx>
                <w:tblBorders>
                  <w:top w:val="single" w:color="auto" w:sz="12" w:space="0"/>
                  <w:left w:val="none" w:color="auto" w:sz="0" w:space="0"/>
                  <w:bottom w:val="single" w:color="auto"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735" w:hRule="atLeast"/>
                <w:jc w:val="center"/>
              </w:trPr>
              <w:tc>
                <w:tcPr>
                  <w:tcW w:w="883" w:type="dxa"/>
                  <w:vAlign w:val="center"/>
                </w:tcPr>
                <w:p>
                  <w:pPr>
                    <w:jc w:val="center"/>
                    <w:rPr>
                      <w:szCs w:val="21"/>
                    </w:rPr>
                  </w:pPr>
                  <w:r>
                    <w:rPr>
                      <w:rFonts w:hint="eastAsia"/>
                      <w:szCs w:val="21"/>
                    </w:rPr>
                    <w:t>李家村</w:t>
                  </w:r>
                </w:p>
              </w:tc>
              <w:tc>
                <w:tcPr>
                  <w:tcW w:w="1044" w:type="dxa"/>
                  <w:vAlign w:val="center"/>
                </w:tcPr>
                <w:p>
                  <w:pPr>
                    <w:jc w:val="center"/>
                    <w:rPr>
                      <w:szCs w:val="21"/>
                    </w:rPr>
                  </w:pPr>
                  <w:r>
                    <w:rPr>
                      <w:rFonts w:hint="eastAsia"/>
                      <w:szCs w:val="21"/>
                    </w:rPr>
                    <w:t>31.7949</w:t>
                  </w:r>
                </w:p>
              </w:tc>
              <w:tc>
                <w:tcPr>
                  <w:tcW w:w="1089" w:type="dxa"/>
                  <w:vAlign w:val="center"/>
                </w:tcPr>
                <w:p>
                  <w:pPr>
                    <w:jc w:val="center"/>
                    <w:rPr>
                      <w:szCs w:val="21"/>
                    </w:rPr>
                  </w:pPr>
                  <w:r>
                    <w:rPr>
                      <w:rFonts w:hint="eastAsia"/>
                      <w:szCs w:val="21"/>
                    </w:rPr>
                    <w:t>119.4319</w:t>
                  </w:r>
                </w:p>
              </w:tc>
              <w:tc>
                <w:tcPr>
                  <w:tcW w:w="1044" w:type="dxa"/>
                  <w:vAlign w:val="center"/>
                </w:tcPr>
                <w:p>
                  <w:pPr>
                    <w:jc w:val="center"/>
                    <w:rPr>
                      <w:szCs w:val="21"/>
                    </w:rPr>
                  </w:pPr>
                  <w:r>
                    <w:rPr>
                      <w:rFonts w:hint="eastAsia"/>
                      <w:szCs w:val="21"/>
                    </w:rPr>
                    <w:t>居民区</w:t>
                  </w:r>
                </w:p>
              </w:tc>
              <w:tc>
                <w:tcPr>
                  <w:tcW w:w="1044" w:type="dxa"/>
                  <w:vAlign w:val="center"/>
                </w:tcPr>
                <w:p>
                  <w:pPr>
                    <w:jc w:val="center"/>
                    <w:rPr>
                      <w:szCs w:val="21"/>
                    </w:rPr>
                  </w:pPr>
                  <w:r>
                    <w:rPr>
                      <w:rFonts w:hint="eastAsia"/>
                      <w:szCs w:val="21"/>
                    </w:rPr>
                    <w:t>1000</w:t>
                  </w:r>
                </w:p>
              </w:tc>
              <w:tc>
                <w:tcPr>
                  <w:tcW w:w="1044" w:type="dxa"/>
                  <w:vAlign w:val="center"/>
                </w:tcPr>
                <w:p>
                  <w:pPr>
                    <w:jc w:val="center"/>
                    <w:rPr>
                      <w:szCs w:val="21"/>
                    </w:rPr>
                  </w:pPr>
                  <w:r>
                    <w:rPr>
                      <w:rFonts w:hint="eastAsia"/>
                      <w:szCs w:val="21"/>
                    </w:rPr>
                    <w:t>二类区</w:t>
                  </w:r>
                </w:p>
              </w:tc>
              <w:tc>
                <w:tcPr>
                  <w:tcW w:w="1082" w:type="dxa"/>
                  <w:vAlign w:val="center"/>
                </w:tcPr>
                <w:p>
                  <w:pPr>
                    <w:jc w:val="center"/>
                    <w:rPr>
                      <w:szCs w:val="21"/>
                    </w:rPr>
                  </w:pPr>
                  <w:r>
                    <w:rPr>
                      <w:rFonts w:hint="eastAsia"/>
                      <w:szCs w:val="21"/>
                    </w:rPr>
                    <w:t>NW</w:t>
                  </w:r>
                </w:p>
              </w:tc>
              <w:tc>
                <w:tcPr>
                  <w:tcW w:w="1082" w:type="dxa"/>
                  <w:vAlign w:val="center"/>
                </w:tcPr>
                <w:p>
                  <w:pPr>
                    <w:jc w:val="center"/>
                    <w:rPr>
                      <w:szCs w:val="21"/>
                    </w:rPr>
                  </w:pPr>
                  <w:r>
                    <w:rPr>
                      <w:rFonts w:hint="eastAsia"/>
                      <w:szCs w:val="21"/>
                    </w:rPr>
                    <w:t>17</w:t>
                  </w:r>
                  <w:r>
                    <w:rPr>
                      <w:rFonts w:hint="eastAsia"/>
                      <w:szCs w:val="21"/>
                      <w:lang w:val="en-US" w:eastAsia="zh-CN"/>
                    </w:rPr>
                    <w:t>5</w:t>
                  </w:r>
                  <w:r>
                    <w:rPr>
                      <w:rFonts w:hint="eastAsia"/>
                      <w:szCs w:val="21"/>
                    </w:rPr>
                    <w:t>0</w:t>
                  </w:r>
                </w:p>
              </w:tc>
            </w:tr>
          </w:tbl>
          <w:p>
            <w:pPr>
              <w:keepNext w:val="0"/>
              <w:keepLines w:val="0"/>
              <w:pageBreakBefore w:val="0"/>
              <w:widowControl w:val="0"/>
              <w:kinsoku/>
              <w:wordWrap/>
              <w:overflowPunct/>
              <w:topLinePunct w:val="0"/>
              <w:autoSpaceDE/>
              <w:autoSpaceDN/>
              <w:bidi w:val="0"/>
              <w:adjustRightInd/>
              <w:snapToGrid w:val="0"/>
              <w:spacing w:before="157" w:beforeLines="50" w:line="360" w:lineRule="auto"/>
              <w:ind w:right="0" w:rightChars="0" w:firstLine="480" w:firstLineChars="200"/>
              <w:textAlignment w:val="auto"/>
              <w:rPr>
                <w:b/>
                <w:i w:val="0"/>
                <w:iCs w:val="0"/>
                <w:color w:val="auto"/>
                <w:sz w:val="24"/>
              </w:rPr>
            </w:pPr>
            <w:r>
              <w:rPr>
                <w:rFonts w:hint="eastAsia"/>
                <w:b/>
                <w:i w:val="0"/>
                <w:iCs w:val="0"/>
                <w:color w:val="auto"/>
                <w:sz w:val="24"/>
                <w:lang w:eastAsia="zh-CN"/>
              </w:rPr>
              <w:t>（</w:t>
            </w:r>
            <w:r>
              <w:rPr>
                <w:rFonts w:hint="eastAsia"/>
                <w:b/>
                <w:i w:val="0"/>
                <w:iCs w:val="0"/>
                <w:color w:val="auto"/>
                <w:sz w:val="24"/>
                <w:lang w:val="en-US" w:eastAsia="zh-CN"/>
              </w:rPr>
              <w:t>3</w:t>
            </w:r>
            <w:r>
              <w:rPr>
                <w:rFonts w:hint="eastAsia"/>
                <w:b/>
                <w:i w:val="0"/>
                <w:iCs w:val="0"/>
                <w:color w:val="auto"/>
                <w:sz w:val="24"/>
                <w:lang w:eastAsia="zh-CN"/>
              </w:rPr>
              <w:t>）</w:t>
            </w:r>
            <w:r>
              <w:rPr>
                <w:rFonts w:hint="eastAsia"/>
                <w:b/>
                <w:i w:val="0"/>
                <w:iCs w:val="0"/>
                <w:color w:val="auto"/>
                <w:sz w:val="24"/>
              </w:rPr>
              <w:t>环境风险识别</w:t>
            </w:r>
          </w:p>
          <w:p>
            <w:pPr>
              <w:snapToGrid w:val="0"/>
              <w:spacing w:line="360" w:lineRule="auto"/>
              <w:ind w:left="480"/>
              <w:outlineLvl w:val="3"/>
              <w:rPr>
                <w:i w:val="0"/>
                <w:iCs w:val="0"/>
                <w:color w:val="auto"/>
                <w:sz w:val="24"/>
                <w:szCs w:val="24"/>
              </w:rPr>
            </w:pPr>
            <w:r>
              <w:rPr>
                <w:rFonts w:hint="eastAsia"/>
                <w:i w:val="0"/>
                <w:iCs w:val="0"/>
                <w:color w:val="auto"/>
                <w:sz w:val="24"/>
                <w:szCs w:val="24"/>
              </w:rPr>
              <w:t>①</w:t>
            </w:r>
            <w:r>
              <w:rPr>
                <w:i w:val="0"/>
                <w:iCs w:val="0"/>
                <w:color w:val="auto"/>
                <w:sz w:val="24"/>
                <w:szCs w:val="24"/>
              </w:rPr>
              <w:t>物质风险识别</w:t>
            </w:r>
          </w:p>
          <w:p>
            <w:pPr>
              <w:snapToGrid w:val="0"/>
              <w:spacing w:line="360" w:lineRule="auto"/>
              <w:ind w:firstLine="480" w:firstLineChars="200"/>
              <w:outlineLvl w:val="3"/>
              <w:rPr>
                <w:i w:val="0"/>
                <w:iCs w:val="0"/>
                <w:color w:val="auto"/>
                <w:sz w:val="24"/>
                <w:szCs w:val="24"/>
              </w:rPr>
            </w:pPr>
            <w:r>
              <w:rPr>
                <w:i w:val="0"/>
                <w:iCs w:val="0"/>
                <w:color w:val="auto"/>
                <w:sz w:val="24"/>
                <w:szCs w:val="24"/>
              </w:rPr>
              <w:t>按照《建设项目环境风险评价技术导则》（HJ/T 169-2018）附录</w:t>
            </w:r>
            <w:r>
              <w:rPr>
                <w:rFonts w:hint="eastAsia"/>
                <w:i w:val="0"/>
                <w:iCs w:val="0"/>
                <w:color w:val="auto"/>
                <w:sz w:val="24"/>
                <w:szCs w:val="24"/>
              </w:rPr>
              <w:t>B</w:t>
            </w:r>
            <w:r>
              <w:rPr>
                <w:i w:val="0"/>
                <w:iCs w:val="0"/>
                <w:color w:val="auto"/>
                <w:sz w:val="24"/>
                <w:szCs w:val="24"/>
              </w:rPr>
              <w:t>.1中表1</w:t>
            </w:r>
            <w:r>
              <w:rPr>
                <w:rFonts w:hint="eastAsia"/>
                <w:i w:val="0"/>
                <w:iCs w:val="0"/>
                <w:color w:val="auto"/>
                <w:sz w:val="24"/>
                <w:szCs w:val="24"/>
                <w:lang w:eastAsia="zh-CN"/>
              </w:rPr>
              <w:t>“</w:t>
            </w:r>
            <w:r>
              <w:rPr>
                <w:rFonts w:hint="eastAsia"/>
                <w:i w:val="0"/>
                <w:iCs w:val="0"/>
                <w:color w:val="auto"/>
                <w:sz w:val="24"/>
                <w:szCs w:val="24"/>
              </w:rPr>
              <w:t>突发环境事件风险物质及临界量</w:t>
            </w:r>
            <w:r>
              <w:rPr>
                <w:rFonts w:hint="eastAsia"/>
                <w:i w:val="0"/>
                <w:iCs w:val="0"/>
                <w:color w:val="auto"/>
                <w:sz w:val="24"/>
                <w:szCs w:val="24"/>
                <w:lang w:eastAsia="zh-CN"/>
              </w:rPr>
              <w:t>”</w:t>
            </w:r>
            <w:r>
              <w:rPr>
                <w:i w:val="0"/>
                <w:iCs w:val="0"/>
                <w:color w:val="auto"/>
                <w:sz w:val="24"/>
                <w:szCs w:val="24"/>
              </w:rPr>
              <w:t>和《</w:t>
            </w:r>
            <w:r>
              <w:rPr>
                <w:rFonts w:hint="eastAsia" w:ascii="Times New Roman" w:hAnsi="Times New Roman" w:eastAsia="宋体" w:cs="Times New Roman"/>
                <w:color w:val="auto"/>
                <w:sz w:val="24"/>
                <w:szCs w:val="24"/>
                <w:lang w:eastAsia="zh-CN"/>
              </w:rPr>
              <w:t>危险化学品</w:t>
            </w:r>
            <w:r>
              <w:rPr>
                <w:i w:val="0"/>
                <w:iCs w:val="0"/>
                <w:color w:val="auto"/>
                <w:sz w:val="24"/>
                <w:szCs w:val="24"/>
              </w:rPr>
              <w:t>重大危险源辨识》（GB18218-2018），经过筛选、评估，项目所涉及的主要物质为</w:t>
            </w:r>
            <w:r>
              <w:rPr>
                <w:rFonts w:hint="eastAsia"/>
                <w:i w:val="0"/>
                <w:iCs w:val="0"/>
                <w:color w:val="auto"/>
                <w:sz w:val="24"/>
                <w:szCs w:val="24"/>
                <w:lang w:eastAsia="zh-CN"/>
              </w:rPr>
              <w:t>润滑脂</w:t>
            </w:r>
            <w:r>
              <w:rPr>
                <w:i w:val="0"/>
                <w:iCs w:val="0"/>
                <w:color w:val="auto"/>
                <w:sz w:val="24"/>
                <w:szCs w:val="24"/>
              </w:rPr>
              <w:t>。</w:t>
            </w:r>
          </w:p>
          <w:p>
            <w:pPr>
              <w:snapToGrid w:val="0"/>
              <w:spacing w:line="360" w:lineRule="auto"/>
              <w:ind w:left="480"/>
              <w:outlineLvl w:val="3"/>
              <w:rPr>
                <w:i w:val="0"/>
                <w:iCs w:val="0"/>
                <w:color w:val="auto"/>
                <w:sz w:val="24"/>
                <w:szCs w:val="24"/>
              </w:rPr>
            </w:pPr>
            <w:r>
              <w:rPr>
                <w:rFonts w:hint="eastAsia"/>
                <w:i w:val="0"/>
                <w:iCs w:val="0"/>
                <w:color w:val="auto"/>
                <w:sz w:val="24"/>
                <w:szCs w:val="24"/>
              </w:rPr>
              <w:t>②主要危险物质分布情况，可能影响环境的途径</w:t>
            </w:r>
          </w:p>
          <w:p>
            <w:pPr>
              <w:jc w:val="center"/>
              <w:rPr>
                <w:b/>
                <w:bCs/>
                <w:i w:val="0"/>
                <w:iCs w:val="0"/>
                <w:color w:val="auto"/>
                <w:sz w:val="24"/>
                <w:szCs w:val="24"/>
              </w:rPr>
            </w:pPr>
            <w:r>
              <w:rPr>
                <w:b/>
                <w:bCs/>
                <w:i w:val="0"/>
                <w:iCs w:val="0"/>
                <w:color w:val="auto"/>
                <w:sz w:val="24"/>
                <w:szCs w:val="24"/>
              </w:rPr>
              <w:t>表7-2</w:t>
            </w:r>
            <w:r>
              <w:rPr>
                <w:rFonts w:hint="eastAsia"/>
                <w:b/>
                <w:bCs/>
                <w:i w:val="0"/>
                <w:iCs w:val="0"/>
                <w:color w:val="auto"/>
                <w:sz w:val="24"/>
                <w:szCs w:val="24"/>
                <w:lang w:val="en-US" w:eastAsia="zh-CN"/>
              </w:rPr>
              <w:t>7</w:t>
            </w:r>
            <w:r>
              <w:rPr>
                <w:b/>
                <w:bCs/>
                <w:i w:val="0"/>
                <w:iCs w:val="0"/>
                <w:color w:val="auto"/>
                <w:sz w:val="24"/>
                <w:szCs w:val="24"/>
              </w:rPr>
              <w:t xml:space="preserve"> 厂区生产过程危险性分析一览表</w:t>
            </w:r>
          </w:p>
          <w:tbl>
            <w:tblPr>
              <w:tblStyle w:val="17"/>
              <w:tblW w:w="831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20"/>
              <w:gridCol w:w="1323"/>
              <w:gridCol w:w="1082"/>
              <w:gridCol w:w="1765"/>
              <w:gridCol w:w="362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520" w:type="dxa"/>
                  <w:noWrap w:val="0"/>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b/>
                      <w:i w:val="0"/>
                      <w:iCs w:val="0"/>
                      <w:color w:val="auto"/>
                      <w:szCs w:val="21"/>
                    </w:rPr>
                  </w:pPr>
                  <w:r>
                    <w:rPr>
                      <w:b/>
                      <w:i w:val="0"/>
                      <w:iCs w:val="0"/>
                      <w:color w:val="auto"/>
                      <w:szCs w:val="21"/>
                    </w:rPr>
                    <w:t>序号</w:t>
                  </w:r>
                </w:p>
              </w:tc>
              <w:tc>
                <w:tcPr>
                  <w:tcW w:w="1323" w:type="dxa"/>
                  <w:noWrap w:val="0"/>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b/>
                      <w:i w:val="0"/>
                      <w:iCs w:val="0"/>
                      <w:color w:val="auto"/>
                      <w:szCs w:val="21"/>
                    </w:rPr>
                  </w:pPr>
                  <w:r>
                    <w:rPr>
                      <w:rFonts w:hint="eastAsia"/>
                      <w:b/>
                      <w:i w:val="0"/>
                      <w:iCs w:val="0"/>
                      <w:color w:val="auto"/>
                      <w:szCs w:val="21"/>
                    </w:rPr>
                    <w:t>危险物质</w:t>
                  </w:r>
                </w:p>
              </w:tc>
              <w:tc>
                <w:tcPr>
                  <w:tcW w:w="1082" w:type="dxa"/>
                  <w:noWrap w:val="0"/>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b/>
                      <w:i w:val="0"/>
                      <w:iCs w:val="0"/>
                      <w:color w:val="auto"/>
                      <w:szCs w:val="21"/>
                    </w:rPr>
                  </w:pPr>
                  <w:r>
                    <w:rPr>
                      <w:rFonts w:hint="eastAsia"/>
                      <w:b/>
                      <w:i w:val="0"/>
                      <w:iCs w:val="0"/>
                      <w:color w:val="auto"/>
                      <w:szCs w:val="21"/>
                    </w:rPr>
                    <w:t>分布情况</w:t>
                  </w:r>
                </w:p>
              </w:tc>
              <w:tc>
                <w:tcPr>
                  <w:tcW w:w="1765" w:type="dxa"/>
                  <w:noWrap w:val="0"/>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b/>
                      <w:i w:val="0"/>
                      <w:iCs w:val="0"/>
                      <w:color w:val="auto"/>
                      <w:szCs w:val="21"/>
                    </w:rPr>
                  </w:pPr>
                  <w:r>
                    <w:rPr>
                      <w:b/>
                      <w:i w:val="0"/>
                      <w:iCs w:val="0"/>
                      <w:color w:val="auto"/>
                      <w:szCs w:val="21"/>
                    </w:rPr>
                    <w:t>产生事故模式</w:t>
                  </w:r>
                </w:p>
              </w:tc>
              <w:tc>
                <w:tcPr>
                  <w:tcW w:w="3622" w:type="dxa"/>
                  <w:noWrap w:val="0"/>
                  <w:vAlign w:val="center"/>
                </w:tcPr>
                <w:p>
                  <w:pPr>
                    <w:keepNext w:val="0"/>
                    <w:keepLines w:val="0"/>
                    <w:pageBreakBefore w:val="0"/>
                    <w:kinsoku/>
                    <w:wordWrap/>
                    <w:overflowPunct/>
                    <w:topLinePunct w:val="0"/>
                    <w:autoSpaceDE/>
                    <w:autoSpaceDN/>
                    <w:bidi w:val="0"/>
                    <w:adjustRightInd/>
                    <w:snapToGrid/>
                    <w:spacing w:before="63" w:beforeLines="20" w:after="63" w:afterLines="20"/>
                    <w:jc w:val="center"/>
                    <w:textAlignment w:val="auto"/>
                    <w:rPr>
                      <w:b/>
                      <w:i w:val="0"/>
                      <w:iCs w:val="0"/>
                      <w:color w:val="auto"/>
                      <w:szCs w:val="21"/>
                    </w:rPr>
                  </w:pPr>
                  <w:r>
                    <w:rPr>
                      <w:rFonts w:hint="eastAsia"/>
                      <w:b/>
                      <w:i w:val="0"/>
                      <w:iCs w:val="0"/>
                      <w:color w:val="auto"/>
                      <w:szCs w:val="21"/>
                    </w:rPr>
                    <w:t>影响环境的途径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0" w:type="dxa"/>
                  <w:noWrap w:val="0"/>
                  <w:vAlign w:val="center"/>
                </w:tcPr>
                <w:p>
                  <w:pPr>
                    <w:keepNext w:val="0"/>
                    <w:keepLines w:val="0"/>
                    <w:pageBreakBefore w:val="0"/>
                    <w:widowControl/>
                    <w:kinsoku/>
                    <w:wordWrap/>
                    <w:overflowPunct/>
                    <w:topLinePunct w:val="0"/>
                    <w:autoSpaceDE/>
                    <w:autoSpaceDN/>
                    <w:bidi w:val="0"/>
                    <w:adjustRightInd/>
                    <w:snapToGrid/>
                    <w:spacing w:before="63" w:beforeLines="20" w:after="63" w:afterLines="20"/>
                    <w:jc w:val="center"/>
                    <w:textAlignment w:val="auto"/>
                    <w:rPr>
                      <w:i w:val="0"/>
                      <w:iCs w:val="0"/>
                      <w:color w:val="auto"/>
                      <w:kern w:val="0"/>
                      <w:szCs w:val="21"/>
                    </w:rPr>
                  </w:pPr>
                  <w:r>
                    <w:rPr>
                      <w:i w:val="0"/>
                      <w:iCs w:val="0"/>
                      <w:color w:val="auto"/>
                      <w:kern w:val="0"/>
                      <w:szCs w:val="21"/>
                    </w:rPr>
                    <w:t>1</w:t>
                  </w:r>
                </w:p>
              </w:tc>
              <w:tc>
                <w:tcPr>
                  <w:tcW w:w="1323" w:type="dxa"/>
                  <w:noWrap w:val="0"/>
                  <w:vAlign w:val="center"/>
                </w:tcPr>
                <w:p>
                  <w:pPr>
                    <w:keepNext w:val="0"/>
                    <w:keepLines w:val="0"/>
                    <w:pageBreakBefore w:val="0"/>
                    <w:widowControl/>
                    <w:kinsoku/>
                    <w:wordWrap/>
                    <w:overflowPunct/>
                    <w:topLinePunct w:val="0"/>
                    <w:autoSpaceDE/>
                    <w:autoSpaceDN/>
                    <w:bidi w:val="0"/>
                    <w:adjustRightInd/>
                    <w:snapToGrid/>
                    <w:spacing w:before="63" w:beforeLines="20" w:after="63" w:afterLines="20"/>
                    <w:jc w:val="center"/>
                    <w:textAlignment w:val="auto"/>
                    <w:rPr>
                      <w:rFonts w:hint="eastAsia" w:eastAsia="宋体"/>
                      <w:i w:val="0"/>
                      <w:iCs w:val="0"/>
                      <w:color w:val="auto"/>
                      <w:kern w:val="0"/>
                      <w:szCs w:val="21"/>
                      <w:lang w:eastAsia="zh-CN"/>
                    </w:rPr>
                  </w:pPr>
                  <w:r>
                    <w:rPr>
                      <w:rFonts w:hint="eastAsia"/>
                      <w:i w:val="0"/>
                      <w:iCs w:val="0"/>
                      <w:color w:val="auto"/>
                      <w:kern w:val="0"/>
                      <w:szCs w:val="21"/>
                      <w:lang w:eastAsia="zh-CN"/>
                    </w:rPr>
                    <w:t>润滑脂</w:t>
                  </w:r>
                </w:p>
              </w:tc>
              <w:tc>
                <w:tcPr>
                  <w:tcW w:w="1082" w:type="dxa"/>
                  <w:noWrap w:val="0"/>
                  <w:vAlign w:val="center"/>
                </w:tcPr>
                <w:p>
                  <w:pPr>
                    <w:keepNext w:val="0"/>
                    <w:keepLines w:val="0"/>
                    <w:pageBreakBefore w:val="0"/>
                    <w:widowControl/>
                    <w:kinsoku/>
                    <w:wordWrap/>
                    <w:overflowPunct/>
                    <w:topLinePunct w:val="0"/>
                    <w:autoSpaceDE/>
                    <w:autoSpaceDN/>
                    <w:bidi w:val="0"/>
                    <w:adjustRightInd/>
                    <w:snapToGrid/>
                    <w:spacing w:before="63" w:beforeLines="20" w:after="63" w:afterLines="20"/>
                    <w:jc w:val="center"/>
                    <w:textAlignment w:val="auto"/>
                    <w:rPr>
                      <w:rFonts w:hint="eastAsia" w:eastAsia="宋体"/>
                      <w:i w:val="0"/>
                      <w:iCs w:val="0"/>
                      <w:color w:val="auto"/>
                      <w:kern w:val="0"/>
                      <w:szCs w:val="21"/>
                      <w:lang w:eastAsia="zh-CN"/>
                    </w:rPr>
                  </w:pPr>
                  <w:r>
                    <w:rPr>
                      <w:rFonts w:hint="eastAsia"/>
                      <w:i w:val="0"/>
                      <w:iCs w:val="0"/>
                      <w:color w:val="auto"/>
                      <w:kern w:val="0"/>
                      <w:szCs w:val="21"/>
                      <w:lang w:eastAsia="zh-CN"/>
                    </w:rPr>
                    <w:t>原料库</w:t>
                  </w:r>
                </w:p>
              </w:tc>
              <w:tc>
                <w:tcPr>
                  <w:tcW w:w="1765" w:type="dxa"/>
                  <w:noWrap w:val="0"/>
                  <w:vAlign w:val="center"/>
                </w:tcPr>
                <w:p>
                  <w:pPr>
                    <w:keepNext w:val="0"/>
                    <w:keepLines w:val="0"/>
                    <w:pageBreakBefore w:val="0"/>
                    <w:widowControl/>
                    <w:kinsoku/>
                    <w:wordWrap/>
                    <w:overflowPunct/>
                    <w:topLinePunct w:val="0"/>
                    <w:autoSpaceDE/>
                    <w:autoSpaceDN/>
                    <w:bidi w:val="0"/>
                    <w:adjustRightInd/>
                    <w:snapToGrid/>
                    <w:spacing w:before="63" w:beforeLines="20" w:after="63" w:afterLines="20"/>
                    <w:jc w:val="center"/>
                    <w:textAlignment w:val="auto"/>
                    <w:rPr>
                      <w:i w:val="0"/>
                      <w:iCs w:val="0"/>
                      <w:color w:val="auto"/>
                      <w:kern w:val="0"/>
                      <w:szCs w:val="21"/>
                    </w:rPr>
                  </w:pPr>
                  <w:r>
                    <w:rPr>
                      <w:i w:val="0"/>
                      <w:iCs w:val="0"/>
                      <w:color w:val="auto"/>
                      <w:kern w:val="0"/>
                      <w:szCs w:val="21"/>
                    </w:rPr>
                    <w:t xml:space="preserve">泄漏 </w:t>
                  </w:r>
                </w:p>
              </w:tc>
              <w:tc>
                <w:tcPr>
                  <w:tcW w:w="3622" w:type="dxa"/>
                  <w:noWrap w:val="0"/>
                  <w:vAlign w:val="center"/>
                </w:tcPr>
                <w:p>
                  <w:pPr>
                    <w:keepNext w:val="0"/>
                    <w:keepLines w:val="0"/>
                    <w:pageBreakBefore w:val="0"/>
                    <w:widowControl/>
                    <w:kinsoku/>
                    <w:wordWrap/>
                    <w:overflowPunct/>
                    <w:topLinePunct w:val="0"/>
                    <w:autoSpaceDE/>
                    <w:autoSpaceDN/>
                    <w:bidi w:val="0"/>
                    <w:adjustRightInd/>
                    <w:snapToGrid/>
                    <w:spacing w:before="63" w:beforeLines="20" w:after="63" w:afterLines="20"/>
                    <w:jc w:val="center"/>
                    <w:textAlignment w:val="auto"/>
                    <w:rPr>
                      <w:i w:val="0"/>
                      <w:iCs w:val="0"/>
                      <w:color w:val="auto"/>
                      <w:kern w:val="0"/>
                      <w:szCs w:val="21"/>
                    </w:rPr>
                  </w:pPr>
                  <w:r>
                    <w:rPr>
                      <w:i w:val="0"/>
                      <w:iCs w:val="0"/>
                      <w:color w:val="auto"/>
                      <w:kern w:val="0"/>
                      <w:szCs w:val="21"/>
                    </w:rPr>
                    <w:t>进入地表水、土壤、地下水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0" w:type="dxa"/>
                  <w:noWrap w:val="0"/>
                  <w:vAlign w:val="center"/>
                </w:tcPr>
                <w:p>
                  <w:pPr>
                    <w:keepNext w:val="0"/>
                    <w:keepLines w:val="0"/>
                    <w:pageBreakBefore w:val="0"/>
                    <w:widowControl/>
                    <w:kinsoku/>
                    <w:wordWrap/>
                    <w:overflowPunct/>
                    <w:topLinePunct w:val="0"/>
                    <w:autoSpaceDE/>
                    <w:autoSpaceDN/>
                    <w:bidi w:val="0"/>
                    <w:adjustRightInd/>
                    <w:snapToGrid/>
                    <w:spacing w:before="63" w:beforeLines="20" w:after="63" w:afterLines="20"/>
                    <w:jc w:val="center"/>
                    <w:textAlignment w:val="auto"/>
                    <w:rPr>
                      <w:rFonts w:hint="eastAsia" w:eastAsia="宋体"/>
                      <w:i w:val="0"/>
                      <w:iCs w:val="0"/>
                      <w:color w:val="auto"/>
                      <w:kern w:val="0"/>
                      <w:szCs w:val="21"/>
                      <w:lang w:val="en-US" w:eastAsia="zh-CN"/>
                    </w:rPr>
                  </w:pPr>
                  <w:r>
                    <w:rPr>
                      <w:rFonts w:hint="eastAsia"/>
                      <w:i w:val="0"/>
                      <w:iCs w:val="0"/>
                      <w:color w:val="auto"/>
                      <w:kern w:val="0"/>
                      <w:szCs w:val="21"/>
                      <w:lang w:val="en-US" w:eastAsia="zh-CN"/>
                    </w:rPr>
                    <w:t>2</w:t>
                  </w:r>
                </w:p>
              </w:tc>
              <w:tc>
                <w:tcPr>
                  <w:tcW w:w="1323" w:type="dxa"/>
                  <w:noWrap w:val="0"/>
                  <w:vAlign w:val="center"/>
                </w:tcPr>
                <w:p>
                  <w:pPr>
                    <w:keepNext w:val="0"/>
                    <w:keepLines w:val="0"/>
                    <w:pageBreakBefore w:val="0"/>
                    <w:widowControl/>
                    <w:kinsoku/>
                    <w:wordWrap/>
                    <w:overflowPunct/>
                    <w:topLinePunct w:val="0"/>
                    <w:autoSpaceDE/>
                    <w:autoSpaceDN/>
                    <w:bidi w:val="0"/>
                    <w:adjustRightInd/>
                    <w:snapToGrid/>
                    <w:spacing w:before="63" w:beforeLines="20" w:after="63" w:afterLines="20"/>
                    <w:jc w:val="center"/>
                    <w:textAlignment w:val="auto"/>
                    <w:rPr>
                      <w:rFonts w:hint="eastAsia"/>
                      <w:i w:val="0"/>
                      <w:iCs w:val="0"/>
                      <w:color w:val="auto"/>
                      <w:kern w:val="0"/>
                      <w:szCs w:val="21"/>
                      <w:lang w:eastAsia="zh-CN"/>
                    </w:rPr>
                  </w:pPr>
                  <w:r>
                    <w:rPr>
                      <w:rFonts w:hint="eastAsia"/>
                      <w:i w:val="0"/>
                      <w:iCs w:val="0"/>
                      <w:color w:val="auto"/>
                      <w:kern w:val="0"/>
                      <w:szCs w:val="21"/>
                      <w:lang w:eastAsia="zh-CN"/>
                    </w:rPr>
                    <w:t>粉尘、有机废气</w:t>
                  </w:r>
                </w:p>
              </w:tc>
              <w:tc>
                <w:tcPr>
                  <w:tcW w:w="1082" w:type="dxa"/>
                  <w:noWrap w:val="0"/>
                  <w:vAlign w:val="center"/>
                </w:tcPr>
                <w:p>
                  <w:pPr>
                    <w:keepNext w:val="0"/>
                    <w:keepLines w:val="0"/>
                    <w:pageBreakBefore w:val="0"/>
                    <w:widowControl/>
                    <w:kinsoku/>
                    <w:wordWrap/>
                    <w:overflowPunct/>
                    <w:topLinePunct w:val="0"/>
                    <w:autoSpaceDE/>
                    <w:autoSpaceDN/>
                    <w:bidi w:val="0"/>
                    <w:adjustRightInd/>
                    <w:snapToGrid/>
                    <w:spacing w:before="63" w:beforeLines="20" w:after="63" w:afterLines="20"/>
                    <w:jc w:val="center"/>
                    <w:textAlignment w:val="auto"/>
                    <w:rPr>
                      <w:rFonts w:hint="eastAsia"/>
                      <w:i w:val="0"/>
                      <w:iCs w:val="0"/>
                      <w:color w:val="auto"/>
                      <w:kern w:val="0"/>
                      <w:szCs w:val="21"/>
                      <w:lang w:eastAsia="zh-CN"/>
                    </w:rPr>
                  </w:pPr>
                  <w:r>
                    <w:rPr>
                      <w:rFonts w:hint="eastAsia"/>
                      <w:i w:val="0"/>
                      <w:iCs w:val="0"/>
                      <w:color w:val="auto"/>
                      <w:kern w:val="0"/>
                      <w:szCs w:val="21"/>
                      <w:lang w:eastAsia="zh-CN"/>
                    </w:rPr>
                    <w:t>生产车间二</w:t>
                  </w:r>
                </w:p>
              </w:tc>
              <w:tc>
                <w:tcPr>
                  <w:tcW w:w="1765" w:type="dxa"/>
                  <w:noWrap w:val="0"/>
                  <w:vAlign w:val="center"/>
                </w:tcPr>
                <w:p>
                  <w:pPr>
                    <w:keepNext w:val="0"/>
                    <w:keepLines w:val="0"/>
                    <w:pageBreakBefore w:val="0"/>
                    <w:widowControl/>
                    <w:kinsoku/>
                    <w:wordWrap/>
                    <w:overflowPunct/>
                    <w:topLinePunct w:val="0"/>
                    <w:autoSpaceDE/>
                    <w:autoSpaceDN/>
                    <w:bidi w:val="0"/>
                    <w:adjustRightInd/>
                    <w:snapToGrid/>
                    <w:spacing w:before="63" w:beforeLines="20" w:after="63" w:afterLines="20"/>
                    <w:jc w:val="center"/>
                    <w:textAlignment w:val="auto"/>
                    <w:rPr>
                      <w:rFonts w:hint="eastAsia" w:eastAsia="宋体"/>
                      <w:i w:val="0"/>
                      <w:iCs w:val="0"/>
                      <w:color w:val="auto"/>
                      <w:kern w:val="0"/>
                      <w:szCs w:val="21"/>
                      <w:lang w:eastAsia="zh-CN"/>
                    </w:rPr>
                  </w:pPr>
                  <w:r>
                    <w:rPr>
                      <w:rFonts w:hint="eastAsia"/>
                      <w:i w:val="0"/>
                      <w:iCs w:val="0"/>
                      <w:color w:val="auto"/>
                      <w:kern w:val="0"/>
                      <w:szCs w:val="21"/>
                      <w:lang w:eastAsia="zh-CN"/>
                    </w:rPr>
                    <w:t>环保设施故障</w:t>
                  </w:r>
                </w:p>
              </w:tc>
              <w:tc>
                <w:tcPr>
                  <w:tcW w:w="3622" w:type="dxa"/>
                  <w:noWrap w:val="0"/>
                  <w:vAlign w:val="center"/>
                </w:tcPr>
                <w:p>
                  <w:pPr>
                    <w:keepNext w:val="0"/>
                    <w:keepLines w:val="0"/>
                    <w:pageBreakBefore w:val="0"/>
                    <w:widowControl/>
                    <w:kinsoku/>
                    <w:wordWrap/>
                    <w:overflowPunct/>
                    <w:topLinePunct w:val="0"/>
                    <w:autoSpaceDE/>
                    <w:autoSpaceDN/>
                    <w:bidi w:val="0"/>
                    <w:adjustRightInd/>
                    <w:snapToGrid/>
                    <w:spacing w:before="63" w:beforeLines="20" w:after="63" w:afterLines="20"/>
                    <w:jc w:val="center"/>
                    <w:textAlignment w:val="auto"/>
                    <w:rPr>
                      <w:rFonts w:hint="eastAsia" w:eastAsia="宋体"/>
                      <w:i w:val="0"/>
                      <w:iCs w:val="0"/>
                      <w:color w:val="auto"/>
                      <w:kern w:val="0"/>
                      <w:szCs w:val="21"/>
                      <w:lang w:eastAsia="zh-CN"/>
                    </w:rPr>
                  </w:pPr>
                  <w:r>
                    <w:rPr>
                      <w:rFonts w:hint="eastAsia"/>
                      <w:i w:val="0"/>
                      <w:iCs w:val="0"/>
                      <w:color w:val="auto"/>
                      <w:kern w:val="0"/>
                      <w:szCs w:val="21"/>
                      <w:lang w:eastAsia="zh-CN"/>
                    </w:rPr>
                    <w:t>进入大气环境</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20" w:type="dxa"/>
                  <w:noWrap w:val="0"/>
                  <w:vAlign w:val="center"/>
                </w:tcPr>
                <w:p>
                  <w:pPr>
                    <w:keepNext w:val="0"/>
                    <w:keepLines w:val="0"/>
                    <w:pageBreakBefore w:val="0"/>
                    <w:widowControl/>
                    <w:kinsoku/>
                    <w:wordWrap/>
                    <w:overflowPunct/>
                    <w:topLinePunct w:val="0"/>
                    <w:autoSpaceDE/>
                    <w:autoSpaceDN/>
                    <w:bidi w:val="0"/>
                    <w:adjustRightInd/>
                    <w:snapToGrid/>
                    <w:spacing w:before="63" w:beforeLines="20" w:after="63" w:afterLines="20"/>
                    <w:jc w:val="center"/>
                    <w:textAlignment w:val="auto"/>
                    <w:rPr>
                      <w:rFonts w:hint="default"/>
                      <w:i w:val="0"/>
                      <w:iCs w:val="0"/>
                      <w:color w:val="auto"/>
                      <w:kern w:val="0"/>
                      <w:szCs w:val="21"/>
                      <w:lang w:val="en-US" w:eastAsia="zh-CN"/>
                    </w:rPr>
                  </w:pPr>
                  <w:r>
                    <w:rPr>
                      <w:rFonts w:hint="eastAsia"/>
                      <w:i w:val="0"/>
                      <w:iCs w:val="0"/>
                      <w:color w:val="auto"/>
                      <w:kern w:val="0"/>
                      <w:szCs w:val="21"/>
                      <w:lang w:val="en-US" w:eastAsia="zh-CN"/>
                    </w:rPr>
                    <w:t>3</w:t>
                  </w:r>
                </w:p>
              </w:tc>
              <w:tc>
                <w:tcPr>
                  <w:tcW w:w="1323" w:type="dxa"/>
                  <w:noWrap w:val="0"/>
                  <w:vAlign w:val="center"/>
                </w:tcPr>
                <w:p>
                  <w:pPr>
                    <w:keepNext w:val="0"/>
                    <w:keepLines w:val="0"/>
                    <w:pageBreakBefore w:val="0"/>
                    <w:widowControl/>
                    <w:kinsoku/>
                    <w:wordWrap/>
                    <w:overflowPunct/>
                    <w:topLinePunct w:val="0"/>
                    <w:autoSpaceDE/>
                    <w:autoSpaceDN/>
                    <w:bidi w:val="0"/>
                    <w:adjustRightInd/>
                    <w:snapToGrid/>
                    <w:spacing w:before="63" w:beforeLines="20" w:after="63" w:afterLines="20"/>
                    <w:jc w:val="center"/>
                    <w:textAlignment w:val="auto"/>
                    <w:rPr>
                      <w:rFonts w:hint="eastAsia"/>
                      <w:i w:val="0"/>
                      <w:iCs w:val="0"/>
                      <w:color w:val="auto"/>
                      <w:kern w:val="0"/>
                      <w:szCs w:val="21"/>
                      <w:lang w:eastAsia="zh-CN"/>
                    </w:rPr>
                  </w:pPr>
                  <w:r>
                    <w:rPr>
                      <w:rFonts w:hint="eastAsia"/>
                      <w:i w:val="0"/>
                      <w:iCs w:val="0"/>
                      <w:color w:val="auto"/>
                      <w:kern w:val="0"/>
                      <w:szCs w:val="21"/>
                      <w:lang w:eastAsia="zh-CN"/>
                    </w:rPr>
                    <w:t>粉尘</w:t>
                  </w:r>
                </w:p>
              </w:tc>
              <w:tc>
                <w:tcPr>
                  <w:tcW w:w="1082" w:type="dxa"/>
                  <w:noWrap w:val="0"/>
                  <w:vAlign w:val="center"/>
                </w:tcPr>
                <w:p>
                  <w:pPr>
                    <w:keepNext w:val="0"/>
                    <w:keepLines w:val="0"/>
                    <w:pageBreakBefore w:val="0"/>
                    <w:widowControl/>
                    <w:kinsoku/>
                    <w:wordWrap/>
                    <w:overflowPunct/>
                    <w:topLinePunct w:val="0"/>
                    <w:autoSpaceDE/>
                    <w:autoSpaceDN/>
                    <w:bidi w:val="0"/>
                    <w:adjustRightInd/>
                    <w:snapToGrid/>
                    <w:spacing w:before="63" w:beforeLines="20" w:after="63" w:afterLines="20"/>
                    <w:jc w:val="center"/>
                    <w:textAlignment w:val="auto"/>
                    <w:rPr>
                      <w:rFonts w:hint="eastAsia"/>
                      <w:i w:val="0"/>
                      <w:iCs w:val="0"/>
                      <w:color w:val="auto"/>
                      <w:kern w:val="0"/>
                      <w:szCs w:val="21"/>
                      <w:lang w:eastAsia="zh-CN"/>
                    </w:rPr>
                  </w:pPr>
                  <w:r>
                    <w:rPr>
                      <w:rFonts w:hint="eastAsia"/>
                      <w:i w:val="0"/>
                      <w:iCs w:val="0"/>
                      <w:color w:val="auto"/>
                      <w:kern w:val="0"/>
                      <w:szCs w:val="21"/>
                      <w:lang w:eastAsia="zh-CN"/>
                    </w:rPr>
                    <w:t>生产车间二</w:t>
                  </w:r>
                </w:p>
              </w:tc>
              <w:tc>
                <w:tcPr>
                  <w:tcW w:w="1765" w:type="dxa"/>
                  <w:noWrap w:val="0"/>
                  <w:vAlign w:val="center"/>
                </w:tcPr>
                <w:p>
                  <w:pPr>
                    <w:keepNext w:val="0"/>
                    <w:keepLines w:val="0"/>
                    <w:pageBreakBefore w:val="0"/>
                    <w:widowControl/>
                    <w:kinsoku/>
                    <w:wordWrap/>
                    <w:overflowPunct/>
                    <w:topLinePunct w:val="0"/>
                    <w:autoSpaceDE/>
                    <w:autoSpaceDN/>
                    <w:bidi w:val="0"/>
                    <w:adjustRightInd/>
                    <w:snapToGrid/>
                    <w:spacing w:before="63" w:beforeLines="20" w:after="63" w:afterLines="20"/>
                    <w:jc w:val="center"/>
                    <w:textAlignment w:val="auto"/>
                    <w:rPr>
                      <w:rFonts w:hint="eastAsia"/>
                      <w:i w:val="0"/>
                      <w:iCs w:val="0"/>
                      <w:color w:val="auto"/>
                      <w:kern w:val="0"/>
                      <w:szCs w:val="21"/>
                      <w:lang w:eastAsia="zh-CN"/>
                    </w:rPr>
                  </w:pPr>
                  <w:r>
                    <w:rPr>
                      <w:rFonts w:hint="eastAsia"/>
                      <w:i w:val="0"/>
                      <w:iCs w:val="0"/>
                      <w:color w:val="auto"/>
                      <w:kern w:val="0"/>
                      <w:szCs w:val="21"/>
                      <w:lang w:eastAsia="zh-CN"/>
                    </w:rPr>
                    <w:t>火灾爆炸</w:t>
                  </w:r>
                </w:p>
              </w:tc>
              <w:tc>
                <w:tcPr>
                  <w:tcW w:w="3622" w:type="dxa"/>
                  <w:noWrap w:val="0"/>
                  <w:vAlign w:val="center"/>
                </w:tcPr>
                <w:p>
                  <w:pPr>
                    <w:keepNext w:val="0"/>
                    <w:keepLines w:val="0"/>
                    <w:pageBreakBefore w:val="0"/>
                    <w:widowControl/>
                    <w:kinsoku/>
                    <w:wordWrap/>
                    <w:overflowPunct/>
                    <w:topLinePunct w:val="0"/>
                    <w:autoSpaceDE/>
                    <w:autoSpaceDN/>
                    <w:bidi w:val="0"/>
                    <w:adjustRightInd/>
                    <w:snapToGrid/>
                    <w:spacing w:before="63" w:beforeLines="20" w:after="63" w:afterLines="20"/>
                    <w:jc w:val="center"/>
                    <w:textAlignment w:val="auto"/>
                    <w:rPr>
                      <w:rFonts w:hint="eastAsia"/>
                      <w:i w:val="0"/>
                      <w:iCs w:val="0"/>
                      <w:color w:val="auto"/>
                      <w:kern w:val="0"/>
                      <w:szCs w:val="21"/>
                      <w:lang w:eastAsia="zh-CN"/>
                    </w:rPr>
                  </w:pPr>
                  <w:r>
                    <w:rPr>
                      <w:rFonts w:hint="eastAsia"/>
                      <w:i w:val="0"/>
                      <w:iCs w:val="0"/>
                      <w:color w:val="auto"/>
                      <w:kern w:val="0"/>
                      <w:szCs w:val="21"/>
                      <w:lang w:eastAsia="zh-CN"/>
                    </w:rPr>
                    <w:t>进入大气、地表水、土壤、地下水</w:t>
                  </w:r>
                </w:p>
              </w:tc>
            </w:tr>
          </w:tbl>
          <w:p>
            <w:pPr>
              <w:keepNext w:val="0"/>
              <w:keepLines w:val="0"/>
              <w:pageBreakBefore w:val="0"/>
              <w:widowControl w:val="0"/>
              <w:kinsoku/>
              <w:wordWrap/>
              <w:overflowPunct/>
              <w:topLinePunct w:val="0"/>
              <w:autoSpaceDE/>
              <w:autoSpaceDN/>
              <w:bidi w:val="0"/>
              <w:adjustRightInd/>
              <w:snapToGrid w:val="0"/>
              <w:spacing w:before="157" w:beforeLines="50" w:line="360" w:lineRule="auto"/>
              <w:ind w:right="0" w:rightChars="0" w:firstLine="480" w:firstLineChars="200"/>
              <w:textAlignment w:val="auto"/>
              <w:rPr>
                <w:b/>
                <w:i w:val="0"/>
                <w:iCs w:val="0"/>
                <w:color w:val="auto"/>
                <w:sz w:val="24"/>
              </w:rPr>
            </w:pPr>
            <w:r>
              <w:rPr>
                <w:rFonts w:hint="eastAsia"/>
                <w:b/>
                <w:i w:val="0"/>
                <w:iCs w:val="0"/>
                <w:color w:val="auto"/>
                <w:sz w:val="24"/>
                <w:lang w:eastAsia="zh-CN"/>
              </w:rPr>
              <w:t>（</w:t>
            </w:r>
            <w:r>
              <w:rPr>
                <w:rFonts w:hint="eastAsia"/>
                <w:b/>
                <w:i w:val="0"/>
                <w:iCs w:val="0"/>
                <w:color w:val="auto"/>
                <w:sz w:val="24"/>
                <w:lang w:val="en-US" w:eastAsia="zh-CN"/>
              </w:rPr>
              <w:t>4</w:t>
            </w:r>
            <w:r>
              <w:rPr>
                <w:rFonts w:hint="eastAsia"/>
                <w:b/>
                <w:i w:val="0"/>
                <w:iCs w:val="0"/>
                <w:color w:val="auto"/>
                <w:sz w:val="24"/>
                <w:lang w:eastAsia="zh-CN"/>
              </w:rPr>
              <w:t>）</w:t>
            </w:r>
            <w:r>
              <w:rPr>
                <w:rFonts w:hint="eastAsia"/>
                <w:b/>
                <w:i w:val="0"/>
                <w:iCs w:val="0"/>
                <w:color w:val="auto"/>
                <w:sz w:val="24"/>
              </w:rPr>
              <w:t>环境风险分析</w:t>
            </w:r>
          </w:p>
          <w:p>
            <w:pPr>
              <w:pStyle w:val="5"/>
              <w:adjustRightInd w:val="0"/>
              <w:snapToGrid w:val="0"/>
              <w:spacing w:line="360" w:lineRule="auto"/>
              <w:ind w:left="63" w:leftChars="30" w:right="63" w:rightChars="30" w:firstLine="482"/>
              <w:rPr>
                <w:b/>
                <w:bCs/>
                <w:i w:val="0"/>
                <w:iCs w:val="0"/>
                <w:color w:val="auto"/>
                <w:sz w:val="24"/>
                <w:szCs w:val="24"/>
              </w:rPr>
            </w:pPr>
            <w:r>
              <w:rPr>
                <w:rFonts w:hint="eastAsia"/>
                <w:b/>
                <w:bCs/>
                <w:i w:val="0"/>
                <w:iCs w:val="0"/>
                <w:color w:val="auto"/>
                <w:sz w:val="24"/>
                <w:szCs w:val="24"/>
              </w:rPr>
              <w:t>1）大气环境：</w:t>
            </w:r>
          </w:p>
          <w:p>
            <w:pPr>
              <w:snapToGrid w:val="0"/>
              <w:spacing w:line="360" w:lineRule="auto"/>
              <w:ind w:firstLine="480" w:firstLineChars="200"/>
              <w:rPr>
                <w:bCs/>
                <w:i w:val="0"/>
                <w:iCs w:val="0"/>
                <w:color w:val="auto"/>
                <w:sz w:val="24"/>
                <w:szCs w:val="24"/>
              </w:rPr>
            </w:pPr>
            <w:r>
              <w:rPr>
                <w:rFonts w:hint="eastAsia"/>
                <w:bCs/>
                <w:i w:val="0"/>
                <w:iCs w:val="0"/>
                <w:color w:val="auto"/>
                <w:sz w:val="24"/>
                <w:szCs w:val="24"/>
              </w:rPr>
              <w:t>废气处理装置发生故障时（以废气处理装置完全失效，废气处理效率为0计）导致废气未经处理直接排向大气环境，加大对大气环境的影响。</w:t>
            </w:r>
          </w:p>
          <w:p>
            <w:pPr>
              <w:snapToGrid w:val="0"/>
              <w:spacing w:line="360" w:lineRule="auto"/>
              <w:ind w:firstLine="480" w:firstLineChars="200"/>
              <w:rPr>
                <w:b/>
                <w:bCs/>
                <w:i w:val="0"/>
                <w:iCs w:val="0"/>
                <w:color w:val="auto"/>
                <w:sz w:val="24"/>
                <w:szCs w:val="24"/>
              </w:rPr>
            </w:pPr>
            <w:r>
              <w:rPr>
                <w:rFonts w:hint="eastAsia"/>
                <w:b/>
                <w:bCs/>
                <w:i w:val="0"/>
                <w:iCs w:val="0"/>
                <w:color w:val="auto"/>
                <w:sz w:val="24"/>
                <w:szCs w:val="24"/>
              </w:rPr>
              <w:t>2）地表水环境：</w:t>
            </w:r>
          </w:p>
          <w:p>
            <w:pPr>
              <w:snapToGrid w:val="0"/>
              <w:spacing w:line="360" w:lineRule="auto"/>
              <w:ind w:firstLine="480" w:firstLineChars="200"/>
              <w:rPr>
                <w:bCs/>
                <w:i w:val="0"/>
                <w:iCs w:val="0"/>
                <w:color w:val="auto"/>
                <w:sz w:val="24"/>
                <w:szCs w:val="24"/>
              </w:rPr>
            </w:pPr>
            <w:r>
              <w:rPr>
                <w:rFonts w:hint="eastAsia"/>
                <w:bCs/>
                <w:i w:val="0"/>
                <w:iCs w:val="0"/>
                <w:color w:val="auto"/>
                <w:sz w:val="24"/>
                <w:szCs w:val="24"/>
              </w:rPr>
              <w:t>本项目园区</w:t>
            </w:r>
            <w:r>
              <w:rPr>
                <w:bCs/>
                <w:i w:val="0"/>
                <w:iCs w:val="0"/>
                <w:color w:val="auto"/>
                <w:sz w:val="24"/>
                <w:szCs w:val="24"/>
              </w:rPr>
              <w:t>雨污分流，雨水直接排入市政雨水管网</w:t>
            </w:r>
            <w:r>
              <w:rPr>
                <w:rFonts w:hint="default" w:ascii="Times New Roman" w:hAnsi="Times New Roman" w:eastAsia="宋体" w:cs="Times New Roman"/>
                <w:color w:val="auto"/>
                <w:sz w:val="24"/>
              </w:rPr>
              <w:t>，生活污水经化粪池处理后接管至金坛区第二污水处理厂深度处理</w:t>
            </w:r>
            <w:r>
              <w:rPr>
                <w:bCs/>
                <w:i w:val="0"/>
                <w:iCs w:val="0"/>
                <w:color w:val="auto"/>
                <w:sz w:val="24"/>
                <w:szCs w:val="24"/>
              </w:rPr>
              <w:t>。事故</w:t>
            </w:r>
            <w:r>
              <w:rPr>
                <w:rFonts w:hint="eastAsia"/>
                <w:bCs/>
                <w:i w:val="0"/>
                <w:iCs w:val="0"/>
                <w:color w:val="auto"/>
                <w:sz w:val="24"/>
                <w:szCs w:val="24"/>
              </w:rPr>
              <w:t>状态下</w:t>
            </w:r>
            <w:r>
              <w:rPr>
                <w:bCs/>
                <w:i w:val="0"/>
                <w:iCs w:val="0"/>
                <w:color w:val="auto"/>
                <w:sz w:val="24"/>
                <w:szCs w:val="24"/>
              </w:rPr>
              <w:t>，</w:t>
            </w:r>
            <w:r>
              <w:rPr>
                <w:rFonts w:hint="eastAsia"/>
                <w:bCs/>
                <w:i w:val="0"/>
                <w:iCs w:val="0"/>
                <w:color w:val="auto"/>
                <w:sz w:val="24"/>
                <w:szCs w:val="24"/>
              </w:rPr>
              <w:t>生活污水、</w:t>
            </w:r>
            <w:r>
              <w:rPr>
                <w:bCs/>
                <w:i w:val="0"/>
                <w:iCs w:val="0"/>
                <w:color w:val="auto"/>
                <w:sz w:val="24"/>
                <w:szCs w:val="24"/>
              </w:rPr>
              <w:t>消防水</w:t>
            </w:r>
            <w:r>
              <w:rPr>
                <w:rFonts w:hint="eastAsia"/>
                <w:bCs/>
                <w:i w:val="0"/>
                <w:iCs w:val="0"/>
                <w:color w:val="auto"/>
                <w:sz w:val="24"/>
                <w:szCs w:val="24"/>
                <w:lang w:eastAsia="zh-CN"/>
              </w:rPr>
              <w:t>及润滑脂泄露</w:t>
            </w:r>
            <w:r>
              <w:rPr>
                <w:rFonts w:hint="eastAsia"/>
                <w:bCs/>
                <w:i w:val="0"/>
                <w:iCs w:val="0"/>
                <w:color w:val="auto"/>
                <w:sz w:val="24"/>
                <w:szCs w:val="24"/>
              </w:rPr>
              <w:t>可能会直接进入地表水环境，污染地表水</w:t>
            </w:r>
            <w:r>
              <w:rPr>
                <w:bCs/>
                <w:i w:val="0"/>
                <w:iCs w:val="0"/>
                <w:color w:val="auto"/>
                <w:sz w:val="24"/>
                <w:szCs w:val="24"/>
              </w:rPr>
              <w:t>。</w:t>
            </w:r>
          </w:p>
          <w:p>
            <w:pPr>
              <w:pStyle w:val="2"/>
              <w:spacing w:after="0" w:line="360" w:lineRule="auto"/>
              <w:ind w:firstLine="480" w:firstLineChars="200"/>
              <w:rPr>
                <w:b/>
                <w:i w:val="0"/>
                <w:iCs w:val="0"/>
                <w:color w:val="auto"/>
                <w:sz w:val="24"/>
                <w:szCs w:val="24"/>
              </w:rPr>
            </w:pPr>
            <w:r>
              <w:rPr>
                <w:rFonts w:hint="eastAsia"/>
                <w:b/>
                <w:i w:val="0"/>
                <w:iCs w:val="0"/>
                <w:color w:val="auto"/>
                <w:sz w:val="24"/>
                <w:szCs w:val="24"/>
              </w:rPr>
              <w:t>3）地下水环境：</w:t>
            </w:r>
          </w:p>
          <w:p>
            <w:pPr>
              <w:pStyle w:val="2"/>
              <w:spacing w:after="0" w:line="360" w:lineRule="auto"/>
              <w:ind w:firstLine="480" w:firstLineChars="200"/>
              <w:rPr>
                <w:i w:val="0"/>
                <w:iCs w:val="0"/>
                <w:color w:val="auto"/>
                <w:sz w:val="24"/>
                <w:szCs w:val="24"/>
              </w:rPr>
            </w:pPr>
            <w:r>
              <w:rPr>
                <w:rFonts w:hint="eastAsia" w:ascii="宋体" w:hAnsi="宋体"/>
                <w:bCs/>
                <w:i w:val="0"/>
                <w:iCs w:val="0"/>
                <w:color w:val="auto"/>
                <w:sz w:val="24"/>
                <w:szCs w:val="24"/>
              </w:rPr>
              <w:t>①</w:t>
            </w:r>
            <w:r>
              <w:rPr>
                <w:bCs/>
                <w:i w:val="0"/>
                <w:iCs w:val="0"/>
                <w:color w:val="auto"/>
                <w:sz w:val="24"/>
                <w:szCs w:val="24"/>
              </w:rPr>
              <w:t>事故</w:t>
            </w:r>
            <w:r>
              <w:rPr>
                <w:rFonts w:hint="eastAsia"/>
                <w:bCs/>
                <w:i w:val="0"/>
                <w:iCs w:val="0"/>
                <w:color w:val="auto"/>
                <w:sz w:val="24"/>
                <w:szCs w:val="24"/>
              </w:rPr>
              <w:t>状态下</w:t>
            </w:r>
            <w:r>
              <w:rPr>
                <w:bCs/>
                <w:i w:val="0"/>
                <w:iCs w:val="0"/>
                <w:color w:val="auto"/>
                <w:sz w:val="24"/>
                <w:szCs w:val="24"/>
              </w:rPr>
              <w:t>，</w:t>
            </w:r>
            <w:r>
              <w:rPr>
                <w:rFonts w:hint="eastAsia"/>
                <w:bCs/>
                <w:i w:val="0"/>
                <w:iCs w:val="0"/>
                <w:color w:val="auto"/>
                <w:sz w:val="24"/>
                <w:szCs w:val="24"/>
              </w:rPr>
              <w:t>生活污水、</w:t>
            </w:r>
            <w:r>
              <w:rPr>
                <w:bCs/>
                <w:i w:val="0"/>
                <w:iCs w:val="0"/>
                <w:color w:val="auto"/>
                <w:sz w:val="24"/>
                <w:szCs w:val="24"/>
              </w:rPr>
              <w:t>消防水</w:t>
            </w:r>
            <w:r>
              <w:rPr>
                <w:rFonts w:hint="eastAsia"/>
                <w:bCs/>
                <w:i w:val="0"/>
                <w:iCs w:val="0"/>
                <w:color w:val="auto"/>
                <w:sz w:val="24"/>
                <w:szCs w:val="24"/>
              </w:rPr>
              <w:t>可能会直接进入地下水环境，污染地下水</w:t>
            </w:r>
            <w:r>
              <w:rPr>
                <w:bCs/>
                <w:i w:val="0"/>
                <w:iCs w:val="0"/>
                <w:color w:val="auto"/>
                <w:sz w:val="24"/>
                <w:szCs w:val="24"/>
              </w:rPr>
              <w:t>。</w:t>
            </w:r>
          </w:p>
          <w:p>
            <w:pPr>
              <w:pStyle w:val="2"/>
              <w:spacing w:after="0" w:line="360" w:lineRule="auto"/>
              <w:ind w:firstLine="480" w:firstLineChars="200"/>
              <w:rPr>
                <w:i w:val="0"/>
                <w:iCs w:val="0"/>
                <w:color w:val="auto"/>
                <w:sz w:val="24"/>
                <w:szCs w:val="24"/>
              </w:rPr>
            </w:pPr>
            <w:r>
              <w:rPr>
                <w:rFonts w:hint="eastAsia" w:ascii="宋体" w:hAnsi="宋体"/>
                <w:i w:val="0"/>
                <w:iCs w:val="0"/>
                <w:color w:val="auto"/>
                <w:sz w:val="24"/>
                <w:szCs w:val="24"/>
              </w:rPr>
              <w:t>②</w:t>
            </w:r>
            <w:r>
              <w:rPr>
                <w:bCs/>
                <w:i w:val="0"/>
                <w:iCs w:val="0"/>
                <w:color w:val="auto"/>
                <w:sz w:val="24"/>
                <w:szCs w:val="24"/>
              </w:rPr>
              <w:t>事故</w:t>
            </w:r>
            <w:r>
              <w:rPr>
                <w:rFonts w:hint="eastAsia"/>
                <w:bCs/>
                <w:i w:val="0"/>
                <w:iCs w:val="0"/>
                <w:color w:val="auto"/>
                <w:sz w:val="24"/>
                <w:szCs w:val="24"/>
              </w:rPr>
              <w:t>状态下</w:t>
            </w:r>
            <w:r>
              <w:rPr>
                <w:bCs/>
                <w:i w:val="0"/>
                <w:iCs w:val="0"/>
                <w:color w:val="auto"/>
                <w:sz w:val="24"/>
                <w:szCs w:val="24"/>
              </w:rPr>
              <w:t>，</w:t>
            </w:r>
            <w:r>
              <w:rPr>
                <w:rFonts w:hint="eastAsia"/>
                <w:bCs/>
                <w:i w:val="0"/>
                <w:iCs w:val="0"/>
                <w:color w:val="auto"/>
                <w:sz w:val="24"/>
                <w:szCs w:val="24"/>
                <w:lang w:eastAsia="zh-CN"/>
              </w:rPr>
              <w:t>润滑脂</w:t>
            </w:r>
            <w:r>
              <w:rPr>
                <w:rFonts w:hint="eastAsia"/>
                <w:bCs/>
                <w:i w:val="0"/>
                <w:iCs w:val="0"/>
                <w:color w:val="auto"/>
                <w:sz w:val="24"/>
                <w:szCs w:val="24"/>
              </w:rPr>
              <w:t>泄露可能会影响地下水环境。</w:t>
            </w:r>
          </w:p>
          <w:p>
            <w:pPr>
              <w:pStyle w:val="2"/>
              <w:spacing w:after="0" w:line="360" w:lineRule="auto"/>
              <w:ind w:firstLine="480" w:firstLineChars="200"/>
              <w:rPr>
                <w:b/>
                <w:i w:val="0"/>
                <w:iCs w:val="0"/>
                <w:color w:val="auto"/>
                <w:sz w:val="24"/>
                <w:szCs w:val="24"/>
              </w:rPr>
            </w:pPr>
            <w:r>
              <w:rPr>
                <w:rFonts w:hint="eastAsia"/>
                <w:b/>
                <w:i w:val="0"/>
                <w:iCs w:val="0"/>
                <w:color w:val="auto"/>
                <w:sz w:val="24"/>
                <w:szCs w:val="24"/>
              </w:rPr>
              <w:t>4）土壤环境</w:t>
            </w:r>
          </w:p>
          <w:p>
            <w:pPr>
              <w:pStyle w:val="2"/>
              <w:spacing w:after="0" w:line="360" w:lineRule="auto"/>
              <w:ind w:firstLine="480" w:firstLineChars="200"/>
              <w:rPr>
                <w:bCs/>
                <w:i w:val="0"/>
                <w:iCs w:val="0"/>
                <w:color w:val="auto"/>
                <w:sz w:val="24"/>
                <w:szCs w:val="24"/>
              </w:rPr>
            </w:pPr>
            <w:r>
              <w:rPr>
                <w:rFonts w:hint="eastAsia"/>
                <w:bCs/>
                <w:i w:val="0"/>
                <w:iCs w:val="0"/>
                <w:color w:val="auto"/>
                <w:sz w:val="24"/>
                <w:szCs w:val="24"/>
              </w:rPr>
              <w:t>①</w:t>
            </w:r>
            <w:r>
              <w:rPr>
                <w:bCs/>
                <w:i w:val="0"/>
                <w:iCs w:val="0"/>
                <w:color w:val="auto"/>
                <w:sz w:val="24"/>
                <w:szCs w:val="24"/>
              </w:rPr>
              <w:t>事故</w:t>
            </w:r>
            <w:r>
              <w:rPr>
                <w:rFonts w:hint="eastAsia"/>
                <w:bCs/>
                <w:i w:val="0"/>
                <w:iCs w:val="0"/>
                <w:color w:val="auto"/>
                <w:sz w:val="24"/>
                <w:szCs w:val="24"/>
              </w:rPr>
              <w:t>状态下</w:t>
            </w:r>
            <w:r>
              <w:rPr>
                <w:bCs/>
                <w:i w:val="0"/>
                <w:iCs w:val="0"/>
                <w:color w:val="auto"/>
                <w:sz w:val="24"/>
                <w:szCs w:val="24"/>
              </w:rPr>
              <w:t>，</w:t>
            </w:r>
            <w:r>
              <w:rPr>
                <w:rFonts w:hint="eastAsia"/>
                <w:bCs/>
                <w:i w:val="0"/>
                <w:iCs w:val="0"/>
                <w:color w:val="auto"/>
                <w:sz w:val="24"/>
                <w:szCs w:val="24"/>
              </w:rPr>
              <w:t>生活污水、</w:t>
            </w:r>
            <w:r>
              <w:rPr>
                <w:bCs/>
                <w:i w:val="0"/>
                <w:iCs w:val="0"/>
                <w:color w:val="auto"/>
                <w:sz w:val="24"/>
                <w:szCs w:val="24"/>
              </w:rPr>
              <w:t>消防水</w:t>
            </w:r>
            <w:r>
              <w:rPr>
                <w:rFonts w:hint="eastAsia"/>
                <w:bCs/>
                <w:i w:val="0"/>
                <w:iCs w:val="0"/>
                <w:color w:val="auto"/>
                <w:sz w:val="24"/>
                <w:szCs w:val="24"/>
              </w:rPr>
              <w:t>可能会直接进入地下水环境，污染土壤环境</w:t>
            </w:r>
            <w:r>
              <w:rPr>
                <w:bCs/>
                <w:i w:val="0"/>
                <w:iCs w:val="0"/>
                <w:color w:val="auto"/>
                <w:sz w:val="24"/>
                <w:szCs w:val="24"/>
              </w:rPr>
              <w:t>。</w:t>
            </w:r>
          </w:p>
          <w:p>
            <w:pPr>
              <w:pStyle w:val="2"/>
              <w:spacing w:after="0" w:line="360" w:lineRule="auto"/>
              <w:ind w:firstLine="480" w:firstLineChars="200"/>
              <w:rPr>
                <w:rFonts w:hint="eastAsia"/>
                <w:bCs/>
                <w:i w:val="0"/>
                <w:iCs w:val="0"/>
                <w:color w:val="auto"/>
                <w:sz w:val="24"/>
                <w:szCs w:val="24"/>
              </w:rPr>
            </w:pPr>
            <w:r>
              <w:rPr>
                <w:rFonts w:hint="eastAsia"/>
                <w:bCs/>
                <w:i w:val="0"/>
                <w:iCs w:val="0"/>
                <w:color w:val="auto"/>
                <w:sz w:val="24"/>
                <w:szCs w:val="24"/>
              </w:rPr>
              <w:t>②</w:t>
            </w:r>
            <w:r>
              <w:rPr>
                <w:bCs/>
                <w:i w:val="0"/>
                <w:iCs w:val="0"/>
                <w:color w:val="auto"/>
                <w:sz w:val="24"/>
                <w:szCs w:val="24"/>
              </w:rPr>
              <w:t>事故</w:t>
            </w:r>
            <w:r>
              <w:rPr>
                <w:rFonts w:hint="eastAsia"/>
                <w:bCs/>
                <w:i w:val="0"/>
                <w:iCs w:val="0"/>
                <w:color w:val="auto"/>
                <w:sz w:val="24"/>
                <w:szCs w:val="24"/>
              </w:rPr>
              <w:t>状态下</w:t>
            </w:r>
            <w:r>
              <w:rPr>
                <w:bCs/>
                <w:i w:val="0"/>
                <w:iCs w:val="0"/>
                <w:color w:val="auto"/>
                <w:sz w:val="24"/>
                <w:szCs w:val="24"/>
              </w:rPr>
              <w:t>，</w:t>
            </w:r>
            <w:r>
              <w:rPr>
                <w:rFonts w:hint="eastAsia"/>
                <w:bCs/>
                <w:i w:val="0"/>
                <w:iCs w:val="0"/>
                <w:color w:val="auto"/>
                <w:sz w:val="24"/>
                <w:szCs w:val="24"/>
                <w:lang w:eastAsia="zh-CN"/>
              </w:rPr>
              <w:t>润滑脂泄露</w:t>
            </w:r>
            <w:r>
              <w:rPr>
                <w:rFonts w:hint="eastAsia"/>
                <w:bCs/>
                <w:i w:val="0"/>
                <w:iCs w:val="0"/>
                <w:color w:val="auto"/>
                <w:sz w:val="24"/>
                <w:szCs w:val="24"/>
              </w:rPr>
              <w:t>可能会影响土壤环境。</w:t>
            </w:r>
          </w:p>
          <w:p>
            <w:pPr>
              <w:pStyle w:val="2"/>
              <w:spacing w:after="0" w:line="360" w:lineRule="auto"/>
              <w:ind w:firstLine="480" w:firstLineChars="200"/>
              <w:rPr>
                <w:rFonts w:hint="eastAsia"/>
                <w:bCs/>
                <w:i w:val="0"/>
                <w:iCs w:val="0"/>
                <w:color w:val="auto"/>
                <w:sz w:val="24"/>
                <w:szCs w:val="24"/>
              </w:rPr>
            </w:pPr>
            <w:r>
              <w:rPr>
                <w:rFonts w:hint="eastAsia"/>
                <w:b/>
                <w:i w:val="0"/>
                <w:iCs w:val="0"/>
                <w:color w:val="auto"/>
                <w:sz w:val="24"/>
                <w:lang w:eastAsia="zh-CN"/>
              </w:rPr>
              <w:t>（</w:t>
            </w:r>
            <w:r>
              <w:rPr>
                <w:rFonts w:hint="eastAsia"/>
                <w:b/>
                <w:i w:val="0"/>
                <w:iCs w:val="0"/>
                <w:color w:val="auto"/>
                <w:sz w:val="24"/>
                <w:lang w:val="en-US" w:eastAsia="zh-CN"/>
              </w:rPr>
              <w:t>5</w:t>
            </w:r>
            <w:r>
              <w:rPr>
                <w:rFonts w:hint="eastAsia"/>
                <w:b/>
                <w:i w:val="0"/>
                <w:iCs w:val="0"/>
                <w:color w:val="auto"/>
                <w:sz w:val="24"/>
                <w:lang w:eastAsia="zh-CN"/>
              </w:rPr>
              <w:t>）</w:t>
            </w:r>
            <w:r>
              <w:rPr>
                <w:rFonts w:hint="eastAsia"/>
                <w:b/>
                <w:i w:val="0"/>
                <w:iCs w:val="0"/>
                <w:color w:val="auto"/>
                <w:sz w:val="24"/>
              </w:rPr>
              <w:t>环境风险防范措施及应急要求</w:t>
            </w:r>
          </w:p>
          <w:p>
            <w:pPr>
              <w:pStyle w:val="2"/>
              <w:numPr>
                <w:ilvl w:val="0"/>
                <w:numId w:val="8"/>
              </w:numPr>
              <w:spacing w:after="0" w:line="360" w:lineRule="auto"/>
              <w:ind w:firstLine="480" w:firstLineChars="200"/>
              <w:rPr>
                <w:rFonts w:hint="eastAsia"/>
                <w:b/>
                <w:i w:val="0"/>
                <w:iCs w:val="0"/>
                <w:color w:val="auto"/>
                <w:sz w:val="24"/>
              </w:rPr>
            </w:pPr>
            <w:r>
              <w:rPr>
                <w:rFonts w:hint="eastAsia"/>
                <w:b/>
                <w:i w:val="0"/>
                <w:iCs w:val="0"/>
                <w:color w:val="auto"/>
                <w:sz w:val="24"/>
              </w:rPr>
              <w:t>环境风险防范措施</w:t>
            </w:r>
          </w:p>
          <w:p>
            <w:pPr>
              <w:pStyle w:val="2"/>
              <w:numPr>
                <w:ilvl w:val="0"/>
                <w:numId w:val="0"/>
              </w:numPr>
              <w:spacing w:after="0" w:line="360" w:lineRule="auto"/>
              <w:ind w:firstLine="480" w:firstLineChars="200"/>
              <w:rPr>
                <w:bCs/>
                <w:i w:val="0"/>
                <w:iCs w:val="0"/>
                <w:color w:val="auto"/>
                <w:sz w:val="24"/>
                <w:szCs w:val="24"/>
              </w:rPr>
            </w:pPr>
            <w:r>
              <w:rPr>
                <w:rFonts w:hint="eastAsia" w:ascii="宋体" w:hAnsi="宋体" w:cs="宋体"/>
                <w:b/>
                <w:bCs/>
                <w:i w:val="0"/>
                <w:iCs w:val="0"/>
                <w:color w:val="auto"/>
                <w:sz w:val="24"/>
                <w:szCs w:val="24"/>
              </w:rPr>
              <w:t>①</w:t>
            </w:r>
            <w:r>
              <w:rPr>
                <w:b/>
                <w:i w:val="0"/>
                <w:iCs w:val="0"/>
                <w:color w:val="auto"/>
                <w:sz w:val="24"/>
              </w:rPr>
              <w:t>泄漏事故</w:t>
            </w:r>
          </w:p>
          <w:p>
            <w:pPr>
              <w:pStyle w:val="2"/>
              <w:numPr>
                <w:ilvl w:val="0"/>
                <w:numId w:val="0"/>
              </w:numPr>
              <w:spacing w:after="0" w:line="360" w:lineRule="auto"/>
              <w:ind w:firstLine="480" w:firstLineChars="200"/>
              <w:rPr>
                <w:rFonts w:hint="default" w:ascii="Times New Roman" w:hAnsi="Times New Roman" w:cs="Times New Roman"/>
                <w:bCs/>
                <w:i w:val="0"/>
                <w:iCs w:val="0"/>
                <w:color w:val="auto"/>
                <w:sz w:val="24"/>
                <w:szCs w:val="24"/>
              </w:rPr>
            </w:pPr>
            <w:r>
              <w:rPr>
                <w:rFonts w:hint="default" w:ascii="Times New Roman" w:hAnsi="Times New Roman" w:cs="Times New Roman"/>
                <w:bCs/>
                <w:i w:val="0"/>
                <w:iCs w:val="0"/>
                <w:color w:val="auto"/>
                <w:sz w:val="24"/>
                <w:szCs w:val="24"/>
              </w:rPr>
              <w:t>泄漏事故的预防是物料储运中最重要的环节，发生泄漏事故可能引起火灾和爆炸等一系列重大事故。经验表明：设备失灵和人为的操作失误是引发泄漏的主要原因。因此选用较好的设备、精心设计、认真管理和操作人员的责任心是减少泄漏事故的关键。本项目应主要采取以下预防措施：</w:t>
            </w:r>
          </w:p>
          <w:p>
            <w:pPr>
              <w:pStyle w:val="2"/>
              <w:numPr>
                <w:ilvl w:val="0"/>
                <w:numId w:val="0"/>
              </w:numPr>
              <w:spacing w:after="0" w:line="360" w:lineRule="auto"/>
              <w:ind w:firstLine="480" w:firstLineChars="200"/>
              <w:rPr>
                <w:rFonts w:hint="default" w:ascii="Times New Roman" w:hAnsi="Times New Roman" w:cs="Times New Roman"/>
                <w:bCs/>
                <w:i w:val="0"/>
                <w:iCs w:val="0"/>
                <w:color w:val="auto"/>
                <w:sz w:val="24"/>
                <w:szCs w:val="24"/>
              </w:rPr>
            </w:pPr>
            <w:r>
              <w:rPr>
                <w:rFonts w:hint="default" w:ascii="Times New Roman" w:hAnsi="Times New Roman" w:cs="Times New Roman"/>
                <w:bCs/>
                <w:i w:val="0"/>
                <w:iCs w:val="0"/>
                <w:color w:val="auto"/>
                <w:sz w:val="24"/>
                <w:szCs w:val="24"/>
              </w:rPr>
              <w:t>Ⅰ</w:t>
            </w:r>
            <w:r>
              <w:rPr>
                <w:rFonts w:hint="default" w:ascii="Times New Roman" w:hAnsi="Times New Roman" w:cs="Times New Roman"/>
                <w:bCs/>
                <w:i w:val="0"/>
                <w:iCs w:val="0"/>
                <w:color w:val="auto"/>
                <w:sz w:val="24"/>
                <w:szCs w:val="24"/>
                <w:lang w:eastAsia="zh-CN"/>
              </w:rPr>
              <w:t>、</w:t>
            </w:r>
            <w:r>
              <w:rPr>
                <w:rFonts w:hint="default" w:ascii="Times New Roman" w:hAnsi="Times New Roman" w:cs="Times New Roman"/>
                <w:bCs/>
                <w:i w:val="0"/>
                <w:iCs w:val="0"/>
                <w:color w:val="auto"/>
                <w:sz w:val="24"/>
                <w:szCs w:val="24"/>
              </w:rPr>
              <w:t>在危险废物暂存区、危险品仓库等所在区域设置防渗漏的地基并设置围堰（混凝土），以确保任何物质的冒溢能被回收，从而防止地下水环境污染。</w:t>
            </w:r>
          </w:p>
          <w:p>
            <w:pPr>
              <w:pStyle w:val="2"/>
              <w:numPr>
                <w:ilvl w:val="0"/>
                <w:numId w:val="0"/>
              </w:numPr>
              <w:spacing w:after="0" w:line="360" w:lineRule="auto"/>
              <w:ind w:firstLine="480" w:firstLineChars="200"/>
              <w:rPr>
                <w:rFonts w:hint="default" w:ascii="Times New Roman" w:hAnsi="Times New Roman" w:cs="Times New Roman"/>
                <w:bCs/>
                <w:i w:val="0"/>
                <w:iCs w:val="0"/>
                <w:color w:val="auto"/>
                <w:sz w:val="24"/>
                <w:szCs w:val="24"/>
              </w:rPr>
            </w:pPr>
            <w:r>
              <w:rPr>
                <w:rFonts w:hint="default" w:ascii="Times New Roman" w:hAnsi="Times New Roman" w:cs="Times New Roman"/>
                <w:bCs/>
                <w:i w:val="0"/>
                <w:iCs w:val="0"/>
                <w:color w:val="auto"/>
                <w:sz w:val="24"/>
                <w:szCs w:val="24"/>
              </w:rPr>
              <w:t>Ⅱ</w:t>
            </w:r>
            <w:r>
              <w:rPr>
                <w:rFonts w:hint="default" w:ascii="Times New Roman" w:hAnsi="Times New Roman" w:cs="Times New Roman"/>
                <w:bCs/>
                <w:i w:val="0"/>
                <w:iCs w:val="0"/>
                <w:color w:val="auto"/>
                <w:sz w:val="24"/>
                <w:szCs w:val="24"/>
                <w:lang w:eastAsia="zh-CN"/>
              </w:rPr>
              <w:t>、</w:t>
            </w:r>
            <w:r>
              <w:rPr>
                <w:rFonts w:hint="default" w:ascii="Times New Roman" w:hAnsi="Times New Roman" w:cs="Times New Roman"/>
                <w:bCs/>
                <w:i w:val="0"/>
                <w:iCs w:val="0"/>
                <w:color w:val="auto"/>
                <w:sz w:val="24"/>
                <w:szCs w:val="24"/>
              </w:rPr>
              <w:t>经常检查管道</w:t>
            </w:r>
            <w:r>
              <w:rPr>
                <w:rFonts w:hint="default" w:ascii="Times New Roman" w:hAnsi="Times New Roman" w:cs="Times New Roman"/>
                <w:bCs/>
                <w:i w:val="0"/>
                <w:iCs w:val="0"/>
                <w:color w:val="auto"/>
                <w:sz w:val="24"/>
                <w:szCs w:val="24"/>
                <w:lang w:eastAsia="zh-CN"/>
              </w:rPr>
              <w:t>和</w:t>
            </w:r>
            <w:r>
              <w:rPr>
                <w:rFonts w:hint="eastAsia" w:cs="Times New Roman"/>
                <w:bCs/>
                <w:i w:val="0"/>
                <w:iCs w:val="0"/>
                <w:color w:val="auto"/>
                <w:sz w:val="24"/>
                <w:szCs w:val="24"/>
                <w:lang w:eastAsia="zh-CN"/>
              </w:rPr>
              <w:t>润滑脂包装桶</w:t>
            </w:r>
            <w:r>
              <w:rPr>
                <w:rFonts w:hint="default" w:ascii="Times New Roman" w:hAnsi="Times New Roman" w:cs="Times New Roman"/>
                <w:bCs/>
                <w:i w:val="0"/>
                <w:iCs w:val="0"/>
                <w:color w:val="auto"/>
                <w:sz w:val="24"/>
                <w:szCs w:val="24"/>
                <w:lang w:eastAsia="zh-CN"/>
              </w:rPr>
              <w:t>泄漏情况</w:t>
            </w:r>
            <w:r>
              <w:rPr>
                <w:rFonts w:hint="default" w:ascii="Times New Roman" w:hAnsi="Times New Roman" w:cs="Times New Roman"/>
                <w:bCs/>
                <w:i w:val="0"/>
                <w:iCs w:val="0"/>
                <w:color w:val="auto"/>
                <w:sz w:val="24"/>
                <w:szCs w:val="24"/>
              </w:rPr>
              <w:t>，地上管道应防止汽车碰撞，并控制管道支撑的磨损。</w:t>
            </w:r>
          </w:p>
          <w:p>
            <w:pPr>
              <w:pStyle w:val="2"/>
              <w:numPr>
                <w:ilvl w:val="0"/>
                <w:numId w:val="0"/>
              </w:numPr>
              <w:spacing w:after="0" w:line="360" w:lineRule="auto"/>
              <w:ind w:firstLine="480" w:firstLineChars="200"/>
              <w:rPr>
                <w:bCs/>
                <w:i w:val="0"/>
                <w:iCs w:val="0"/>
                <w:color w:val="auto"/>
                <w:sz w:val="24"/>
                <w:szCs w:val="24"/>
              </w:rPr>
            </w:pPr>
            <w:r>
              <w:rPr>
                <w:rFonts w:hint="default" w:ascii="Times New Roman" w:hAnsi="Times New Roman" w:cs="Times New Roman"/>
                <w:bCs/>
                <w:i w:val="0"/>
                <w:iCs w:val="0"/>
                <w:color w:val="auto"/>
                <w:sz w:val="24"/>
                <w:szCs w:val="24"/>
              </w:rPr>
              <w:t>Ⅲ</w:t>
            </w:r>
            <w:r>
              <w:rPr>
                <w:rFonts w:hint="default" w:ascii="Times New Roman" w:hAnsi="Times New Roman" w:cs="Times New Roman"/>
                <w:bCs/>
                <w:i w:val="0"/>
                <w:iCs w:val="0"/>
                <w:color w:val="auto"/>
                <w:sz w:val="24"/>
                <w:szCs w:val="24"/>
                <w:lang w:eastAsia="zh-CN"/>
              </w:rPr>
              <w:t>、</w:t>
            </w:r>
            <w:r>
              <w:rPr>
                <w:rFonts w:hint="default" w:ascii="Times New Roman" w:hAnsi="Times New Roman" w:cs="Times New Roman"/>
                <w:bCs/>
                <w:i w:val="0"/>
                <w:iCs w:val="0"/>
                <w:color w:val="auto"/>
                <w:sz w:val="24"/>
                <w:szCs w:val="24"/>
              </w:rPr>
              <w:t>项目涉及原料及产品采用公路运输，运输主要依赖于社会运输力量和接发货企业自运的运输方式，确保物料运输的稳定和安全。</w:t>
            </w:r>
          </w:p>
          <w:p>
            <w:pPr>
              <w:pStyle w:val="2"/>
              <w:numPr>
                <w:ilvl w:val="0"/>
                <w:numId w:val="0"/>
              </w:numPr>
              <w:spacing w:after="0" w:line="360" w:lineRule="auto"/>
              <w:ind w:firstLine="480" w:firstLineChars="200"/>
              <w:rPr>
                <w:b/>
                <w:i w:val="0"/>
                <w:iCs w:val="0"/>
                <w:color w:val="auto"/>
                <w:sz w:val="24"/>
              </w:rPr>
            </w:pPr>
            <w:r>
              <w:rPr>
                <w:rFonts w:hint="eastAsia" w:ascii="宋体" w:hAnsi="宋体" w:eastAsia="宋体" w:cs="宋体"/>
                <w:b/>
                <w:bCs/>
                <w:i w:val="0"/>
                <w:iCs w:val="0"/>
                <w:color w:val="auto"/>
                <w:sz w:val="24"/>
                <w:szCs w:val="24"/>
              </w:rPr>
              <w:t>②</w:t>
            </w:r>
            <w:r>
              <w:rPr>
                <w:b/>
                <w:i w:val="0"/>
                <w:iCs w:val="0"/>
                <w:color w:val="auto"/>
                <w:sz w:val="24"/>
              </w:rPr>
              <w:t>废气处理装置</w:t>
            </w:r>
          </w:p>
          <w:p>
            <w:pPr>
              <w:pStyle w:val="2"/>
              <w:numPr>
                <w:ilvl w:val="0"/>
                <w:numId w:val="0"/>
              </w:numPr>
              <w:spacing w:after="0" w:line="360" w:lineRule="auto"/>
              <w:ind w:firstLine="480" w:firstLineChars="200"/>
              <w:rPr>
                <w:i w:val="0"/>
                <w:iCs w:val="0"/>
                <w:color w:val="auto"/>
                <w:sz w:val="24"/>
              </w:rPr>
            </w:pPr>
            <w:r>
              <w:rPr>
                <w:i w:val="0"/>
                <w:iCs w:val="0"/>
                <w:color w:val="auto"/>
                <w:sz w:val="24"/>
              </w:rPr>
              <w:t>为减少事故的发生和影响建设单位应采取以下措施。</w:t>
            </w:r>
          </w:p>
          <w:p>
            <w:pPr>
              <w:pStyle w:val="2"/>
              <w:numPr>
                <w:ilvl w:val="0"/>
                <w:numId w:val="0"/>
              </w:numPr>
              <w:spacing w:after="0" w:line="360" w:lineRule="auto"/>
              <w:ind w:firstLine="480" w:firstLineChars="200"/>
              <w:rPr>
                <w:i w:val="0"/>
                <w:iCs w:val="0"/>
                <w:color w:val="auto"/>
                <w:sz w:val="24"/>
                <w:szCs w:val="24"/>
              </w:rPr>
            </w:pPr>
            <w:r>
              <w:rPr>
                <w:rFonts w:hint="eastAsia"/>
                <w:i w:val="0"/>
                <w:iCs w:val="0"/>
                <w:color w:val="auto"/>
                <w:sz w:val="24"/>
                <w:szCs w:val="24"/>
              </w:rPr>
              <w:t>a</w:t>
            </w:r>
            <w:r>
              <w:rPr>
                <w:i w:val="0"/>
                <w:iCs w:val="0"/>
                <w:color w:val="auto"/>
                <w:sz w:val="24"/>
                <w:szCs w:val="24"/>
              </w:rPr>
              <w:t>建立严格的操作规程，实行目标责任制，保证环境保护设施</w:t>
            </w:r>
            <w:r>
              <w:rPr>
                <w:rFonts w:hint="eastAsia"/>
                <w:i w:val="0"/>
                <w:iCs w:val="0"/>
                <w:color w:val="auto"/>
                <w:sz w:val="24"/>
                <w:szCs w:val="24"/>
                <w:lang w:eastAsia="zh-CN"/>
              </w:rPr>
              <w:t>和设备</w:t>
            </w:r>
            <w:r>
              <w:rPr>
                <w:i w:val="0"/>
                <w:iCs w:val="0"/>
                <w:color w:val="auto"/>
                <w:sz w:val="24"/>
                <w:szCs w:val="24"/>
              </w:rPr>
              <w:t>的正常运行。</w:t>
            </w:r>
          </w:p>
          <w:p>
            <w:pPr>
              <w:keepNext w:val="0"/>
              <w:keepLines w:val="0"/>
              <w:pageBreakBefore w:val="0"/>
              <w:widowControl/>
              <w:shd w:val="clear" w:color="auto" w:fill="auto"/>
              <w:kinsoku/>
              <w:wordWrap/>
              <w:overflowPunct/>
              <w:topLinePunct w:val="0"/>
              <w:autoSpaceDE/>
              <w:autoSpaceDN/>
              <w:bidi w:val="0"/>
              <w:adjustRightInd w:val="0"/>
              <w:snapToGrid w:val="0"/>
              <w:spacing w:line="360" w:lineRule="auto"/>
              <w:ind w:leftChars="0" w:firstLine="480" w:firstLineChars="200"/>
              <w:textAlignment w:val="auto"/>
              <w:rPr>
                <w:i w:val="0"/>
                <w:iCs w:val="0"/>
                <w:color w:val="auto"/>
                <w:sz w:val="24"/>
                <w:szCs w:val="24"/>
              </w:rPr>
            </w:pPr>
            <w:r>
              <w:rPr>
                <w:rFonts w:hint="eastAsia"/>
                <w:i w:val="0"/>
                <w:iCs w:val="0"/>
                <w:color w:val="auto"/>
                <w:sz w:val="24"/>
                <w:szCs w:val="24"/>
              </w:rPr>
              <w:t>b</w:t>
            </w:r>
            <w:r>
              <w:rPr>
                <w:i w:val="0"/>
                <w:iCs w:val="0"/>
                <w:color w:val="auto"/>
                <w:sz w:val="24"/>
                <w:szCs w:val="24"/>
              </w:rPr>
              <w:t>应严格按工艺规程进行操作，特别在易发生事故工序，同时，操作人员应穿戴好劳动防护用品。</w:t>
            </w:r>
          </w:p>
          <w:p>
            <w:pPr>
              <w:keepNext w:val="0"/>
              <w:keepLines w:val="0"/>
              <w:pageBreakBefore w:val="0"/>
              <w:widowControl/>
              <w:shd w:val="clear" w:color="auto" w:fill="auto"/>
              <w:kinsoku/>
              <w:wordWrap/>
              <w:overflowPunct/>
              <w:topLinePunct w:val="0"/>
              <w:autoSpaceDE/>
              <w:autoSpaceDN/>
              <w:bidi w:val="0"/>
              <w:adjustRightInd w:val="0"/>
              <w:snapToGrid w:val="0"/>
              <w:spacing w:line="360" w:lineRule="auto"/>
              <w:ind w:leftChars="0" w:firstLine="480" w:firstLineChars="200"/>
              <w:textAlignment w:val="auto"/>
              <w:rPr>
                <w:i w:val="0"/>
                <w:iCs w:val="0"/>
                <w:color w:val="auto"/>
                <w:sz w:val="24"/>
                <w:szCs w:val="24"/>
              </w:rPr>
            </w:pPr>
            <w:r>
              <w:rPr>
                <w:rFonts w:hint="eastAsia"/>
                <w:i w:val="0"/>
                <w:iCs w:val="0"/>
                <w:color w:val="auto"/>
                <w:sz w:val="24"/>
                <w:szCs w:val="24"/>
              </w:rPr>
              <w:t>c</w:t>
            </w:r>
            <w:r>
              <w:rPr>
                <w:i w:val="0"/>
                <w:iCs w:val="0"/>
                <w:color w:val="auto"/>
                <w:sz w:val="24"/>
                <w:szCs w:val="24"/>
              </w:rPr>
              <w:t>对废气处理系统进行定期的监测和检修，如发生腐蚀、设备运行不稳定的情况，需对设备进行更换和修理，确保废气处理装置的正常运行。</w:t>
            </w:r>
          </w:p>
          <w:p>
            <w:pPr>
              <w:keepNext w:val="0"/>
              <w:keepLines w:val="0"/>
              <w:pageBreakBefore w:val="0"/>
              <w:widowControl/>
              <w:shd w:val="clear" w:color="auto" w:fill="auto"/>
              <w:kinsoku/>
              <w:wordWrap/>
              <w:overflowPunct/>
              <w:topLinePunct w:val="0"/>
              <w:autoSpaceDE/>
              <w:autoSpaceDN/>
              <w:bidi w:val="0"/>
              <w:adjustRightInd w:val="0"/>
              <w:snapToGrid w:val="0"/>
              <w:spacing w:line="360" w:lineRule="auto"/>
              <w:ind w:leftChars="0" w:firstLine="480" w:firstLineChars="200"/>
              <w:textAlignment w:val="auto"/>
              <w:rPr>
                <w:i w:val="0"/>
                <w:iCs w:val="0"/>
                <w:color w:val="auto"/>
                <w:sz w:val="24"/>
                <w:szCs w:val="24"/>
              </w:rPr>
            </w:pPr>
            <w:r>
              <w:rPr>
                <w:rFonts w:hint="eastAsia"/>
                <w:i w:val="0"/>
                <w:iCs w:val="0"/>
                <w:color w:val="auto"/>
                <w:sz w:val="24"/>
                <w:szCs w:val="24"/>
              </w:rPr>
              <w:t>d</w:t>
            </w:r>
            <w:r>
              <w:rPr>
                <w:i w:val="0"/>
                <w:iCs w:val="0"/>
                <w:color w:val="auto"/>
                <w:sz w:val="24"/>
                <w:szCs w:val="24"/>
              </w:rPr>
              <w:t>活性炭吸附装置对废气进行处理后，应定期对活性炭进行更换，并设置备用的活性炭吸附装置，以便于废气的有效处理。</w:t>
            </w:r>
          </w:p>
          <w:p>
            <w:pPr>
              <w:keepNext w:val="0"/>
              <w:keepLines w:val="0"/>
              <w:pageBreakBefore w:val="0"/>
              <w:widowControl/>
              <w:shd w:val="clear" w:color="auto" w:fill="auto"/>
              <w:kinsoku/>
              <w:wordWrap/>
              <w:overflowPunct/>
              <w:topLinePunct w:val="0"/>
              <w:autoSpaceDE/>
              <w:autoSpaceDN/>
              <w:bidi w:val="0"/>
              <w:adjustRightInd w:val="0"/>
              <w:snapToGrid w:val="0"/>
              <w:spacing w:line="360" w:lineRule="auto"/>
              <w:ind w:leftChars="0" w:firstLine="480" w:firstLineChars="200"/>
              <w:textAlignment w:val="auto"/>
              <w:rPr>
                <w:i w:val="0"/>
                <w:iCs w:val="0"/>
                <w:color w:val="auto"/>
                <w:sz w:val="24"/>
                <w:szCs w:val="24"/>
              </w:rPr>
            </w:pPr>
            <w:r>
              <w:rPr>
                <w:rFonts w:hint="eastAsia"/>
                <w:i w:val="0"/>
                <w:iCs w:val="0"/>
                <w:color w:val="auto"/>
                <w:sz w:val="24"/>
                <w:szCs w:val="24"/>
              </w:rPr>
              <w:t>e</w:t>
            </w:r>
            <w:r>
              <w:rPr>
                <w:i w:val="0"/>
                <w:iCs w:val="0"/>
                <w:color w:val="auto"/>
                <w:sz w:val="24"/>
                <w:szCs w:val="24"/>
              </w:rPr>
              <w:t>废气处理装置一旦出现故障，应立即关闭生产设备，避免废气未经处理进入大气环境。</w:t>
            </w:r>
          </w:p>
          <w:p>
            <w:pPr>
              <w:keepNext w:val="0"/>
              <w:keepLines w:val="0"/>
              <w:pageBreakBefore w:val="0"/>
              <w:widowControl/>
              <w:shd w:val="clear" w:color="auto" w:fill="auto"/>
              <w:kinsoku/>
              <w:wordWrap/>
              <w:overflowPunct/>
              <w:topLinePunct w:val="0"/>
              <w:autoSpaceDE/>
              <w:autoSpaceDN/>
              <w:bidi w:val="0"/>
              <w:adjustRightInd w:val="0"/>
              <w:snapToGrid w:val="0"/>
              <w:spacing w:line="360" w:lineRule="auto"/>
              <w:ind w:leftChars="0" w:firstLine="480" w:firstLineChars="200"/>
              <w:textAlignment w:val="auto"/>
              <w:rPr>
                <w:i w:val="0"/>
                <w:iCs w:val="0"/>
                <w:color w:val="auto"/>
                <w:sz w:val="24"/>
                <w:szCs w:val="24"/>
              </w:rPr>
            </w:pPr>
            <w:r>
              <w:rPr>
                <w:rFonts w:hint="eastAsia"/>
                <w:i w:val="0"/>
                <w:iCs w:val="0"/>
                <w:color w:val="auto"/>
                <w:sz w:val="24"/>
                <w:szCs w:val="24"/>
              </w:rPr>
              <w:t>f</w:t>
            </w:r>
            <w:r>
              <w:rPr>
                <w:i w:val="0"/>
                <w:iCs w:val="0"/>
                <w:color w:val="auto"/>
                <w:sz w:val="24"/>
                <w:szCs w:val="24"/>
              </w:rPr>
              <w:t>活性炭吸附装置产生的废活性炭应妥善保存，避免过滤介质、活性炭接触明火和高温设备而引发的火灾及其次伴生环境风险事故。</w:t>
            </w:r>
          </w:p>
          <w:p>
            <w:pPr>
              <w:keepNext w:val="0"/>
              <w:keepLines w:val="0"/>
              <w:pageBreakBefore w:val="0"/>
              <w:widowControl/>
              <w:shd w:val="clear" w:color="auto" w:fill="auto"/>
              <w:kinsoku/>
              <w:wordWrap/>
              <w:overflowPunct/>
              <w:topLinePunct w:val="0"/>
              <w:autoSpaceDE/>
              <w:autoSpaceDN/>
              <w:bidi w:val="0"/>
              <w:adjustRightInd w:val="0"/>
              <w:snapToGrid w:val="0"/>
              <w:spacing w:line="360" w:lineRule="auto"/>
              <w:ind w:leftChars="0" w:firstLine="480" w:firstLineChars="200"/>
              <w:textAlignment w:val="auto"/>
              <w:rPr>
                <w:i w:val="0"/>
                <w:iCs w:val="0"/>
                <w:color w:val="auto"/>
                <w:sz w:val="24"/>
                <w:szCs w:val="24"/>
              </w:rPr>
            </w:pPr>
            <w:r>
              <w:rPr>
                <w:rFonts w:hint="eastAsia"/>
                <w:i w:val="0"/>
                <w:iCs w:val="0"/>
                <w:color w:val="auto"/>
                <w:sz w:val="24"/>
                <w:szCs w:val="24"/>
              </w:rPr>
              <w:t>g</w:t>
            </w:r>
            <w:r>
              <w:rPr>
                <w:i w:val="0"/>
                <w:iCs w:val="0"/>
                <w:color w:val="auto"/>
                <w:sz w:val="24"/>
                <w:szCs w:val="24"/>
              </w:rPr>
              <w:t>加强对职工的安全教育，制定严格的工作守则和个人卫生措施，所有操作人员必须了解接触化学品的有害作用及对患者的急救措施，以保证生产的正常运行和员工的身体健康。</w:t>
            </w:r>
          </w:p>
          <w:p>
            <w:pPr>
              <w:keepNext w:val="0"/>
              <w:keepLines w:val="0"/>
              <w:pageBreakBefore w:val="0"/>
              <w:widowControl/>
              <w:shd w:val="clear" w:color="auto" w:fill="auto"/>
              <w:kinsoku/>
              <w:wordWrap/>
              <w:overflowPunct/>
              <w:topLinePunct w:val="0"/>
              <w:autoSpaceDE/>
              <w:autoSpaceDN/>
              <w:bidi w:val="0"/>
              <w:adjustRightInd w:val="0"/>
              <w:snapToGrid w:val="0"/>
              <w:spacing w:line="360" w:lineRule="auto"/>
              <w:ind w:leftChars="0" w:firstLine="480" w:firstLineChars="200"/>
              <w:textAlignment w:val="auto"/>
              <w:rPr>
                <w:i w:val="0"/>
                <w:iCs w:val="0"/>
                <w:color w:val="auto"/>
                <w:sz w:val="24"/>
                <w:szCs w:val="24"/>
              </w:rPr>
            </w:pPr>
            <w:r>
              <w:rPr>
                <w:rFonts w:hint="eastAsia"/>
                <w:i w:val="0"/>
                <w:iCs w:val="0"/>
                <w:color w:val="auto"/>
                <w:sz w:val="24"/>
                <w:szCs w:val="24"/>
              </w:rPr>
              <w:t>h</w:t>
            </w:r>
            <w:r>
              <w:rPr>
                <w:i w:val="0"/>
                <w:iCs w:val="0"/>
                <w:color w:val="auto"/>
                <w:sz w:val="24"/>
                <w:szCs w:val="24"/>
              </w:rPr>
              <w:t>事故发生时的行动计划应当制定一个当事故发生时的必须采取哪些行动的计划。这种行动计划应该得到地方紧急事故服务部门（例如消防、救护、交通以及公安等有关负责部门）的同意，并向他们提供有关有毒有害物质危害的资料，还需定期进行演习以检查行动计划的效果。</w:t>
            </w:r>
          </w:p>
          <w:p>
            <w:pPr>
              <w:keepNext w:val="0"/>
              <w:keepLines w:val="0"/>
              <w:pageBreakBefore w:val="0"/>
              <w:widowControl/>
              <w:shd w:val="clear" w:color="auto" w:fill="auto"/>
              <w:kinsoku/>
              <w:wordWrap/>
              <w:overflowPunct/>
              <w:topLinePunct w:val="0"/>
              <w:autoSpaceDE/>
              <w:autoSpaceDN/>
              <w:bidi w:val="0"/>
              <w:adjustRightInd w:val="0"/>
              <w:snapToGrid w:val="0"/>
              <w:spacing w:line="360" w:lineRule="auto"/>
              <w:ind w:leftChars="0" w:firstLine="480" w:firstLineChars="200"/>
              <w:textAlignment w:val="auto"/>
              <w:rPr>
                <w:rFonts w:hint="eastAsia"/>
                <w:b/>
                <w:i w:val="0"/>
                <w:iCs w:val="0"/>
                <w:color w:val="auto"/>
                <w:sz w:val="24"/>
                <w:szCs w:val="24"/>
              </w:rPr>
            </w:pPr>
            <w:r>
              <w:rPr>
                <w:rFonts w:hint="eastAsia" w:ascii="宋体" w:hAnsi="宋体" w:eastAsia="宋体" w:cs="宋体"/>
                <w:b/>
                <w:bCs/>
                <w:i w:val="0"/>
                <w:iCs w:val="0"/>
                <w:color w:val="auto"/>
                <w:sz w:val="24"/>
                <w:szCs w:val="24"/>
              </w:rPr>
              <w:t>③</w:t>
            </w:r>
            <w:r>
              <w:rPr>
                <w:rFonts w:hint="eastAsia"/>
                <w:b/>
                <w:i w:val="0"/>
                <w:iCs w:val="0"/>
                <w:color w:val="auto"/>
                <w:sz w:val="24"/>
                <w:szCs w:val="24"/>
              </w:rPr>
              <w:t>火灾爆炸事故</w:t>
            </w:r>
          </w:p>
          <w:p>
            <w:pPr>
              <w:keepNext w:val="0"/>
              <w:keepLines w:val="0"/>
              <w:pageBreakBefore w:val="0"/>
              <w:widowControl/>
              <w:shd w:val="clear" w:color="auto" w:fill="auto"/>
              <w:kinsoku/>
              <w:wordWrap/>
              <w:overflowPunct/>
              <w:topLinePunct w:val="0"/>
              <w:autoSpaceDE/>
              <w:autoSpaceDN/>
              <w:bidi w:val="0"/>
              <w:adjustRightInd w:val="0"/>
              <w:snapToGrid w:val="0"/>
              <w:spacing w:line="360" w:lineRule="auto"/>
              <w:ind w:leftChars="0" w:firstLine="480" w:firstLineChars="200"/>
              <w:textAlignment w:val="auto"/>
              <w:rPr>
                <w:i w:val="0"/>
                <w:iCs w:val="0"/>
                <w:color w:val="auto"/>
                <w:sz w:val="24"/>
              </w:rPr>
            </w:pPr>
            <w:r>
              <w:rPr>
                <w:rFonts w:hint="eastAsia"/>
                <w:color w:val="auto"/>
                <w:sz w:val="24"/>
                <w:lang w:val="en-US" w:eastAsia="zh-CN"/>
              </w:rPr>
              <w:t>粉尘与空气混合达到一定比例时，遇明火，发生粉尘爆炸</w:t>
            </w:r>
            <w:r>
              <w:rPr>
                <w:rFonts w:hint="eastAsia"/>
                <w:i w:val="0"/>
                <w:iCs w:val="0"/>
                <w:color w:val="auto"/>
                <w:sz w:val="24"/>
                <w:szCs w:val="24"/>
              </w:rPr>
              <w:t>。因此建设单位应当做好防范措施。</w:t>
            </w:r>
            <w:r>
              <w:rPr>
                <w:i w:val="0"/>
                <w:iCs w:val="0"/>
                <w:color w:val="auto"/>
                <w:sz w:val="24"/>
              </w:rPr>
              <w:t>为减少事故的发生和影响建设单位应采取以下措施。</w:t>
            </w:r>
          </w:p>
          <w:p>
            <w:pPr>
              <w:keepNext w:val="0"/>
              <w:keepLines w:val="0"/>
              <w:pageBreakBefore w:val="0"/>
              <w:widowControl/>
              <w:shd w:val="clear" w:color="auto" w:fill="auto"/>
              <w:kinsoku/>
              <w:wordWrap/>
              <w:overflowPunct/>
              <w:topLinePunct w:val="0"/>
              <w:autoSpaceDE/>
              <w:autoSpaceDN/>
              <w:bidi w:val="0"/>
              <w:adjustRightInd w:val="0"/>
              <w:snapToGrid w:val="0"/>
              <w:spacing w:line="360" w:lineRule="auto"/>
              <w:ind w:leftChars="0" w:firstLine="480" w:firstLineChars="200"/>
              <w:textAlignment w:val="auto"/>
              <w:rPr>
                <w:i w:val="0"/>
                <w:iCs w:val="0"/>
                <w:color w:val="auto"/>
                <w:sz w:val="24"/>
                <w:szCs w:val="21"/>
              </w:rPr>
            </w:pPr>
            <w:r>
              <w:rPr>
                <w:i w:val="0"/>
                <w:iCs w:val="0"/>
                <w:color w:val="auto"/>
                <w:sz w:val="24"/>
                <w:szCs w:val="21"/>
              </w:rPr>
              <w:t>企业需建立健全安全操作规程及值勤制度，设置通讯、报警装置，并确保其处于完好状态；</w:t>
            </w:r>
            <w:r>
              <w:rPr>
                <w:rFonts w:hint="eastAsia"/>
                <w:i w:val="0"/>
                <w:iCs w:val="0"/>
                <w:color w:val="auto"/>
                <w:sz w:val="24"/>
                <w:szCs w:val="21"/>
              </w:rPr>
              <w:t>厂区</w:t>
            </w:r>
            <w:r>
              <w:rPr>
                <w:i w:val="0"/>
                <w:iCs w:val="0"/>
                <w:color w:val="auto"/>
                <w:sz w:val="24"/>
                <w:szCs w:val="21"/>
              </w:rPr>
              <w:t>配置合格的消防器材，并确保其处于完好状态。</w:t>
            </w:r>
          </w:p>
          <w:p>
            <w:pPr>
              <w:keepNext w:val="0"/>
              <w:keepLines w:val="0"/>
              <w:pageBreakBefore w:val="0"/>
              <w:widowControl/>
              <w:shd w:val="clear" w:color="auto" w:fill="auto"/>
              <w:kinsoku/>
              <w:wordWrap/>
              <w:overflowPunct/>
              <w:topLinePunct w:val="0"/>
              <w:autoSpaceDE/>
              <w:autoSpaceDN/>
              <w:bidi w:val="0"/>
              <w:adjustRightInd w:val="0"/>
              <w:snapToGrid w:val="0"/>
              <w:spacing w:line="360" w:lineRule="auto"/>
              <w:ind w:leftChars="0" w:firstLine="480" w:firstLineChars="200"/>
              <w:textAlignment w:val="auto"/>
              <w:rPr>
                <w:rFonts w:hint="eastAsia"/>
                <w:i w:val="0"/>
                <w:iCs w:val="0"/>
                <w:color w:val="auto"/>
                <w:sz w:val="24"/>
                <w:szCs w:val="21"/>
              </w:rPr>
            </w:pPr>
            <w:r>
              <w:rPr>
                <w:rFonts w:hint="eastAsia"/>
                <w:i w:val="0"/>
                <w:iCs w:val="0"/>
                <w:color w:val="auto"/>
                <w:sz w:val="24"/>
                <w:szCs w:val="21"/>
              </w:rPr>
              <w:t>加强火源的管理，严禁烟火带入，对设备需进行维修焊接，应经安全部门确认、准许，并有记录。机动车在厂内行驶，须安装阻火器，必要设备安装防火、防爆装置。</w:t>
            </w:r>
          </w:p>
          <w:p>
            <w:pPr>
              <w:keepNext w:val="0"/>
              <w:keepLines w:val="0"/>
              <w:pageBreakBefore w:val="0"/>
              <w:widowControl/>
              <w:shd w:val="clear" w:color="auto" w:fill="auto"/>
              <w:kinsoku/>
              <w:wordWrap/>
              <w:overflowPunct/>
              <w:topLinePunct w:val="0"/>
              <w:autoSpaceDE/>
              <w:autoSpaceDN/>
              <w:bidi w:val="0"/>
              <w:adjustRightInd w:val="0"/>
              <w:snapToGrid w:val="0"/>
              <w:spacing w:line="360" w:lineRule="auto"/>
              <w:ind w:leftChars="0" w:firstLine="480" w:firstLineChars="200"/>
              <w:textAlignment w:val="auto"/>
              <w:rPr>
                <w:rFonts w:hint="eastAsia"/>
                <w:i w:val="0"/>
                <w:iCs w:val="0"/>
                <w:color w:val="auto"/>
                <w:sz w:val="24"/>
                <w:szCs w:val="21"/>
              </w:rPr>
            </w:pPr>
            <w:r>
              <w:rPr>
                <w:rFonts w:hint="eastAsia"/>
                <w:i w:val="0"/>
                <w:iCs w:val="0"/>
                <w:color w:val="auto"/>
                <w:sz w:val="24"/>
                <w:szCs w:val="21"/>
              </w:rPr>
              <w:t>厂区设置一套火灾报警系统，该系统由火灾报警控制器、感烟探测器、感温探测器、手动报警按钮及声光报警器等组成。当本工程各装置区内发生火灾时，以便控制室的工作人员对火灾现场情况做相应的处理。</w:t>
            </w:r>
          </w:p>
          <w:p>
            <w:pPr>
              <w:keepNext w:val="0"/>
              <w:keepLines w:val="0"/>
              <w:pageBreakBefore w:val="0"/>
              <w:widowControl/>
              <w:shd w:val="clear" w:color="auto" w:fill="auto"/>
              <w:kinsoku/>
              <w:wordWrap/>
              <w:overflowPunct/>
              <w:topLinePunct w:val="0"/>
              <w:autoSpaceDE/>
              <w:autoSpaceDN/>
              <w:bidi w:val="0"/>
              <w:adjustRightInd w:val="0"/>
              <w:snapToGrid w:val="0"/>
              <w:spacing w:line="360" w:lineRule="auto"/>
              <w:ind w:leftChars="0" w:firstLine="480" w:firstLineChars="200"/>
              <w:textAlignment w:val="auto"/>
              <w:rPr>
                <w:rFonts w:hint="eastAsia"/>
                <w:i w:val="0"/>
                <w:iCs w:val="0"/>
                <w:color w:val="auto"/>
                <w:sz w:val="24"/>
                <w:szCs w:val="21"/>
              </w:rPr>
            </w:pPr>
            <w:r>
              <w:rPr>
                <w:rFonts w:hint="eastAsia"/>
                <w:i w:val="0"/>
                <w:iCs w:val="0"/>
                <w:color w:val="auto"/>
                <w:sz w:val="24"/>
                <w:szCs w:val="21"/>
              </w:rPr>
              <w:t>设备的安全管理：定期对设备进行安全检测，检测内容、时间、人员应有记录保存。安全检测应根据设备的安全性、危险性设定检测频次。</w:t>
            </w:r>
          </w:p>
          <w:p>
            <w:pPr>
              <w:pStyle w:val="2"/>
              <w:numPr>
                <w:ilvl w:val="0"/>
                <w:numId w:val="9"/>
              </w:numPr>
              <w:spacing w:after="0" w:line="360" w:lineRule="auto"/>
              <w:ind w:firstLine="480" w:firstLineChars="200"/>
              <w:rPr>
                <w:b/>
                <w:i w:val="0"/>
                <w:iCs w:val="0"/>
                <w:color w:val="auto"/>
                <w:sz w:val="24"/>
              </w:rPr>
            </w:pPr>
            <w:r>
              <w:rPr>
                <w:b/>
                <w:i w:val="0"/>
                <w:iCs w:val="0"/>
                <w:color w:val="auto"/>
                <w:sz w:val="24"/>
              </w:rPr>
              <w:t>突发事故对策和应急预案</w:t>
            </w:r>
          </w:p>
          <w:p>
            <w:pPr>
              <w:pStyle w:val="2"/>
              <w:numPr>
                <w:ilvl w:val="0"/>
                <w:numId w:val="0"/>
              </w:numPr>
              <w:spacing w:after="0" w:line="360" w:lineRule="auto"/>
              <w:ind w:firstLine="480" w:firstLineChars="200"/>
              <w:rPr>
                <w:i w:val="0"/>
                <w:iCs w:val="0"/>
                <w:color w:val="auto"/>
                <w:sz w:val="24"/>
              </w:rPr>
            </w:pPr>
            <w:r>
              <w:rPr>
                <w:i w:val="0"/>
                <w:iCs w:val="0"/>
                <w:color w:val="auto"/>
                <w:sz w:val="24"/>
              </w:rPr>
              <w:t>当发生火灾爆炸等事故后，由公司应急救援领导小组根据事故情况，对事故的影响和危害性进行判断，若为一般事故，只需启动一级应急救援相关程序，由现场值班的专职、兼职消防人员以及操作人员组成一级应急队伍，开展抢险救援行动。若事故规模较大、危害较严重，应急救援领导小组应迅速成立现场应急救援指挥部，由公司经理以及专业人员组成，并根据事故现场抢险救援的需要，在专职和兼职应急救援人员的基础上，组建各抢险救援、医疗救护、警戒、通讯、信息发布等专业队伍，全面投入应急救援行动中。</w:t>
            </w:r>
          </w:p>
          <w:p>
            <w:pPr>
              <w:pStyle w:val="2"/>
              <w:numPr>
                <w:ilvl w:val="0"/>
                <w:numId w:val="0"/>
              </w:numPr>
              <w:spacing w:after="0" w:line="360" w:lineRule="auto"/>
              <w:ind w:firstLine="480" w:firstLineChars="200"/>
              <w:rPr>
                <w:i w:val="0"/>
                <w:iCs w:val="0"/>
                <w:color w:val="auto"/>
                <w:sz w:val="24"/>
              </w:rPr>
            </w:pPr>
            <w:r>
              <w:rPr>
                <w:i w:val="0"/>
                <w:iCs w:val="0"/>
                <w:color w:val="auto"/>
                <w:sz w:val="24"/>
              </w:rPr>
              <w:t>公司应根据下表的详细要求制定突发事故对策和应急预案，一旦出现突发事故，必须按事先拟定的方案进行紧急处理。应急对策和预案的内容及要求如下表：</w:t>
            </w:r>
          </w:p>
          <w:p>
            <w:pPr>
              <w:ind w:left="63" w:leftChars="30" w:right="63" w:rightChars="30"/>
              <w:jc w:val="center"/>
              <w:rPr>
                <w:b/>
                <w:i w:val="0"/>
                <w:iCs w:val="0"/>
                <w:color w:val="auto"/>
                <w:sz w:val="24"/>
                <w:szCs w:val="24"/>
              </w:rPr>
            </w:pPr>
            <w:r>
              <w:rPr>
                <w:b/>
                <w:i w:val="0"/>
                <w:iCs w:val="0"/>
                <w:color w:val="auto"/>
                <w:sz w:val="24"/>
                <w:szCs w:val="24"/>
              </w:rPr>
              <w:t>表7-2</w:t>
            </w:r>
            <w:r>
              <w:rPr>
                <w:rFonts w:hint="eastAsia"/>
                <w:b/>
                <w:i w:val="0"/>
                <w:iCs w:val="0"/>
                <w:color w:val="auto"/>
                <w:sz w:val="24"/>
                <w:szCs w:val="24"/>
                <w:lang w:val="en-US" w:eastAsia="zh-CN"/>
              </w:rPr>
              <w:t>8</w:t>
            </w:r>
            <w:r>
              <w:rPr>
                <w:b/>
                <w:i w:val="0"/>
                <w:iCs w:val="0"/>
                <w:color w:val="auto"/>
                <w:sz w:val="24"/>
                <w:szCs w:val="24"/>
              </w:rPr>
              <w:t xml:space="preserve"> 应急预案内容</w:t>
            </w:r>
          </w:p>
          <w:tbl>
            <w:tblPr>
              <w:tblStyle w:val="17"/>
              <w:tblW w:w="8312" w:type="dxa"/>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108" w:type="dxa"/>
                <w:bottom w:w="0" w:type="dxa"/>
                <w:right w:w="108" w:type="dxa"/>
              </w:tblCellMar>
            </w:tblPr>
            <w:tblGrid>
              <w:gridCol w:w="781"/>
              <w:gridCol w:w="2922"/>
              <w:gridCol w:w="4609"/>
            </w:tblGrid>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69" w:hRule="atLeast"/>
                <w:jc w:val="center"/>
              </w:trPr>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b/>
                      <w:bCs/>
                      <w:i w:val="0"/>
                      <w:iCs w:val="0"/>
                      <w:color w:val="auto"/>
                      <w:szCs w:val="21"/>
                    </w:rPr>
                  </w:pPr>
                  <w:r>
                    <w:rPr>
                      <w:b/>
                      <w:bCs/>
                      <w:i w:val="0"/>
                      <w:iCs w:val="0"/>
                      <w:color w:val="auto"/>
                      <w:szCs w:val="21"/>
                    </w:rPr>
                    <w:t>序号</w:t>
                  </w:r>
                </w:p>
              </w:tc>
              <w:tc>
                <w:tcPr>
                  <w:tcW w:w="292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b/>
                      <w:bCs/>
                      <w:i w:val="0"/>
                      <w:iCs w:val="0"/>
                      <w:color w:val="auto"/>
                      <w:szCs w:val="21"/>
                    </w:rPr>
                  </w:pPr>
                  <w:r>
                    <w:rPr>
                      <w:b/>
                      <w:bCs/>
                      <w:i w:val="0"/>
                      <w:iCs w:val="0"/>
                      <w:color w:val="auto"/>
                      <w:szCs w:val="21"/>
                    </w:rPr>
                    <w:t>项目</w:t>
                  </w:r>
                </w:p>
              </w:tc>
              <w:tc>
                <w:tcPr>
                  <w:tcW w:w="46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b/>
                      <w:bCs/>
                      <w:i w:val="0"/>
                      <w:iCs w:val="0"/>
                      <w:color w:val="auto"/>
                      <w:szCs w:val="21"/>
                    </w:rPr>
                  </w:pPr>
                  <w:r>
                    <w:rPr>
                      <w:b/>
                      <w:bCs/>
                      <w:i w:val="0"/>
                      <w:iCs w:val="0"/>
                      <w:color w:val="auto"/>
                      <w:szCs w:val="21"/>
                    </w:rPr>
                    <w:t>内容及要求</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69" w:hRule="atLeast"/>
                <w:jc w:val="center"/>
              </w:trPr>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1</w:t>
                  </w:r>
                </w:p>
              </w:tc>
              <w:tc>
                <w:tcPr>
                  <w:tcW w:w="292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应急计划区</w:t>
                  </w:r>
                </w:p>
              </w:tc>
              <w:tc>
                <w:tcPr>
                  <w:tcW w:w="46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危险目标：生产区、贮存区、环境保护目标等</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69" w:hRule="atLeast"/>
                <w:jc w:val="center"/>
              </w:trPr>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2</w:t>
                  </w:r>
                </w:p>
              </w:tc>
              <w:tc>
                <w:tcPr>
                  <w:tcW w:w="292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应急组织机构、人员</w:t>
                  </w:r>
                </w:p>
              </w:tc>
              <w:tc>
                <w:tcPr>
                  <w:tcW w:w="46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工厂、地区应急组织机构、人员</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69" w:hRule="atLeast"/>
                <w:jc w:val="center"/>
              </w:trPr>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3</w:t>
                  </w:r>
                </w:p>
              </w:tc>
              <w:tc>
                <w:tcPr>
                  <w:tcW w:w="292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预案分级响应条件</w:t>
                  </w:r>
                </w:p>
              </w:tc>
              <w:tc>
                <w:tcPr>
                  <w:tcW w:w="46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规定预案的级别及分级响应程序</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69" w:hRule="atLeast"/>
                <w:jc w:val="center"/>
              </w:trPr>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4</w:t>
                  </w:r>
                </w:p>
              </w:tc>
              <w:tc>
                <w:tcPr>
                  <w:tcW w:w="292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应急救援保障</w:t>
                  </w:r>
                </w:p>
              </w:tc>
              <w:tc>
                <w:tcPr>
                  <w:tcW w:w="46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应急设施，设备与器材等</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69" w:hRule="atLeast"/>
                <w:jc w:val="center"/>
              </w:trPr>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5</w:t>
                  </w:r>
                </w:p>
              </w:tc>
              <w:tc>
                <w:tcPr>
                  <w:tcW w:w="292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报警、通讯联络方式</w:t>
                  </w:r>
                </w:p>
              </w:tc>
              <w:tc>
                <w:tcPr>
                  <w:tcW w:w="46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规定应急状态下的报警通讯方式、通知方式和交通保障、管制</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69" w:hRule="atLeast"/>
                <w:jc w:val="center"/>
              </w:trPr>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rFonts w:hint="eastAsia"/>
                      <w:i w:val="0"/>
                      <w:iCs w:val="0"/>
                      <w:color w:val="auto"/>
                      <w:szCs w:val="21"/>
                    </w:rPr>
                    <w:t>6</w:t>
                  </w:r>
                </w:p>
              </w:tc>
              <w:tc>
                <w:tcPr>
                  <w:tcW w:w="292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应急检测、防护措施、器材</w:t>
                  </w:r>
                </w:p>
              </w:tc>
              <w:tc>
                <w:tcPr>
                  <w:tcW w:w="4609" w:type="dxa"/>
                  <w:noWrap w:val="0"/>
                  <w:vAlign w:val="center"/>
                </w:tcPr>
                <w:p>
                  <w:pPr>
                    <w:pStyle w:val="51"/>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事故现场、邻近区域、控制防火区域，控制和清除污染措施及相应设备</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69" w:hRule="atLeast"/>
                <w:jc w:val="center"/>
              </w:trPr>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7</w:t>
                  </w:r>
                </w:p>
              </w:tc>
              <w:tc>
                <w:tcPr>
                  <w:tcW w:w="292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人员紧急撤离、疏散，应急剂量控制、撤离组织计划</w:t>
                  </w:r>
                </w:p>
              </w:tc>
              <w:tc>
                <w:tcPr>
                  <w:tcW w:w="46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事故现场、工厂邻近区、受事故影响的区域人员及公众对毒物应急剂量控制规定，撤离组织计划及救护，医疗救护与公众健康</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69" w:hRule="atLeast"/>
                <w:jc w:val="center"/>
              </w:trPr>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8</w:t>
                  </w:r>
                </w:p>
              </w:tc>
              <w:tc>
                <w:tcPr>
                  <w:tcW w:w="292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事故应急救援关闭程序与恢复措施</w:t>
                  </w:r>
                </w:p>
              </w:tc>
              <w:tc>
                <w:tcPr>
                  <w:tcW w:w="46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规定应急状态终止程序</w:t>
                  </w:r>
                </w:p>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事故现场善后处理，恢复措施</w:t>
                  </w:r>
                </w:p>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邻近区域解除事故警戒及善后恢复措施</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369" w:hRule="atLeast"/>
                <w:jc w:val="center"/>
              </w:trPr>
              <w:tc>
                <w:tcPr>
                  <w:tcW w:w="781"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9</w:t>
                  </w:r>
                </w:p>
              </w:tc>
              <w:tc>
                <w:tcPr>
                  <w:tcW w:w="2922"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应急培训计划</w:t>
                  </w:r>
                </w:p>
              </w:tc>
              <w:tc>
                <w:tcPr>
                  <w:tcW w:w="4609"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i w:val="0"/>
                      <w:iCs w:val="0"/>
                      <w:color w:val="auto"/>
                      <w:szCs w:val="21"/>
                    </w:rPr>
                  </w:pPr>
                  <w:r>
                    <w:rPr>
                      <w:i w:val="0"/>
                      <w:iCs w:val="0"/>
                      <w:color w:val="auto"/>
                      <w:szCs w:val="21"/>
                    </w:rPr>
                    <w:t>应急计划制定后，平时安排人员培训与演练</w:t>
                  </w:r>
                </w:p>
              </w:tc>
            </w:tr>
          </w:tbl>
          <w:p>
            <w:pPr>
              <w:keepNext w:val="0"/>
              <w:keepLines w:val="0"/>
              <w:pageBreakBefore w:val="0"/>
              <w:widowControl w:val="0"/>
              <w:kinsoku/>
              <w:wordWrap/>
              <w:overflowPunct/>
              <w:topLinePunct w:val="0"/>
              <w:autoSpaceDE/>
              <w:autoSpaceDN/>
              <w:bidi w:val="0"/>
              <w:adjustRightInd w:val="0"/>
              <w:snapToGrid w:val="0"/>
              <w:spacing w:before="157" w:beforeLines="50" w:line="360" w:lineRule="auto"/>
              <w:ind w:firstLine="480" w:firstLineChars="200"/>
              <w:textAlignment w:val="auto"/>
              <w:rPr>
                <w:sz w:val="24"/>
              </w:rPr>
            </w:pPr>
            <w:r>
              <w:rPr>
                <w:sz w:val="24"/>
              </w:rPr>
              <w:t>本项目总图布置符合《建筑设计防火规范》(2006版)GB50016-2006的有关规定。根据现场勘査结果，本项目生产车间切实做到通风、防晒、防火、防爆，并按照国家标准和国家有关规定进行维护、保养，保证符合安全运行要求。该项目设置了基本的消防及火灾报警系统。</w:t>
            </w:r>
          </w:p>
          <w:p>
            <w:pPr>
              <w:adjustRightInd w:val="0"/>
              <w:snapToGrid w:val="0"/>
              <w:spacing w:line="360" w:lineRule="auto"/>
              <w:ind w:firstLine="480" w:firstLineChars="200"/>
              <w:rPr>
                <w:color w:val="000000" w:themeColor="text1"/>
                <w14:textFill>
                  <w14:solidFill>
                    <w14:schemeClr w14:val="tx1"/>
                  </w14:solidFill>
                </w14:textFill>
              </w:rPr>
            </w:pPr>
            <w:r>
              <w:rPr>
                <w:sz w:val="24"/>
              </w:rPr>
              <w:t>建议建设单位应采用严格的国际通用的安全防范体系，完善现有的管理规程、作业规章和应急计划，预警和应急裝置，在出现预警情况时能及时处理，消除事故隐患，发生事故时有相应的安全应急措施，企业内部制定严格的管理条例和岗位责任制，加强职工的安全生产教育，提高风险意识。通过上述风险控制对策，本项目可最大限度地降低环境风险，一旦意外事件发生，也能最大限度地减少环境污染危害和人民生命财产的损失。</w:t>
            </w:r>
          </w:p>
          <w:p>
            <w:pPr>
              <w:spacing w:line="360" w:lineRule="auto"/>
              <w:ind w:firstLine="480" w:firstLineChars="200"/>
              <w:rPr>
                <w:color w:val="000000" w:themeColor="text1"/>
                <w:sz w:val="24"/>
                <w14:textFill>
                  <w14:solidFill>
                    <w14:schemeClr w14:val="tx1"/>
                  </w14:solidFill>
                </w14:textFill>
              </w:rPr>
            </w:pPr>
          </w:p>
        </w:tc>
      </w:tr>
    </w:tbl>
    <w:p>
      <w:pPr>
        <w:spacing w:before="120"/>
        <w:outlineLvl w:val="0"/>
        <w:rPr>
          <w:b/>
          <w:sz w:val="28"/>
          <w:szCs w:val="28"/>
        </w:rPr>
      </w:pPr>
      <w:r>
        <w:rPr>
          <w:b/>
          <w:sz w:val="28"/>
          <w:szCs w:val="28"/>
        </w:rPr>
        <w:t>环境管理与监测计划</w:t>
      </w:r>
    </w:p>
    <w:tbl>
      <w:tblPr>
        <w:tblStyle w:val="17"/>
        <w:tblW w:w="0" w:type="auto"/>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12" w:space="0"/>
        </w:tblBorders>
        <w:tblLayout w:type="fixed"/>
        <w:tblCellMar>
          <w:top w:w="0" w:type="dxa"/>
          <w:left w:w="108" w:type="dxa"/>
          <w:bottom w:w="0" w:type="dxa"/>
          <w:right w:w="108" w:type="dxa"/>
        </w:tblCellMar>
      </w:tblPr>
      <w:tblGrid>
        <w:gridCol w:w="8689"/>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12" w:space="0"/>
          </w:tblBorders>
          <w:tblCellMar>
            <w:top w:w="0" w:type="dxa"/>
            <w:left w:w="108" w:type="dxa"/>
            <w:bottom w:w="0" w:type="dxa"/>
            <w:right w:w="108" w:type="dxa"/>
          </w:tblCellMar>
        </w:tblPrEx>
        <w:trPr>
          <w:trHeight w:val="13153" w:hRule="atLeast"/>
        </w:trPr>
        <w:tc>
          <w:tcPr>
            <w:tcW w:w="8689" w:type="dxa"/>
          </w:tcPr>
          <w:p>
            <w:pPr>
              <w:adjustRightInd w:val="0"/>
              <w:snapToGrid w:val="0"/>
              <w:spacing w:line="500" w:lineRule="exact"/>
              <w:jc w:val="left"/>
              <w:rPr>
                <w:b/>
                <w:sz w:val="24"/>
                <w:szCs w:val="24"/>
              </w:rPr>
            </w:pPr>
            <w:r>
              <w:rPr>
                <w:b/>
                <w:sz w:val="24"/>
                <w:szCs w:val="24"/>
              </w:rPr>
              <w:t>环境管理</w:t>
            </w:r>
          </w:p>
          <w:p>
            <w:pPr>
              <w:pStyle w:val="46"/>
              <w:spacing w:before="78" w:after="78"/>
              <w:ind w:firstLine="480" w:firstLineChars="200"/>
              <w:jc w:val="both"/>
              <w:rPr>
                <w:b w:val="0"/>
              </w:rPr>
            </w:pPr>
            <w:r>
              <w:rPr>
                <w:b w:val="0"/>
              </w:rPr>
              <w:t>1、环境管理机构人员职责</w:t>
            </w:r>
          </w:p>
          <w:p>
            <w:pPr>
              <w:pStyle w:val="46"/>
              <w:spacing w:before="78" w:after="78"/>
              <w:ind w:firstLine="480" w:firstLineChars="200"/>
              <w:jc w:val="both"/>
              <w:rPr>
                <w:b w:val="0"/>
                <w:bCs w:val="0"/>
              </w:rPr>
            </w:pPr>
            <w:r>
              <w:rPr>
                <w:b w:val="0"/>
                <w:bCs w:val="0"/>
              </w:rPr>
              <w:t>根据国家相关法律法规，拟建项目投入运营后设置环保机构，负责运营期环境管理，并设置专职负责人一名。</w:t>
            </w:r>
          </w:p>
          <w:p>
            <w:pPr>
              <w:pStyle w:val="46"/>
              <w:spacing w:before="78" w:after="78"/>
              <w:ind w:firstLine="480" w:firstLineChars="200"/>
              <w:jc w:val="both"/>
              <w:rPr>
                <w:b w:val="0"/>
                <w:bCs w:val="0"/>
              </w:rPr>
            </w:pPr>
            <w:r>
              <w:rPr>
                <w:b w:val="0"/>
                <w:bCs w:val="0"/>
              </w:rPr>
              <w:t>建设单位配备1名具有环保专业知识的工程技术人员专职或兼职负责环境保护管理工作，其主要职责是：</w:t>
            </w:r>
          </w:p>
          <w:p>
            <w:pPr>
              <w:pStyle w:val="46"/>
              <w:spacing w:before="78" w:after="78"/>
              <w:ind w:firstLine="480" w:firstLineChars="200"/>
              <w:jc w:val="both"/>
              <w:rPr>
                <w:b w:val="0"/>
                <w:bCs w:val="0"/>
              </w:rPr>
            </w:pPr>
            <w:r>
              <w:rPr>
                <w:b w:val="0"/>
                <w:bCs w:val="0"/>
              </w:rPr>
              <w:t>①对工程范围内的环境保护工作实行统一监督管理，贯彻执行国家和地方的有关环保法规和标准；</w:t>
            </w:r>
          </w:p>
          <w:p>
            <w:pPr>
              <w:pStyle w:val="46"/>
              <w:spacing w:before="78" w:after="78"/>
              <w:ind w:firstLine="480" w:firstLineChars="200"/>
              <w:jc w:val="both"/>
              <w:rPr>
                <w:b w:val="0"/>
                <w:bCs w:val="0"/>
              </w:rPr>
            </w:pPr>
            <w:r>
              <w:rPr>
                <w:b w:val="0"/>
                <w:bCs w:val="0"/>
              </w:rPr>
              <w:t>②建立各种管理制度，并经常检查督促；</w:t>
            </w:r>
          </w:p>
          <w:p>
            <w:pPr>
              <w:pStyle w:val="46"/>
              <w:spacing w:before="78" w:after="78"/>
              <w:ind w:firstLine="480" w:firstLineChars="200"/>
              <w:jc w:val="both"/>
              <w:rPr>
                <w:b w:val="0"/>
                <w:bCs w:val="0"/>
              </w:rPr>
            </w:pPr>
            <w:r>
              <w:rPr>
                <w:b w:val="0"/>
                <w:bCs w:val="0"/>
              </w:rPr>
              <w:t>③编制环境保护规划和计划；</w:t>
            </w:r>
          </w:p>
          <w:p>
            <w:pPr>
              <w:pStyle w:val="46"/>
              <w:spacing w:before="78" w:after="78"/>
              <w:ind w:firstLine="480" w:firstLineChars="200"/>
              <w:jc w:val="both"/>
              <w:rPr>
                <w:b w:val="0"/>
                <w:bCs w:val="0"/>
              </w:rPr>
            </w:pPr>
            <w:r>
              <w:rPr>
                <w:b w:val="0"/>
                <w:bCs w:val="0"/>
              </w:rPr>
              <w:t>④搞好环境教育，提高工作人员的素质；</w:t>
            </w:r>
          </w:p>
          <w:p>
            <w:pPr>
              <w:pStyle w:val="46"/>
              <w:spacing w:before="78" w:after="78"/>
              <w:ind w:firstLine="480" w:firstLineChars="200"/>
              <w:jc w:val="both"/>
              <w:rPr>
                <w:b w:val="0"/>
                <w:bCs w:val="0"/>
              </w:rPr>
            </w:pPr>
            <w:r>
              <w:rPr>
                <w:b w:val="0"/>
                <w:bCs w:val="0"/>
              </w:rPr>
              <w:t>⑤控制污染物排放，维护环保设施正常运转；</w:t>
            </w:r>
          </w:p>
          <w:p>
            <w:pPr>
              <w:pStyle w:val="46"/>
              <w:spacing w:before="78" w:after="78"/>
              <w:ind w:firstLine="480" w:firstLineChars="200"/>
              <w:jc w:val="both"/>
              <w:rPr>
                <w:b w:val="0"/>
                <w:bCs w:val="0"/>
              </w:rPr>
            </w:pPr>
            <w:r>
              <w:rPr>
                <w:b w:val="0"/>
                <w:bCs w:val="0"/>
              </w:rPr>
              <w:t>⑥协同环保部门解答和处理公众提出的意见和问题等；</w:t>
            </w:r>
          </w:p>
          <w:p>
            <w:pPr>
              <w:pStyle w:val="46"/>
              <w:spacing w:before="78" w:after="78"/>
              <w:ind w:firstLine="480" w:firstLineChars="200"/>
              <w:jc w:val="both"/>
              <w:rPr>
                <w:b w:val="0"/>
                <w:bCs w:val="0"/>
              </w:rPr>
            </w:pPr>
            <w:r>
              <w:rPr>
                <w:b w:val="0"/>
                <w:bCs w:val="0"/>
              </w:rPr>
              <w:t>⑦与政府环境保护机构密切配合，接受各级政府环境保护机构的检查与指导；</w:t>
            </w:r>
          </w:p>
          <w:p>
            <w:pPr>
              <w:pStyle w:val="46"/>
              <w:spacing w:before="78" w:after="78"/>
              <w:ind w:firstLine="480" w:firstLineChars="200"/>
              <w:jc w:val="both"/>
              <w:rPr>
                <w:b w:val="0"/>
                <w:bCs w:val="0"/>
              </w:rPr>
            </w:pPr>
            <w:r>
              <w:rPr>
                <w:b w:val="0"/>
                <w:bCs w:val="0"/>
              </w:rPr>
              <w:t>⑧监督建设单位执行</w:t>
            </w:r>
            <w:r>
              <w:rPr>
                <w:rFonts w:hint="eastAsia"/>
                <w:b w:val="0"/>
                <w:bCs w:val="0"/>
                <w:lang w:eastAsia="zh-CN"/>
              </w:rPr>
              <w:t>“</w:t>
            </w:r>
            <w:r>
              <w:rPr>
                <w:b w:val="0"/>
                <w:bCs w:val="0"/>
              </w:rPr>
              <w:t>三同时</w:t>
            </w:r>
            <w:r>
              <w:rPr>
                <w:rFonts w:hint="eastAsia"/>
                <w:b w:val="0"/>
                <w:bCs w:val="0"/>
                <w:lang w:eastAsia="zh-CN"/>
              </w:rPr>
              <w:t>”</w:t>
            </w:r>
            <w:r>
              <w:rPr>
                <w:b w:val="0"/>
                <w:bCs w:val="0"/>
              </w:rPr>
              <w:t>规定的情况，使环境保护工程与主体工程同时设计、同时施工、同时投产，以确保有效的控制污染；</w:t>
            </w:r>
          </w:p>
          <w:p>
            <w:pPr>
              <w:pStyle w:val="46"/>
              <w:spacing w:before="78" w:after="78"/>
              <w:ind w:firstLine="480" w:firstLineChars="200"/>
              <w:jc w:val="both"/>
              <w:rPr>
                <w:b w:val="0"/>
                <w:bCs w:val="0"/>
              </w:rPr>
            </w:pPr>
            <w:r>
              <w:rPr>
                <w:b w:val="0"/>
                <w:bCs w:val="0"/>
              </w:rPr>
              <w:t>⑨做好考核与环境统计工作。</w:t>
            </w:r>
          </w:p>
          <w:p>
            <w:pPr>
              <w:pStyle w:val="46"/>
              <w:spacing w:before="78" w:after="78"/>
              <w:ind w:firstLine="480" w:firstLineChars="200"/>
              <w:jc w:val="both"/>
              <w:rPr>
                <w:b w:val="0"/>
              </w:rPr>
            </w:pPr>
            <w:r>
              <w:rPr>
                <w:b w:val="0"/>
              </w:rPr>
              <w:t>2、排污口规范化</w:t>
            </w:r>
          </w:p>
          <w:p>
            <w:pPr>
              <w:pStyle w:val="46"/>
              <w:spacing w:before="78" w:after="78"/>
              <w:ind w:firstLine="480" w:firstLineChars="200"/>
              <w:jc w:val="both"/>
              <w:rPr>
                <w:b w:val="0"/>
                <w:bCs w:val="0"/>
              </w:rPr>
            </w:pPr>
            <w:r>
              <w:rPr>
                <w:b w:val="0"/>
                <w:bCs w:val="0"/>
              </w:rPr>
              <w:t>项目投入运营后，建设单位需依据《排污口规范化政治技术要求（试行）》（环监</w:t>
            </w:r>
            <w:r>
              <w:rPr>
                <w:rFonts w:hint="eastAsia"/>
                <w:b w:val="0"/>
                <w:bCs w:val="0"/>
                <w:lang w:eastAsia="zh-CN"/>
              </w:rPr>
              <w:t>〔</w:t>
            </w:r>
            <w:r>
              <w:rPr>
                <w:b w:val="0"/>
                <w:bCs w:val="0"/>
              </w:rPr>
              <w:t>1996</w:t>
            </w:r>
            <w:r>
              <w:rPr>
                <w:rFonts w:hint="eastAsia"/>
                <w:b w:val="0"/>
                <w:bCs w:val="0"/>
                <w:lang w:eastAsia="zh-CN"/>
              </w:rPr>
              <w:t>〕</w:t>
            </w:r>
            <w:r>
              <w:rPr>
                <w:b w:val="0"/>
                <w:bCs w:val="0"/>
              </w:rPr>
              <w:t>470号）相关要求设置规范化排污口。</w:t>
            </w:r>
          </w:p>
          <w:p>
            <w:pPr>
              <w:pStyle w:val="46"/>
              <w:spacing w:before="78" w:after="78"/>
              <w:ind w:firstLine="480" w:firstLineChars="200"/>
              <w:jc w:val="both"/>
              <w:rPr>
                <w:b w:val="0"/>
                <w:bCs w:val="0"/>
              </w:rPr>
            </w:pPr>
            <w:r>
              <w:rPr>
                <w:b w:val="0"/>
                <w:bCs w:val="0"/>
              </w:rPr>
              <w:t>（1）排污口立标要求</w:t>
            </w:r>
          </w:p>
          <w:p>
            <w:pPr>
              <w:pStyle w:val="46"/>
              <w:spacing w:before="78" w:after="78"/>
              <w:ind w:firstLine="480" w:firstLineChars="200"/>
              <w:jc w:val="both"/>
              <w:rPr>
                <w:b w:val="0"/>
                <w:bCs w:val="0"/>
              </w:rPr>
            </w:pPr>
            <w:r>
              <w:rPr>
                <w:b w:val="0"/>
                <w:bCs w:val="0"/>
              </w:rPr>
              <w:t>①依据国建标准《环境保护图形标志》（GB15562.1-1995）（GB15562.2-1995）的相关规定，设置环境保护图形标识，标明排放单位，排放口编号，污染物种类等。</w:t>
            </w:r>
          </w:p>
          <w:p>
            <w:pPr>
              <w:pStyle w:val="46"/>
              <w:spacing w:before="78" w:after="78"/>
              <w:ind w:firstLine="480" w:firstLineChars="200"/>
              <w:jc w:val="both"/>
              <w:rPr>
                <w:b w:val="0"/>
                <w:bCs w:val="0"/>
              </w:rPr>
            </w:pPr>
            <w:r>
              <w:rPr>
                <w:b w:val="0"/>
                <w:bCs w:val="0"/>
              </w:rPr>
              <w:t>②排放口（源）及固体废物贮存场所使用国家环保部门统一制作和监制的环境保护图形标志牌，标志牌应位于醒目处，并长久保留。其中，噪声排放源标志牌应设置在距选定监测点较近且醒目处，设置高度一般为环境保护图形标志牌上缘距离地面2m。</w:t>
            </w:r>
          </w:p>
          <w:p>
            <w:pPr>
              <w:pStyle w:val="46"/>
              <w:spacing w:before="78" w:after="78"/>
              <w:ind w:firstLine="480" w:firstLineChars="200"/>
              <w:jc w:val="both"/>
              <w:rPr>
                <w:b w:val="0"/>
                <w:bCs w:val="0"/>
              </w:rPr>
            </w:pPr>
            <w:r>
              <w:rPr>
                <w:b w:val="0"/>
                <w:bCs w:val="0"/>
              </w:rPr>
              <w:t>（2）排污口建档要求</w:t>
            </w:r>
          </w:p>
          <w:p>
            <w:pPr>
              <w:pStyle w:val="46"/>
              <w:spacing w:before="78" w:after="78"/>
              <w:ind w:firstLine="480" w:firstLineChars="200"/>
              <w:jc w:val="both"/>
              <w:rPr>
                <w:b w:val="0"/>
                <w:bCs w:val="0"/>
              </w:rPr>
            </w:pPr>
            <w:r>
              <w:rPr>
                <w:b w:val="0"/>
                <w:bCs w:val="0"/>
              </w:rPr>
              <w:t>①使用由国家环境保护部门统一印制的《中华人民共和国规范化排污口标志登记证》，并按要求填写相关内容。</w:t>
            </w:r>
          </w:p>
          <w:p>
            <w:pPr>
              <w:pStyle w:val="46"/>
              <w:spacing w:before="78" w:after="78"/>
              <w:ind w:firstLine="480" w:firstLineChars="200"/>
              <w:jc w:val="both"/>
              <w:rPr>
                <w:b w:val="0"/>
                <w:bCs w:val="0"/>
              </w:rPr>
            </w:pPr>
            <w:r>
              <w:rPr>
                <w:b w:val="0"/>
                <w:bCs w:val="0"/>
              </w:rPr>
              <w:t>②登记证一览表中的标志牌的编号与标志牌辅助标志上的编号相一致。</w:t>
            </w:r>
          </w:p>
          <w:p>
            <w:pPr>
              <w:pStyle w:val="46"/>
              <w:spacing w:before="78" w:after="78"/>
              <w:ind w:firstLine="480" w:firstLineChars="200"/>
              <w:jc w:val="both"/>
              <w:rPr>
                <w:b w:val="0"/>
                <w:bCs w:val="0"/>
              </w:rPr>
            </w:pPr>
            <w:r>
              <w:rPr>
                <w:b w:val="0"/>
                <w:bCs w:val="0"/>
              </w:rPr>
              <w:t>（3）排污口管理要求</w:t>
            </w:r>
          </w:p>
          <w:p>
            <w:pPr>
              <w:pStyle w:val="46"/>
              <w:spacing w:before="78" w:after="78"/>
              <w:ind w:firstLine="480" w:firstLineChars="200"/>
              <w:jc w:val="both"/>
              <w:rPr>
                <w:b w:val="0"/>
                <w:bCs w:val="0"/>
              </w:rPr>
            </w:pPr>
            <w:r>
              <w:rPr>
                <w:b w:val="0"/>
                <w:bCs w:val="0"/>
              </w:rPr>
              <w:t>①规范化整治排污口的有关设施，将环境保护设施纳入本单位设备管理，制定相应的管理办法和规章制度。</w:t>
            </w:r>
          </w:p>
          <w:p>
            <w:pPr>
              <w:autoSpaceDE w:val="0"/>
              <w:autoSpaceDN w:val="0"/>
              <w:adjustRightInd w:val="0"/>
              <w:spacing w:line="360" w:lineRule="auto"/>
              <w:ind w:firstLine="480" w:firstLineChars="200"/>
              <w:rPr>
                <w:sz w:val="24"/>
                <w:szCs w:val="24"/>
              </w:rPr>
            </w:pPr>
            <w:r>
              <w:rPr>
                <w:sz w:val="24"/>
                <w:szCs w:val="24"/>
              </w:rPr>
              <w:t>② 排污单位应选派责任心强，有专业知识和技能的兼、专职人员对排污口进行管理，做到责任明确、奖罚分明。</w:t>
            </w:r>
          </w:p>
          <w:p>
            <w:pPr>
              <w:autoSpaceDE w:val="0"/>
              <w:autoSpaceDN w:val="0"/>
              <w:adjustRightInd w:val="0"/>
              <w:spacing w:line="360" w:lineRule="auto"/>
              <w:ind w:firstLine="480" w:firstLineChars="200"/>
              <w:rPr>
                <w:b/>
                <w:bCs/>
                <w:sz w:val="24"/>
                <w:szCs w:val="24"/>
                <w:lang w:val="zh-CN"/>
              </w:rPr>
            </w:pPr>
            <w:r>
              <w:rPr>
                <w:b/>
                <w:bCs/>
                <w:sz w:val="24"/>
                <w:szCs w:val="24"/>
                <w:lang w:val="zh-CN"/>
              </w:rPr>
              <w:t>环境保护图形标志</w:t>
            </w:r>
          </w:p>
          <w:p>
            <w:pPr>
              <w:pStyle w:val="10"/>
              <w:spacing w:before="0" w:line="360" w:lineRule="auto"/>
              <w:ind w:firstLine="472" w:firstLineChars="200"/>
              <w:rPr>
                <w:rFonts w:ascii="Times New Roman"/>
                <w:kern w:val="0"/>
                <w:sz w:val="24"/>
                <w:szCs w:val="24"/>
                <w:lang w:val="zh-CN"/>
              </w:rPr>
            </w:pPr>
            <w:r>
              <w:rPr>
                <w:rFonts w:ascii="Times New Roman"/>
                <w:kern w:val="0"/>
                <w:sz w:val="24"/>
                <w:szCs w:val="24"/>
                <w:lang w:val="zh-CN"/>
              </w:rPr>
              <w:t>在厂区的废水排放口、固体废物贮存处置场应设置环境保护图形标志，图形符号分为提示图形和警告图形符号两种，分别按GB15562.1-1995、GB15562.2-1995执行。环境保护图形符号见表</w:t>
            </w:r>
            <w:r>
              <w:rPr>
                <w:rFonts w:ascii="Times New Roman"/>
                <w:kern w:val="0"/>
                <w:sz w:val="24"/>
                <w:szCs w:val="24"/>
              </w:rPr>
              <w:t>8-1</w:t>
            </w:r>
            <w:r>
              <w:rPr>
                <w:rFonts w:ascii="Times New Roman"/>
                <w:kern w:val="0"/>
                <w:sz w:val="24"/>
                <w:szCs w:val="24"/>
                <w:lang w:val="zh-CN"/>
              </w:rPr>
              <w:t>，环境保护图形标志的形状及颜色见表</w:t>
            </w:r>
            <w:r>
              <w:rPr>
                <w:rFonts w:ascii="Times New Roman"/>
                <w:kern w:val="0"/>
                <w:sz w:val="24"/>
                <w:szCs w:val="24"/>
              </w:rPr>
              <w:t>8-2</w:t>
            </w:r>
            <w:r>
              <w:rPr>
                <w:rFonts w:ascii="Times New Roman"/>
                <w:kern w:val="0"/>
                <w:sz w:val="24"/>
                <w:szCs w:val="24"/>
                <w:lang w:val="zh-CN"/>
              </w:rPr>
              <w:t>。</w:t>
            </w:r>
          </w:p>
          <w:p>
            <w:pPr>
              <w:snapToGrid w:val="0"/>
              <w:jc w:val="center"/>
              <w:rPr>
                <w:b/>
                <w:sz w:val="24"/>
              </w:rPr>
            </w:pPr>
            <w:r>
              <w:rPr>
                <w:b/>
                <w:sz w:val="24"/>
              </w:rPr>
              <w:t>表8-1  环境保护图形符号一览表</w:t>
            </w:r>
          </w:p>
          <w:tbl>
            <w:tblPr>
              <w:tblStyle w:val="1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97"/>
              <w:gridCol w:w="1864"/>
              <w:gridCol w:w="1691"/>
              <w:gridCol w:w="1455"/>
              <w:gridCol w:w="250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97" w:type="dxa"/>
                  <w:vAlign w:val="center"/>
                </w:tcPr>
                <w:p>
                  <w:pPr>
                    <w:jc w:val="center"/>
                    <w:rPr>
                      <w:b/>
                      <w:szCs w:val="21"/>
                    </w:rPr>
                  </w:pPr>
                  <w:r>
                    <w:rPr>
                      <w:b/>
                      <w:szCs w:val="21"/>
                    </w:rPr>
                    <w:t>序号</w:t>
                  </w:r>
                </w:p>
              </w:tc>
              <w:tc>
                <w:tcPr>
                  <w:tcW w:w="1864" w:type="dxa"/>
                  <w:vAlign w:val="center"/>
                </w:tcPr>
                <w:p>
                  <w:pPr>
                    <w:jc w:val="center"/>
                    <w:rPr>
                      <w:b/>
                      <w:szCs w:val="21"/>
                    </w:rPr>
                  </w:pPr>
                  <w:r>
                    <w:rPr>
                      <w:b/>
                      <w:szCs w:val="21"/>
                    </w:rPr>
                    <w:t>提示图形符号</w:t>
                  </w:r>
                </w:p>
              </w:tc>
              <w:tc>
                <w:tcPr>
                  <w:tcW w:w="1691" w:type="dxa"/>
                  <w:vAlign w:val="center"/>
                </w:tcPr>
                <w:p>
                  <w:pPr>
                    <w:jc w:val="center"/>
                    <w:rPr>
                      <w:b/>
                      <w:szCs w:val="21"/>
                    </w:rPr>
                  </w:pPr>
                  <w:r>
                    <w:rPr>
                      <w:b/>
                      <w:szCs w:val="21"/>
                    </w:rPr>
                    <w:t>警告图形符号</w:t>
                  </w:r>
                </w:p>
              </w:tc>
              <w:tc>
                <w:tcPr>
                  <w:tcW w:w="1455" w:type="dxa"/>
                  <w:vAlign w:val="center"/>
                </w:tcPr>
                <w:p>
                  <w:pPr>
                    <w:jc w:val="center"/>
                    <w:rPr>
                      <w:b/>
                      <w:szCs w:val="21"/>
                    </w:rPr>
                  </w:pPr>
                  <w:r>
                    <w:rPr>
                      <w:b/>
                      <w:szCs w:val="21"/>
                    </w:rPr>
                    <w:t>名 称</w:t>
                  </w:r>
                </w:p>
              </w:tc>
              <w:tc>
                <w:tcPr>
                  <w:tcW w:w="2505" w:type="dxa"/>
                  <w:vAlign w:val="center"/>
                </w:tcPr>
                <w:p>
                  <w:pPr>
                    <w:jc w:val="center"/>
                    <w:rPr>
                      <w:b/>
                      <w:szCs w:val="21"/>
                    </w:rPr>
                  </w:pPr>
                  <w:r>
                    <w:rPr>
                      <w:b/>
                      <w:szCs w:val="21"/>
                    </w:rPr>
                    <w:t>功 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97" w:type="dxa"/>
                  <w:vAlign w:val="center"/>
                </w:tcPr>
                <w:p>
                  <w:pPr>
                    <w:jc w:val="center"/>
                    <w:rPr>
                      <w:szCs w:val="21"/>
                    </w:rPr>
                  </w:pPr>
                  <w:r>
                    <w:rPr>
                      <w:szCs w:val="21"/>
                    </w:rPr>
                    <w:t>1</w:t>
                  </w:r>
                </w:p>
              </w:tc>
              <w:tc>
                <w:tcPr>
                  <w:tcW w:w="1864" w:type="dxa"/>
                  <w:vAlign w:val="center"/>
                </w:tcPr>
                <w:p>
                  <w:pPr>
                    <w:jc w:val="center"/>
                    <w:rPr>
                      <w:szCs w:val="21"/>
                    </w:rPr>
                  </w:pPr>
                  <w:r>
                    <w:rPr>
                      <w:szCs w:val="21"/>
                    </w:rPr>
                    <w:fldChar w:fldCharType="begin"/>
                  </w:r>
                  <w:r>
                    <w:rPr>
                      <w:szCs w:val="21"/>
                    </w:rPr>
                    <w:instrText xml:space="preserve"> INCLUDEPICTURE "http://www.jjj999.com/anquanbiaozhi/images/13003.gif" \* MERGEFORMATINET </w:instrText>
                  </w:r>
                  <w:r>
                    <w:rPr>
                      <w:szCs w:val="21"/>
                    </w:rPr>
                    <w:fldChar w:fldCharType="separate"/>
                  </w:r>
                  <w:r>
                    <w:rPr>
                      <w:szCs w:val="21"/>
                    </w:rPr>
                    <w:drawing>
                      <wp:inline distT="0" distB="0" distL="114300" distR="114300">
                        <wp:extent cx="708025" cy="622935"/>
                        <wp:effectExtent l="0" t="0" r="3175" b="12065"/>
                        <wp:docPr id="6" name="图片 7" descr="13003"/>
                        <wp:cNvGraphicFramePr/>
                        <a:graphic xmlns:a="http://schemas.openxmlformats.org/drawingml/2006/main">
                          <a:graphicData uri="http://schemas.openxmlformats.org/drawingml/2006/picture">
                            <pic:pic xmlns:pic="http://schemas.openxmlformats.org/drawingml/2006/picture">
                              <pic:nvPicPr>
                                <pic:cNvPr id="6" name="图片 7" descr="13003"/>
                                <pic:cNvPicPr/>
                              </pic:nvPicPr>
                              <pic:blipFill>
                                <a:blip r:embed="rId23"/>
                                <a:stretch>
                                  <a:fillRect/>
                                </a:stretch>
                              </pic:blipFill>
                              <pic:spPr>
                                <a:xfrm>
                                  <a:off x="0" y="0"/>
                                  <a:ext cx="708025" cy="622935"/>
                                </a:xfrm>
                                <a:prstGeom prst="rect">
                                  <a:avLst/>
                                </a:prstGeom>
                                <a:noFill/>
                                <a:ln>
                                  <a:noFill/>
                                </a:ln>
                              </pic:spPr>
                            </pic:pic>
                          </a:graphicData>
                        </a:graphic>
                      </wp:inline>
                    </w:drawing>
                  </w:r>
                  <w:r>
                    <w:rPr>
                      <w:szCs w:val="21"/>
                    </w:rPr>
                    <w:fldChar w:fldCharType="end"/>
                  </w:r>
                </w:p>
              </w:tc>
              <w:tc>
                <w:tcPr>
                  <w:tcW w:w="1691" w:type="dxa"/>
                  <w:vAlign w:val="center"/>
                </w:tcPr>
                <w:p>
                  <w:pPr>
                    <w:jc w:val="center"/>
                    <w:rPr>
                      <w:szCs w:val="21"/>
                    </w:rPr>
                  </w:pPr>
                  <w:r>
                    <w:rPr>
                      <w:szCs w:val="21"/>
                    </w:rPr>
                    <w:fldChar w:fldCharType="begin"/>
                  </w:r>
                  <w:r>
                    <w:rPr>
                      <w:szCs w:val="21"/>
                    </w:rPr>
                    <w:instrText xml:space="preserve"> INCLUDEPICTURE "http://dqmhj.china-fire.com/image/aqbz/tb11/4.gif" \* MERGEFORMATINET </w:instrText>
                  </w:r>
                  <w:r>
                    <w:rPr>
                      <w:szCs w:val="21"/>
                    </w:rPr>
                    <w:fldChar w:fldCharType="separate"/>
                  </w:r>
                  <w:r>
                    <w:rPr>
                      <w:szCs w:val="21"/>
                    </w:rPr>
                    <w:drawing>
                      <wp:inline distT="0" distB="0" distL="114300" distR="114300">
                        <wp:extent cx="666750" cy="607060"/>
                        <wp:effectExtent l="0" t="0" r="6350" b="2540"/>
                        <wp:docPr id="7" name="图片 8" descr="4"/>
                        <wp:cNvGraphicFramePr/>
                        <a:graphic xmlns:a="http://schemas.openxmlformats.org/drawingml/2006/main">
                          <a:graphicData uri="http://schemas.openxmlformats.org/drawingml/2006/picture">
                            <pic:pic xmlns:pic="http://schemas.openxmlformats.org/drawingml/2006/picture">
                              <pic:nvPicPr>
                                <pic:cNvPr id="7" name="图片 8" descr="4"/>
                                <pic:cNvPicPr/>
                              </pic:nvPicPr>
                              <pic:blipFill>
                                <a:blip r:embed="rId24"/>
                                <a:stretch>
                                  <a:fillRect/>
                                </a:stretch>
                              </pic:blipFill>
                              <pic:spPr>
                                <a:xfrm>
                                  <a:off x="0" y="0"/>
                                  <a:ext cx="666750" cy="607060"/>
                                </a:xfrm>
                                <a:prstGeom prst="rect">
                                  <a:avLst/>
                                </a:prstGeom>
                                <a:noFill/>
                                <a:ln>
                                  <a:noFill/>
                                </a:ln>
                              </pic:spPr>
                            </pic:pic>
                          </a:graphicData>
                        </a:graphic>
                      </wp:inline>
                    </w:drawing>
                  </w:r>
                  <w:r>
                    <w:rPr>
                      <w:szCs w:val="21"/>
                    </w:rPr>
                    <w:fldChar w:fldCharType="end"/>
                  </w:r>
                </w:p>
              </w:tc>
              <w:tc>
                <w:tcPr>
                  <w:tcW w:w="1455" w:type="dxa"/>
                  <w:vAlign w:val="center"/>
                </w:tcPr>
                <w:p>
                  <w:pPr>
                    <w:pStyle w:val="14"/>
                    <w:spacing w:before="0" w:line="240" w:lineRule="auto"/>
                    <w:ind w:firstLine="0"/>
                    <w:jc w:val="center"/>
                    <w:rPr>
                      <w:rFonts w:ascii="Times New Roman" w:hAnsi="Times New Roman"/>
                      <w:color w:val="auto"/>
                      <w:spacing w:val="0"/>
                      <w:sz w:val="21"/>
                      <w:szCs w:val="21"/>
                    </w:rPr>
                  </w:pPr>
                  <w:r>
                    <w:rPr>
                      <w:rFonts w:hint="eastAsia" w:ascii="Times New Roman" w:hAnsi="Times New Roman"/>
                      <w:color w:val="auto"/>
                      <w:spacing w:val="0"/>
                      <w:sz w:val="21"/>
                      <w:szCs w:val="21"/>
                    </w:rPr>
                    <w:t>废气排放口</w:t>
                  </w:r>
                </w:p>
              </w:tc>
              <w:tc>
                <w:tcPr>
                  <w:tcW w:w="2505" w:type="dxa"/>
                  <w:vAlign w:val="center"/>
                </w:tcPr>
                <w:p>
                  <w:pPr>
                    <w:pStyle w:val="14"/>
                    <w:spacing w:before="0" w:line="240" w:lineRule="auto"/>
                    <w:ind w:firstLine="0"/>
                    <w:jc w:val="center"/>
                    <w:rPr>
                      <w:rFonts w:ascii="Times New Roman" w:hAnsi="Times New Roman"/>
                      <w:color w:val="auto"/>
                      <w:spacing w:val="0"/>
                      <w:sz w:val="21"/>
                      <w:szCs w:val="21"/>
                    </w:rPr>
                  </w:pPr>
                  <w:r>
                    <w:rPr>
                      <w:rFonts w:ascii="Times New Roman" w:hAnsi="Times New Roman"/>
                      <w:color w:val="auto"/>
                      <w:spacing w:val="0"/>
                      <w:sz w:val="21"/>
                      <w:szCs w:val="21"/>
                    </w:rPr>
                    <w:t>表示废气向大气环境排放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97" w:type="dxa"/>
                  <w:vAlign w:val="center"/>
                </w:tcPr>
                <w:p>
                  <w:pPr>
                    <w:jc w:val="center"/>
                    <w:rPr>
                      <w:szCs w:val="21"/>
                    </w:rPr>
                  </w:pPr>
                  <w:r>
                    <w:rPr>
                      <w:rFonts w:hint="eastAsia"/>
                      <w:szCs w:val="21"/>
                    </w:rPr>
                    <w:t>2</w:t>
                  </w:r>
                </w:p>
              </w:tc>
              <w:tc>
                <w:tcPr>
                  <w:tcW w:w="1864" w:type="dxa"/>
                  <w:vAlign w:val="center"/>
                </w:tcPr>
                <w:p>
                  <w:pPr>
                    <w:jc w:val="center"/>
                    <w:rPr>
                      <w:szCs w:val="21"/>
                    </w:rPr>
                  </w:pPr>
                  <w:r>
                    <w:rPr>
                      <w:szCs w:val="21"/>
                    </w:rPr>
                    <w:fldChar w:fldCharType="begin"/>
                  </w:r>
                  <w:r>
                    <w:rPr>
                      <w:szCs w:val="21"/>
                    </w:rPr>
                    <w:instrText xml:space="preserve"> INCLUDEPICTURE "http://www.jjj999.com/anquanbiaozhi/images/13001.gif" \* MERGEFORMATINET </w:instrText>
                  </w:r>
                  <w:r>
                    <w:rPr>
                      <w:szCs w:val="21"/>
                    </w:rPr>
                    <w:fldChar w:fldCharType="separate"/>
                  </w:r>
                  <w:r>
                    <w:rPr>
                      <w:szCs w:val="21"/>
                    </w:rPr>
                    <w:drawing>
                      <wp:inline distT="0" distB="0" distL="114300" distR="114300">
                        <wp:extent cx="695325" cy="703580"/>
                        <wp:effectExtent l="0" t="0" r="3175" b="7620"/>
                        <wp:docPr id="54" name="图片 8" descr="13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8" descr="13001"/>
                                <pic:cNvPicPr>
                                  <a:picLocks noChangeAspect="1"/>
                                </pic:cNvPicPr>
                              </pic:nvPicPr>
                              <pic:blipFill>
                                <a:blip r:embed="rId25"/>
                                <a:stretch>
                                  <a:fillRect/>
                                </a:stretch>
                              </pic:blipFill>
                              <pic:spPr>
                                <a:xfrm>
                                  <a:off x="0" y="0"/>
                                  <a:ext cx="695325" cy="703580"/>
                                </a:xfrm>
                                <a:prstGeom prst="rect">
                                  <a:avLst/>
                                </a:prstGeom>
                                <a:noFill/>
                                <a:ln>
                                  <a:noFill/>
                                </a:ln>
                              </pic:spPr>
                            </pic:pic>
                          </a:graphicData>
                        </a:graphic>
                      </wp:inline>
                    </w:drawing>
                  </w:r>
                  <w:r>
                    <w:rPr>
                      <w:szCs w:val="21"/>
                    </w:rPr>
                    <w:fldChar w:fldCharType="end"/>
                  </w:r>
                </w:p>
              </w:tc>
              <w:tc>
                <w:tcPr>
                  <w:tcW w:w="1691" w:type="dxa"/>
                  <w:vAlign w:val="center"/>
                </w:tcPr>
                <w:p>
                  <w:pPr>
                    <w:jc w:val="center"/>
                    <w:rPr>
                      <w:szCs w:val="21"/>
                    </w:rPr>
                  </w:pPr>
                  <w:r>
                    <w:rPr>
                      <w:szCs w:val="21"/>
                    </w:rPr>
                    <w:fldChar w:fldCharType="begin"/>
                  </w:r>
                  <w:r>
                    <w:rPr>
                      <w:szCs w:val="21"/>
                    </w:rPr>
                    <w:instrText xml:space="preserve"> INCLUDEPICTURE "http://www.jjj999.com/anquanbiaozhi/images/13002.gif" \* MERGEFORMATINET </w:instrText>
                  </w:r>
                  <w:r>
                    <w:rPr>
                      <w:szCs w:val="21"/>
                    </w:rPr>
                    <w:fldChar w:fldCharType="separate"/>
                  </w:r>
                  <w:r>
                    <w:rPr>
                      <w:szCs w:val="21"/>
                    </w:rPr>
                    <w:drawing>
                      <wp:inline distT="0" distB="0" distL="114300" distR="114300">
                        <wp:extent cx="648970" cy="657860"/>
                        <wp:effectExtent l="0" t="0" r="11430" b="2540"/>
                        <wp:docPr id="58" name="图片 9" descr="13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9" descr="13002"/>
                                <pic:cNvPicPr>
                                  <a:picLocks noChangeAspect="1"/>
                                </pic:cNvPicPr>
                              </pic:nvPicPr>
                              <pic:blipFill>
                                <a:blip r:embed="rId26"/>
                                <a:stretch>
                                  <a:fillRect/>
                                </a:stretch>
                              </pic:blipFill>
                              <pic:spPr>
                                <a:xfrm>
                                  <a:off x="0" y="0"/>
                                  <a:ext cx="648970" cy="657860"/>
                                </a:xfrm>
                                <a:prstGeom prst="rect">
                                  <a:avLst/>
                                </a:prstGeom>
                                <a:noFill/>
                                <a:ln>
                                  <a:noFill/>
                                </a:ln>
                              </pic:spPr>
                            </pic:pic>
                          </a:graphicData>
                        </a:graphic>
                      </wp:inline>
                    </w:drawing>
                  </w:r>
                  <w:r>
                    <w:rPr>
                      <w:szCs w:val="21"/>
                    </w:rPr>
                    <w:fldChar w:fldCharType="end"/>
                  </w:r>
                </w:p>
              </w:tc>
              <w:tc>
                <w:tcPr>
                  <w:tcW w:w="1455" w:type="dxa"/>
                  <w:vAlign w:val="center"/>
                </w:tcPr>
                <w:p>
                  <w:pPr>
                    <w:pStyle w:val="14"/>
                    <w:spacing w:before="0" w:line="240" w:lineRule="auto"/>
                    <w:ind w:firstLine="0"/>
                    <w:jc w:val="center"/>
                    <w:rPr>
                      <w:rFonts w:ascii="Times New Roman" w:hAnsi="Times New Roman"/>
                      <w:color w:val="auto"/>
                      <w:spacing w:val="0"/>
                      <w:sz w:val="21"/>
                      <w:szCs w:val="21"/>
                    </w:rPr>
                  </w:pPr>
                  <w:r>
                    <w:rPr>
                      <w:rFonts w:ascii="Times New Roman" w:hAnsi="Times New Roman"/>
                      <w:color w:val="auto"/>
                      <w:spacing w:val="0"/>
                      <w:sz w:val="21"/>
                      <w:szCs w:val="21"/>
                    </w:rPr>
                    <w:t>废水排放口</w:t>
                  </w:r>
                </w:p>
              </w:tc>
              <w:tc>
                <w:tcPr>
                  <w:tcW w:w="2505" w:type="dxa"/>
                  <w:vAlign w:val="center"/>
                </w:tcPr>
                <w:p>
                  <w:pPr>
                    <w:pStyle w:val="14"/>
                    <w:spacing w:before="0" w:line="240" w:lineRule="auto"/>
                    <w:ind w:firstLine="0"/>
                    <w:jc w:val="center"/>
                    <w:rPr>
                      <w:rFonts w:ascii="Times New Roman" w:hAnsi="Times New Roman"/>
                      <w:color w:val="auto"/>
                      <w:spacing w:val="0"/>
                      <w:sz w:val="21"/>
                      <w:szCs w:val="21"/>
                    </w:rPr>
                  </w:pPr>
                  <w:r>
                    <w:rPr>
                      <w:rFonts w:ascii="Times New Roman" w:hAnsi="Times New Roman"/>
                      <w:color w:val="auto"/>
                      <w:spacing w:val="0"/>
                      <w:sz w:val="21"/>
                      <w:szCs w:val="21"/>
                    </w:rPr>
                    <w:t>表示废水向水体排放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97" w:type="dxa"/>
                  <w:vAlign w:val="center"/>
                </w:tcPr>
                <w:p>
                  <w:pPr>
                    <w:jc w:val="center"/>
                    <w:rPr>
                      <w:szCs w:val="21"/>
                    </w:rPr>
                  </w:pPr>
                  <w:r>
                    <w:rPr>
                      <w:rFonts w:hint="eastAsia"/>
                      <w:szCs w:val="21"/>
                    </w:rPr>
                    <w:t>3</w:t>
                  </w:r>
                </w:p>
              </w:tc>
              <w:tc>
                <w:tcPr>
                  <w:tcW w:w="1864" w:type="dxa"/>
                  <w:vAlign w:val="center"/>
                </w:tcPr>
                <w:p>
                  <w:pPr>
                    <w:jc w:val="center"/>
                    <w:rPr>
                      <w:szCs w:val="21"/>
                    </w:rPr>
                  </w:pPr>
                  <w:r>
                    <w:rPr>
                      <w:szCs w:val="21"/>
                    </w:rPr>
                    <w:fldChar w:fldCharType="begin"/>
                  </w:r>
                  <w:r>
                    <w:rPr>
                      <w:szCs w:val="21"/>
                    </w:rPr>
                    <w:instrText xml:space="preserve"> INCLUDEPICTURE "http://www.gzbdl.cn/huibian/html/F049.files/image011.jpg" \* MERGEFORMATINET </w:instrText>
                  </w:r>
                  <w:r>
                    <w:rPr>
                      <w:szCs w:val="21"/>
                    </w:rPr>
                    <w:fldChar w:fldCharType="separate"/>
                  </w:r>
                  <w:r>
                    <w:rPr>
                      <w:szCs w:val="21"/>
                    </w:rPr>
                    <w:drawing>
                      <wp:inline distT="0" distB="0" distL="114300" distR="114300">
                        <wp:extent cx="716280" cy="614680"/>
                        <wp:effectExtent l="0" t="0" r="7620" b="7620"/>
                        <wp:docPr id="55" name="图片 10" descr="image011"/>
                        <wp:cNvGraphicFramePr/>
                        <a:graphic xmlns:a="http://schemas.openxmlformats.org/drawingml/2006/main">
                          <a:graphicData uri="http://schemas.openxmlformats.org/drawingml/2006/picture">
                            <pic:pic xmlns:pic="http://schemas.openxmlformats.org/drawingml/2006/picture">
                              <pic:nvPicPr>
                                <pic:cNvPr id="55" name="图片 10" descr="image011"/>
                                <pic:cNvPicPr/>
                              </pic:nvPicPr>
                              <pic:blipFill>
                                <a:blip r:embed="rId27"/>
                                <a:stretch>
                                  <a:fillRect/>
                                </a:stretch>
                              </pic:blipFill>
                              <pic:spPr>
                                <a:xfrm>
                                  <a:off x="0" y="0"/>
                                  <a:ext cx="716280" cy="614680"/>
                                </a:xfrm>
                                <a:prstGeom prst="rect">
                                  <a:avLst/>
                                </a:prstGeom>
                                <a:noFill/>
                                <a:ln>
                                  <a:noFill/>
                                </a:ln>
                              </pic:spPr>
                            </pic:pic>
                          </a:graphicData>
                        </a:graphic>
                      </wp:inline>
                    </w:drawing>
                  </w:r>
                  <w:r>
                    <w:rPr>
                      <w:szCs w:val="21"/>
                    </w:rPr>
                    <w:fldChar w:fldCharType="end"/>
                  </w:r>
                </w:p>
              </w:tc>
              <w:tc>
                <w:tcPr>
                  <w:tcW w:w="1691" w:type="dxa"/>
                  <w:vAlign w:val="center"/>
                </w:tcPr>
                <w:p>
                  <w:pPr>
                    <w:jc w:val="center"/>
                    <w:rPr>
                      <w:szCs w:val="21"/>
                    </w:rPr>
                  </w:pPr>
                  <w:r>
                    <w:rPr>
                      <w:szCs w:val="21"/>
                    </w:rPr>
                    <w:fldChar w:fldCharType="begin"/>
                  </w:r>
                  <w:r>
                    <w:rPr>
                      <w:szCs w:val="21"/>
                    </w:rPr>
                    <w:instrText xml:space="preserve"> INCLUDEPICTURE "http://www.gzbdl.cn/huibian/html/F049.files/image012.jpg" \* MERGEFORMATINET </w:instrText>
                  </w:r>
                  <w:r>
                    <w:rPr>
                      <w:szCs w:val="21"/>
                    </w:rPr>
                    <w:fldChar w:fldCharType="separate"/>
                  </w:r>
                  <w:r>
                    <w:rPr>
                      <w:szCs w:val="21"/>
                    </w:rPr>
                    <w:drawing>
                      <wp:inline distT="0" distB="0" distL="114300" distR="114300">
                        <wp:extent cx="666750" cy="600710"/>
                        <wp:effectExtent l="0" t="0" r="6350" b="8890"/>
                        <wp:docPr id="59" name="图片 11" descr="image012"/>
                        <wp:cNvGraphicFramePr/>
                        <a:graphic xmlns:a="http://schemas.openxmlformats.org/drawingml/2006/main">
                          <a:graphicData uri="http://schemas.openxmlformats.org/drawingml/2006/picture">
                            <pic:pic xmlns:pic="http://schemas.openxmlformats.org/drawingml/2006/picture">
                              <pic:nvPicPr>
                                <pic:cNvPr id="59" name="图片 11" descr="image012"/>
                                <pic:cNvPicPr/>
                              </pic:nvPicPr>
                              <pic:blipFill>
                                <a:blip r:embed="rId28"/>
                                <a:stretch>
                                  <a:fillRect/>
                                </a:stretch>
                              </pic:blipFill>
                              <pic:spPr>
                                <a:xfrm>
                                  <a:off x="0" y="0"/>
                                  <a:ext cx="666750" cy="600710"/>
                                </a:xfrm>
                                <a:prstGeom prst="rect">
                                  <a:avLst/>
                                </a:prstGeom>
                                <a:noFill/>
                                <a:ln>
                                  <a:noFill/>
                                </a:ln>
                              </pic:spPr>
                            </pic:pic>
                          </a:graphicData>
                        </a:graphic>
                      </wp:inline>
                    </w:drawing>
                  </w:r>
                  <w:r>
                    <w:rPr>
                      <w:szCs w:val="21"/>
                    </w:rPr>
                    <w:fldChar w:fldCharType="end"/>
                  </w:r>
                </w:p>
              </w:tc>
              <w:tc>
                <w:tcPr>
                  <w:tcW w:w="1455" w:type="dxa"/>
                  <w:vAlign w:val="center"/>
                </w:tcPr>
                <w:p>
                  <w:pPr>
                    <w:pStyle w:val="14"/>
                    <w:spacing w:before="0" w:line="240" w:lineRule="auto"/>
                    <w:ind w:firstLine="0"/>
                    <w:jc w:val="center"/>
                    <w:rPr>
                      <w:rFonts w:ascii="Times New Roman" w:hAnsi="Times New Roman"/>
                      <w:color w:val="auto"/>
                      <w:spacing w:val="0"/>
                      <w:sz w:val="21"/>
                      <w:szCs w:val="21"/>
                    </w:rPr>
                  </w:pPr>
                  <w:r>
                    <w:rPr>
                      <w:rFonts w:ascii="Times New Roman" w:hAnsi="Times New Roman"/>
                      <w:color w:val="auto"/>
                      <w:spacing w:val="0"/>
                      <w:sz w:val="21"/>
                      <w:szCs w:val="21"/>
                    </w:rPr>
                    <w:t>噪声排放源</w:t>
                  </w:r>
                </w:p>
              </w:tc>
              <w:tc>
                <w:tcPr>
                  <w:tcW w:w="2505" w:type="dxa"/>
                  <w:vAlign w:val="center"/>
                </w:tcPr>
                <w:p>
                  <w:pPr>
                    <w:pStyle w:val="14"/>
                    <w:spacing w:before="0" w:line="240" w:lineRule="auto"/>
                    <w:ind w:firstLine="0"/>
                    <w:rPr>
                      <w:rFonts w:ascii="Times New Roman" w:hAnsi="Times New Roman"/>
                      <w:color w:val="auto"/>
                      <w:spacing w:val="0"/>
                      <w:sz w:val="21"/>
                      <w:szCs w:val="21"/>
                    </w:rPr>
                  </w:pPr>
                  <w:r>
                    <w:rPr>
                      <w:rFonts w:ascii="Times New Roman" w:hAnsi="Times New Roman"/>
                      <w:color w:val="auto"/>
                      <w:spacing w:val="0"/>
                      <w:sz w:val="21"/>
                      <w:szCs w:val="21"/>
                    </w:rPr>
                    <w:t>表示噪声向外环境排放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97" w:type="dxa"/>
                  <w:vAlign w:val="center"/>
                </w:tcPr>
                <w:p>
                  <w:pPr>
                    <w:jc w:val="center"/>
                    <w:rPr>
                      <w:szCs w:val="21"/>
                    </w:rPr>
                  </w:pPr>
                  <w:r>
                    <w:rPr>
                      <w:rFonts w:hint="eastAsia"/>
                      <w:szCs w:val="21"/>
                    </w:rPr>
                    <w:t>4</w:t>
                  </w:r>
                </w:p>
              </w:tc>
              <w:tc>
                <w:tcPr>
                  <w:tcW w:w="1864" w:type="dxa"/>
                  <w:vAlign w:val="center"/>
                </w:tcPr>
                <w:p>
                  <w:pPr>
                    <w:jc w:val="center"/>
                    <w:rPr>
                      <w:szCs w:val="21"/>
                    </w:rPr>
                  </w:pPr>
                  <w:r>
                    <w:rPr>
                      <w:szCs w:val="21"/>
                    </w:rPr>
                    <w:fldChar w:fldCharType="begin"/>
                  </w:r>
                  <w:r>
                    <w:rPr>
                      <w:szCs w:val="21"/>
                    </w:rPr>
                    <w:instrText xml:space="preserve"> INCLUDEPICTURE "http://www.jjj999.com/anquanbiaozhi/images/14001.gif" \* MERGEFORMATINET </w:instrText>
                  </w:r>
                  <w:r>
                    <w:rPr>
                      <w:szCs w:val="21"/>
                    </w:rPr>
                    <w:fldChar w:fldCharType="separate"/>
                  </w:r>
                  <w:r>
                    <w:rPr>
                      <w:szCs w:val="21"/>
                    </w:rPr>
                    <w:drawing>
                      <wp:inline distT="0" distB="0" distL="114300" distR="114300">
                        <wp:extent cx="762635" cy="699770"/>
                        <wp:effectExtent l="0" t="0" r="12065" b="11430"/>
                        <wp:docPr id="60" name="图片 12" descr="14001"/>
                        <wp:cNvGraphicFramePr/>
                        <a:graphic xmlns:a="http://schemas.openxmlformats.org/drawingml/2006/main">
                          <a:graphicData uri="http://schemas.openxmlformats.org/drawingml/2006/picture">
                            <pic:pic xmlns:pic="http://schemas.openxmlformats.org/drawingml/2006/picture">
                              <pic:nvPicPr>
                                <pic:cNvPr id="60" name="图片 12" descr="14001"/>
                                <pic:cNvPicPr/>
                              </pic:nvPicPr>
                              <pic:blipFill>
                                <a:blip r:embed="rId29"/>
                                <a:stretch>
                                  <a:fillRect/>
                                </a:stretch>
                              </pic:blipFill>
                              <pic:spPr>
                                <a:xfrm>
                                  <a:off x="0" y="0"/>
                                  <a:ext cx="762635" cy="699770"/>
                                </a:xfrm>
                                <a:prstGeom prst="rect">
                                  <a:avLst/>
                                </a:prstGeom>
                                <a:noFill/>
                                <a:ln>
                                  <a:noFill/>
                                </a:ln>
                              </pic:spPr>
                            </pic:pic>
                          </a:graphicData>
                        </a:graphic>
                      </wp:inline>
                    </w:drawing>
                  </w:r>
                  <w:r>
                    <w:rPr>
                      <w:szCs w:val="21"/>
                    </w:rPr>
                    <w:fldChar w:fldCharType="end"/>
                  </w:r>
                </w:p>
              </w:tc>
              <w:tc>
                <w:tcPr>
                  <w:tcW w:w="1691" w:type="dxa"/>
                  <w:vAlign w:val="center"/>
                </w:tcPr>
                <w:p>
                  <w:pPr>
                    <w:jc w:val="center"/>
                    <w:rPr>
                      <w:szCs w:val="21"/>
                    </w:rPr>
                  </w:pPr>
                  <w:r>
                    <w:rPr>
                      <w:szCs w:val="21"/>
                    </w:rPr>
                    <w:fldChar w:fldCharType="begin"/>
                  </w:r>
                  <w:r>
                    <w:rPr>
                      <w:szCs w:val="21"/>
                    </w:rPr>
                    <w:instrText xml:space="preserve"> INCLUDEPICTURE "http://www.jjj999.com/anquanbiaozhi/images/14002.gif" \* MERGEFORMATINET </w:instrText>
                  </w:r>
                  <w:r>
                    <w:rPr>
                      <w:szCs w:val="21"/>
                    </w:rPr>
                    <w:fldChar w:fldCharType="separate"/>
                  </w:r>
                  <w:r>
                    <w:rPr>
                      <w:szCs w:val="21"/>
                    </w:rPr>
                    <w:drawing>
                      <wp:inline distT="0" distB="0" distL="114300" distR="114300">
                        <wp:extent cx="666750" cy="589915"/>
                        <wp:effectExtent l="0" t="0" r="6350" b="6985"/>
                        <wp:docPr id="57" name="图片 13" descr="14002"/>
                        <wp:cNvGraphicFramePr/>
                        <a:graphic xmlns:a="http://schemas.openxmlformats.org/drawingml/2006/main">
                          <a:graphicData uri="http://schemas.openxmlformats.org/drawingml/2006/picture">
                            <pic:pic xmlns:pic="http://schemas.openxmlformats.org/drawingml/2006/picture">
                              <pic:nvPicPr>
                                <pic:cNvPr id="57" name="图片 13" descr="14002"/>
                                <pic:cNvPicPr/>
                              </pic:nvPicPr>
                              <pic:blipFill>
                                <a:blip r:embed="rId30"/>
                                <a:stretch>
                                  <a:fillRect/>
                                </a:stretch>
                              </pic:blipFill>
                              <pic:spPr>
                                <a:xfrm>
                                  <a:off x="0" y="0"/>
                                  <a:ext cx="666750" cy="589915"/>
                                </a:xfrm>
                                <a:prstGeom prst="rect">
                                  <a:avLst/>
                                </a:prstGeom>
                                <a:noFill/>
                                <a:ln>
                                  <a:noFill/>
                                </a:ln>
                              </pic:spPr>
                            </pic:pic>
                          </a:graphicData>
                        </a:graphic>
                      </wp:inline>
                    </w:drawing>
                  </w:r>
                  <w:r>
                    <w:rPr>
                      <w:szCs w:val="21"/>
                    </w:rPr>
                    <w:fldChar w:fldCharType="end"/>
                  </w:r>
                </w:p>
              </w:tc>
              <w:tc>
                <w:tcPr>
                  <w:tcW w:w="1455" w:type="dxa"/>
                  <w:vAlign w:val="center"/>
                </w:tcPr>
                <w:p>
                  <w:pPr>
                    <w:pStyle w:val="14"/>
                    <w:spacing w:before="0" w:line="240" w:lineRule="auto"/>
                    <w:ind w:firstLine="0"/>
                    <w:jc w:val="center"/>
                    <w:rPr>
                      <w:rFonts w:ascii="Times New Roman" w:hAnsi="Times New Roman"/>
                      <w:color w:val="auto"/>
                      <w:spacing w:val="0"/>
                      <w:sz w:val="21"/>
                      <w:szCs w:val="21"/>
                    </w:rPr>
                  </w:pPr>
                  <w:r>
                    <w:rPr>
                      <w:rFonts w:ascii="Times New Roman" w:hAnsi="Times New Roman"/>
                      <w:color w:val="auto"/>
                      <w:spacing w:val="0"/>
                      <w:sz w:val="21"/>
                      <w:szCs w:val="21"/>
                    </w:rPr>
                    <w:t>一般固</w:t>
                  </w:r>
                </w:p>
                <w:p>
                  <w:pPr>
                    <w:pStyle w:val="14"/>
                    <w:spacing w:before="0" w:line="240" w:lineRule="auto"/>
                    <w:ind w:firstLine="0"/>
                    <w:jc w:val="center"/>
                    <w:rPr>
                      <w:rFonts w:ascii="Times New Roman" w:hAnsi="Times New Roman"/>
                      <w:color w:val="auto"/>
                      <w:spacing w:val="0"/>
                      <w:sz w:val="21"/>
                      <w:szCs w:val="21"/>
                    </w:rPr>
                  </w:pPr>
                  <w:r>
                    <w:rPr>
                      <w:rFonts w:ascii="Times New Roman" w:hAnsi="Times New Roman"/>
                      <w:color w:val="auto"/>
                      <w:spacing w:val="0"/>
                      <w:sz w:val="21"/>
                      <w:szCs w:val="21"/>
                    </w:rPr>
                    <w:t>体废物</w:t>
                  </w:r>
                </w:p>
              </w:tc>
              <w:tc>
                <w:tcPr>
                  <w:tcW w:w="2505" w:type="dxa"/>
                  <w:vAlign w:val="center"/>
                </w:tcPr>
                <w:p>
                  <w:pPr>
                    <w:pStyle w:val="14"/>
                    <w:spacing w:before="0" w:line="240" w:lineRule="auto"/>
                    <w:ind w:firstLine="0"/>
                    <w:jc w:val="center"/>
                    <w:rPr>
                      <w:rFonts w:ascii="Times New Roman" w:hAnsi="Times New Roman"/>
                      <w:color w:val="auto"/>
                      <w:spacing w:val="0"/>
                      <w:sz w:val="21"/>
                      <w:szCs w:val="21"/>
                    </w:rPr>
                  </w:pPr>
                  <w:r>
                    <w:rPr>
                      <w:rFonts w:ascii="Times New Roman" w:hAnsi="Times New Roman"/>
                      <w:color w:val="auto"/>
                      <w:spacing w:val="0"/>
                      <w:sz w:val="21"/>
                      <w:szCs w:val="21"/>
                    </w:rPr>
                    <w:t>表示一般固体废物贮存、</w:t>
                  </w:r>
                </w:p>
                <w:p>
                  <w:pPr>
                    <w:pStyle w:val="14"/>
                    <w:spacing w:before="0" w:line="240" w:lineRule="auto"/>
                    <w:ind w:firstLine="0"/>
                    <w:jc w:val="center"/>
                    <w:rPr>
                      <w:rFonts w:ascii="Times New Roman" w:hAnsi="Times New Roman"/>
                      <w:color w:val="auto"/>
                      <w:spacing w:val="0"/>
                      <w:sz w:val="21"/>
                      <w:szCs w:val="21"/>
                    </w:rPr>
                  </w:pPr>
                  <w:r>
                    <w:rPr>
                      <w:rFonts w:ascii="Times New Roman" w:hAnsi="Times New Roman"/>
                      <w:color w:val="auto"/>
                      <w:spacing w:val="0"/>
                      <w:sz w:val="21"/>
                      <w:szCs w:val="21"/>
                    </w:rPr>
                    <w:t>处置场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797" w:type="dxa"/>
                  <w:vAlign w:val="center"/>
                </w:tcPr>
                <w:p>
                  <w:pPr>
                    <w:jc w:val="center"/>
                    <w:rPr>
                      <w:szCs w:val="21"/>
                    </w:rPr>
                  </w:pPr>
                </w:p>
              </w:tc>
              <w:tc>
                <w:tcPr>
                  <w:tcW w:w="1864" w:type="dxa"/>
                  <w:vAlign w:val="center"/>
                </w:tcPr>
                <w:p>
                  <w:pPr>
                    <w:jc w:val="center"/>
                    <w:rPr>
                      <w:szCs w:val="21"/>
                    </w:rPr>
                  </w:pPr>
                  <w:r>
                    <w:rPr>
                      <w:szCs w:val="21"/>
                    </w:rPr>
                    <w:t>/</w:t>
                  </w:r>
                </w:p>
              </w:tc>
              <w:tc>
                <w:tcPr>
                  <w:tcW w:w="1691" w:type="dxa"/>
                  <w:vAlign w:val="center"/>
                </w:tcPr>
                <w:p>
                  <w:pPr>
                    <w:adjustRightInd w:val="0"/>
                    <w:jc w:val="center"/>
                    <w:rPr>
                      <w:szCs w:val="21"/>
                    </w:rPr>
                  </w:pPr>
                  <w:r>
                    <w:rPr>
                      <w:szCs w:val="21"/>
                    </w:rPr>
                    <w:drawing>
                      <wp:inline distT="0" distB="0" distL="114300" distR="114300">
                        <wp:extent cx="933450" cy="923925"/>
                        <wp:effectExtent l="0" t="0" r="6350" b="3175"/>
                        <wp:docPr id="56"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65"/>
                                <pic:cNvPicPr>
                                  <a:picLocks noChangeAspect="1"/>
                                </pic:cNvPicPr>
                              </pic:nvPicPr>
                              <pic:blipFill>
                                <a:blip r:embed="rId31"/>
                                <a:stretch>
                                  <a:fillRect/>
                                </a:stretch>
                              </pic:blipFill>
                              <pic:spPr>
                                <a:xfrm>
                                  <a:off x="0" y="0"/>
                                  <a:ext cx="933450" cy="923925"/>
                                </a:xfrm>
                                <a:prstGeom prst="rect">
                                  <a:avLst/>
                                </a:prstGeom>
                                <a:noFill/>
                                <a:ln>
                                  <a:noFill/>
                                </a:ln>
                              </pic:spPr>
                            </pic:pic>
                          </a:graphicData>
                        </a:graphic>
                      </wp:inline>
                    </w:drawing>
                  </w:r>
                </w:p>
              </w:tc>
              <w:tc>
                <w:tcPr>
                  <w:tcW w:w="1455" w:type="dxa"/>
                  <w:vAlign w:val="center"/>
                </w:tcPr>
                <w:p>
                  <w:pPr>
                    <w:adjustRightInd w:val="0"/>
                    <w:jc w:val="center"/>
                    <w:rPr>
                      <w:szCs w:val="21"/>
                    </w:rPr>
                  </w:pPr>
                  <w:r>
                    <w:rPr>
                      <w:szCs w:val="21"/>
                    </w:rPr>
                    <w:t>危险废物</w:t>
                  </w:r>
                </w:p>
              </w:tc>
              <w:tc>
                <w:tcPr>
                  <w:tcW w:w="2505" w:type="dxa"/>
                  <w:vAlign w:val="center"/>
                </w:tcPr>
                <w:p>
                  <w:pPr>
                    <w:adjustRightInd w:val="0"/>
                    <w:jc w:val="center"/>
                    <w:rPr>
                      <w:szCs w:val="21"/>
                    </w:rPr>
                  </w:pPr>
                  <w:r>
                    <w:rPr>
                      <w:szCs w:val="21"/>
                    </w:rPr>
                    <w:t>表示危险废物贮存、处置场</w:t>
                  </w:r>
                </w:p>
              </w:tc>
            </w:tr>
          </w:tbl>
          <w:p>
            <w:pPr>
              <w:snapToGrid w:val="0"/>
              <w:jc w:val="center"/>
              <w:rPr>
                <w:b/>
                <w:sz w:val="24"/>
              </w:rPr>
            </w:pPr>
          </w:p>
          <w:p>
            <w:pPr>
              <w:snapToGrid w:val="0"/>
              <w:jc w:val="center"/>
              <w:rPr>
                <w:b/>
                <w:sz w:val="24"/>
              </w:rPr>
            </w:pPr>
            <w:r>
              <w:rPr>
                <w:b/>
                <w:sz w:val="24"/>
              </w:rPr>
              <w:t>表8-2 环境保护图形标志的形状及颜色表</w:t>
            </w:r>
          </w:p>
          <w:tbl>
            <w:tblPr>
              <w:tblStyle w:val="1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124"/>
              <w:gridCol w:w="2123"/>
              <w:gridCol w:w="2123"/>
              <w:gridCol w:w="194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24"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b/>
                      <w:szCs w:val="21"/>
                    </w:rPr>
                  </w:pPr>
                  <w:r>
                    <w:rPr>
                      <w:b/>
                      <w:szCs w:val="21"/>
                    </w:rPr>
                    <w:t>标志名称</w:t>
                  </w:r>
                </w:p>
              </w:tc>
              <w:tc>
                <w:tcPr>
                  <w:tcW w:w="2123"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b/>
                      <w:szCs w:val="21"/>
                    </w:rPr>
                  </w:pPr>
                  <w:r>
                    <w:rPr>
                      <w:b/>
                      <w:szCs w:val="21"/>
                    </w:rPr>
                    <w:t>形 状</w:t>
                  </w:r>
                </w:p>
              </w:tc>
              <w:tc>
                <w:tcPr>
                  <w:tcW w:w="2123"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b/>
                      <w:szCs w:val="21"/>
                    </w:rPr>
                  </w:pPr>
                  <w:r>
                    <w:rPr>
                      <w:b/>
                      <w:szCs w:val="21"/>
                    </w:rPr>
                    <w:t>背景颜色</w:t>
                  </w:r>
                </w:p>
              </w:tc>
              <w:tc>
                <w:tcPr>
                  <w:tcW w:w="1942"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b/>
                      <w:szCs w:val="21"/>
                    </w:rPr>
                  </w:pPr>
                  <w:r>
                    <w:rPr>
                      <w:b/>
                      <w:szCs w:val="21"/>
                    </w:rPr>
                    <w:t>图形颜色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24"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警告标志</w:t>
                  </w:r>
                </w:p>
              </w:tc>
              <w:tc>
                <w:tcPr>
                  <w:tcW w:w="2123"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三角形边框</w:t>
                  </w:r>
                </w:p>
              </w:tc>
              <w:tc>
                <w:tcPr>
                  <w:tcW w:w="2123"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黄色</w:t>
                  </w:r>
                </w:p>
              </w:tc>
              <w:tc>
                <w:tcPr>
                  <w:tcW w:w="1942"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黑色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24"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提示标志</w:t>
                  </w:r>
                </w:p>
              </w:tc>
              <w:tc>
                <w:tcPr>
                  <w:tcW w:w="2123"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正方形边框</w:t>
                  </w:r>
                </w:p>
              </w:tc>
              <w:tc>
                <w:tcPr>
                  <w:tcW w:w="2123"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绿色</w:t>
                  </w:r>
                </w:p>
              </w:tc>
              <w:tc>
                <w:tcPr>
                  <w:tcW w:w="1942"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白色</w:t>
                  </w:r>
                </w:p>
              </w:tc>
            </w:tr>
          </w:tbl>
          <w:p>
            <w:pPr>
              <w:spacing w:line="360" w:lineRule="auto"/>
              <w:ind w:firstLine="480" w:firstLineChars="200"/>
              <w:rPr>
                <w:sz w:val="24"/>
                <w:szCs w:val="24"/>
              </w:rPr>
            </w:pPr>
            <w:r>
              <w:rPr>
                <w:sz w:val="24"/>
                <w:szCs w:val="24"/>
              </w:rPr>
              <w:t>3、污染物排放清单及信息公开</w:t>
            </w:r>
          </w:p>
          <w:p>
            <w:pPr>
              <w:spacing w:line="360" w:lineRule="auto"/>
              <w:ind w:firstLine="480" w:firstLineChars="200"/>
              <w:rPr>
                <w:b/>
                <w:sz w:val="24"/>
                <w:szCs w:val="24"/>
              </w:rPr>
            </w:pPr>
            <w:r>
              <w:rPr>
                <w:bCs/>
                <w:sz w:val="24"/>
                <w:szCs w:val="24"/>
              </w:rPr>
              <w:t xml:space="preserve">（1）污染物排放清单 </w:t>
            </w:r>
            <w:r>
              <w:rPr>
                <w:b/>
                <w:sz w:val="24"/>
                <w:szCs w:val="24"/>
              </w:rPr>
              <w:t xml:space="preserve">   </w:t>
            </w:r>
          </w:p>
          <w:p>
            <w:pPr>
              <w:spacing w:line="360" w:lineRule="auto"/>
              <w:ind w:firstLine="480" w:firstLineChars="200"/>
              <w:rPr>
                <w:b/>
                <w:szCs w:val="21"/>
              </w:rPr>
            </w:pPr>
            <w:r>
              <w:rPr>
                <w:bCs/>
                <w:sz w:val="24"/>
                <w:szCs w:val="24"/>
              </w:rPr>
              <w:t xml:space="preserve">本项目污染物排放清单见下表： </w:t>
            </w:r>
            <w:r>
              <w:rPr>
                <w:b/>
                <w:sz w:val="24"/>
                <w:szCs w:val="24"/>
              </w:rPr>
              <w:t xml:space="preserve">  </w:t>
            </w:r>
          </w:p>
          <w:p>
            <w:pPr>
              <w:pStyle w:val="47"/>
              <w:adjustRightInd w:val="0"/>
              <w:snapToGrid w:val="0"/>
              <w:spacing w:line="490" w:lineRule="exact"/>
              <w:ind w:firstLine="0"/>
              <w:jc w:val="center"/>
              <w:rPr>
                <w:rFonts w:ascii="Times New Roman" w:hAnsi="Times New Roman"/>
                <w:b/>
                <w:szCs w:val="24"/>
              </w:rPr>
            </w:pPr>
            <w:r>
              <w:rPr>
                <w:rFonts w:ascii="Times New Roman" w:hAnsi="Times New Roman"/>
                <w:b/>
                <w:szCs w:val="24"/>
              </w:rPr>
              <w:t>表8-3  本项目污染物排放清单表</w:t>
            </w:r>
          </w:p>
          <w:tbl>
            <w:tblPr>
              <w:tblStyle w:val="1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73"/>
              <w:gridCol w:w="472"/>
              <w:gridCol w:w="1012"/>
              <w:gridCol w:w="975"/>
              <w:gridCol w:w="1175"/>
              <w:gridCol w:w="966"/>
              <w:gridCol w:w="1470"/>
              <w:gridCol w:w="1072"/>
              <w:gridCol w:w="78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91" w:hRule="atLeast"/>
                <w:jc w:val="center"/>
              </w:trPr>
              <w:tc>
                <w:tcPr>
                  <w:tcW w:w="945" w:type="dxa"/>
                  <w:gridSpan w:val="2"/>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
                      <w:szCs w:val="21"/>
                    </w:rPr>
                  </w:pPr>
                  <w:r>
                    <w:rPr>
                      <w:b/>
                      <w:szCs w:val="21"/>
                    </w:rPr>
                    <w:t>序号</w:t>
                  </w:r>
                </w:p>
              </w:tc>
              <w:tc>
                <w:tcPr>
                  <w:tcW w:w="1012"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
                      <w:szCs w:val="21"/>
                    </w:rPr>
                  </w:pPr>
                  <w:r>
                    <w:rPr>
                      <w:b/>
                      <w:szCs w:val="21"/>
                    </w:rPr>
                    <w:t>污染源</w:t>
                  </w:r>
                </w:p>
              </w:tc>
              <w:tc>
                <w:tcPr>
                  <w:tcW w:w="975"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
                      <w:szCs w:val="21"/>
                    </w:rPr>
                  </w:pPr>
                  <w:r>
                    <w:rPr>
                      <w:b/>
                      <w:szCs w:val="21"/>
                    </w:rPr>
                    <w:t>污染物名称</w:t>
                  </w:r>
                </w:p>
              </w:tc>
              <w:tc>
                <w:tcPr>
                  <w:tcW w:w="2141" w:type="dxa"/>
                  <w:gridSpan w:val="2"/>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
                      <w:szCs w:val="21"/>
                    </w:rPr>
                  </w:pPr>
                  <w:r>
                    <w:rPr>
                      <w:b/>
                      <w:szCs w:val="21"/>
                    </w:rPr>
                    <w:t>产生浓度及产生量</w:t>
                  </w:r>
                </w:p>
              </w:tc>
              <w:tc>
                <w:tcPr>
                  <w:tcW w:w="1470"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
                      <w:szCs w:val="21"/>
                    </w:rPr>
                  </w:pPr>
                  <w:r>
                    <w:rPr>
                      <w:b/>
                      <w:szCs w:val="21"/>
                    </w:rPr>
                    <w:t>治理措施</w:t>
                  </w:r>
                </w:p>
              </w:tc>
              <w:tc>
                <w:tcPr>
                  <w:tcW w:w="1852" w:type="dxa"/>
                  <w:gridSpan w:val="2"/>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
                      <w:szCs w:val="21"/>
                    </w:rPr>
                  </w:pPr>
                  <w:r>
                    <w:rPr>
                      <w:b/>
                      <w:szCs w:val="21"/>
                    </w:rPr>
                    <w:t>排放浓度及排放量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3" w:hRule="atLeast"/>
                <w:jc w:val="center"/>
              </w:trPr>
              <w:tc>
                <w:tcPr>
                  <w:tcW w:w="473" w:type="dxa"/>
                  <w:vMerge w:val="restart"/>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pPr>
                  <w:r>
                    <w:rPr>
                      <w:rFonts w:hint="eastAsia"/>
                    </w:rPr>
                    <w:t>1</w:t>
                  </w:r>
                </w:p>
              </w:tc>
              <w:tc>
                <w:tcPr>
                  <w:tcW w:w="472" w:type="dxa"/>
                  <w:vMerge w:val="restart"/>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pPr>
                  <w:r>
                    <w:rPr>
                      <w:rFonts w:hint="eastAsia"/>
                    </w:rPr>
                    <w:t>废气</w:t>
                  </w:r>
                </w:p>
              </w:tc>
              <w:tc>
                <w:tcPr>
                  <w:tcW w:w="1012" w:type="dxa"/>
                  <w:vMerge w:val="restart"/>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pPr>
                  <w:r>
                    <w:rPr>
                      <w:rFonts w:hint="eastAsia"/>
                    </w:rPr>
                    <w:t>1#</w:t>
                  </w:r>
                </w:p>
              </w:tc>
              <w:tc>
                <w:tcPr>
                  <w:tcW w:w="975" w:type="dxa"/>
                  <w:vAlign w:val="center"/>
                </w:tcPr>
                <w:p>
                  <w:pPr>
                    <w:keepNext w:val="0"/>
                    <w:keepLines w:val="0"/>
                    <w:pageBreakBefore w:val="0"/>
                    <w:widowControl/>
                    <w:kinsoku/>
                    <w:wordWrap/>
                    <w:overflowPunct/>
                    <w:topLinePunct w:val="0"/>
                    <w:autoSpaceDE/>
                    <w:autoSpaceDN/>
                    <w:bidi w:val="0"/>
                    <w:spacing w:before="63" w:beforeLines="20" w:after="63" w:afterLines="20"/>
                    <w:ind w:left="0" w:leftChars="0" w:right="0" w:rightChars="0"/>
                    <w:jc w:val="center"/>
                    <w:textAlignment w:val="center"/>
                    <w:rPr>
                      <w:bCs/>
                      <w:szCs w:val="21"/>
                    </w:rPr>
                  </w:pPr>
                  <w:r>
                    <w:rPr>
                      <w:kern w:val="0"/>
                      <w:szCs w:val="21"/>
                    </w:rPr>
                    <w:t>颗粒物</w:t>
                  </w:r>
                </w:p>
              </w:tc>
              <w:tc>
                <w:tcPr>
                  <w:tcW w:w="1175" w:type="dxa"/>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bCs/>
                      <w:color w:val="auto"/>
                      <w:szCs w:val="21"/>
                    </w:rPr>
                  </w:pPr>
                  <w:r>
                    <w:rPr>
                      <w:rFonts w:hint="eastAsia"/>
                      <w:snapToGrid w:val="0"/>
                      <w:color w:val="auto"/>
                      <w:szCs w:val="21"/>
                      <w:lang w:val="en-US" w:eastAsia="zh-CN"/>
                    </w:rPr>
                    <w:t>130.36</w:t>
                  </w:r>
                  <w:r>
                    <w:rPr>
                      <w:snapToGrid w:val="0"/>
                      <w:color w:val="auto"/>
                      <w:szCs w:val="21"/>
                    </w:rPr>
                    <w:t>mg/m</w:t>
                  </w:r>
                  <w:r>
                    <w:rPr>
                      <w:snapToGrid w:val="0"/>
                      <w:color w:val="auto"/>
                      <w:szCs w:val="21"/>
                      <w:vertAlign w:val="superscript"/>
                    </w:rPr>
                    <w:t>3</w:t>
                  </w:r>
                </w:p>
              </w:tc>
              <w:tc>
                <w:tcPr>
                  <w:tcW w:w="966" w:type="dxa"/>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color w:val="auto"/>
                      <w:szCs w:val="21"/>
                    </w:rPr>
                  </w:pPr>
                  <w:r>
                    <w:rPr>
                      <w:rFonts w:hint="eastAsia"/>
                      <w:color w:val="auto"/>
                      <w:szCs w:val="21"/>
                      <w:lang w:val="en-US" w:eastAsia="zh-CN"/>
                    </w:rPr>
                    <w:t>1.627</w:t>
                  </w:r>
                  <w:r>
                    <w:rPr>
                      <w:bCs/>
                      <w:color w:val="auto"/>
                    </w:rPr>
                    <w:t>t/a</w:t>
                  </w:r>
                </w:p>
              </w:tc>
              <w:tc>
                <w:tcPr>
                  <w:tcW w:w="1470" w:type="dxa"/>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bCs/>
                      <w:color w:val="auto"/>
                      <w:szCs w:val="21"/>
                    </w:rPr>
                  </w:pPr>
                  <w:r>
                    <w:rPr>
                      <w:rFonts w:hint="eastAsia"/>
                      <w:bCs/>
                      <w:color w:val="auto"/>
                      <w:szCs w:val="21"/>
                      <w:lang w:eastAsia="zh-CN"/>
                    </w:rPr>
                    <w:t>滤芯</w:t>
                  </w:r>
                  <w:r>
                    <w:rPr>
                      <w:rFonts w:hint="eastAsia"/>
                      <w:bCs/>
                      <w:color w:val="auto"/>
                      <w:szCs w:val="21"/>
                    </w:rPr>
                    <w:t>除尘器</w:t>
                  </w:r>
                </w:p>
              </w:tc>
              <w:tc>
                <w:tcPr>
                  <w:tcW w:w="1072" w:type="dxa"/>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color w:val="auto"/>
                      <w:szCs w:val="21"/>
                    </w:rPr>
                  </w:pPr>
                  <w:r>
                    <w:rPr>
                      <w:rFonts w:hint="eastAsia"/>
                      <w:snapToGrid w:val="0"/>
                      <w:color w:val="auto"/>
                      <w:szCs w:val="21"/>
                      <w:lang w:val="en-US" w:eastAsia="zh-CN"/>
                    </w:rPr>
                    <w:t>1.46</w:t>
                  </w:r>
                  <w:r>
                    <w:rPr>
                      <w:snapToGrid w:val="0"/>
                      <w:color w:val="auto"/>
                      <w:szCs w:val="21"/>
                    </w:rPr>
                    <w:t>mg/m</w:t>
                  </w:r>
                  <w:r>
                    <w:rPr>
                      <w:snapToGrid w:val="0"/>
                      <w:color w:val="auto"/>
                      <w:szCs w:val="21"/>
                      <w:vertAlign w:val="superscript"/>
                    </w:rPr>
                    <w:t>3</w:t>
                  </w:r>
                </w:p>
              </w:tc>
              <w:tc>
                <w:tcPr>
                  <w:tcW w:w="780" w:type="dxa"/>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color w:val="auto"/>
                      <w:szCs w:val="21"/>
                    </w:rPr>
                  </w:pPr>
                  <w:r>
                    <w:rPr>
                      <w:rFonts w:hint="eastAsia"/>
                      <w:bCs/>
                      <w:color w:val="auto"/>
                      <w:lang w:val="en-US" w:eastAsia="zh-CN"/>
                    </w:rPr>
                    <w:t>0.027</w:t>
                  </w:r>
                  <w:r>
                    <w:rPr>
                      <w:bCs/>
                      <w:color w:val="auto"/>
                    </w:rPr>
                    <w:t>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3" w:hRule="atLeast"/>
                <w:jc w:val="center"/>
              </w:trPr>
              <w:tc>
                <w:tcPr>
                  <w:tcW w:w="473" w:type="dxa"/>
                  <w:vMerge w:val="continue"/>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pPr>
                </w:p>
              </w:tc>
              <w:tc>
                <w:tcPr>
                  <w:tcW w:w="472" w:type="dxa"/>
                  <w:vMerge w:val="continue"/>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pPr>
                </w:p>
              </w:tc>
              <w:tc>
                <w:tcPr>
                  <w:tcW w:w="1012" w:type="dxa"/>
                  <w:vMerge w:val="continue"/>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pPr>
                </w:p>
              </w:tc>
              <w:tc>
                <w:tcPr>
                  <w:tcW w:w="975" w:type="dxa"/>
                  <w:vAlign w:val="center"/>
                </w:tcPr>
                <w:p>
                  <w:pPr>
                    <w:keepNext w:val="0"/>
                    <w:keepLines w:val="0"/>
                    <w:pageBreakBefore w:val="0"/>
                    <w:widowControl/>
                    <w:kinsoku/>
                    <w:wordWrap/>
                    <w:overflowPunct/>
                    <w:topLinePunct w:val="0"/>
                    <w:autoSpaceDE/>
                    <w:autoSpaceDN/>
                    <w:bidi w:val="0"/>
                    <w:spacing w:before="63" w:beforeLines="20" w:after="63" w:afterLines="20"/>
                    <w:ind w:left="0" w:leftChars="0" w:right="0" w:rightChars="0"/>
                    <w:jc w:val="center"/>
                    <w:textAlignment w:val="center"/>
                    <w:rPr>
                      <w:rFonts w:hint="eastAsia" w:eastAsia="宋体"/>
                      <w:bCs/>
                      <w:szCs w:val="21"/>
                      <w:lang w:eastAsia="zh-CN"/>
                    </w:rPr>
                  </w:pPr>
                  <w:r>
                    <w:rPr>
                      <w:rFonts w:hint="eastAsia"/>
                      <w:szCs w:val="21"/>
                      <w:lang w:eastAsia="zh-CN"/>
                    </w:rPr>
                    <w:t>非甲烷总烃</w:t>
                  </w:r>
                </w:p>
              </w:tc>
              <w:tc>
                <w:tcPr>
                  <w:tcW w:w="1175" w:type="dxa"/>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bCs/>
                      <w:szCs w:val="21"/>
                    </w:rPr>
                  </w:pPr>
                  <w:r>
                    <w:rPr>
                      <w:rFonts w:hint="eastAsia"/>
                      <w:szCs w:val="21"/>
                      <w:lang w:val="en-US" w:eastAsia="zh-CN"/>
                    </w:rPr>
                    <w:t>2.9</w:t>
                  </w:r>
                  <w:r>
                    <w:rPr>
                      <w:snapToGrid w:val="0"/>
                      <w:szCs w:val="21"/>
                    </w:rPr>
                    <w:t>mg/m</w:t>
                  </w:r>
                  <w:r>
                    <w:rPr>
                      <w:snapToGrid w:val="0"/>
                      <w:szCs w:val="21"/>
                      <w:vertAlign w:val="superscript"/>
                    </w:rPr>
                    <w:t>3</w:t>
                  </w:r>
                </w:p>
              </w:tc>
              <w:tc>
                <w:tcPr>
                  <w:tcW w:w="966" w:type="dxa"/>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bCs/>
                      <w:szCs w:val="21"/>
                    </w:rPr>
                  </w:pPr>
                  <w:r>
                    <w:rPr>
                      <w:rFonts w:hint="eastAsia"/>
                      <w:szCs w:val="21"/>
                      <w:lang w:val="en-US" w:eastAsia="zh-CN"/>
                    </w:rPr>
                    <w:t>0.029</w:t>
                  </w:r>
                  <w:r>
                    <w:rPr>
                      <w:bCs/>
                    </w:rPr>
                    <w:t>t/a</w:t>
                  </w:r>
                </w:p>
              </w:tc>
              <w:tc>
                <w:tcPr>
                  <w:tcW w:w="1470" w:type="dxa"/>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rFonts w:hint="eastAsia" w:eastAsia="宋体"/>
                      <w:bCs/>
                      <w:szCs w:val="21"/>
                      <w:lang w:eastAsia="zh-CN"/>
                    </w:rPr>
                  </w:pPr>
                  <w:r>
                    <w:rPr>
                      <w:rFonts w:hint="eastAsia"/>
                      <w:bCs/>
                      <w:szCs w:val="21"/>
                      <w:lang w:eastAsia="zh-CN"/>
                    </w:rPr>
                    <w:t>冷却器+二级活性炭吸附装置</w:t>
                  </w:r>
                </w:p>
              </w:tc>
              <w:tc>
                <w:tcPr>
                  <w:tcW w:w="1072"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rPr>
                      <w:szCs w:val="21"/>
                    </w:rPr>
                  </w:pPr>
                  <w:r>
                    <w:rPr>
                      <w:rFonts w:hint="eastAsia"/>
                      <w:snapToGrid w:val="0"/>
                      <w:szCs w:val="21"/>
                      <w:lang w:val="en-US" w:eastAsia="zh-CN"/>
                    </w:rPr>
                    <w:t>0.1</w:t>
                  </w:r>
                  <w:r>
                    <w:rPr>
                      <w:snapToGrid w:val="0"/>
                      <w:szCs w:val="21"/>
                    </w:rPr>
                    <w:t>mg/m</w:t>
                  </w:r>
                  <w:r>
                    <w:rPr>
                      <w:snapToGrid w:val="0"/>
                      <w:szCs w:val="21"/>
                      <w:vertAlign w:val="superscript"/>
                    </w:rPr>
                    <w:t>3</w:t>
                  </w:r>
                </w:p>
              </w:tc>
              <w:tc>
                <w:tcPr>
                  <w:tcW w:w="780"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szCs w:val="21"/>
                    </w:rPr>
                  </w:pPr>
                  <w:r>
                    <w:rPr>
                      <w:rFonts w:hint="eastAsia"/>
                      <w:bCs/>
                      <w:lang w:val="en-US" w:eastAsia="zh-CN"/>
                    </w:rPr>
                    <w:t>0.003</w:t>
                  </w:r>
                  <w:r>
                    <w:rPr>
                      <w:bCs/>
                    </w:rPr>
                    <w:t>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3" w:hRule="atLeast"/>
                <w:jc w:val="center"/>
              </w:trPr>
              <w:tc>
                <w:tcPr>
                  <w:tcW w:w="473" w:type="dxa"/>
                  <w:vMerge w:val="continue"/>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pPr>
                </w:p>
              </w:tc>
              <w:tc>
                <w:tcPr>
                  <w:tcW w:w="472" w:type="dxa"/>
                  <w:vMerge w:val="continue"/>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pPr>
                </w:p>
              </w:tc>
              <w:tc>
                <w:tcPr>
                  <w:tcW w:w="1012" w:type="dxa"/>
                  <w:vMerge w:val="continue"/>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pPr>
                </w:p>
              </w:tc>
              <w:tc>
                <w:tcPr>
                  <w:tcW w:w="975"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rPr>
                      <w:rFonts w:ascii="Times New Roman" w:hAnsi="Times New Roman" w:eastAsia="宋体" w:cs="Times New Roman"/>
                      <w:kern w:val="2"/>
                      <w:sz w:val="21"/>
                      <w:szCs w:val="21"/>
                      <w:lang w:val="en-US" w:eastAsia="zh-CN" w:bidi="ar-SA"/>
                    </w:rPr>
                  </w:pPr>
                  <w:r>
                    <w:rPr>
                      <w:rFonts w:hint="eastAsia"/>
                      <w:color w:val="auto"/>
                      <w:szCs w:val="21"/>
                      <w:lang w:val="en-US" w:eastAsia="zh-CN"/>
                    </w:rPr>
                    <w:t>SO</w:t>
                  </w:r>
                  <w:r>
                    <w:rPr>
                      <w:rFonts w:hint="eastAsia"/>
                      <w:color w:val="auto"/>
                      <w:szCs w:val="21"/>
                      <w:vertAlign w:val="subscript"/>
                      <w:lang w:val="en-US" w:eastAsia="zh-CN"/>
                    </w:rPr>
                    <w:t>2</w:t>
                  </w:r>
                </w:p>
              </w:tc>
              <w:tc>
                <w:tcPr>
                  <w:tcW w:w="1175" w:type="dxa"/>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szCs w:val="21"/>
                    </w:rPr>
                  </w:pPr>
                  <w:r>
                    <w:rPr>
                      <w:rFonts w:hint="eastAsia"/>
                      <w:szCs w:val="21"/>
                      <w:lang w:val="en-US" w:eastAsia="zh-CN"/>
                    </w:rPr>
                    <w:t>0.01</w:t>
                  </w:r>
                  <w:r>
                    <w:rPr>
                      <w:snapToGrid w:val="0"/>
                      <w:szCs w:val="21"/>
                    </w:rPr>
                    <w:t>mg/m</w:t>
                  </w:r>
                  <w:r>
                    <w:rPr>
                      <w:snapToGrid w:val="0"/>
                      <w:szCs w:val="21"/>
                      <w:vertAlign w:val="superscript"/>
                    </w:rPr>
                    <w:t>3</w:t>
                  </w:r>
                </w:p>
              </w:tc>
              <w:tc>
                <w:tcPr>
                  <w:tcW w:w="966" w:type="dxa"/>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szCs w:val="21"/>
                    </w:rPr>
                  </w:pPr>
                  <w:r>
                    <w:rPr>
                      <w:rFonts w:hint="eastAsia"/>
                      <w:szCs w:val="21"/>
                    </w:rPr>
                    <w:t>0.1</w:t>
                  </w:r>
                  <w:r>
                    <w:rPr>
                      <w:rFonts w:hint="eastAsia"/>
                      <w:szCs w:val="21"/>
                      <w:lang w:val="en-US" w:eastAsia="zh-CN"/>
                    </w:rPr>
                    <w:t>2</w:t>
                  </w:r>
                  <w:r>
                    <w:rPr>
                      <w:bCs/>
                    </w:rPr>
                    <w:t>t/a</w:t>
                  </w:r>
                </w:p>
              </w:tc>
              <w:tc>
                <w:tcPr>
                  <w:tcW w:w="1470" w:type="dxa"/>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rFonts w:hint="eastAsia" w:eastAsia="宋体"/>
                      <w:bCs/>
                      <w:szCs w:val="21"/>
                      <w:lang w:val="en-US" w:eastAsia="zh-CN"/>
                    </w:rPr>
                  </w:pPr>
                  <w:r>
                    <w:rPr>
                      <w:rFonts w:hint="eastAsia"/>
                      <w:bCs/>
                      <w:szCs w:val="21"/>
                      <w:lang w:val="en-US" w:eastAsia="zh-CN"/>
                    </w:rPr>
                    <w:t>/</w:t>
                  </w:r>
                </w:p>
              </w:tc>
              <w:tc>
                <w:tcPr>
                  <w:tcW w:w="1072" w:type="dxa"/>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szCs w:val="21"/>
                    </w:rPr>
                  </w:pPr>
                  <w:r>
                    <w:rPr>
                      <w:rFonts w:hint="eastAsia"/>
                      <w:snapToGrid w:val="0"/>
                      <w:szCs w:val="21"/>
                    </w:rPr>
                    <w:t>0.</w:t>
                  </w:r>
                  <w:r>
                    <w:rPr>
                      <w:rFonts w:hint="eastAsia"/>
                      <w:snapToGrid w:val="0"/>
                      <w:szCs w:val="21"/>
                      <w:lang w:val="en-US" w:eastAsia="zh-CN"/>
                    </w:rPr>
                    <w:t>65</w:t>
                  </w:r>
                  <w:r>
                    <w:rPr>
                      <w:snapToGrid w:val="0"/>
                      <w:szCs w:val="21"/>
                    </w:rPr>
                    <w:t>mg/m</w:t>
                  </w:r>
                  <w:r>
                    <w:rPr>
                      <w:snapToGrid w:val="0"/>
                      <w:szCs w:val="21"/>
                      <w:vertAlign w:val="superscript"/>
                    </w:rPr>
                    <w:t>3</w:t>
                  </w:r>
                </w:p>
              </w:tc>
              <w:tc>
                <w:tcPr>
                  <w:tcW w:w="780" w:type="dxa"/>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szCs w:val="21"/>
                    </w:rPr>
                  </w:pPr>
                  <w:r>
                    <w:rPr>
                      <w:rFonts w:hint="eastAsia"/>
                      <w:bCs/>
                    </w:rPr>
                    <w:t>0.01</w:t>
                  </w:r>
                  <w:r>
                    <w:rPr>
                      <w:rFonts w:hint="eastAsia"/>
                      <w:bCs/>
                      <w:lang w:val="en-US" w:eastAsia="zh-CN"/>
                    </w:rPr>
                    <w:t>2</w:t>
                  </w:r>
                  <w:r>
                    <w:rPr>
                      <w:bCs/>
                    </w:rPr>
                    <w:t>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3" w:hRule="atLeast"/>
                <w:jc w:val="center"/>
              </w:trPr>
              <w:tc>
                <w:tcPr>
                  <w:tcW w:w="473" w:type="dxa"/>
                  <w:vMerge w:val="continue"/>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pPr>
                </w:p>
              </w:tc>
              <w:tc>
                <w:tcPr>
                  <w:tcW w:w="472" w:type="dxa"/>
                  <w:vMerge w:val="continue"/>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pPr>
                </w:p>
              </w:tc>
              <w:tc>
                <w:tcPr>
                  <w:tcW w:w="1012" w:type="dxa"/>
                  <w:vMerge w:val="continue"/>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pPr>
                </w:p>
              </w:tc>
              <w:tc>
                <w:tcPr>
                  <w:tcW w:w="975"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rPr>
                      <w:rFonts w:ascii="Times New Roman" w:hAnsi="Times New Roman" w:eastAsia="宋体" w:cs="Times New Roman"/>
                      <w:kern w:val="2"/>
                      <w:sz w:val="21"/>
                      <w:szCs w:val="21"/>
                      <w:lang w:val="en-US" w:eastAsia="zh-CN" w:bidi="ar-SA"/>
                    </w:rPr>
                  </w:pPr>
                  <w:r>
                    <w:rPr>
                      <w:rFonts w:hint="eastAsia"/>
                      <w:color w:val="auto"/>
                      <w:szCs w:val="21"/>
                      <w:lang w:val="en-US" w:eastAsia="zh-CN"/>
                    </w:rPr>
                    <w:t>NOx</w:t>
                  </w:r>
                </w:p>
              </w:tc>
              <w:tc>
                <w:tcPr>
                  <w:tcW w:w="1175" w:type="dxa"/>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szCs w:val="21"/>
                    </w:rPr>
                  </w:pPr>
                  <w:r>
                    <w:rPr>
                      <w:rFonts w:hint="eastAsia"/>
                      <w:szCs w:val="21"/>
                      <w:lang w:val="en-US" w:eastAsia="zh-CN"/>
                    </w:rPr>
                    <w:t>48.78</w:t>
                  </w:r>
                  <w:r>
                    <w:rPr>
                      <w:snapToGrid w:val="0"/>
                      <w:szCs w:val="21"/>
                    </w:rPr>
                    <w:t>mg/m</w:t>
                  </w:r>
                  <w:r>
                    <w:rPr>
                      <w:snapToGrid w:val="0"/>
                      <w:szCs w:val="21"/>
                      <w:vertAlign w:val="superscript"/>
                    </w:rPr>
                    <w:t>3</w:t>
                  </w:r>
                </w:p>
              </w:tc>
              <w:tc>
                <w:tcPr>
                  <w:tcW w:w="966" w:type="dxa"/>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szCs w:val="21"/>
                    </w:rPr>
                  </w:pPr>
                  <w:r>
                    <w:rPr>
                      <w:rFonts w:hint="eastAsia"/>
                      <w:szCs w:val="21"/>
                    </w:rPr>
                    <w:t>0.02</w:t>
                  </w:r>
                  <w:r>
                    <w:rPr>
                      <w:bCs/>
                    </w:rPr>
                    <w:t>t/a</w:t>
                  </w:r>
                </w:p>
              </w:tc>
              <w:tc>
                <w:tcPr>
                  <w:tcW w:w="1470" w:type="dxa"/>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rFonts w:hint="eastAsia" w:eastAsia="宋体"/>
                      <w:bCs/>
                      <w:szCs w:val="21"/>
                      <w:lang w:eastAsia="zh-CN"/>
                    </w:rPr>
                  </w:pPr>
                  <w:r>
                    <w:rPr>
                      <w:rFonts w:hint="eastAsia"/>
                      <w:bCs/>
                      <w:szCs w:val="21"/>
                      <w:lang w:eastAsia="zh-CN"/>
                    </w:rPr>
                    <w:t>低氮燃烧装置</w:t>
                  </w:r>
                </w:p>
              </w:tc>
              <w:tc>
                <w:tcPr>
                  <w:tcW w:w="1072"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rPr>
                      <w:szCs w:val="21"/>
                    </w:rPr>
                  </w:pPr>
                  <w:r>
                    <w:rPr>
                      <w:rFonts w:hint="eastAsia"/>
                      <w:snapToGrid w:val="0"/>
                      <w:szCs w:val="21"/>
                      <w:lang w:val="en-US" w:eastAsia="zh-CN"/>
                    </w:rPr>
                    <w:t>1.08</w:t>
                  </w:r>
                  <w:r>
                    <w:rPr>
                      <w:snapToGrid w:val="0"/>
                      <w:szCs w:val="21"/>
                    </w:rPr>
                    <w:t>mg/m</w:t>
                  </w:r>
                  <w:r>
                    <w:rPr>
                      <w:snapToGrid w:val="0"/>
                      <w:szCs w:val="21"/>
                      <w:vertAlign w:val="superscript"/>
                    </w:rPr>
                    <w:t>3</w:t>
                  </w:r>
                </w:p>
              </w:tc>
              <w:tc>
                <w:tcPr>
                  <w:tcW w:w="780"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szCs w:val="21"/>
                    </w:rPr>
                  </w:pPr>
                  <w:r>
                    <w:rPr>
                      <w:rFonts w:hint="eastAsia"/>
                      <w:bCs/>
                    </w:rPr>
                    <w:t>0.02</w:t>
                  </w:r>
                  <w:r>
                    <w:rPr>
                      <w:bCs/>
                    </w:rPr>
                    <w:t>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3" w:hRule="atLeast"/>
                <w:jc w:val="center"/>
              </w:trPr>
              <w:tc>
                <w:tcPr>
                  <w:tcW w:w="473" w:type="dxa"/>
                  <w:vMerge w:val="continue"/>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pPr>
                </w:p>
              </w:tc>
              <w:tc>
                <w:tcPr>
                  <w:tcW w:w="472" w:type="dxa"/>
                  <w:vMerge w:val="continue"/>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pPr>
                </w:p>
              </w:tc>
              <w:tc>
                <w:tcPr>
                  <w:tcW w:w="1012" w:type="dxa"/>
                  <w:vMerge w:val="restart"/>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pPr>
                  <w:r>
                    <w:rPr>
                      <w:rFonts w:hint="eastAsia"/>
                    </w:rPr>
                    <w:t>生产车间</w:t>
                  </w:r>
                </w:p>
              </w:tc>
              <w:tc>
                <w:tcPr>
                  <w:tcW w:w="975" w:type="dxa"/>
                  <w:vAlign w:val="center"/>
                </w:tcPr>
                <w:p>
                  <w:pPr>
                    <w:keepNext w:val="0"/>
                    <w:keepLines w:val="0"/>
                    <w:pageBreakBefore w:val="0"/>
                    <w:widowControl/>
                    <w:kinsoku/>
                    <w:wordWrap/>
                    <w:overflowPunct/>
                    <w:topLinePunct w:val="0"/>
                    <w:autoSpaceDE/>
                    <w:autoSpaceDN/>
                    <w:bidi w:val="0"/>
                    <w:spacing w:before="63" w:beforeLines="20" w:after="63" w:afterLines="20"/>
                    <w:ind w:left="0" w:leftChars="0" w:right="0" w:rightChars="0"/>
                    <w:jc w:val="center"/>
                    <w:textAlignment w:val="center"/>
                    <w:rPr>
                      <w:bCs/>
                      <w:color w:val="auto"/>
                      <w:szCs w:val="21"/>
                    </w:rPr>
                  </w:pPr>
                  <w:r>
                    <w:rPr>
                      <w:color w:val="auto"/>
                      <w:kern w:val="0"/>
                      <w:szCs w:val="21"/>
                    </w:rPr>
                    <w:t>颗粒物</w:t>
                  </w:r>
                </w:p>
              </w:tc>
              <w:tc>
                <w:tcPr>
                  <w:tcW w:w="1175"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color w:val="auto"/>
                      <w:szCs w:val="21"/>
                    </w:rPr>
                  </w:pPr>
                  <w:r>
                    <w:rPr>
                      <w:rFonts w:hint="eastAsia"/>
                      <w:color w:val="auto"/>
                      <w:szCs w:val="21"/>
                      <w:lang w:val="en-US" w:eastAsia="zh-CN"/>
                    </w:rPr>
                    <w:t>0.025</w:t>
                  </w:r>
                  <w:r>
                    <w:rPr>
                      <w:color w:val="auto"/>
                      <w:szCs w:val="21"/>
                    </w:rPr>
                    <w:t>kg/h</w:t>
                  </w:r>
                </w:p>
              </w:tc>
              <w:tc>
                <w:tcPr>
                  <w:tcW w:w="966"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color w:val="auto"/>
                      <w:szCs w:val="21"/>
                    </w:rPr>
                  </w:pPr>
                  <w:r>
                    <w:rPr>
                      <w:rFonts w:hint="eastAsia"/>
                      <w:color w:val="auto"/>
                      <w:szCs w:val="21"/>
                      <w:lang w:eastAsia="zh-CN"/>
                    </w:rPr>
                    <w:t>0.0</w:t>
                  </w:r>
                  <w:r>
                    <w:rPr>
                      <w:rFonts w:hint="eastAsia"/>
                      <w:color w:val="auto"/>
                      <w:szCs w:val="21"/>
                      <w:lang w:val="en-US" w:eastAsia="zh-CN"/>
                    </w:rPr>
                    <w:t>3</w:t>
                  </w:r>
                  <w:r>
                    <w:rPr>
                      <w:bCs/>
                      <w:color w:val="auto"/>
                    </w:rPr>
                    <w:t>t/a</w:t>
                  </w:r>
                </w:p>
              </w:tc>
              <w:tc>
                <w:tcPr>
                  <w:tcW w:w="1470" w:type="dxa"/>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bCs/>
                      <w:color w:val="FF0000"/>
                      <w:szCs w:val="21"/>
                    </w:rPr>
                  </w:pPr>
                  <w:r>
                    <w:rPr>
                      <w:rFonts w:hint="eastAsia"/>
                      <w:bCs/>
                      <w:color w:val="auto"/>
                      <w:szCs w:val="21"/>
                    </w:rPr>
                    <w:t>/</w:t>
                  </w:r>
                </w:p>
              </w:tc>
              <w:tc>
                <w:tcPr>
                  <w:tcW w:w="1072"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color w:val="FF0000"/>
                      <w:szCs w:val="21"/>
                    </w:rPr>
                  </w:pPr>
                  <w:r>
                    <w:rPr>
                      <w:rFonts w:hint="eastAsia"/>
                      <w:color w:val="auto"/>
                      <w:szCs w:val="21"/>
                      <w:lang w:val="en-US" w:eastAsia="zh-CN"/>
                    </w:rPr>
                    <w:t>0.025</w:t>
                  </w:r>
                  <w:r>
                    <w:rPr>
                      <w:color w:val="auto"/>
                      <w:szCs w:val="21"/>
                    </w:rPr>
                    <w:t>kg/h</w:t>
                  </w:r>
                </w:p>
              </w:tc>
              <w:tc>
                <w:tcPr>
                  <w:tcW w:w="780"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color w:val="FF0000"/>
                      <w:szCs w:val="21"/>
                    </w:rPr>
                  </w:pPr>
                  <w:r>
                    <w:rPr>
                      <w:rFonts w:hint="eastAsia"/>
                      <w:color w:val="auto"/>
                      <w:szCs w:val="21"/>
                      <w:lang w:eastAsia="zh-CN"/>
                    </w:rPr>
                    <w:t>0.0</w:t>
                  </w:r>
                  <w:r>
                    <w:rPr>
                      <w:rFonts w:hint="eastAsia"/>
                      <w:color w:val="auto"/>
                      <w:szCs w:val="21"/>
                      <w:lang w:val="en-US" w:eastAsia="zh-CN"/>
                    </w:rPr>
                    <w:t>3</w:t>
                  </w:r>
                  <w:r>
                    <w:rPr>
                      <w:bCs/>
                      <w:color w:val="auto"/>
                    </w:rPr>
                    <w:t>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63" w:hRule="atLeast"/>
                <w:jc w:val="center"/>
              </w:trPr>
              <w:tc>
                <w:tcPr>
                  <w:tcW w:w="473" w:type="dxa"/>
                  <w:vMerge w:val="continue"/>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pPr>
                </w:p>
              </w:tc>
              <w:tc>
                <w:tcPr>
                  <w:tcW w:w="472" w:type="dxa"/>
                  <w:vMerge w:val="continue"/>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pPr>
                </w:p>
              </w:tc>
              <w:tc>
                <w:tcPr>
                  <w:tcW w:w="1012" w:type="dxa"/>
                  <w:vMerge w:val="continue"/>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pPr>
                </w:p>
              </w:tc>
              <w:tc>
                <w:tcPr>
                  <w:tcW w:w="975" w:type="dxa"/>
                  <w:vAlign w:val="center"/>
                </w:tcPr>
                <w:p>
                  <w:pPr>
                    <w:keepNext w:val="0"/>
                    <w:keepLines w:val="0"/>
                    <w:pageBreakBefore w:val="0"/>
                    <w:widowControl/>
                    <w:kinsoku/>
                    <w:wordWrap/>
                    <w:overflowPunct/>
                    <w:topLinePunct w:val="0"/>
                    <w:autoSpaceDE/>
                    <w:autoSpaceDN/>
                    <w:bidi w:val="0"/>
                    <w:spacing w:before="63" w:beforeLines="20" w:after="63" w:afterLines="20"/>
                    <w:ind w:left="0" w:leftChars="0" w:right="0" w:rightChars="0"/>
                    <w:jc w:val="center"/>
                    <w:textAlignment w:val="center"/>
                    <w:rPr>
                      <w:bCs/>
                      <w:szCs w:val="21"/>
                    </w:rPr>
                  </w:pPr>
                  <w:r>
                    <w:rPr>
                      <w:rFonts w:hint="eastAsia"/>
                      <w:szCs w:val="21"/>
                      <w:lang w:eastAsia="zh-CN"/>
                    </w:rPr>
                    <w:t>非甲烷总烃</w:t>
                  </w:r>
                </w:p>
              </w:tc>
              <w:tc>
                <w:tcPr>
                  <w:tcW w:w="1175"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r>
                    <w:rPr>
                      <w:rFonts w:hint="eastAsia"/>
                      <w:szCs w:val="21"/>
                      <w:lang w:val="en-US" w:eastAsia="zh-CN"/>
                    </w:rPr>
                    <w:t>0.0005</w:t>
                  </w:r>
                  <w:r>
                    <w:rPr>
                      <w:szCs w:val="21"/>
                    </w:rPr>
                    <w:t>kg/h</w:t>
                  </w:r>
                </w:p>
              </w:tc>
              <w:tc>
                <w:tcPr>
                  <w:tcW w:w="966"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r>
                    <w:rPr>
                      <w:szCs w:val="21"/>
                    </w:rPr>
                    <w:t>0.0</w:t>
                  </w:r>
                  <w:r>
                    <w:rPr>
                      <w:rFonts w:hint="eastAsia"/>
                      <w:szCs w:val="21"/>
                      <w:lang w:val="en-US" w:eastAsia="zh-CN"/>
                    </w:rPr>
                    <w:t>01</w:t>
                  </w:r>
                  <w:r>
                    <w:rPr>
                      <w:bCs/>
                    </w:rPr>
                    <w:t>t/a</w:t>
                  </w:r>
                </w:p>
              </w:tc>
              <w:tc>
                <w:tcPr>
                  <w:tcW w:w="1470" w:type="dxa"/>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bCs/>
                      <w:szCs w:val="21"/>
                    </w:rPr>
                  </w:pPr>
                  <w:r>
                    <w:rPr>
                      <w:rFonts w:hint="eastAsia"/>
                      <w:bCs/>
                      <w:szCs w:val="21"/>
                    </w:rPr>
                    <w:t>/</w:t>
                  </w:r>
                </w:p>
              </w:tc>
              <w:tc>
                <w:tcPr>
                  <w:tcW w:w="1072"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r>
                    <w:rPr>
                      <w:rFonts w:hint="eastAsia"/>
                      <w:szCs w:val="21"/>
                      <w:lang w:val="en-US" w:eastAsia="zh-CN"/>
                    </w:rPr>
                    <w:t>0.0005</w:t>
                  </w:r>
                  <w:r>
                    <w:rPr>
                      <w:szCs w:val="21"/>
                    </w:rPr>
                    <w:t>kg/h</w:t>
                  </w:r>
                </w:p>
              </w:tc>
              <w:tc>
                <w:tcPr>
                  <w:tcW w:w="780"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r>
                    <w:rPr>
                      <w:szCs w:val="21"/>
                    </w:rPr>
                    <w:t>0.0</w:t>
                  </w:r>
                  <w:r>
                    <w:rPr>
                      <w:rFonts w:hint="eastAsia"/>
                      <w:szCs w:val="21"/>
                      <w:lang w:val="en-US" w:eastAsia="zh-CN"/>
                    </w:rPr>
                    <w:t>01</w:t>
                  </w:r>
                  <w:r>
                    <w:rPr>
                      <w:bCs/>
                    </w:rPr>
                    <w:t>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473" w:type="dxa"/>
                  <w:vMerge w:val="restart"/>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r>
                    <w:rPr>
                      <w:bCs/>
                      <w:szCs w:val="21"/>
                    </w:rPr>
                    <w:t>2</w:t>
                  </w:r>
                </w:p>
              </w:tc>
              <w:tc>
                <w:tcPr>
                  <w:tcW w:w="472" w:type="dxa"/>
                  <w:vMerge w:val="restart"/>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r>
                    <w:rPr>
                      <w:bCs/>
                      <w:szCs w:val="21"/>
                    </w:rPr>
                    <w:t>废水</w:t>
                  </w:r>
                </w:p>
              </w:tc>
              <w:tc>
                <w:tcPr>
                  <w:tcW w:w="1012" w:type="dxa"/>
                  <w:vMerge w:val="restart"/>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bCs/>
                      <w:szCs w:val="21"/>
                    </w:rPr>
                  </w:pPr>
                  <w:r>
                    <w:rPr>
                      <w:rFonts w:hint="eastAsia"/>
                      <w:bCs/>
                      <w:szCs w:val="21"/>
                    </w:rPr>
                    <w:t>生活污水</w:t>
                  </w:r>
                </w:p>
              </w:tc>
              <w:tc>
                <w:tcPr>
                  <w:tcW w:w="975" w:type="dxa"/>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bCs/>
                      <w:szCs w:val="21"/>
                    </w:rPr>
                  </w:pPr>
                  <w:r>
                    <w:rPr>
                      <w:bCs/>
                      <w:szCs w:val="21"/>
                    </w:rPr>
                    <w:t>污水量</w:t>
                  </w:r>
                </w:p>
              </w:tc>
              <w:tc>
                <w:tcPr>
                  <w:tcW w:w="2141" w:type="dxa"/>
                  <w:gridSpan w:val="2"/>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rFonts w:hint="eastAsia" w:eastAsia="宋体"/>
                      <w:bCs/>
                      <w:szCs w:val="21"/>
                      <w:lang w:eastAsia="zh-CN"/>
                    </w:rPr>
                  </w:pPr>
                  <w:r>
                    <w:rPr>
                      <w:rFonts w:hint="eastAsia"/>
                      <w:szCs w:val="21"/>
                      <w:lang w:eastAsia="zh-CN"/>
                    </w:rPr>
                    <w:t>600t/a</w:t>
                  </w:r>
                </w:p>
              </w:tc>
              <w:tc>
                <w:tcPr>
                  <w:tcW w:w="1470" w:type="dxa"/>
                  <w:vMerge w:val="restart"/>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szCs w:val="21"/>
                    </w:rPr>
                  </w:pPr>
                  <w:r>
                    <w:rPr>
                      <w:szCs w:val="21"/>
                    </w:rPr>
                    <w:t>化粪池</w:t>
                  </w:r>
                </w:p>
              </w:tc>
              <w:tc>
                <w:tcPr>
                  <w:tcW w:w="1852" w:type="dxa"/>
                  <w:gridSpan w:val="2"/>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szCs w:val="21"/>
                    </w:rPr>
                  </w:pPr>
                  <w:r>
                    <w:rPr>
                      <w:rFonts w:hint="eastAsia"/>
                      <w:szCs w:val="21"/>
                      <w:lang w:eastAsia="zh-CN"/>
                    </w:rPr>
                    <w:t>600t/a</w:t>
                  </w:r>
                  <w:r>
                    <w:rPr>
                      <w:szCs w:val="21"/>
                    </w:rPr>
                    <w:t>（接管）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473"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p>
              </w:tc>
              <w:tc>
                <w:tcPr>
                  <w:tcW w:w="472"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p>
              </w:tc>
              <w:tc>
                <w:tcPr>
                  <w:tcW w:w="1012" w:type="dxa"/>
                  <w:vMerge w:val="continue"/>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bCs/>
                      <w:szCs w:val="21"/>
                    </w:rPr>
                  </w:pPr>
                </w:p>
              </w:tc>
              <w:tc>
                <w:tcPr>
                  <w:tcW w:w="975"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r>
                    <w:rPr>
                      <w:szCs w:val="21"/>
                    </w:rPr>
                    <w:t>COD</w:t>
                  </w:r>
                </w:p>
              </w:tc>
              <w:tc>
                <w:tcPr>
                  <w:tcW w:w="2141" w:type="dxa"/>
                  <w:gridSpan w:val="2"/>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r>
                    <w:rPr>
                      <w:rFonts w:hint="eastAsia"/>
                      <w:szCs w:val="21"/>
                    </w:rPr>
                    <w:t>400</w:t>
                  </w:r>
                  <w:r>
                    <w:rPr>
                      <w:szCs w:val="21"/>
                      <w:lang w:val="fr-FR"/>
                    </w:rPr>
                    <w:t>mg/L，0.</w:t>
                  </w:r>
                  <w:r>
                    <w:rPr>
                      <w:rFonts w:hint="eastAsia"/>
                      <w:szCs w:val="21"/>
                      <w:lang w:val="en-US" w:eastAsia="zh-CN"/>
                    </w:rPr>
                    <w:t>2400</w:t>
                  </w:r>
                  <w:r>
                    <w:rPr>
                      <w:szCs w:val="21"/>
                      <w:lang w:val="fr-FR"/>
                    </w:rPr>
                    <w:t>t/a</w:t>
                  </w:r>
                </w:p>
              </w:tc>
              <w:tc>
                <w:tcPr>
                  <w:tcW w:w="1470" w:type="dxa"/>
                  <w:vMerge w:val="continue"/>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bCs/>
                      <w:szCs w:val="21"/>
                    </w:rPr>
                  </w:pPr>
                </w:p>
              </w:tc>
              <w:tc>
                <w:tcPr>
                  <w:tcW w:w="1852" w:type="dxa"/>
                  <w:gridSpan w:val="2"/>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szCs w:val="21"/>
                    </w:rPr>
                  </w:pPr>
                  <w:r>
                    <w:rPr>
                      <w:szCs w:val="21"/>
                    </w:rPr>
                    <w:t>3</w:t>
                  </w:r>
                  <w:r>
                    <w:rPr>
                      <w:rFonts w:hint="eastAsia"/>
                      <w:szCs w:val="21"/>
                    </w:rPr>
                    <w:t>40</w:t>
                  </w:r>
                  <w:r>
                    <w:rPr>
                      <w:szCs w:val="21"/>
                      <w:lang w:val="fr-FR"/>
                    </w:rPr>
                    <w:t>mg/L，0.</w:t>
                  </w:r>
                  <w:r>
                    <w:rPr>
                      <w:rFonts w:hint="eastAsia"/>
                      <w:szCs w:val="21"/>
                      <w:lang w:val="en-US" w:eastAsia="zh-CN"/>
                    </w:rPr>
                    <w:t>2040</w:t>
                  </w:r>
                  <w:r>
                    <w:rPr>
                      <w:szCs w:val="21"/>
                      <w:lang w:val="fr-FR"/>
                    </w:rPr>
                    <w:t>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473"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p>
              </w:tc>
              <w:tc>
                <w:tcPr>
                  <w:tcW w:w="472"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p>
              </w:tc>
              <w:tc>
                <w:tcPr>
                  <w:tcW w:w="1012" w:type="dxa"/>
                  <w:vMerge w:val="continue"/>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bCs/>
                      <w:szCs w:val="21"/>
                    </w:rPr>
                  </w:pPr>
                </w:p>
              </w:tc>
              <w:tc>
                <w:tcPr>
                  <w:tcW w:w="975"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r>
                    <w:rPr>
                      <w:szCs w:val="21"/>
                    </w:rPr>
                    <w:t>SS</w:t>
                  </w:r>
                </w:p>
              </w:tc>
              <w:tc>
                <w:tcPr>
                  <w:tcW w:w="2141" w:type="dxa"/>
                  <w:gridSpan w:val="2"/>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r>
                    <w:rPr>
                      <w:rFonts w:hint="eastAsia"/>
                      <w:szCs w:val="21"/>
                    </w:rPr>
                    <w:t>200</w:t>
                  </w:r>
                  <w:r>
                    <w:rPr>
                      <w:szCs w:val="21"/>
                      <w:lang w:val="fr-FR"/>
                    </w:rPr>
                    <w:t>mg/L，0.</w:t>
                  </w:r>
                  <w:r>
                    <w:rPr>
                      <w:rFonts w:hint="eastAsia"/>
                      <w:szCs w:val="21"/>
                      <w:lang w:val="en-US" w:eastAsia="zh-CN"/>
                    </w:rPr>
                    <w:t>1200</w:t>
                  </w:r>
                  <w:r>
                    <w:rPr>
                      <w:szCs w:val="21"/>
                      <w:lang w:val="fr-FR"/>
                    </w:rPr>
                    <w:t>t/a</w:t>
                  </w:r>
                </w:p>
              </w:tc>
              <w:tc>
                <w:tcPr>
                  <w:tcW w:w="1470" w:type="dxa"/>
                  <w:vMerge w:val="continue"/>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bCs/>
                      <w:szCs w:val="21"/>
                    </w:rPr>
                  </w:pPr>
                </w:p>
              </w:tc>
              <w:tc>
                <w:tcPr>
                  <w:tcW w:w="1852" w:type="dxa"/>
                  <w:gridSpan w:val="2"/>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szCs w:val="21"/>
                    </w:rPr>
                  </w:pPr>
                  <w:r>
                    <w:rPr>
                      <w:rFonts w:hint="eastAsia"/>
                      <w:szCs w:val="21"/>
                    </w:rPr>
                    <w:t>160</w:t>
                  </w:r>
                  <w:r>
                    <w:rPr>
                      <w:szCs w:val="21"/>
                      <w:lang w:val="fr-FR"/>
                    </w:rPr>
                    <w:t>mg/L，0.</w:t>
                  </w:r>
                  <w:r>
                    <w:rPr>
                      <w:rFonts w:hint="eastAsia"/>
                      <w:szCs w:val="21"/>
                    </w:rPr>
                    <w:t>0</w:t>
                  </w:r>
                  <w:r>
                    <w:rPr>
                      <w:rFonts w:hint="eastAsia"/>
                      <w:szCs w:val="21"/>
                      <w:lang w:val="en-US" w:eastAsia="zh-CN"/>
                    </w:rPr>
                    <w:t>960</w:t>
                  </w:r>
                  <w:r>
                    <w:rPr>
                      <w:rFonts w:hint="eastAsia"/>
                      <w:szCs w:val="21"/>
                    </w:rPr>
                    <w:t>t</w:t>
                  </w:r>
                  <w:r>
                    <w:rPr>
                      <w:szCs w:val="21"/>
                      <w:lang w:val="fr-FR"/>
                    </w:rPr>
                    <w: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473"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p>
              </w:tc>
              <w:tc>
                <w:tcPr>
                  <w:tcW w:w="472"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p>
              </w:tc>
              <w:tc>
                <w:tcPr>
                  <w:tcW w:w="1012" w:type="dxa"/>
                  <w:vMerge w:val="continue"/>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bCs/>
                      <w:szCs w:val="21"/>
                    </w:rPr>
                  </w:pPr>
                </w:p>
              </w:tc>
              <w:tc>
                <w:tcPr>
                  <w:tcW w:w="975"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r>
                    <w:rPr>
                      <w:szCs w:val="21"/>
                    </w:rPr>
                    <w:t>NH</w:t>
                  </w:r>
                  <w:r>
                    <w:rPr>
                      <w:szCs w:val="21"/>
                      <w:vertAlign w:val="subscript"/>
                    </w:rPr>
                    <w:t>3</w:t>
                  </w:r>
                  <w:r>
                    <w:rPr>
                      <w:szCs w:val="21"/>
                    </w:rPr>
                    <w:t>-N</w:t>
                  </w:r>
                </w:p>
              </w:tc>
              <w:tc>
                <w:tcPr>
                  <w:tcW w:w="2141" w:type="dxa"/>
                  <w:gridSpan w:val="2"/>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r>
                    <w:rPr>
                      <w:rFonts w:hint="eastAsia"/>
                      <w:szCs w:val="21"/>
                    </w:rPr>
                    <w:t>25</w:t>
                  </w:r>
                  <w:r>
                    <w:rPr>
                      <w:szCs w:val="21"/>
                      <w:lang w:val="fr-FR"/>
                    </w:rPr>
                    <w:t>mg/L，0.</w:t>
                  </w:r>
                  <w:r>
                    <w:rPr>
                      <w:szCs w:val="21"/>
                    </w:rPr>
                    <w:t>0</w:t>
                  </w:r>
                  <w:r>
                    <w:rPr>
                      <w:rFonts w:hint="eastAsia"/>
                      <w:szCs w:val="21"/>
                      <w:lang w:val="en-US" w:eastAsia="zh-CN"/>
                    </w:rPr>
                    <w:t>150</w:t>
                  </w:r>
                  <w:r>
                    <w:rPr>
                      <w:szCs w:val="21"/>
                      <w:lang w:val="fr-FR"/>
                    </w:rPr>
                    <w:t>t/a</w:t>
                  </w:r>
                </w:p>
              </w:tc>
              <w:tc>
                <w:tcPr>
                  <w:tcW w:w="1470" w:type="dxa"/>
                  <w:vMerge w:val="continue"/>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bCs/>
                      <w:szCs w:val="21"/>
                    </w:rPr>
                  </w:pPr>
                </w:p>
              </w:tc>
              <w:tc>
                <w:tcPr>
                  <w:tcW w:w="1852" w:type="dxa"/>
                  <w:gridSpan w:val="2"/>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szCs w:val="21"/>
                    </w:rPr>
                  </w:pPr>
                  <w:r>
                    <w:rPr>
                      <w:rFonts w:hint="eastAsia"/>
                      <w:szCs w:val="21"/>
                    </w:rPr>
                    <w:t>25</w:t>
                  </w:r>
                  <w:r>
                    <w:rPr>
                      <w:szCs w:val="21"/>
                      <w:lang w:val="fr-FR"/>
                    </w:rPr>
                    <w:t>mg/L，0.</w:t>
                  </w:r>
                  <w:r>
                    <w:rPr>
                      <w:szCs w:val="21"/>
                    </w:rPr>
                    <w:t>0</w:t>
                  </w:r>
                  <w:r>
                    <w:rPr>
                      <w:rFonts w:hint="eastAsia"/>
                      <w:szCs w:val="21"/>
                      <w:lang w:val="en-US" w:eastAsia="zh-CN"/>
                    </w:rPr>
                    <w:t>150</w:t>
                  </w:r>
                  <w:r>
                    <w:rPr>
                      <w:szCs w:val="21"/>
                      <w:lang w:val="fr-FR"/>
                    </w:rPr>
                    <w:t>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473"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p>
              </w:tc>
              <w:tc>
                <w:tcPr>
                  <w:tcW w:w="472"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p>
              </w:tc>
              <w:tc>
                <w:tcPr>
                  <w:tcW w:w="1012" w:type="dxa"/>
                  <w:vMerge w:val="continue"/>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bCs/>
                      <w:szCs w:val="21"/>
                    </w:rPr>
                  </w:pPr>
                </w:p>
              </w:tc>
              <w:tc>
                <w:tcPr>
                  <w:tcW w:w="975"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pPr>
                  <w:r>
                    <w:t>TP</w:t>
                  </w:r>
                </w:p>
              </w:tc>
              <w:tc>
                <w:tcPr>
                  <w:tcW w:w="2141" w:type="dxa"/>
                  <w:gridSpan w:val="2"/>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r>
                    <w:rPr>
                      <w:rFonts w:hint="eastAsia"/>
                      <w:szCs w:val="21"/>
                    </w:rPr>
                    <w:t>3</w:t>
                  </w:r>
                  <w:r>
                    <w:rPr>
                      <w:szCs w:val="21"/>
                      <w:lang w:val="fr-FR"/>
                    </w:rPr>
                    <w:t>mg/L，0.</w:t>
                  </w:r>
                  <w:r>
                    <w:rPr>
                      <w:rFonts w:hint="eastAsia"/>
                      <w:szCs w:val="21"/>
                      <w:lang w:val="en-US" w:eastAsia="zh-CN"/>
                    </w:rPr>
                    <w:t>0018</w:t>
                  </w:r>
                  <w:r>
                    <w:rPr>
                      <w:szCs w:val="21"/>
                      <w:lang w:val="fr-FR"/>
                    </w:rPr>
                    <w:t>t/a</w:t>
                  </w:r>
                </w:p>
              </w:tc>
              <w:tc>
                <w:tcPr>
                  <w:tcW w:w="1470" w:type="dxa"/>
                  <w:vMerge w:val="continue"/>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bCs/>
                      <w:szCs w:val="21"/>
                    </w:rPr>
                  </w:pPr>
                </w:p>
              </w:tc>
              <w:tc>
                <w:tcPr>
                  <w:tcW w:w="1852" w:type="dxa"/>
                  <w:gridSpan w:val="2"/>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szCs w:val="21"/>
                    </w:rPr>
                  </w:pPr>
                  <w:r>
                    <w:rPr>
                      <w:rFonts w:hint="eastAsia"/>
                      <w:szCs w:val="21"/>
                    </w:rPr>
                    <w:t>3</w:t>
                  </w:r>
                  <w:r>
                    <w:rPr>
                      <w:szCs w:val="21"/>
                      <w:lang w:val="fr-FR"/>
                    </w:rPr>
                    <w:t>mg/L，0.</w:t>
                  </w:r>
                  <w:r>
                    <w:rPr>
                      <w:szCs w:val="21"/>
                    </w:rPr>
                    <w:t>00</w:t>
                  </w:r>
                  <w:r>
                    <w:rPr>
                      <w:rFonts w:hint="eastAsia"/>
                      <w:szCs w:val="21"/>
                      <w:lang w:val="en-US" w:eastAsia="zh-CN"/>
                    </w:rPr>
                    <w:t>18</w:t>
                  </w:r>
                  <w:r>
                    <w:rPr>
                      <w:szCs w:val="21"/>
                      <w:lang w:val="fr-FR"/>
                    </w:rPr>
                    <w:t>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473"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p>
              </w:tc>
              <w:tc>
                <w:tcPr>
                  <w:tcW w:w="472"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p>
              </w:tc>
              <w:tc>
                <w:tcPr>
                  <w:tcW w:w="1012" w:type="dxa"/>
                  <w:vMerge w:val="continue"/>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bCs/>
                      <w:szCs w:val="21"/>
                    </w:rPr>
                  </w:pPr>
                </w:p>
              </w:tc>
              <w:tc>
                <w:tcPr>
                  <w:tcW w:w="975"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pPr>
                  <w:r>
                    <w:rPr>
                      <w:rFonts w:hint="eastAsia"/>
                    </w:rPr>
                    <w:t>TN</w:t>
                  </w:r>
                </w:p>
              </w:tc>
              <w:tc>
                <w:tcPr>
                  <w:tcW w:w="2141" w:type="dxa"/>
                  <w:gridSpan w:val="2"/>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szCs w:val="21"/>
                    </w:rPr>
                  </w:pPr>
                  <w:r>
                    <w:rPr>
                      <w:rFonts w:hint="eastAsia"/>
                      <w:szCs w:val="21"/>
                    </w:rPr>
                    <w:t>35</w:t>
                  </w:r>
                  <w:r>
                    <w:rPr>
                      <w:szCs w:val="21"/>
                      <w:lang w:val="fr-FR"/>
                    </w:rPr>
                    <w:t>mg/L，0.</w:t>
                  </w:r>
                  <w:r>
                    <w:rPr>
                      <w:szCs w:val="21"/>
                    </w:rPr>
                    <w:t>0</w:t>
                  </w:r>
                  <w:r>
                    <w:rPr>
                      <w:rFonts w:hint="eastAsia"/>
                      <w:szCs w:val="21"/>
                      <w:lang w:val="en-US" w:eastAsia="zh-CN"/>
                    </w:rPr>
                    <w:t>210</w:t>
                  </w:r>
                  <w:r>
                    <w:rPr>
                      <w:szCs w:val="21"/>
                      <w:lang w:val="fr-FR"/>
                    </w:rPr>
                    <w:t>t/a</w:t>
                  </w:r>
                </w:p>
              </w:tc>
              <w:tc>
                <w:tcPr>
                  <w:tcW w:w="1470" w:type="dxa"/>
                  <w:vMerge w:val="continue"/>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bCs/>
                      <w:szCs w:val="21"/>
                    </w:rPr>
                  </w:pPr>
                </w:p>
              </w:tc>
              <w:tc>
                <w:tcPr>
                  <w:tcW w:w="1852" w:type="dxa"/>
                  <w:gridSpan w:val="2"/>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szCs w:val="21"/>
                    </w:rPr>
                  </w:pPr>
                  <w:r>
                    <w:rPr>
                      <w:rFonts w:hint="eastAsia"/>
                      <w:szCs w:val="21"/>
                    </w:rPr>
                    <w:t>35</w:t>
                  </w:r>
                  <w:r>
                    <w:rPr>
                      <w:szCs w:val="21"/>
                      <w:lang w:val="fr-FR"/>
                    </w:rPr>
                    <w:t>mg/L，0.</w:t>
                  </w:r>
                  <w:r>
                    <w:rPr>
                      <w:szCs w:val="21"/>
                    </w:rPr>
                    <w:t>0</w:t>
                  </w:r>
                  <w:r>
                    <w:rPr>
                      <w:rFonts w:hint="eastAsia"/>
                      <w:szCs w:val="21"/>
                      <w:lang w:val="en-US" w:eastAsia="zh-CN"/>
                    </w:rPr>
                    <w:t>210</w:t>
                  </w:r>
                  <w:r>
                    <w:rPr>
                      <w:szCs w:val="21"/>
                      <w:lang w:val="fr-FR"/>
                    </w:rPr>
                    <w:t>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473" w:type="dxa"/>
                  <w:vMerge w:val="restart"/>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r>
                    <w:rPr>
                      <w:bCs/>
                      <w:szCs w:val="21"/>
                    </w:rPr>
                    <w:t>3</w:t>
                  </w:r>
                </w:p>
              </w:tc>
              <w:tc>
                <w:tcPr>
                  <w:tcW w:w="472" w:type="dxa"/>
                  <w:vMerge w:val="restart"/>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r>
                    <w:rPr>
                      <w:bCs/>
                      <w:szCs w:val="21"/>
                    </w:rPr>
                    <w:t>固废</w:t>
                  </w:r>
                </w:p>
              </w:tc>
              <w:tc>
                <w:tcPr>
                  <w:tcW w:w="1012"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r>
                    <w:rPr>
                      <w:szCs w:val="21"/>
                    </w:rPr>
                    <w:t>生活设施</w:t>
                  </w:r>
                </w:p>
              </w:tc>
              <w:tc>
                <w:tcPr>
                  <w:tcW w:w="975"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r>
                    <w:rPr>
                      <w:szCs w:val="21"/>
                    </w:rPr>
                    <w:t>生活垃圾</w:t>
                  </w:r>
                </w:p>
              </w:tc>
              <w:tc>
                <w:tcPr>
                  <w:tcW w:w="2141" w:type="dxa"/>
                  <w:gridSpan w:val="2"/>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r>
                    <w:rPr>
                      <w:rFonts w:hint="eastAsia"/>
                      <w:szCs w:val="21"/>
                      <w:lang w:val="en-US" w:eastAsia="zh-CN"/>
                    </w:rPr>
                    <w:t>7.5</w:t>
                  </w:r>
                  <w:r>
                    <w:rPr>
                      <w:szCs w:val="21"/>
                    </w:rPr>
                    <w:t>t/a</w:t>
                  </w:r>
                </w:p>
              </w:tc>
              <w:tc>
                <w:tcPr>
                  <w:tcW w:w="1470"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szCs w:val="21"/>
                    </w:rPr>
                  </w:pPr>
                  <w:r>
                    <w:rPr>
                      <w:szCs w:val="21"/>
                    </w:rPr>
                    <w:t>由环卫部门清运</w:t>
                  </w:r>
                </w:p>
              </w:tc>
              <w:tc>
                <w:tcPr>
                  <w:tcW w:w="1852" w:type="dxa"/>
                  <w:gridSpan w:val="2"/>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bCs/>
                      <w:szCs w:val="21"/>
                    </w:rPr>
                  </w:pPr>
                  <w:r>
                    <w:rPr>
                      <w:bCs/>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473"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p>
              </w:tc>
              <w:tc>
                <w:tcPr>
                  <w:tcW w:w="472"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p>
              </w:tc>
              <w:tc>
                <w:tcPr>
                  <w:tcW w:w="1012" w:type="dxa"/>
                  <w:vMerge w:val="restart"/>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r>
                    <w:rPr>
                      <w:rStyle w:val="22"/>
                      <w:rFonts w:hint="eastAsia"/>
                    </w:rPr>
                    <w:t>生产过程</w:t>
                  </w:r>
                </w:p>
              </w:tc>
              <w:tc>
                <w:tcPr>
                  <w:tcW w:w="975"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ind w:left="0" w:leftChars="0" w:right="0" w:rightChars="0"/>
                    <w:textAlignment w:val="auto"/>
                    <w:rPr>
                      <w:bCs/>
                    </w:rPr>
                  </w:pPr>
                  <w:r>
                    <w:rPr>
                      <w:rFonts w:hint="eastAsia"/>
                      <w:bCs/>
                      <w:color w:val="000000" w:themeColor="text1"/>
                      <w:lang w:eastAsia="zh-CN"/>
                      <w14:textFill>
                        <w14:solidFill>
                          <w14:schemeClr w14:val="tx1"/>
                        </w14:solidFill>
                      </w14:textFill>
                    </w:rPr>
                    <w:t>废塑粉</w:t>
                  </w:r>
                </w:p>
              </w:tc>
              <w:tc>
                <w:tcPr>
                  <w:tcW w:w="2141" w:type="dxa"/>
                  <w:gridSpan w:val="2"/>
                  <w:vAlign w:val="center"/>
                </w:tcPr>
                <w:p>
                  <w:pPr>
                    <w:pStyle w:val="39"/>
                    <w:keepNext w:val="0"/>
                    <w:keepLines w:val="0"/>
                    <w:pageBreakBefore w:val="0"/>
                    <w:widowControl w:val="0"/>
                    <w:kinsoku/>
                    <w:wordWrap/>
                    <w:overflowPunct/>
                    <w:topLinePunct w:val="0"/>
                    <w:autoSpaceDE/>
                    <w:autoSpaceDN/>
                    <w:bidi w:val="0"/>
                    <w:spacing w:before="63" w:beforeLines="20" w:after="63" w:afterLines="20"/>
                    <w:ind w:left="0" w:leftChars="0" w:right="0" w:rightChars="0"/>
                    <w:textAlignment w:val="auto"/>
                    <w:rPr>
                      <w:bCs/>
                    </w:rPr>
                  </w:pPr>
                  <w:r>
                    <w:rPr>
                      <w:rFonts w:hint="eastAsia"/>
                      <w:bCs/>
                      <w:color w:val="000000" w:themeColor="text1"/>
                      <w14:textFill>
                        <w14:solidFill>
                          <w14:schemeClr w14:val="tx1"/>
                        </w14:solidFill>
                      </w14:textFill>
                    </w:rPr>
                    <w:t>0.</w:t>
                  </w:r>
                  <w:r>
                    <w:rPr>
                      <w:rFonts w:hint="eastAsia"/>
                      <w:bCs/>
                      <w:color w:val="000000" w:themeColor="text1"/>
                      <w:lang w:val="en-US" w:eastAsia="zh-CN"/>
                      <w14:textFill>
                        <w14:solidFill>
                          <w14:schemeClr w14:val="tx1"/>
                        </w14:solidFill>
                      </w14:textFill>
                    </w:rPr>
                    <w:t>33</w:t>
                  </w:r>
                </w:p>
              </w:tc>
              <w:tc>
                <w:tcPr>
                  <w:tcW w:w="1470" w:type="dxa"/>
                  <w:vMerge w:val="restart"/>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pPr>
                  <w:r>
                    <w:rPr>
                      <w:rFonts w:hint="eastAsia"/>
                    </w:rPr>
                    <w:t>外售处置</w:t>
                  </w:r>
                </w:p>
              </w:tc>
              <w:tc>
                <w:tcPr>
                  <w:tcW w:w="1852" w:type="dxa"/>
                  <w:gridSpan w:val="2"/>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bCs/>
                      <w:szCs w:val="21"/>
                    </w:rPr>
                  </w:pPr>
                  <w:r>
                    <w:rPr>
                      <w:bCs/>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473"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p>
              </w:tc>
              <w:tc>
                <w:tcPr>
                  <w:tcW w:w="472"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p>
              </w:tc>
              <w:tc>
                <w:tcPr>
                  <w:tcW w:w="1012"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p>
              </w:tc>
              <w:tc>
                <w:tcPr>
                  <w:tcW w:w="975"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ind w:left="0" w:leftChars="0" w:right="0" w:rightChars="0"/>
                    <w:textAlignment w:val="auto"/>
                    <w:rPr>
                      <w:bCs/>
                    </w:rPr>
                  </w:pPr>
                  <w:r>
                    <w:rPr>
                      <w:rFonts w:hint="eastAsia"/>
                      <w:bCs/>
                      <w:color w:val="000000" w:themeColor="text1"/>
                      <w:lang w:eastAsia="zh-CN"/>
                      <w14:textFill>
                        <w14:solidFill>
                          <w14:schemeClr w14:val="tx1"/>
                        </w14:solidFill>
                      </w14:textFill>
                    </w:rPr>
                    <w:t>废包装材料</w:t>
                  </w:r>
                </w:p>
              </w:tc>
              <w:tc>
                <w:tcPr>
                  <w:tcW w:w="2141" w:type="dxa"/>
                  <w:gridSpan w:val="2"/>
                  <w:vAlign w:val="center"/>
                </w:tcPr>
                <w:p>
                  <w:pPr>
                    <w:pStyle w:val="39"/>
                    <w:keepNext w:val="0"/>
                    <w:keepLines w:val="0"/>
                    <w:pageBreakBefore w:val="0"/>
                    <w:widowControl w:val="0"/>
                    <w:kinsoku/>
                    <w:wordWrap/>
                    <w:overflowPunct/>
                    <w:topLinePunct w:val="0"/>
                    <w:autoSpaceDE/>
                    <w:autoSpaceDN/>
                    <w:bidi w:val="0"/>
                    <w:spacing w:before="63" w:beforeLines="20" w:after="63" w:afterLines="20"/>
                    <w:ind w:left="0" w:leftChars="0" w:right="0" w:rightChars="0"/>
                    <w:textAlignment w:val="auto"/>
                    <w:rPr>
                      <w:bCs/>
                    </w:rPr>
                  </w:pPr>
                  <w:r>
                    <w:rPr>
                      <w:rFonts w:hint="eastAsia"/>
                      <w:bCs/>
                      <w:color w:val="000000" w:themeColor="text1"/>
                      <w:lang w:val="en-US" w:eastAsia="zh-CN"/>
                      <w14:textFill>
                        <w14:solidFill>
                          <w14:schemeClr w14:val="tx1"/>
                        </w14:solidFill>
                      </w14:textFill>
                    </w:rPr>
                    <w:t>0.1</w:t>
                  </w:r>
                </w:p>
              </w:tc>
              <w:tc>
                <w:tcPr>
                  <w:tcW w:w="1470" w:type="dxa"/>
                  <w:vMerge w:val="continue"/>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pPr>
                </w:p>
              </w:tc>
              <w:tc>
                <w:tcPr>
                  <w:tcW w:w="1852" w:type="dxa"/>
                  <w:gridSpan w:val="2"/>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bCs/>
                      <w:szCs w:val="21"/>
                    </w:rPr>
                  </w:pPr>
                  <w:r>
                    <w:rPr>
                      <w:bCs/>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473"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p>
              </w:tc>
              <w:tc>
                <w:tcPr>
                  <w:tcW w:w="472"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p>
              </w:tc>
              <w:tc>
                <w:tcPr>
                  <w:tcW w:w="1012"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p>
              </w:tc>
              <w:tc>
                <w:tcPr>
                  <w:tcW w:w="975"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ind w:left="0" w:leftChars="0" w:right="0" w:rightChars="0"/>
                    <w:textAlignment w:val="auto"/>
                    <w:rPr>
                      <w:bCs/>
                      <w:color w:val="000000" w:themeColor="text1"/>
                      <w14:textFill>
                        <w14:solidFill>
                          <w14:schemeClr w14:val="tx1"/>
                        </w14:solidFill>
                      </w14:textFill>
                    </w:rPr>
                  </w:pPr>
                  <w:r>
                    <w:rPr>
                      <w:rFonts w:hint="eastAsia"/>
                      <w:bCs/>
                      <w:color w:val="000000" w:themeColor="text1"/>
                      <w:lang w:eastAsia="zh-CN"/>
                      <w14:textFill>
                        <w14:solidFill>
                          <w14:schemeClr w14:val="tx1"/>
                        </w14:solidFill>
                      </w14:textFill>
                    </w:rPr>
                    <w:t>含油抹布和手套</w:t>
                  </w:r>
                </w:p>
              </w:tc>
              <w:tc>
                <w:tcPr>
                  <w:tcW w:w="2141" w:type="dxa"/>
                  <w:gridSpan w:val="2"/>
                  <w:vAlign w:val="center"/>
                </w:tcPr>
                <w:p>
                  <w:pPr>
                    <w:pStyle w:val="39"/>
                    <w:keepNext w:val="0"/>
                    <w:keepLines w:val="0"/>
                    <w:pageBreakBefore w:val="0"/>
                    <w:widowControl w:val="0"/>
                    <w:kinsoku/>
                    <w:wordWrap/>
                    <w:overflowPunct/>
                    <w:topLinePunct w:val="0"/>
                    <w:autoSpaceDE/>
                    <w:autoSpaceDN/>
                    <w:bidi w:val="0"/>
                    <w:spacing w:before="63" w:beforeLines="20" w:after="63" w:afterLines="20"/>
                    <w:ind w:left="0" w:leftChars="0" w:right="0" w:rightChars="0"/>
                    <w:textAlignment w:val="auto"/>
                    <w:rPr>
                      <w:bCs/>
                      <w:color w:val="000000" w:themeColor="text1"/>
                      <w14:textFill>
                        <w14:solidFill>
                          <w14:schemeClr w14:val="tx1"/>
                        </w14:solidFill>
                      </w14:textFill>
                    </w:rPr>
                  </w:pPr>
                  <w:r>
                    <w:rPr>
                      <w:rFonts w:hint="eastAsia"/>
                      <w:bCs/>
                      <w:color w:val="000000" w:themeColor="text1"/>
                      <w:lang w:val="en-US" w:eastAsia="zh-CN"/>
                      <w14:textFill>
                        <w14:solidFill>
                          <w14:schemeClr w14:val="tx1"/>
                        </w14:solidFill>
                      </w14:textFill>
                    </w:rPr>
                    <w:t>0.1</w:t>
                  </w:r>
                </w:p>
              </w:tc>
              <w:tc>
                <w:tcPr>
                  <w:tcW w:w="1470" w:type="dxa"/>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rPr>
                      <w:rFonts w:hint="eastAsia" w:eastAsia="宋体"/>
                      <w:lang w:eastAsia="zh-CN"/>
                    </w:rPr>
                  </w:pPr>
                  <w:r>
                    <w:rPr>
                      <w:rFonts w:hint="eastAsia"/>
                      <w:lang w:eastAsia="zh-CN"/>
                    </w:rPr>
                    <w:t>混入生活垃圾委托环卫部门清运</w:t>
                  </w:r>
                </w:p>
              </w:tc>
              <w:tc>
                <w:tcPr>
                  <w:tcW w:w="1852" w:type="dxa"/>
                  <w:gridSpan w:val="2"/>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bCs/>
                      <w:szCs w:val="21"/>
                    </w:rPr>
                  </w:pPr>
                  <w:r>
                    <w:rPr>
                      <w:rFonts w:hint="eastAsia"/>
                      <w:bCs/>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03" w:hRule="atLeast"/>
                <w:jc w:val="center"/>
              </w:trPr>
              <w:tc>
                <w:tcPr>
                  <w:tcW w:w="473"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p>
              </w:tc>
              <w:tc>
                <w:tcPr>
                  <w:tcW w:w="472"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p>
              </w:tc>
              <w:tc>
                <w:tcPr>
                  <w:tcW w:w="1012"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p>
              </w:tc>
              <w:tc>
                <w:tcPr>
                  <w:tcW w:w="975"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ind w:left="0" w:leftChars="0" w:right="0" w:rightChars="0"/>
                    <w:textAlignment w:val="auto"/>
                  </w:pPr>
                  <w:r>
                    <w:rPr>
                      <w:rFonts w:hint="eastAsia"/>
                      <w:bCs/>
                      <w:color w:val="000000" w:themeColor="text1"/>
                      <w:lang w:eastAsia="zh-CN"/>
                      <w14:textFill>
                        <w14:solidFill>
                          <w14:schemeClr w14:val="tx1"/>
                        </w14:solidFill>
                      </w14:textFill>
                    </w:rPr>
                    <w:t>废包装桶</w:t>
                  </w:r>
                </w:p>
              </w:tc>
              <w:tc>
                <w:tcPr>
                  <w:tcW w:w="2141" w:type="dxa"/>
                  <w:gridSpan w:val="2"/>
                  <w:vAlign w:val="center"/>
                </w:tcPr>
                <w:p>
                  <w:pPr>
                    <w:pStyle w:val="39"/>
                    <w:keepNext w:val="0"/>
                    <w:keepLines w:val="0"/>
                    <w:pageBreakBefore w:val="0"/>
                    <w:widowControl w:val="0"/>
                    <w:kinsoku/>
                    <w:wordWrap/>
                    <w:overflowPunct/>
                    <w:topLinePunct w:val="0"/>
                    <w:autoSpaceDE/>
                    <w:autoSpaceDN/>
                    <w:bidi w:val="0"/>
                    <w:spacing w:before="63" w:beforeLines="20" w:after="63" w:afterLines="20"/>
                    <w:ind w:left="0" w:leftChars="0" w:right="0" w:rightChars="0"/>
                    <w:textAlignment w:val="auto"/>
                  </w:pPr>
                  <w:r>
                    <w:rPr>
                      <w:rFonts w:hint="eastAsia"/>
                      <w:bCs/>
                      <w:color w:val="000000" w:themeColor="text1"/>
                      <w:lang w:val="en-US" w:eastAsia="zh-CN"/>
                      <w14:textFill>
                        <w14:solidFill>
                          <w14:schemeClr w14:val="tx1"/>
                        </w14:solidFill>
                      </w14:textFill>
                    </w:rPr>
                    <w:t>10只/a</w:t>
                  </w:r>
                </w:p>
              </w:tc>
              <w:tc>
                <w:tcPr>
                  <w:tcW w:w="1470" w:type="dxa"/>
                  <w:vMerge w:val="restart"/>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pPr>
                  <w:r>
                    <w:rPr>
                      <w:rFonts w:hint="eastAsia"/>
                    </w:rPr>
                    <w:t>委托有资质单位处置</w:t>
                  </w:r>
                </w:p>
              </w:tc>
              <w:tc>
                <w:tcPr>
                  <w:tcW w:w="1852" w:type="dxa"/>
                  <w:gridSpan w:val="2"/>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bCs/>
                      <w:szCs w:val="21"/>
                    </w:rPr>
                  </w:pPr>
                  <w:r>
                    <w:rPr>
                      <w:bCs/>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90" w:hRule="atLeast"/>
                <w:jc w:val="center"/>
              </w:trPr>
              <w:tc>
                <w:tcPr>
                  <w:tcW w:w="473"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p>
              </w:tc>
              <w:tc>
                <w:tcPr>
                  <w:tcW w:w="472"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p>
              </w:tc>
              <w:tc>
                <w:tcPr>
                  <w:tcW w:w="1012"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bCs/>
                      <w:szCs w:val="21"/>
                    </w:rPr>
                  </w:pPr>
                </w:p>
              </w:tc>
              <w:tc>
                <w:tcPr>
                  <w:tcW w:w="975" w:type="dxa"/>
                  <w:vAlign w:val="center"/>
                </w:tcPr>
                <w:p>
                  <w:pPr>
                    <w:pStyle w:val="39"/>
                    <w:keepNext w:val="0"/>
                    <w:keepLines w:val="0"/>
                    <w:pageBreakBefore w:val="0"/>
                    <w:widowControl w:val="0"/>
                    <w:kinsoku/>
                    <w:wordWrap/>
                    <w:overflowPunct/>
                    <w:topLinePunct w:val="0"/>
                    <w:autoSpaceDE/>
                    <w:autoSpaceDN/>
                    <w:bidi w:val="0"/>
                    <w:spacing w:before="63" w:beforeLines="20" w:after="63" w:afterLines="20"/>
                    <w:ind w:left="0" w:leftChars="0" w:right="0" w:rightChars="0"/>
                    <w:textAlignment w:val="auto"/>
                  </w:pPr>
                  <w:r>
                    <w:rPr>
                      <w:rFonts w:hint="eastAsia"/>
                      <w:bCs/>
                      <w:color w:val="000000" w:themeColor="text1"/>
                      <w14:textFill>
                        <w14:solidFill>
                          <w14:schemeClr w14:val="tx1"/>
                        </w14:solidFill>
                      </w14:textFill>
                    </w:rPr>
                    <w:t>废活性炭</w:t>
                  </w:r>
                </w:p>
              </w:tc>
              <w:tc>
                <w:tcPr>
                  <w:tcW w:w="2141" w:type="dxa"/>
                  <w:gridSpan w:val="2"/>
                  <w:vAlign w:val="center"/>
                </w:tcPr>
                <w:p>
                  <w:pPr>
                    <w:pStyle w:val="39"/>
                    <w:keepNext w:val="0"/>
                    <w:keepLines w:val="0"/>
                    <w:pageBreakBefore w:val="0"/>
                    <w:widowControl w:val="0"/>
                    <w:kinsoku/>
                    <w:wordWrap/>
                    <w:overflowPunct/>
                    <w:topLinePunct w:val="0"/>
                    <w:autoSpaceDE/>
                    <w:autoSpaceDN/>
                    <w:bidi w:val="0"/>
                    <w:spacing w:before="63" w:beforeLines="20" w:after="63" w:afterLines="20"/>
                    <w:ind w:left="0" w:leftChars="0" w:right="0" w:rightChars="0"/>
                    <w:textAlignment w:val="auto"/>
                  </w:pPr>
                  <w:r>
                    <w:rPr>
                      <w:rFonts w:hint="eastAsia"/>
                      <w:bCs/>
                      <w:color w:val="000000" w:themeColor="text1"/>
                      <w:lang w:val="en-US" w:eastAsia="zh-CN"/>
                      <w14:textFill>
                        <w14:solidFill>
                          <w14:schemeClr w14:val="tx1"/>
                        </w14:solidFill>
                      </w14:textFill>
                    </w:rPr>
                    <w:t>0.826</w:t>
                  </w:r>
                </w:p>
              </w:tc>
              <w:tc>
                <w:tcPr>
                  <w:tcW w:w="1470" w:type="dxa"/>
                  <w:vMerge w:val="continue"/>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pPr>
                </w:p>
              </w:tc>
              <w:tc>
                <w:tcPr>
                  <w:tcW w:w="1852" w:type="dxa"/>
                  <w:gridSpan w:val="2"/>
                  <w:vAlign w:val="center"/>
                </w:tcPr>
                <w:p>
                  <w:pPr>
                    <w:keepNext w:val="0"/>
                    <w:keepLines w:val="0"/>
                    <w:pageBreakBefore w:val="0"/>
                    <w:tabs>
                      <w:tab w:val="left" w:pos="660"/>
                    </w:tabs>
                    <w:kinsoku/>
                    <w:wordWrap/>
                    <w:overflowPunct/>
                    <w:topLinePunct w:val="0"/>
                    <w:autoSpaceDE/>
                    <w:autoSpaceDN/>
                    <w:bidi w:val="0"/>
                    <w:spacing w:before="63" w:beforeLines="20" w:after="63" w:afterLines="20"/>
                    <w:ind w:left="0" w:leftChars="0" w:right="0" w:rightChars="0"/>
                    <w:jc w:val="center"/>
                    <w:rPr>
                      <w:bCs/>
                      <w:szCs w:val="21"/>
                    </w:rPr>
                  </w:pPr>
                  <w:r>
                    <w:rPr>
                      <w:bCs/>
                      <w:szCs w:val="21"/>
                    </w:rPr>
                    <w:t>0</w:t>
                  </w:r>
                </w:p>
              </w:tc>
            </w:tr>
          </w:tbl>
          <w:p>
            <w:pPr>
              <w:snapToGrid w:val="0"/>
              <w:spacing w:line="240" w:lineRule="atLeast"/>
              <w:jc w:val="left"/>
              <w:rPr>
                <w:b/>
                <w:sz w:val="24"/>
                <w:szCs w:val="24"/>
              </w:rPr>
            </w:pPr>
          </w:p>
          <w:p>
            <w:pPr>
              <w:spacing w:line="360" w:lineRule="auto"/>
              <w:ind w:left="420" w:leftChars="200"/>
              <w:rPr>
                <w:bCs/>
                <w:sz w:val="24"/>
                <w:szCs w:val="24"/>
              </w:rPr>
            </w:pPr>
            <w:r>
              <w:rPr>
                <w:bCs/>
                <w:sz w:val="24"/>
                <w:szCs w:val="24"/>
              </w:rPr>
              <w:t xml:space="preserve">（2）信息公开 </w:t>
            </w:r>
          </w:p>
          <w:p>
            <w:pPr>
              <w:spacing w:line="360" w:lineRule="auto"/>
              <w:ind w:firstLine="480" w:firstLineChars="200"/>
              <w:rPr>
                <w:b/>
                <w:bCs/>
                <w:szCs w:val="21"/>
              </w:rPr>
            </w:pPr>
            <w:r>
              <w:rPr>
                <w:bCs/>
                <w:sz w:val="24"/>
                <w:szCs w:val="24"/>
              </w:rPr>
              <w:t>根据</w:t>
            </w:r>
            <w:r>
              <w:rPr>
                <w:sz w:val="24"/>
                <w:szCs w:val="24"/>
              </w:rPr>
              <w:t>《中华人民共和国政府信息公开条例》、《企业事业单位环境信息公开办法》（环保部令第31号）的相关要求，企业应当及时准确地公开企业环境信息，本项目环境信息公开的内容见下表。</w:t>
            </w:r>
          </w:p>
          <w:p>
            <w:pPr>
              <w:jc w:val="center"/>
              <w:rPr>
                <w:b/>
                <w:sz w:val="24"/>
                <w:szCs w:val="24"/>
              </w:rPr>
            </w:pPr>
            <w:r>
              <w:rPr>
                <w:b/>
                <w:bCs/>
                <w:sz w:val="24"/>
                <w:szCs w:val="24"/>
              </w:rPr>
              <w:t>表8-4 环境信息公开一览表</w:t>
            </w:r>
          </w:p>
          <w:tbl>
            <w:tblPr>
              <w:tblStyle w:val="17"/>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03"/>
              <w:gridCol w:w="72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03" w:type="dxa"/>
                  <w:vAlign w:val="center"/>
                </w:tcPr>
                <w:p>
                  <w:pPr>
                    <w:spacing w:line="360" w:lineRule="auto"/>
                    <w:jc w:val="center"/>
                    <w:rPr>
                      <w:b/>
                      <w:szCs w:val="21"/>
                    </w:rPr>
                  </w:pPr>
                  <w:r>
                    <w:rPr>
                      <w:b/>
                      <w:szCs w:val="21"/>
                    </w:rPr>
                    <w:t>序号</w:t>
                  </w:r>
                </w:p>
              </w:tc>
              <w:tc>
                <w:tcPr>
                  <w:tcW w:w="7270" w:type="dxa"/>
                  <w:vAlign w:val="center"/>
                </w:tcPr>
                <w:p>
                  <w:pPr>
                    <w:spacing w:line="360" w:lineRule="auto"/>
                    <w:jc w:val="center"/>
                    <w:rPr>
                      <w:b/>
                      <w:szCs w:val="21"/>
                    </w:rPr>
                  </w:pPr>
                  <w:r>
                    <w:rPr>
                      <w:b/>
                      <w:szCs w:val="21"/>
                    </w:rPr>
                    <w:t>信息公开内容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03" w:type="dxa"/>
                  <w:vAlign w:val="center"/>
                </w:tcPr>
                <w:p>
                  <w:pPr>
                    <w:spacing w:line="360" w:lineRule="auto"/>
                    <w:jc w:val="center"/>
                    <w:rPr>
                      <w:bCs/>
                      <w:szCs w:val="21"/>
                    </w:rPr>
                  </w:pPr>
                  <w:r>
                    <w:rPr>
                      <w:bCs/>
                      <w:szCs w:val="21"/>
                    </w:rPr>
                    <w:t>1</w:t>
                  </w:r>
                </w:p>
              </w:tc>
              <w:tc>
                <w:tcPr>
                  <w:tcW w:w="7270" w:type="dxa"/>
                  <w:vAlign w:val="center"/>
                </w:tcPr>
                <w:p>
                  <w:pPr>
                    <w:spacing w:line="360" w:lineRule="auto"/>
                    <w:jc w:val="center"/>
                    <w:rPr>
                      <w:b/>
                      <w:szCs w:val="21"/>
                    </w:rPr>
                  </w:pPr>
                  <w:r>
                    <w:rPr>
                      <w:bCs/>
                      <w:szCs w:val="21"/>
                    </w:rPr>
                    <w:t>企业环境保护方针、年度环境保护目标及成效。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03" w:type="dxa"/>
                  <w:vAlign w:val="center"/>
                </w:tcPr>
                <w:p>
                  <w:pPr>
                    <w:spacing w:line="360" w:lineRule="auto"/>
                    <w:jc w:val="center"/>
                    <w:rPr>
                      <w:bCs/>
                      <w:szCs w:val="21"/>
                    </w:rPr>
                  </w:pPr>
                  <w:r>
                    <w:rPr>
                      <w:bCs/>
                      <w:szCs w:val="21"/>
                    </w:rPr>
                    <w:t>2</w:t>
                  </w:r>
                </w:p>
              </w:tc>
              <w:tc>
                <w:tcPr>
                  <w:tcW w:w="7270" w:type="dxa"/>
                  <w:vAlign w:val="center"/>
                </w:tcPr>
                <w:p>
                  <w:pPr>
                    <w:spacing w:line="360" w:lineRule="auto"/>
                    <w:jc w:val="center"/>
                    <w:rPr>
                      <w:bCs/>
                      <w:szCs w:val="21"/>
                    </w:rPr>
                  </w:pPr>
                  <w:r>
                    <w:rPr>
                      <w:bCs/>
                      <w:szCs w:val="21"/>
                    </w:rPr>
                    <w:t>企业年度资源消耗总量。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03" w:type="dxa"/>
                  <w:vAlign w:val="center"/>
                </w:tcPr>
                <w:p>
                  <w:pPr>
                    <w:spacing w:line="360" w:lineRule="auto"/>
                    <w:jc w:val="center"/>
                    <w:rPr>
                      <w:bCs/>
                      <w:szCs w:val="21"/>
                    </w:rPr>
                  </w:pPr>
                  <w:r>
                    <w:rPr>
                      <w:bCs/>
                      <w:szCs w:val="21"/>
                    </w:rPr>
                    <w:t>3</w:t>
                  </w:r>
                </w:p>
              </w:tc>
              <w:tc>
                <w:tcPr>
                  <w:tcW w:w="7270" w:type="dxa"/>
                  <w:vAlign w:val="center"/>
                </w:tcPr>
                <w:p>
                  <w:pPr>
                    <w:spacing w:line="360" w:lineRule="auto"/>
                    <w:jc w:val="center"/>
                    <w:rPr>
                      <w:bCs/>
                      <w:szCs w:val="21"/>
                    </w:rPr>
                  </w:pPr>
                  <w:r>
                    <w:rPr>
                      <w:bCs/>
                      <w:szCs w:val="21"/>
                    </w:rPr>
                    <w:t>企业排放污染物种类、数量、浓度和去向。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03" w:type="dxa"/>
                  <w:vAlign w:val="center"/>
                </w:tcPr>
                <w:p>
                  <w:pPr>
                    <w:spacing w:line="360" w:lineRule="auto"/>
                    <w:jc w:val="center"/>
                    <w:rPr>
                      <w:bCs/>
                      <w:szCs w:val="21"/>
                    </w:rPr>
                  </w:pPr>
                  <w:r>
                    <w:rPr>
                      <w:bCs/>
                      <w:szCs w:val="21"/>
                    </w:rPr>
                    <w:t>4</w:t>
                  </w:r>
                </w:p>
              </w:tc>
              <w:tc>
                <w:tcPr>
                  <w:tcW w:w="7270" w:type="dxa"/>
                  <w:vAlign w:val="center"/>
                </w:tcPr>
                <w:p>
                  <w:pPr>
                    <w:spacing w:line="360" w:lineRule="auto"/>
                    <w:jc w:val="center"/>
                    <w:rPr>
                      <w:bCs/>
                      <w:szCs w:val="21"/>
                    </w:rPr>
                  </w:pPr>
                  <w:r>
                    <w:rPr>
                      <w:bCs/>
                      <w:szCs w:val="21"/>
                    </w:rPr>
                    <w:t>企业环保投资和环境技术开发情况。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03" w:type="dxa"/>
                  <w:vAlign w:val="center"/>
                </w:tcPr>
                <w:p>
                  <w:pPr>
                    <w:spacing w:line="360" w:lineRule="auto"/>
                    <w:jc w:val="center"/>
                    <w:rPr>
                      <w:bCs/>
                      <w:szCs w:val="21"/>
                    </w:rPr>
                  </w:pPr>
                  <w:r>
                    <w:rPr>
                      <w:bCs/>
                      <w:szCs w:val="21"/>
                    </w:rPr>
                    <w:t>5</w:t>
                  </w:r>
                </w:p>
              </w:tc>
              <w:tc>
                <w:tcPr>
                  <w:tcW w:w="7270" w:type="dxa"/>
                  <w:vAlign w:val="center"/>
                </w:tcPr>
                <w:p>
                  <w:pPr>
                    <w:spacing w:line="360" w:lineRule="auto"/>
                    <w:jc w:val="center"/>
                    <w:rPr>
                      <w:bCs/>
                      <w:szCs w:val="21"/>
                    </w:rPr>
                  </w:pPr>
                  <w:r>
                    <w:rPr>
                      <w:bCs/>
                      <w:szCs w:val="21"/>
                    </w:rPr>
                    <w:t>企业环保设施的建设和运行情况。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03" w:type="dxa"/>
                  <w:vAlign w:val="center"/>
                </w:tcPr>
                <w:p>
                  <w:pPr>
                    <w:spacing w:line="360" w:lineRule="auto"/>
                    <w:jc w:val="center"/>
                    <w:rPr>
                      <w:bCs/>
                      <w:szCs w:val="21"/>
                    </w:rPr>
                  </w:pPr>
                  <w:r>
                    <w:rPr>
                      <w:bCs/>
                      <w:szCs w:val="21"/>
                    </w:rPr>
                    <w:t>6</w:t>
                  </w:r>
                </w:p>
              </w:tc>
              <w:tc>
                <w:tcPr>
                  <w:tcW w:w="7270" w:type="dxa"/>
                  <w:vAlign w:val="center"/>
                </w:tcPr>
                <w:p>
                  <w:pPr>
                    <w:spacing w:line="360" w:lineRule="auto"/>
                    <w:jc w:val="center"/>
                    <w:rPr>
                      <w:bCs/>
                      <w:szCs w:val="21"/>
                    </w:rPr>
                  </w:pPr>
                  <w:r>
                    <w:rPr>
                      <w:bCs/>
                      <w:szCs w:val="21"/>
                    </w:rPr>
                    <w:t>企业在生产过程中产生废物的处理、处置情况，废弃产品的回收、综合利用情况。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203" w:type="dxa"/>
                  <w:vAlign w:val="center"/>
                </w:tcPr>
                <w:p>
                  <w:pPr>
                    <w:spacing w:line="360" w:lineRule="auto"/>
                    <w:jc w:val="center"/>
                    <w:rPr>
                      <w:bCs/>
                      <w:szCs w:val="21"/>
                    </w:rPr>
                  </w:pPr>
                  <w:r>
                    <w:rPr>
                      <w:bCs/>
                      <w:szCs w:val="21"/>
                    </w:rPr>
                    <w:t>7</w:t>
                  </w:r>
                </w:p>
              </w:tc>
              <w:tc>
                <w:tcPr>
                  <w:tcW w:w="7270" w:type="dxa"/>
                  <w:vAlign w:val="center"/>
                </w:tcPr>
                <w:p>
                  <w:pPr>
                    <w:spacing w:line="360" w:lineRule="auto"/>
                    <w:jc w:val="center"/>
                    <w:rPr>
                      <w:bCs/>
                      <w:szCs w:val="21"/>
                    </w:rPr>
                  </w:pPr>
                  <w:r>
                    <w:rPr>
                      <w:bCs/>
                      <w:szCs w:val="21"/>
                    </w:rPr>
                    <w:t>企业自愿公开其他环境信息。</w:t>
                  </w:r>
                </w:p>
              </w:tc>
            </w:tr>
          </w:tbl>
          <w:p>
            <w:pPr>
              <w:pStyle w:val="10"/>
              <w:spacing w:before="0" w:line="360" w:lineRule="auto"/>
              <w:rPr>
                <w:rFonts w:ascii="Times New Roman"/>
                <w:b/>
                <w:spacing w:val="8"/>
                <w:kern w:val="24"/>
                <w:sz w:val="24"/>
                <w:szCs w:val="24"/>
              </w:rPr>
            </w:pPr>
            <w:r>
              <w:rPr>
                <w:rFonts w:ascii="Times New Roman"/>
                <w:b/>
                <w:spacing w:val="8"/>
                <w:kern w:val="24"/>
                <w:sz w:val="24"/>
                <w:szCs w:val="24"/>
              </w:rPr>
              <w:t>监测计划</w:t>
            </w:r>
          </w:p>
          <w:p>
            <w:pPr>
              <w:pStyle w:val="10"/>
              <w:spacing w:before="0" w:line="360" w:lineRule="auto"/>
              <w:ind w:firstLine="512" w:firstLineChars="200"/>
              <w:rPr>
                <w:rFonts w:ascii="Times New Roman"/>
                <w:bCs/>
                <w:spacing w:val="8"/>
                <w:kern w:val="24"/>
                <w:sz w:val="24"/>
                <w:szCs w:val="24"/>
              </w:rPr>
            </w:pPr>
            <w:r>
              <w:rPr>
                <w:rFonts w:ascii="Times New Roman"/>
                <w:bCs/>
                <w:spacing w:val="8"/>
                <w:kern w:val="24"/>
                <w:sz w:val="24"/>
                <w:szCs w:val="24"/>
              </w:rPr>
              <w:t>1、竣工验收监测</w:t>
            </w:r>
          </w:p>
          <w:p>
            <w:pPr>
              <w:pStyle w:val="5"/>
              <w:spacing w:line="360" w:lineRule="auto"/>
              <w:ind w:firstLine="480"/>
              <w:rPr>
                <w:sz w:val="24"/>
              </w:rPr>
            </w:pPr>
            <w:r>
              <w:rPr>
                <w:sz w:val="24"/>
              </w:rPr>
              <w:t>竣工验收监测计划主要从以下几方面入手：</w:t>
            </w:r>
          </w:p>
          <w:p>
            <w:pPr>
              <w:pStyle w:val="5"/>
              <w:spacing w:line="360" w:lineRule="auto"/>
              <w:ind w:firstLine="480"/>
              <w:rPr>
                <w:sz w:val="24"/>
              </w:rPr>
            </w:pPr>
            <w:r>
              <w:rPr>
                <w:sz w:val="24"/>
              </w:rPr>
              <w:t>①各生产装置的实际生产能力是否具备竣工验收条件。</w:t>
            </w:r>
          </w:p>
          <w:p>
            <w:pPr>
              <w:pStyle w:val="5"/>
              <w:spacing w:line="360" w:lineRule="auto"/>
              <w:ind w:firstLine="480"/>
              <w:rPr>
                <w:sz w:val="24"/>
              </w:rPr>
            </w:pPr>
            <w:r>
              <w:rPr>
                <w:sz w:val="24"/>
              </w:rPr>
              <w:t>②按照</w:t>
            </w:r>
            <w:r>
              <w:rPr>
                <w:rFonts w:hint="eastAsia"/>
                <w:sz w:val="24"/>
                <w:lang w:eastAsia="zh-CN"/>
              </w:rPr>
              <w:t>“</w:t>
            </w:r>
            <w:r>
              <w:rPr>
                <w:sz w:val="24"/>
              </w:rPr>
              <w:t>三同时</w:t>
            </w:r>
            <w:r>
              <w:rPr>
                <w:rFonts w:hint="eastAsia"/>
                <w:sz w:val="24"/>
                <w:lang w:eastAsia="zh-CN"/>
              </w:rPr>
              <w:t>”</w:t>
            </w:r>
            <w:r>
              <w:rPr>
                <w:sz w:val="24"/>
              </w:rPr>
              <w:t>要求，各项环保设施是否安装到位，运转是否正常。</w:t>
            </w:r>
          </w:p>
          <w:p>
            <w:pPr>
              <w:pStyle w:val="5"/>
              <w:spacing w:line="360" w:lineRule="auto"/>
              <w:ind w:firstLine="480"/>
              <w:rPr>
                <w:sz w:val="24"/>
              </w:rPr>
            </w:pPr>
            <w:r>
              <w:rPr>
                <w:sz w:val="24"/>
              </w:rPr>
              <w:t>③各废气采样监测。监测因子为：非甲烷总烃。监测项目为废气无组织排放浓度，排放速率。</w:t>
            </w:r>
          </w:p>
          <w:p>
            <w:pPr>
              <w:pStyle w:val="5"/>
              <w:spacing w:line="360" w:lineRule="auto"/>
              <w:ind w:firstLine="480"/>
              <w:rPr>
                <w:sz w:val="24"/>
              </w:rPr>
            </w:pPr>
            <w:r>
              <w:rPr>
                <w:sz w:val="24"/>
              </w:rPr>
              <w:t>④厂区总排口处取样监测。监测因子为：水量、pH、COD、SS、氨氮、TP、TN等。</w:t>
            </w:r>
          </w:p>
          <w:p>
            <w:pPr>
              <w:pStyle w:val="5"/>
              <w:spacing w:line="360" w:lineRule="auto"/>
              <w:ind w:firstLine="480"/>
              <w:rPr>
                <w:sz w:val="24"/>
              </w:rPr>
            </w:pPr>
            <w:r>
              <w:rPr>
                <w:sz w:val="24"/>
              </w:rPr>
              <w:t>⑤厂界噪声点布设监测，布点原则与现状监测布点一致。</w:t>
            </w:r>
          </w:p>
          <w:p>
            <w:pPr>
              <w:pStyle w:val="5"/>
              <w:spacing w:line="360" w:lineRule="auto"/>
              <w:ind w:firstLine="480"/>
              <w:rPr>
                <w:sz w:val="24"/>
              </w:rPr>
            </w:pPr>
            <w:r>
              <w:rPr>
                <w:sz w:val="24"/>
              </w:rPr>
              <w:t>⑥是否实现</w:t>
            </w:r>
            <w:r>
              <w:rPr>
                <w:rFonts w:hint="eastAsia"/>
                <w:sz w:val="24"/>
                <w:lang w:eastAsia="zh-CN"/>
              </w:rPr>
              <w:t>“</w:t>
            </w:r>
            <w:r>
              <w:rPr>
                <w:sz w:val="24"/>
              </w:rPr>
              <w:t>雨污分流</w:t>
            </w:r>
            <w:r>
              <w:rPr>
                <w:rFonts w:hint="eastAsia"/>
                <w:sz w:val="24"/>
                <w:lang w:eastAsia="zh-CN"/>
              </w:rPr>
              <w:t>”</w:t>
            </w:r>
            <w:r>
              <w:rPr>
                <w:sz w:val="24"/>
              </w:rPr>
              <w:t>，在雨水排口取样监测，监测因子为：水量、pH、COD、SS、氨氮、TP等。</w:t>
            </w:r>
          </w:p>
          <w:p>
            <w:pPr>
              <w:pStyle w:val="5"/>
              <w:spacing w:line="360" w:lineRule="auto"/>
              <w:ind w:firstLine="480"/>
              <w:rPr>
                <w:sz w:val="24"/>
              </w:rPr>
            </w:pPr>
            <w:r>
              <w:rPr>
                <w:sz w:val="24"/>
              </w:rPr>
              <w:t>⑦固体废物处理情况。</w:t>
            </w:r>
          </w:p>
          <w:p>
            <w:pPr>
              <w:pStyle w:val="5"/>
              <w:spacing w:line="360" w:lineRule="auto"/>
              <w:ind w:firstLine="480"/>
              <w:rPr>
                <w:sz w:val="24"/>
              </w:rPr>
            </w:pPr>
            <w:r>
              <w:rPr>
                <w:sz w:val="24"/>
              </w:rPr>
              <w:t>⑧污染物排放总量的核算，各指标是否控制在环评批复范围内，各排污口是否设置规范化。</w:t>
            </w:r>
          </w:p>
          <w:p>
            <w:pPr>
              <w:pStyle w:val="5"/>
              <w:spacing w:line="360" w:lineRule="auto"/>
              <w:ind w:firstLine="512"/>
              <w:rPr>
                <w:sz w:val="24"/>
              </w:rPr>
            </w:pPr>
            <w:r>
              <w:rPr>
                <w:bCs/>
                <w:spacing w:val="8"/>
                <w:kern w:val="24"/>
                <w:sz w:val="24"/>
                <w:szCs w:val="24"/>
              </w:rPr>
              <w:t>2、</w:t>
            </w:r>
            <w:r>
              <w:rPr>
                <w:sz w:val="24"/>
              </w:rPr>
              <w:t>污染源监测</w:t>
            </w:r>
          </w:p>
          <w:p>
            <w:pPr>
              <w:spacing w:line="360" w:lineRule="auto"/>
              <w:ind w:firstLine="480" w:firstLineChars="200"/>
              <w:rPr>
                <w:sz w:val="24"/>
                <w:szCs w:val="24"/>
              </w:rPr>
            </w:pPr>
            <w:r>
              <w:rPr>
                <w:sz w:val="24"/>
                <w:szCs w:val="24"/>
              </w:rPr>
              <w:t>根据《排污单位自行监测技术指南 总则》（HJ819-2017），污染源监测以排污单位自行监测为主。企业应成立相应部门，定期完成自行监测任务，若企业不具备监测条件，可委托有资质的环境监测单位进行监测。项目环境监测计划见表8-5。</w:t>
            </w:r>
          </w:p>
          <w:p>
            <w:pPr>
              <w:ind w:firstLine="480" w:firstLineChars="200"/>
              <w:jc w:val="center"/>
              <w:rPr>
                <w:b/>
                <w:sz w:val="24"/>
                <w:szCs w:val="24"/>
              </w:rPr>
            </w:pPr>
            <w:r>
              <w:rPr>
                <w:rFonts w:hint="eastAsia"/>
                <w:b/>
                <w:sz w:val="24"/>
                <w:szCs w:val="24"/>
                <w:lang w:eastAsia="zh-CN"/>
              </w:rPr>
              <w:t>表</w:t>
            </w:r>
            <w:r>
              <w:rPr>
                <w:b/>
                <w:sz w:val="24"/>
                <w:szCs w:val="24"/>
              </w:rPr>
              <w:t>8-5 项目环境监测计划表</w:t>
            </w:r>
          </w:p>
          <w:tbl>
            <w:tblPr>
              <w:tblStyle w:val="17"/>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2391"/>
              <w:gridCol w:w="2824"/>
              <w:gridCol w:w="217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85"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b/>
                      <w:szCs w:val="21"/>
                    </w:rPr>
                  </w:pPr>
                  <w:r>
                    <w:rPr>
                      <w:b/>
                      <w:szCs w:val="21"/>
                    </w:rPr>
                    <w:t>类别</w:t>
                  </w:r>
                </w:p>
              </w:tc>
              <w:tc>
                <w:tcPr>
                  <w:tcW w:w="2391"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b/>
                      <w:szCs w:val="21"/>
                    </w:rPr>
                  </w:pPr>
                  <w:r>
                    <w:rPr>
                      <w:b/>
                      <w:szCs w:val="21"/>
                    </w:rPr>
                    <w:t>监测点位</w:t>
                  </w:r>
                </w:p>
              </w:tc>
              <w:tc>
                <w:tcPr>
                  <w:tcW w:w="2824"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b/>
                      <w:szCs w:val="21"/>
                    </w:rPr>
                  </w:pPr>
                  <w:r>
                    <w:rPr>
                      <w:b/>
                      <w:szCs w:val="21"/>
                    </w:rPr>
                    <w:t>监测因子</w:t>
                  </w:r>
                </w:p>
              </w:tc>
              <w:tc>
                <w:tcPr>
                  <w:tcW w:w="2173"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b/>
                      <w:szCs w:val="21"/>
                    </w:rPr>
                  </w:pPr>
                  <w:r>
                    <w:rPr>
                      <w:b/>
                      <w:szCs w:val="21"/>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85" w:type="dxa"/>
                  <w:vMerge w:val="restart"/>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rFonts w:hint="eastAsia"/>
                      <w:szCs w:val="21"/>
                    </w:rPr>
                    <w:t>废气</w:t>
                  </w:r>
                </w:p>
              </w:tc>
              <w:tc>
                <w:tcPr>
                  <w:tcW w:w="2391"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厂界上风向设置一个监测点，下风向设置三个监测点</w:t>
                  </w:r>
                </w:p>
              </w:tc>
              <w:tc>
                <w:tcPr>
                  <w:tcW w:w="2824"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eastAsia" w:eastAsia="宋体"/>
                      <w:lang w:eastAsia="zh-CN"/>
                    </w:rPr>
                  </w:pPr>
                  <w:r>
                    <w:rPr>
                      <w:rFonts w:hint="eastAsia"/>
                    </w:rPr>
                    <w:t>颗粒物、</w:t>
                  </w:r>
                  <w:r>
                    <w:rPr>
                      <w:rFonts w:hint="eastAsia"/>
                      <w:lang w:eastAsia="zh-CN"/>
                    </w:rPr>
                    <w:t>非甲烷总烃</w:t>
                  </w:r>
                </w:p>
              </w:tc>
              <w:tc>
                <w:tcPr>
                  <w:tcW w:w="2173"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1次/年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085" w:type="dxa"/>
                  <w:vMerge w:val="continue"/>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p>
              </w:tc>
              <w:tc>
                <w:tcPr>
                  <w:tcW w:w="2391"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rFonts w:hint="eastAsia"/>
                      <w:szCs w:val="21"/>
                    </w:rPr>
                    <w:t>1#</w:t>
                  </w:r>
                  <w:r>
                    <w:rPr>
                      <w:szCs w:val="21"/>
                    </w:rPr>
                    <w:t>排气筒进口、出口</w:t>
                  </w:r>
                </w:p>
              </w:tc>
              <w:tc>
                <w:tcPr>
                  <w:tcW w:w="2824"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rFonts w:hint="default" w:eastAsia="宋体"/>
                      <w:lang w:val="en-US" w:eastAsia="zh-CN"/>
                    </w:rPr>
                  </w:pPr>
                  <w:r>
                    <w:rPr>
                      <w:rFonts w:hint="eastAsia"/>
                    </w:rPr>
                    <w:t>颗粒物、</w:t>
                  </w:r>
                  <w:r>
                    <w:rPr>
                      <w:rFonts w:hint="eastAsia"/>
                      <w:lang w:eastAsia="zh-CN"/>
                    </w:rPr>
                    <w:t>非甲烷总烃</w:t>
                  </w:r>
                  <w:r>
                    <w:rPr>
                      <w:rFonts w:hint="eastAsia"/>
                    </w:rPr>
                    <w:t>、</w:t>
                  </w:r>
                  <w:r>
                    <w:rPr>
                      <w:rFonts w:hint="eastAsia"/>
                      <w:lang w:val="en-US" w:eastAsia="zh-CN"/>
                    </w:rPr>
                    <w:t>SO</w:t>
                  </w:r>
                  <w:r>
                    <w:rPr>
                      <w:rFonts w:hint="eastAsia"/>
                      <w:vertAlign w:val="subscript"/>
                      <w:lang w:val="en-US" w:eastAsia="zh-CN"/>
                    </w:rPr>
                    <w:t>2</w:t>
                  </w:r>
                  <w:r>
                    <w:rPr>
                      <w:rFonts w:hint="eastAsia"/>
                      <w:lang w:val="en-US" w:eastAsia="zh-CN"/>
                    </w:rPr>
                    <w:t>、NOx</w:t>
                  </w:r>
                </w:p>
              </w:tc>
              <w:tc>
                <w:tcPr>
                  <w:tcW w:w="2173"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1次/年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085" w:type="dxa"/>
                  <w:vMerge w:val="continue"/>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p>
              </w:tc>
              <w:tc>
                <w:tcPr>
                  <w:tcW w:w="2391"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t>在厂房门窗或通风口、其他开口（孔）等排放口外1m，距离地面1.5m以上位置进行监测</w:t>
                  </w:r>
                </w:p>
              </w:tc>
              <w:tc>
                <w:tcPr>
                  <w:tcW w:w="2824"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pPr>
                  <w:r>
                    <w:rPr>
                      <w:rFonts w:hint="eastAsia"/>
                    </w:rPr>
                    <w:t>NMHC</w:t>
                  </w:r>
                </w:p>
              </w:tc>
              <w:tc>
                <w:tcPr>
                  <w:tcW w:w="2173"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1次/年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85"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废水</w:t>
                  </w:r>
                </w:p>
              </w:tc>
              <w:tc>
                <w:tcPr>
                  <w:tcW w:w="2391"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总排口</w:t>
                  </w:r>
                </w:p>
              </w:tc>
              <w:tc>
                <w:tcPr>
                  <w:tcW w:w="2824"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废水量、pH、COD、SS、NH</w:t>
                  </w:r>
                  <w:r>
                    <w:rPr>
                      <w:szCs w:val="21"/>
                      <w:vertAlign w:val="subscript"/>
                    </w:rPr>
                    <w:t>3</w:t>
                  </w:r>
                  <w:r>
                    <w:rPr>
                      <w:szCs w:val="21"/>
                    </w:rPr>
                    <w:t>-N、TP、TN</w:t>
                  </w:r>
                </w:p>
              </w:tc>
              <w:tc>
                <w:tcPr>
                  <w:tcW w:w="2173"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rFonts w:hint="eastAsia"/>
                      <w:szCs w:val="21"/>
                    </w:rPr>
                    <w:t>1次/年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085"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噪声</w:t>
                  </w:r>
                </w:p>
              </w:tc>
              <w:tc>
                <w:tcPr>
                  <w:tcW w:w="2391"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厂界外1m</w:t>
                  </w:r>
                </w:p>
              </w:tc>
              <w:tc>
                <w:tcPr>
                  <w:tcW w:w="2824"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等效连续A声级</w:t>
                  </w:r>
                </w:p>
              </w:tc>
              <w:tc>
                <w:tcPr>
                  <w:tcW w:w="2173" w:type="dxa"/>
                  <w:vAlign w:val="center"/>
                </w:tcPr>
                <w:p>
                  <w:pPr>
                    <w:keepNext w:val="0"/>
                    <w:keepLines w:val="0"/>
                    <w:pageBreakBefore w:val="0"/>
                    <w:widowControl w:val="0"/>
                    <w:kinsoku/>
                    <w:wordWrap/>
                    <w:overflowPunct/>
                    <w:topLinePunct w:val="0"/>
                    <w:autoSpaceDE/>
                    <w:autoSpaceDN/>
                    <w:bidi w:val="0"/>
                    <w:adjustRightInd/>
                    <w:snapToGrid/>
                    <w:spacing w:before="63" w:beforeLines="20" w:after="63" w:afterLines="20"/>
                    <w:jc w:val="center"/>
                    <w:textAlignment w:val="auto"/>
                    <w:rPr>
                      <w:szCs w:val="21"/>
                    </w:rPr>
                  </w:pPr>
                  <w:r>
                    <w:rPr>
                      <w:szCs w:val="21"/>
                    </w:rPr>
                    <w:t>1次</w:t>
                  </w:r>
                  <w:r>
                    <w:rPr>
                      <w:rFonts w:hint="eastAsia"/>
                      <w:szCs w:val="21"/>
                      <w:lang w:val="en-US" w:eastAsia="zh-CN"/>
                    </w:rPr>
                    <w:t>/</w:t>
                  </w:r>
                  <w:r>
                    <w:rPr>
                      <w:szCs w:val="21"/>
                    </w:rPr>
                    <w:t>季度</w:t>
                  </w:r>
                </w:p>
              </w:tc>
            </w:tr>
          </w:tbl>
          <w:p>
            <w:pPr>
              <w:keepNext w:val="0"/>
              <w:keepLines w:val="0"/>
              <w:pageBreakBefore w:val="0"/>
              <w:widowControl w:val="0"/>
              <w:kinsoku/>
              <w:wordWrap/>
              <w:overflowPunct/>
              <w:topLinePunct w:val="0"/>
              <w:autoSpaceDE/>
              <w:autoSpaceDN/>
              <w:bidi w:val="0"/>
              <w:adjustRightInd/>
              <w:snapToGrid/>
              <w:spacing w:before="157" w:beforeLines="50" w:line="360" w:lineRule="auto"/>
              <w:ind w:firstLine="480" w:firstLineChars="200"/>
              <w:textAlignment w:val="auto"/>
              <w:rPr>
                <w:szCs w:val="24"/>
              </w:rPr>
            </w:pPr>
            <w:r>
              <w:rPr>
                <w:sz w:val="24"/>
              </w:rPr>
              <w:t>本项目雨水、污水排放依托</w:t>
            </w:r>
            <w:r>
              <w:rPr>
                <w:sz w:val="24"/>
                <w:szCs w:val="24"/>
              </w:rPr>
              <w:t>厂区</w:t>
            </w:r>
            <w:r>
              <w:rPr>
                <w:sz w:val="24"/>
              </w:rPr>
              <w:t>现有雨、污排口，不另设雨水、污水排放口。厂区现有雨水、污水接管口需根据江苏省环保厅《江苏省排污口设置及规范化整治管理办法》进行规范化设置。</w:t>
            </w:r>
          </w:p>
        </w:tc>
      </w:tr>
    </w:tbl>
    <w:p>
      <w:pPr>
        <w:pStyle w:val="23"/>
        <w:spacing w:line="240" w:lineRule="auto"/>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建设项目拟采取的防治措施及预期治理效果</w:t>
      </w:r>
    </w:p>
    <w:tbl>
      <w:tblPr>
        <w:tblStyle w:val="17"/>
        <w:tblW w:w="907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51" w:type="dxa"/>
          <w:bottom w:w="0" w:type="dxa"/>
          <w:right w:w="51" w:type="dxa"/>
        </w:tblCellMar>
      </w:tblPr>
      <w:tblGrid>
        <w:gridCol w:w="895"/>
        <w:gridCol w:w="645"/>
        <w:gridCol w:w="901"/>
        <w:gridCol w:w="1169"/>
        <w:gridCol w:w="2971"/>
        <w:gridCol w:w="249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1" w:type="dxa"/>
            <w:bottom w:w="0" w:type="dxa"/>
            <w:right w:w="51" w:type="dxa"/>
          </w:tblCellMar>
        </w:tblPrEx>
        <w:trPr>
          <w:trHeight w:val="454" w:hRule="atLeast"/>
          <w:jc w:val="center"/>
        </w:trPr>
        <w:tc>
          <w:tcPr>
            <w:tcW w:w="895" w:type="dxa"/>
            <w:tcBorders>
              <w:top w:val="single" w:color="auto" w:sz="12" w:space="0"/>
              <w:bottom w:val="single" w:color="auto" w:sz="6" w:space="0"/>
              <w:tl2br w:val="single" w:color="auto" w:sz="6" w:space="0"/>
            </w:tcBorders>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内容</w:t>
            </w:r>
          </w:p>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类型</w:t>
            </w:r>
          </w:p>
        </w:tc>
        <w:tc>
          <w:tcPr>
            <w:tcW w:w="1546" w:type="dxa"/>
            <w:gridSpan w:val="2"/>
            <w:tcBorders>
              <w:top w:val="single" w:color="auto" w:sz="12" w:space="0"/>
              <w:bottom w:val="single" w:color="auto" w:sz="6" w:space="0"/>
            </w:tcBorders>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排放源</w:t>
            </w:r>
          </w:p>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b/>
                <w:color w:val="000000" w:themeColor="text1"/>
                <w:szCs w:val="21"/>
                <w14:textFill>
                  <w14:solidFill>
                    <w14:schemeClr w14:val="tx1"/>
                  </w14:solidFill>
                </w14:textFill>
              </w:rPr>
            </w:pPr>
            <w:r>
              <w:rPr>
                <w:rFonts w:hint="eastAsia"/>
                <w:b/>
                <w:color w:val="000000" w:themeColor="text1"/>
                <w:szCs w:val="21"/>
                <w14:textFill>
                  <w14:solidFill>
                    <w14:schemeClr w14:val="tx1"/>
                  </w14:solidFill>
                </w14:textFill>
              </w:rPr>
              <w:t>（</w:t>
            </w:r>
            <w:r>
              <w:rPr>
                <w:b/>
                <w:color w:val="000000" w:themeColor="text1"/>
                <w:szCs w:val="21"/>
                <w14:textFill>
                  <w14:solidFill>
                    <w14:schemeClr w14:val="tx1"/>
                  </w14:solidFill>
                </w14:textFill>
              </w:rPr>
              <w:t>编号</w:t>
            </w:r>
            <w:r>
              <w:rPr>
                <w:rFonts w:hint="eastAsia"/>
                <w:b/>
                <w:color w:val="000000" w:themeColor="text1"/>
                <w:szCs w:val="21"/>
                <w14:textFill>
                  <w14:solidFill>
                    <w14:schemeClr w14:val="tx1"/>
                  </w14:solidFill>
                </w14:textFill>
              </w:rPr>
              <w:t>）</w:t>
            </w:r>
          </w:p>
        </w:tc>
        <w:tc>
          <w:tcPr>
            <w:tcW w:w="1169" w:type="dxa"/>
            <w:tcBorders>
              <w:top w:val="single" w:color="auto" w:sz="12" w:space="0"/>
              <w:bottom w:val="single" w:color="auto" w:sz="6" w:space="0"/>
            </w:tcBorders>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污染物名称</w:t>
            </w:r>
          </w:p>
        </w:tc>
        <w:tc>
          <w:tcPr>
            <w:tcW w:w="2971" w:type="dxa"/>
            <w:tcBorders>
              <w:top w:val="single" w:color="auto" w:sz="12" w:space="0"/>
              <w:bottom w:val="single" w:color="auto" w:sz="6" w:space="0"/>
            </w:tcBorders>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防治措施</w:t>
            </w:r>
          </w:p>
        </w:tc>
        <w:tc>
          <w:tcPr>
            <w:tcW w:w="2491" w:type="dxa"/>
            <w:tcBorders>
              <w:top w:val="single" w:color="auto" w:sz="12" w:space="0"/>
              <w:bottom w:val="single" w:color="auto" w:sz="6" w:space="0"/>
            </w:tcBorders>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b/>
                <w:color w:val="000000" w:themeColor="text1"/>
                <w:szCs w:val="21"/>
                <w14:textFill>
                  <w14:solidFill>
                    <w14:schemeClr w14:val="tx1"/>
                  </w14:solidFill>
                </w14:textFill>
              </w:rPr>
            </w:pPr>
            <w:r>
              <w:rPr>
                <w:b/>
                <w:color w:val="000000" w:themeColor="text1"/>
                <w:szCs w:val="21"/>
                <w14:textFill>
                  <w14:solidFill>
                    <w14:schemeClr w14:val="tx1"/>
                  </w14:solidFill>
                </w14:textFill>
              </w:rPr>
              <w:t>预期治理效果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1" w:type="dxa"/>
            <w:bottom w:w="0" w:type="dxa"/>
            <w:right w:w="51" w:type="dxa"/>
          </w:tblCellMar>
        </w:tblPrEx>
        <w:trPr>
          <w:trHeight w:val="1038" w:hRule="atLeast"/>
          <w:jc w:val="center"/>
        </w:trPr>
        <w:tc>
          <w:tcPr>
            <w:tcW w:w="895" w:type="dxa"/>
            <w:vMerge w:val="restart"/>
            <w:tcBorders>
              <w:top w:val="single" w:color="auto" w:sz="6" w:space="0"/>
            </w:tcBorders>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大</w:t>
            </w:r>
          </w:p>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气</w:t>
            </w:r>
          </w:p>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污</w:t>
            </w:r>
          </w:p>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染</w:t>
            </w:r>
          </w:p>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物</w:t>
            </w:r>
          </w:p>
        </w:tc>
        <w:tc>
          <w:tcPr>
            <w:tcW w:w="645" w:type="dxa"/>
            <w:vMerge w:val="restart"/>
            <w:tcBorders>
              <w:top w:val="single" w:color="auto" w:sz="6" w:space="0"/>
            </w:tcBorders>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有组织</w:t>
            </w:r>
            <w:r>
              <w:rPr>
                <w:color w:val="000000" w:themeColor="text1"/>
                <w:szCs w:val="21"/>
                <w14:textFill>
                  <w14:solidFill>
                    <w14:schemeClr w14:val="tx1"/>
                  </w14:solidFill>
                </w14:textFill>
              </w:rPr>
              <w:t>废气</w:t>
            </w:r>
          </w:p>
        </w:tc>
        <w:tc>
          <w:tcPr>
            <w:tcW w:w="901" w:type="dxa"/>
            <w:vMerge w:val="restart"/>
            <w:tcBorders>
              <w:top w:val="single" w:color="auto" w:sz="6" w:space="0"/>
            </w:tcBorders>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排气筒1#</w:t>
            </w:r>
          </w:p>
        </w:tc>
        <w:tc>
          <w:tcPr>
            <w:tcW w:w="1169" w:type="dxa"/>
            <w:tcBorders>
              <w:top w:val="single" w:color="auto" w:sz="6" w:space="0"/>
            </w:tcBorders>
            <w:vAlign w:val="center"/>
          </w:tcPr>
          <w:p>
            <w:pPr>
              <w:keepNext w:val="0"/>
              <w:keepLines w:val="0"/>
              <w:pageBreakBefore w:val="0"/>
              <w:widowControl/>
              <w:kinsoku/>
              <w:wordWrap/>
              <w:overflowPunct/>
              <w:topLinePunct w:val="0"/>
              <w:autoSpaceDE/>
              <w:autoSpaceDN/>
              <w:bidi w:val="0"/>
              <w:spacing w:before="63" w:beforeLines="20" w:after="63" w:afterLines="20"/>
              <w:ind w:left="0" w:leftChars="0" w:right="0" w:rightChars="0"/>
              <w:jc w:val="center"/>
              <w:textAlignment w:val="center"/>
              <w:rPr>
                <w:color w:val="000000" w:themeColor="text1"/>
                <w:szCs w:val="21"/>
                <w14:textFill>
                  <w14:solidFill>
                    <w14:schemeClr w14:val="tx1"/>
                  </w14:solidFill>
                </w14:textFill>
              </w:rPr>
            </w:pPr>
            <w:r>
              <w:rPr>
                <w:rFonts w:hint="eastAsia"/>
                <w:szCs w:val="21"/>
                <w:lang w:eastAsia="zh-CN"/>
              </w:rPr>
              <w:t>非甲烷总烃</w:t>
            </w:r>
          </w:p>
        </w:tc>
        <w:tc>
          <w:tcPr>
            <w:tcW w:w="2971" w:type="dxa"/>
            <w:tcBorders>
              <w:top w:val="single" w:color="auto" w:sz="6" w:space="0"/>
            </w:tcBorders>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eastAsia="zh-CN"/>
                <w14:textFill>
                  <w14:solidFill>
                    <w14:schemeClr w14:val="tx1"/>
                  </w14:solidFill>
                </w14:textFill>
              </w:rPr>
              <w:t>“冷却器+二级活性炭吸附装置”</w:t>
            </w:r>
            <w:r>
              <w:rPr>
                <w:color w:val="000000" w:themeColor="text1"/>
                <w:szCs w:val="21"/>
                <w14:textFill>
                  <w14:solidFill>
                    <w14:schemeClr w14:val="tx1"/>
                  </w14:solidFill>
                </w14:textFill>
              </w:rPr>
              <w:t>吸附</w:t>
            </w:r>
            <w:r>
              <w:rPr>
                <w:rFonts w:hint="eastAsia"/>
                <w:color w:val="000000" w:themeColor="text1"/>
                <w:szCs w:val="21"/>
                <w14:textFill>
                  <w14:solidFill>
                    <w14:schemeClr w14:val="tx1"/>
                  </w14:solidFill>
                </w14:textFill>
              </w:rPr>
              <w:t>处理后通过1</w:t>
            </w:r>
            <w:r>
              <w:rPr>
                <w:color w:val="000000" w:themeColor="text1"/>
                <w:szCs w:val="21"/>
                <w14:textFill>
                  <w14:solidFill>
                    <w14:schemeClr w14:val="tx1"/>
                  </w14:solidFill>
                </w14:textFill>
              </w:rPr>
              <w:t>5</w:t>
            </w:r>
            <w:r>
              <w:rPr>
                <w:rFonts w:hint="eastAsia"/>
                <w:color w:val="000000" w:themeColor="text1"/>
                <w:szCs w:val="21"/>
                <w14:textFill>
                  <w14:solidFill>
                    <w14:schemeClr w14:val="tx1"/>
                  </w14:solidFill>
                </w14:textFill>
              </w:rPr>
              <w:t>米高排气筒（1#）排放</w:t>
            </w:r>
          </w:p>
        </w:tc>
        <w:tc>
          <w:tcPr>
            <w:tcW w:w="2491" w:type="dxa"/>
            <w:tcBorders>
              <w:top w:val="single" w:color="auto" w:sz="6" w:space="0"/>
            </w:tcBorders>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szCs w:val="21"/>
              </w:rPr>
            </w:pPr>
            <w:r>
              <w:rPr>
                <w:rFonts w:hint="eastAsia"/>
                <w:szCs w:val="21"/>
              </w:rPr>
              <w:t>《合成树脂工业污染物排放标准》（GB31572-2015）中相关标准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1" w:type="dxa"/>
            <w:bottom w:w="0" w:type="dxa"/>
            <w:right w:w="51" w:type="dxa"/>
          </w:tblCellMar>
        </w:tblPrEx>
        <w:trPr>
          <w:trHeight w:val="1218" w:hRule="atLeast"/>
          <w:jc w:val="center"/>
        </w:trPr>
        <w:tc>
          <w:tcPr>
            <w:tcW w:w="895"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645" w:type="dxa"/>
            <w:vMerge w:val="continue"/>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901" w:type="dxa"/>
            <w:vMerge w:val="continue"/>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1169" w:type="dxa"/>
            <w:vAlign w:val="center"/>
          </w:tcPr>
          <w:p>
            <w:pPr>
              <w:keepNext w:val="0"/>
              <w:keepLines w:val="0"/>
              <w:pageBreakBefore w:val="0"/>
              <w:widowControl/>
              <w:kinsoku/>
              <w:wordWrap/>
              <w:overflowPunct/>
              <w:topLinePunct w:val="0"/>
              <w:autoSpaceDE/>
              <w:autoSpaceDN/>
              <w:bidi w:val="0"/>
              <w:spacing w:before="63" w:beforeLines="20" w:after="63" w:afterLines="20"/>
              <w:ind w:left="0" w:leftChars="0" w:right="0" w:rightChars="0"/>
              <w:jc w:val="center"/>
              <w:textAlignment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颗粒物</w:t>
            </w:r>
          </w:p>
        </w:tc>
        <w:tc>
          <w:tcPr>
            <w:tcW w:w="2971" w:type="dxa"/>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滤芯除尘器</w:t>
            </w:r>
          </w:p>
        </w:tc>
        <w:tc>
          <w:tcPr>
            <w:tcW w:w="2491" w:type="dxa"/>
            <w:vMerge w:val="restart"/>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szCs w:val="21"/>
              </w:rPr>
            </w:pPr>
            <w:r>
              <w:rPr>
                <w:rFonts w:hint="default" w:ascii="Times New Roman" w:hAnsi="Times New Roman" w:eastAsia="宋体" w:cs="Times New Roman"/>
                <w:color w:val="auto"/>
                <w:sz w:val="21"/>
                <w:szCs w:val="21"/>
                <w:lang w:val="en-US" w:eastAsia="zh-CN"/>
              </w:rPr>
              <w:t>《工业炉窑大气污染物排放标准》（DB32/3728-2019）表1“常规大气污染物排放限值”和《长三角地区2019-2020年秋冬季大气污染综合治理攻坚行动方案》中氮氧化物排放浓度不高于50mg/m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的要求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1" w:type="dxa"/>
            <w:bottom w:w="0" w:type="dxa"/>
            <w:right w:w="51" w:type="dxa"/>
          </w:tblCellMar>
        </w:tblPrEx>
        <w:trPr>
          <w:trHeight w:val="1218" w:hRule="atLeast"/>
          <w:jc w:val="center"/>
        </w:trPr>
        <w:tc>
          <w:tcPr>
            <w:tcW w:w="895"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645" w:type="dxa"/>
            <w:vMerge w:val="continue"/>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901" w:type="dxa"/>
            <w:vMerge w:val="continue"/>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1169"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rPr>
                <w:color w:val="000000" w:themeColor="text1"/>
                <w:szCs w:val="21"/>
                <w14:textFill>
                  <w14:solidFill>
                    <w14:schemeClr w14:val="tx1"/>
                  </w14:solidFill>
                </w14:textFill>
              </w:rPr>
            </w:pPr>
            <w:r>
              <w:rPr>
                <w:rFonts w:hint="eastAsia"/>
                <w:color w:val="auto"/>
                <w:szCs w:val="21"/>
                <w:lang w:val="en-US" w:eastAsia="zh-CN"/>
              </w:rPr>
              <w:t>SO</w:t>
            </w:r>
            <w:r>
              <w:rPr>
                <w:rFonts w:hint="eastAsia"/>
                <w:color w:val="auto"/>
                <w:szCs w:val="21"/>
                <w:vertAlign w:val="subscript"/>
                <w:lang w:val="en-US" w:eastAsia="zh-CN"/>
              </w:rPr>
              <w:t>2</w:t>
            </w:r>
          </w:p>
        </w:tc>
        <w:tc>
          <w:tcPr>
            <w:tcW w:w="2971" w:type="dxa"/>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rFonts w:hint="eastAsia" w:eastAsia="宋体"/>
                <w:color w:val="000000" w:themeColor="text1"/>
                <w:szCs w:val="21"/>
                <w:lang w:val="en-US" w:eastAsia="zh-CN"/>
                <w14:textFill>
                  <w14:solidFill>
                    <w14:schemeClr w14:val="tx1"/>
                  </w14:solidFill>
                </w14:textFill>
              </w:rPr>
            </w:pPr>
            <w:r>
              <w:rPr>
                <w:rFonts w:hint="eastAsia"/>
                <w:color w:val="000000" w:themeColor="text1"/>
                <w:szCs w:val="21"/>
                <w:lang w:val="en-US" w:eastAsia="zh-CN"/>
                <w14:textFill>
                  <w14:solidFill>
                    <w14:schemeClr w14:val="tx1"/>
                  </w14:solidFill>
                </w14:textFill>
              </w:rPr>
              <w:t>/</w:t>
            </w:r>
          </w:p>
        </w:tc>
        <w:tc>
          <w:tcPr>
            <w:tcW w:w="2491"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1" w:type="dxa"/>
            <w:bottom w:w="0" w:type="dxa"/>
            <w:right w:w="51" w:type="dxa"/>
          </w:tblCellMar>
        </w:tblPrEx>
        <w:trPr>
          <w:trHeight w:val="1218" w:hRule="atLeast"/>
          <w:jc w:val="center"/>
        </w:trPr>
        <w:tc>
          <w:tcPr>
            <w:tcW w:w="895"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645" w:type="dxa"/>
            <w:vMerge w:val="continue"/>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901" w:type="dxa"/>
            <w:vMerge w:val="continue"/>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1169"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rPr>
                <w:color w:val="000000" w:themeColor="text1"/>
                <w:szCs w:val="21"/>
                <w14:textFill>
                  <w14:solidFill>
                    <w14:schemeClr w14:val="tx1"/>
                  </w14:solidFill>
                </w14:textFill>
              </w:rPr>
            </w:pPr>
            <w:r>
              <w:rPr>
                <w:rFonts w:hint="eastAsia"/>
                <w:color w:val="auto"/>
                <w:szCs w:val="21"/>
                <w:lang w:val="en-US" w:eastAsia="zh-CN"/>
              </w:rPr>
              <w:t>NOx</w:t>
            </w:r>
          </w:p>
        </w:tc>
        <w:tc>
          <w:tcPr>
            <w:tcW w:w="2971" w:type="dxa"/>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低氮燃烧装置</w:t>
            </w:r>
          </w:p>
        </w:tc>
        <w:tc>
          <w:tcPr>
            <w:tcW w:w="2491"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1" w:type="dxa"/>
            <w:bottom w:w="0" w:type="dxa"/>
            <w:right w:w="51" w:type="dxa"/>
          </w:tblCellMar>
        </w:tblPrEx>
        <w:trPr>
          <w:trHeight w:val="456" w:hRule="atLeast"/>
          <w:jc w:val="center"/>
        </w:trPr>
        <w:tc>
          <w:tcPr>
            <w:tcW w:w="895"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645" w:type="dxa"/>
            <w:vMerge w:val="restart"/>
            <w:tcBorders>
              <w:top w:val="single" w:color="auto" w:sz="6" w:space="0"/>
            </w:tcBorders>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无组织</w:t>
            </w:r>
            <w:r>
              <w:rPr>
                <w:color w:val="000000" w:themeColor="text1"/>
                <w:szCs w:val="21"/>
                <w14:textFill>
                  <w14:solidFill>
                    <w14:schemeClr w14:val="tx1"/>
                  </w14:solidFill>
                </w14:textFill>
              </w:rPr>
              <w:t>废气</w:t>
            </w:r>
          </w:p>
        </w:tc>
        <w:tc>
          <w:tcPr>
            <w:tcW w:w="901" w:type="dxa"/>
            <w:vMerge w:val="restart"/>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14:textFill>
                  <w14:solidFill>
                    <w14:schemeClr w14:val="tx1"/>
                  </w14:solidFill>
                </w14:textFill>
              </w:rPr>
              <w:t>生产车间</w:t>
            </w:r>
            <w:r>
              <w:rPr>
                <w:rFonts w:hint="eastAsia"/>
                <w:color w:val="000000" w:themeColor="text1"/>
                <w:szCs w:val="21"/>
                <w:lang w:eastAsia="zh-CN"/>
                <w14:textFill>
                  <w14:solidFill>
                    <w14:schemeClr w14:val="tx1"/>
                  </w14:solidFill>
                </w14:textFill>
              </w:rPr>
              <w:t>二</w:t>
            </w:r>
          </w:p>
        </w:tc>
        <w:tc>
          <w:tcPr>
            <w:tcW w:w="1169" w:type="dxa"/>
            <w:vAlign w:val="center"/>
          </w:tcPr>
          <w:p>
            <w:pPr>
              <w:keepNext w:val="0"/>
              <w:keepLines w:val="0"/>
              <w:pageBreakBefore w:val="0"/>
              <w:widowControl/>
              <w:kinsoku/>
              <w:wordWrap/>
              <w:overflowPunct/>
              <w:topLinePunct w:val="0"/>
              <w:autoSpaceDE/>
              <w:autoSpaceDN/>
              <w:bidi w:val="0"/>
              <w:spacing w:before="63" w:beforeLines="20" w:after="63" w:afterLines="20"/>
              <w:ind w:left="0" w:leftChars="0" w:right="0" w:rightChars="0"/>
              <w:jc w:val="center"/>
              <w:textAlignment w:val="center"/>
              <w:rPr>
                <w:color w:val="000000" w:themeColor="text1"/>
                <w:szCs w:val="21"/>
                <w14:textFill>
                  <w14:solidFill>
                    <w14:schemeClr w14:val="tx1"/>
                  </w14:solidFill>
                </w14:textFill>
              </w:rPr>
            </w:pPr>
            <w:r>
              <w:rPr>
                <w:kern w:val="0"/>
                <w:szCs w:val="21"/>
              </w:rPr>
              <w:t>颗粒物</w:t>
            </w:r>
          </w:p>
        </w:tc>
        <w:tc>
          <w:tcPr>
            <w:tcW w:w="2971" w:type="dxa"/>
            <w:vMerge w:val="restart"/>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车间通风</w:t>
            </w:r>
          </w:p>
        </w:tc>
        <w:tc>
          <w:tcPr>
            <w:tcW w:w="2491"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szCs w:val="21"/>
              </w:rPr>
            </w:pPr>
            <w:r>
              <w:rPr>
                <w:rFonts w:hint="eastAsia"/>
                <w:szCs w:val="21"/>
                <w:lang w:val="zh-CN"/>
              </w:rPr>
              <w:t>《合成树脂工业污染物排放标准》（GB31572-2015）中表</w:t>
            </w:r>
            <w:r>
              <w:rPr>
                <w:rFonts w:hint="eastAsia"/>
                <w:szCs w:val="21"/>
              </w:rPr>
              <w:t>9</w:t>
            </w:r>
            <w:r>
              <w:rPr>
                <w:rFonts w:hint="eastAsia"/>
                <w:szCs w:val="21"/>
                <w:lang w:val="zh-CN"/>
              </w:rPr>
              <w:t>相关标准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1" w:type="dxa"/>
            <w:bottom w:w="0" w:type="dxa"/>
            <w:right w:w="51" w:type="dxa"/>
          </w:tblCellMar>
        </w:tblPrEx>
        <w:trPr>
          <w:trHeight w:val="456" w:hRule="atLeast"/>
          <w:jc w:val="center"/>
        </w:trPr>
        <w:tc>
          <w:tcPr>
            <w:tcW w:w="895"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645" w:type="dxa"/>
            <w:vMerge w:val="continue"/>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901" w:type="dxa"/>
            <w:vMerge w:val="continue"/>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1169" w:type="dxa"/>
            <w:vAlign w:val="center"/>
          </w:tcPr>
          <w:p>
            <w:pPr>
              <w:keepNext w:val="0"/>
              <w:keepLines w:val="0"/>
              <w:pageBreakBefore w:val="0"/>
              <w:widowControl/>
              <w:kinsoku/>
              <w:wordWrap/>
              <w:overflowPunct/>
              <w:topLinePunct w:val="0"/>
              <w:autoSpaceDE/>
              <w:autoSpaceDN/>
              <w:bidi w:val="0"/>
              <w:spacing w:before="63" w:beforeLines="20" w:after="63" w:afterLines="20"/>
              <w:ind w:left="0" w:leftChars="0" w:right="0" w:rightChars="0"/>
              <w:jc w:val="center"/>
              <w:textAlignment w:val="center"/>
              <w:rPr>
                <w:rFonts w:hint="eastAsia" w:eastAsia="宋体"/>
                <w:color w:val="000000" w:themeColor="text1"/>
                <w:szCs w:val="21"/>
                <w:lang w:eastAsia="zh-CN"/>
                <w14:textFill>
                  <w14:solidFill>
                    <w14:schemeClr w14:val="tx1"/>
                  </w14:solidFill>
                </w14:textFill>
              </w:rPr>
            </w:pPr>
            <w:r>
              <w:rPr>
                <w:rFonts w:hint="eastAsia"/>
                <w:szCs w:val="21"/>
                <w:lang w:eastAsia="zh-CN"/>
              </w:rPr>
              <w:t>非甲烷总烃</w:t>
            </w:r>
          </w:p>
        </w:tc>
        <w:tc>
          <w:tcPr>
            <w:tcW w:w="2971" w:type="dxa"/>
            <w:vMerge w:val="continue"/>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2491"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szCs w:val="21"/>
              </w:rPr>
            </w:pPr>
            <w:r>
              <w:rPr>
                <w:rFonts w:hint="eastAsia"/>
                <w:szCs w:val="21"/>
              </w:rPr>
              <w:t>厂界：《合成树脂工业污染物排放标准》（GB31572-2015）</w:t>
            </w:r>
          </w:p>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FF0000"/>
                <w:szCs w:val="21"/>
              </w:rPr>
            </w:pPr>
            <w:r>
              <w:rPr>
                <w:rFonts w:hint="eastAsia"/>
                <w:szCs w:val="21"/>
              </w:rPr>
              <w:t>车间外：《挥发性有机物无组织排放控制标准》（GB37822-2019）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1" w:type="dxa"/>
            <w:bottom w:w="0" w:type="dxa"/>
            <w:right w:w="51" w:type="dxa"/>
          </w:tblCellMar>
        </w:tblPrEx>
        <w:trPr>
          <w:trHeight w:val="384" w:hRule="atLeast"/>
          <w:jc w:val="center"/>
        </w:trPr>
        <w:tc>
          <w:tcPr>
            <w:tcW w:w="895" w:type="dxa"/>
            <w:vMerge w:val="restart"/>
            <w:tcBorders>
              <w:top w:val="single" w:color="auto" w:sz="4" w:space="0"/>
            </w:tcBorders>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水</w:t>
            </w:r>
          </w:p>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污</w:t>
            </w:r>
          </w:p>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染</w:t>
            </w:r>
          </w:p>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物</w:t>
            </w:r>
          </w:p>
        </w:tc>
        <w:tc>
          <w:tcPr>
            <w:tcW w:w="645" w:type="dxa"/>
            <w:vMerge w:val="restart"/>
            <w:tcBorders>
              <w:top w:val="single" w:color="auto" w:sz="4" w:space="0"/>
            </w:tcBorders>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生活污水</w:t>
            </w:r>
          </w:p>
          <w:p>
            <w:pPr>
              <w:pStyle w:val="2"/>
              <w:keepNext w:val="0"/>
              <w:keepLines w:val="0"/>
              <w:pageBreakBefore w:val="0"/>
              <w:kinsoku/>
              <w:wordWrap/>
              <w:overflowPunct/>
              <w:topLinePunct w:val="0"/>
              <w:autoSpaceDE/>
              <w:autoSpaceDN/>
              <w:bidi w:val="0"/>
              <w:spacing w:before="63" w:beforeLines="20" w:after="63" w:afterLines="20"/>
              <w:ind w:left="0" w:leftChars="0" w:right="0" w:rightChars="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600t/a</w:t>
            </w:r>
          </w:p>
        </w:tc>
        <w:tc>
          <w:tcPr>
            <w:tcW w:w="901" w:type="dxa"/>
            <w:vMerge w:val="restart"/>
            <w:tcBorders>
              <w:top w:val="single" w:color="auto" w:sz="4" w:space="0"/>
            </w:tcBorders>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员工日常生活</w:t>
            </w:r>
          </w:p>
        </w:tc>
        <w:tc>
          <w:tcPr>
            <w:tcW w:w="1169" w:type="dxa"/>
            <w:tcBorders>
              <w:top w:val="single" w:color="auto" w:sz="6" w:space="0"/>
              <w:bottom w:val="single" w:color="auto" w:sz="4" w:space="0"/>
            </w:tcBorders>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COD</w:t>
            </w:r>
          </w:p>
        </w:tc>
        <w:tc>
          <w:tcPr>
            <w:tcW w:w="2971" w:type="dxa"/>
            <w:vMerge w:val="restart"/>
            <w:tcBorders>
              <w:top w:val="single" w:color="auto" w:sz="6" w:space="0"/>
            </w:tcBorders>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生活污水经</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化粪池</w:t>
            </w:r>
            <w:r>
              <w:rPr>
                <w:rFonts w:hint="eastAsia"/>
                <w:color w:val="000000" w:themeColor="text1"/>
                <w:szCs w:val="21"/>
                <w:lang w:eastAsia="zh-CN"/>
                <w14:textFill>
                  <w14:solidFill>
                    <w14:schemeClr w14:val="tx1"/>
                  </w14:solidFill>
                </w14:textFill>
              </w:rPr>
              <w:t>”</w:t>
            </w:r>
            <w:r>
              <w:rPr>
                <w:rFonts w:hint="eastAsia"/>
                <w:color w:val="000000" w:themeColor="text1"/>
                <w:szCs w:val="21"/>
                <w14:textFill>
                  <w14:solidFill>
                    <w14:schemeClr w14:val="tx1"/>
                  </w14:solidFill>
                </w14:textFill>
              </w:rPr>
              <w:t>预处理达接管要求后通依托常州中泽电力设备有限公司污水排口接入市政污水管网，最终排入常州市金坛区直溪鑫鑫污水处理厂</w:t>
            </w:r>
          </w:p>
        </w:tc>
        <w:tc>
          <w:tcPr>
            <w:tcW w:w="2491" w:type="dxa"/>
            <w:vMerge w:val="restart"/>
            <w:tcBorders>
              <w:top w:val="single" w:color="auto" w:sz="6" w:space="0"/>
            </w:tcBorders>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废水经处理后达常州市金坛区直溪鑫鑫污水处理厂接管限值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1" w:type="dxa"/>
            <w:bottom w:w="0" w:type="dxa"/>
            <w:right w:w="51" w:type="dxa"/>
          </w:tblCellMar>
        </w:tblPrEx>
        <w:trPr>
          <w:trHeight w:val="384" w:hRule="atLeast"/>
          <w:jc w:val="center"/>
        </w:trPr>
        <w:tc>
          <w:tcPr>
            <w:tcW w:w="895"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645"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901"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1169" w:type="dxa"/>
            <w:tcBorders>
              <w:top w:val="single" w:color="auto" w:sz="6" w:space="0"/>
              <w:bottom w:val="single" w:color="auto" w:sz="4" w:space="0"/>
            </w:tcBorders>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SS</w:t>
            </w:r>
          </w:p>
        </w:tc>
        <w:tc>
          <w:tcPr>
            <w:tcW w:w="2971"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2491"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1" w:type="dxa"/>
            <w:bottom w:w="0" w:type="dxa"/>
            <w:right w:w="51" w:type="dxa"/>
          </w:tblCellMar>
        </w:tblPrEx>
        <w:trPr>
          <w:trHeight w:val="384" w:hRule="atLeast"/>
          <w:jc w:val="center"/>
        </w:trPr>
        <w:tc>
          <w:tcPr>
            <w:tcW w:w="895"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645"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901"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1169" w:type="dxa"/>
            <w:tcBorders>
              <w:top w:val="single" w:color="auto" w:sz="6" w:space="0"/>
              <w:bottom w:val="single" w:color="auto" w:sz="4" w:space="0"/>
            </w:tcBorders>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NH</w:t>
            </w:r>
            <w:r>
              <w:rPr>
                <w:rFonts w:hint="eastAsia"/>
                <w:color w:val="000000" w:themeColor="text1"/>
                <w:szCs w:val="21"/>
                <w:vertAlign w:val="subscript"/>
                <w14:textFill>
                  <w14:solidFill>
                    <w14:schemeClr w14:val="tx1"/>
                  </w14:solidFill>
                </w14:textFill>
              </w:rPr>
              <w:t>3</w:t>
            </w:r>
            <w:r>
              <w:rPr>
                <w:rFonts w:hint="eastAsia"/>
                <w:color w:val="000000" w:themeColor="text1"/>
                <w:szCs w:val="21"/>
                <w14:textFill>
                  <w14:solidFill>
                    <w14:schemeClr w14:val="tx1"/>
                  </w14:solidFill>
                </w14:textFill>
              </w:rPr>
              <w:t>-N</w:t>
            </w:r>
          </w:p>
        </w:tc>
        <w:tc>
          <w:tcPr>
            <w:tcW w:w="2971"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2491"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1" w:type="dxa"/>
            <w:bottom w:w="0" w:type="dxa"/>
            <w:right w:w="51" w:type="dxa"/>
          </w:tblCellMar>
        </w:tblPrEx>
        <w:trPr>
          <w:trHeight w:val="309" w:hRule="atLeast"/>
          <w:jc w:val="center"/>
        </w:trPr>
        <w:tc>
          <w:tcPr>
            <w:tcW w:w="895"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645"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901"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1169" w:type="dxa"/>
            <w:tcBorders>
              <w:top w:val="single" w:color="auto" w:sz="6" w:space="0"/>
              <w:bottom w:val="single" w:color="auto" w:sz="4" w:space="0"/>
            </w:tcBorders>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TP</w:t>
            </w:r>
          </w:p>
        </w:tc>
        <w:tc>
          <w:tcPr>
            <w:tcW w:w="2971"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2491"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1" w:type="dxa"/>
            <w:bottom w:w="0" w:type="dxa"/>
            <w:right w:w="51" w:type="dxa"/>
          </w:tblCellMar>
        </w:tblPrEx>
        <w:trPr>
          <w:trHeight w:val="324" w:hRule="atLeast"/>
          <w:jc w:val="center"/>
        </w:trPr>
        <w:tc>
          <w:tcPr>
            <w:tcW w:w="895"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645"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901"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1169" w:type="dxa"/>
            <w:tcBorders>
              <w:top w:val="single" w:color="auto" w:sz="6" w:space="0"/>
              <w:bottom w:val="single" w:color="auto" w:sz="4" w:space="0"/>
            </w:tcBorders>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T</w:t>
            </w:r>
            <w:r>
              <w:rPr>
                <w:color w:val="000000" w:themeColor="text1"/>
                <w:szCs w:val="21"/>
                <w14:textFill>
                  <w14:solidFill>
                    <w14:schemeClr w14:val="tx1"/>
                  </w14:solidFill>
                </w14:textFill>
              </w:rPr>
              <w:t>N</w:t>
            </w:r>
          </w:p>
        </w:tc>
        <w:tc>
          <w:tcPr>
            <w:tcW w:w="2971"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2491"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1" w:type="dxa"/>
            <w:bottom w:w="0" w:type="dxa"/>
            <w:right w:w="51" w:type="dxa"/>
          </w:tblCellMar>
        </w:tblPrEx>
        <w:trPr>
          <w:trHeight w:val="354" w:hRule="atLeast"/>
          <w:jc w:val="center"/>
        </w:trPr>
        <w:tc>
          <w:tcPr>
            <w:tcW w:w="895" w:type="dxa"/>
            <w:vMerge w:val="restart"/>
            <w:tcBorders>
              <w:top w:val="single" w:color="auto" w:sz="4" w:space="0"/>
            </w:tcBorders>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rFonts w:ascii="宋体"/>
                <w:color w:val="000000" w:themeColor="text1"/>
                <w:szCs w:val="21"/>
                <w14:textFill>
                  <w14:solidFill>
                    <w14:schemeClr w14:val="tx1"/>
                  </w14:solidFill>
                </w14:textFill>
              </w:rPr>
            </w:pPr>
            <w:r>
              <w:rPr>
                <w:rFonts w:hint="eastAsia" w:ascii="宋体"/>
                <w:color w:val="000000" w:themeColor="text1"/>
                <w:szCs w:val="21"/>
                <w14:textFill>
                  <w14:solidFill>
                    <w14:schemeClr w14:val="tx1"/>
                  </w14:solidFill>
                </w14:textFill>
              </w:rPr>
              <w:t>固</w:t>
            </w:r>
          </w:p>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r>
              <w:rPr>
                <w:rFonts w:hint="eastAsia" w:ascii="宋体"/>
                <w:color w:val="000000" w:themeColor="text1"/>
                <w:szCs w:val="21"/>
                <w14:textFill>
                  <w14:solidFill>
                    <w14:schemeClr w14:val="tx1"/>
                  </w14:solidFill>
                </w14:textFill>
              </w:rPr>
              <w:t>废</w:t>
            </w:r>
          </w:p>
        </w:tc>
        <w:tc>
          <w:tcPr>
            <w:tcW w:w="1546" w:type="dxa"/>
            <w:gridSpan w:val="2"/>
            <w:vMerge w:val="restart"/>
            <w:tcBorders>
              <w:top w:val="single" w:color="auto" w:sz="4" w:space="0"/>
            </w:tcBorders>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生产过程</w:t>
            </w:r>
          </w:p>
        </w:tc>
        <w:tc>
          <w:tcPr>
            <w:tcW w:w="1169" w:type="dxa"/>
            <w:tcBorders>
              <w:top w:val="single" w:color="auto" w:sz="4" w:space="0"/>
            </w:tcBorders>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rPr>
                <w:rFonts w:hint="eastAsia" w:eastAsia="宋体"/>
                <w:color w:val="000000" w:themeColor="text1"/>
                <w:lang w:eastAsia="zh-CN"/>
                <w14:textFill>
                  <w14:solidFill>
                    <w14:schemeClr w14:val="tx1"/>
                  </w14:solidFill>
                </w14:textFill>
              </w:rPr>
            </w:pPr>
            <w:r>
              <w:rPr>
                <w:rFonts w:hint="eastAsia"/>
                <w:bCs/>
                <w:color w:val="000000" w:themeColor="text1"/>
                <w14:textFill>
                  <w14:solidFill>
                    <w14:schemeClr w14:val="tx1"/>
                  </w14:solidFill>
                </w14:textFill>
              </w:rPr>
              <w:t>废</w:t>
            </w:r>
            <w:r>
              <w:rPr>
                <w:rFonts w:hint="eastAsia"/>
                <w:bCs/>
                <w:color w:val="000000" w:themeColor="text1"/>
                <w:lang w:eastAsia="zh-CN"/>
                <w14:textFill>
                  <w14:solidFill>
                    <w14:schemeClr w14:val="tx1"/>
                  </w14:solidFill>
                </w14:textFill>
              </w:rPr>
              <w:t>塑粉</w:t>
            </w:r>
          </w:p>
        </w:tc>
        <w:tc>
          <w:tcPr>
            <w:tcW w:w="2971" w:type="dxa"/>
            <w:vMerge w:val="restart"/>
            <w:tcBorders>
              <w:top w:val="single" w:color="auto" w:sz="4" w:space="0"/>
            </w:tcBorders>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外售相关单位</w:t>
            </w:r>
          </w:p>
        </w:tc>
        <w:tc>
          <w:tcPr>
            <w:tcW w:w="2491" w:type="dxa"/>
            <w:vMerge w:val="restart"/>
            <w:tcBorders>
              <w:top w:val="single" w:color="auto" w:sz="4" w:space="0"/>
            </w:tcBorders>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均得到有效的处理及处置</w:t>
            </w:r>
            <w:r>
              <w:rPr>
                <w:rFonts w:hint="eastAsia"/>
                <w:color w:val="000000" w:themeColor="text1"/>
                <w:szCs w:val="21"/>
                <w14:textFill>
                  <w14:solidFill>
                    <w14:schemeClr w14:val="tx1"/>
                  </w14:solidFill>
                </w14:textFill>
              </w:rPr>
              <w:t>，固废零排放。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1" w:type="dxa"/>
            <w:bottom w:w="0" w:type="dxa"/>
            <w:right w:w="51" w:type="dxa"/>
          </w:tblCellMar>
        </w:tblPrEx>
        <w:trPr>
          <w:trHeight w:val="379" w:hRule="atLeast"/>
          <w:jc w:val="center"/>
        </w:trPr>
        <w:tc>
          <w:tcPr>
            <w:tcW w:w="895"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1546" w:type="dxa"/>
            <w:gridSpan w:val="2"/>
            <w:vMerge w:val="continue"/>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rPr>
                <w:bCs/>
                <w:color w:val="000000" w:themeColor="text1"/>
                <w14:textFill>
                  <w14:solidFill>
                    <w14:schemeClr w14:val="tx1"/>
                  </w14:solidFill>
                </w14:textFill>
              </w:rPr>
            </w:pPr>
          </w:p>
        </w:tc>
        <w:tc>
          <w:tcPr>
            <w:tcW w:w="1169" w:type="dxa"/>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rPr>
                <w:rFonts w:hint="eastAsia" w:eastAsia="宋体"/>
                <w:color w:val="000000" w:themeColor="text1"/>
                <w:lang w:eastAsia="zh-CN"/>
                <w14:textFill>
                  <w14:solidFill>
                    <w14:schemeClr w14:val="tx1"/>
                  </w14:solidFill>
                </w14:textFill>
              </w:rPr>
            </w:pPr>
            <w:r>
              <w:rPr>
                <w:rFonts w:hint="eastAsia"/>
                <w:bCs/>
                <w:color w:val="000000" w:themeColor="text1"/>
                <w:lang w:eastAsia="zh-CN"/>
                <w14:textFill>
                  <w14:solidFill>
                    <w14:schemeClr w14:val="tx1"/>
                  </w14:solidFill>
                </w14:textFill>
              </w:rPr>
              <w:t>废包装材料</w:t>
            </w:r>
          </w:p>
        </w:tc>
        <w:tc>
          <w:tcPr>
            <w:tcW w:w="2971" w:type="dxa"/>
            <w:vMerge w:val="continue"/>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rPr>
                <w:color w:val="000000" w:themeColor="text1"/>
                <w14:textFill>
                  <w14:solidFill>
                    <w14:schemeClr w14:val="tx1"/>
                  </w14:solidFill>
                </w14:textFill>
              </w:rPr>
            </w:pPr>
          </w:p>
        </w:tc>
        <w:tc>
          <w:tcPr>
            <w:tcW w:w="2491"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1" w:type="dxa"/>
            <w:bottom w:w="0" w:type="dxa"/>
            <w:right w:w="51" w:type="dxa"/>
          </w:tblCellMar>
        </w:tblPrEx>
        <w:trPr>
          <w:trHeight w:val="409" w:hRule="atLeast"/>
          <w:jc w:val="center"/>
        </w:trPr>
        <w:tc>
          <w:tcPr>
            <w:tcW w:w="895"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1546" w:type="dxa"/>
            <w:gridSpan w:val="2"/>
            <w:vMerge w:val="continue"/>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rPr>
                <w:bCs/>
                <w:color w:val="000000" w:themeColor="text1"/>
                <w14:textFill>
                  <w14:solidFill>
                    <w14:schemeClr w14:val="tx1"/>
                  </w14:solidFill>
                </w14:textFill>
              </w:rPr>
            </w:pPr>
          </w:p>
        </w:tc>
        <w:tc>
          <w:tcPr>
            <w:tcW w:w="1169" w:type="dxa"/>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rPr>
                <w:rFonts w:hint="eastAsia" w:eastAsia="宋体"/>
                <w:bCs/>
                <w:color w:val="000000" w:themeColor="text1"/>
                <w:lang w:eastAsia="zh-CN"/>
                <w14:textFill>
                  <w14:solidFill>
                    <w14:schemeClr w14:val="tx1"/>
                  </w14:solidFill>
                </w14:textFill>
              </w:rPr>
            </w:pPr>
            <w:r>
              <w:rPr>
                <w:rFonts w:hint="eastAsia"/>
                <w:bCs/>
                <w:color w:val="000000" w:themeColor="text1"/>
                <w:lang w:eastAsia="zh-CN"/>
                <w14:textFill>
                  <w14:solidFill>
                    <w14:schemeClr w14:val="tx1"/>
                  </w14:solidFill>
                </w14:textFill>
              </w:rPr>
              <w:t>含油抹布和手套</w:t>
            </w:r>
          </w:p>
        </w:tc>
        <w:tc>
          <w:tcPr>
            <w:tcW w:w="2971"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rFonts w:hint="eastAsia" w:eastAsia="宋体"/>
                <w:color w:val="000000" w:themeColor="text1"/>
                <w:szCs w:val="21"/>
                <w:lang w:eastAsia="zh-CN"/>
                <w14:textFill>
                  <w14:solidFill>
                    <w14:schemeClr w14:val="tx1"/>
                  </w14:solidFill>
                </w14:textFill>
              </w:rPr>
            </w:pPr>
            <w:r>
              <w:rPr>
                <w:rFonts w:hint="eastAsia"/>
                <w:color w:val="000000" w:themeColor="text1"/>
                <w:szCs w:val="21"/>
                <w:lang w:eastAsia="zh-CN"/>
                <w14:textFill>
                  <w14:solidFill>
                    <w14:schemeClr w14:val="tx1"/>
                  </w14:solidFill>
                </w14:textFill>
              </w:rPr>
              <w:t>混入生活垃圾，委托有资质单位处置</w:t>
            </w:r>
          </w:p>
        </w:tc>
        <w:tc>
          <w:tcPr>
            <w:tcW w:w="2491"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1" w:type="dxa"/>
            <w:bottom w:w="0" w:type="dxa"/>
            <w:right w:w="51" w:type="dxa"/>
          </w:tblCellMar>
        </w:tblPrEx>
        <w:trPr>
          <w:trHeight w:val="409" w:hRule="atLeast"/>
          <w:jc w:val="center"/>
        </w:trPr>
        <w:tc>
          <w:tcPr>
            <w:tcW w:w="895"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1546" w:type="dxa"/>
            <w:gridSpan w:val="2"/>
            <w:vMerge w:val="continue"/>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rPr>
                <w:bCs/>
                <w:color w:val="000000" w:themeColor="text1"/>
                <w14:textFill>
                  <w14:solidFill>
                    <w14:schemeClr w14:val="tx1"/>
                  </w14:solidFill>
                </w14:textFill>
              </w:rPr>
            </w:pPr>
          </w:p>
        </w:tc>
        <w:tc>
          <w:tcPr>
            <w:tcW w:w="1169" w:type="dxa"/>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rPr>
                <w:color w:val="000000" w:themeColor="text1"/>
                <w14:textFill>
                  <w14:solidFill>
                    <w14:schemeClr w14:val="tx1"/>
                  </w14:solidFill>
                </w14:textFill>
              </w:rPr>
            </w:pPr>
            <w:r>
              <w:rPr>
                <w:rFonts w:hint="eastAsia"/>
                <w:bCs/>
                <w:color w:val="000000" w:themeColor="text1"/>
                <w14:textFill>
                  <w14:solidFill>
                    <w14:schemeClr w14:val="tx1"/>
                  </w14:solidFill>
                </w14:textFill>
              </w:rPr>
              <w:t>废包装桶</w:t>
            </w:r>
          </w:p>
        </w:tc>
        <w:tc>
          <w:tcPr>
            <w:tcW w:w="2971" w:type="dxa"/>
            <w:vMerge w:val="restart"/>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委托有资质单位处置</w:t>
            </w:r>
          </w:p>
        </w:tc>
        <w:tc>
          <w:tcPr>
            <w:tcW w:w="2491"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1" w:type="dxa"/>
            <w:bottom w:w="0" w:type="dxa"/>
            <w:right w:w="51" w:type="dxa"/>
          </w:tblCellMar>
        </w:tblPrEx>
        <w:trPr>
          <w:trHeight w:val="364" w:hRule="atLeast"/>
          <w:jc w:val="center"/>
        </w:trPr>
        <w:tc>
          <w:tcPr>
            <w:tcW w:w="895"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1546" w:type="dxa"/>
            <w:gridSpan w:val="2"/>
            <w:vMerge w:val="continue"/>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rPr>
                <w:bCs/>
                <w:color w:val="000000" w:themeColor="text1"/>
                <w14:textFill>
                  <w14:solidFill>
                    <w14:schemeClr w14:val="tx1"/>
                  </w14:solidFill>
                </w14:textFill>
              </w:rPr>
            </w:pPr>
          </w:p>
        </w:tc>
        <w:tc>
          <w:tcPr>
            <w:tcW w:w="1169" w:type="dxa"/>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rPr>
                <w:bCs/>
                <w:color w:val="000000" w:themeColor="text1"/>
                <w14:textFill>
                  <w14:solidFill>
                    <w14:schemeClr w14:val="tx1"/>
                  </w14:solidFill>
                </w14:textFill>
              </w:rPr>
            </w:pPr>
            <w:r>
              <w:rPr>
                <w:rFonts w:hint="eastAsia"/>
                <w:bCs/>
                <w:color w:val="000000" w:themeColor="text1"/>
                <w14:textFill>
                  <w14:solidFill>
                    <w14:schemeClr w14:val="tx1"/>
                  </w14:solidFill>
                </w14:textFill>
              </w:rPr>
              <w:t>废活性炭</w:t>
            </w:r>
          </w:p>
        </w:tc>
        <w:tc>
          <w:tcPr>
            <w:tcW w:w="2971"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2491"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1" w:type="dxa"/>
            <w:bottom w:w="0" w:type="dxa"/>
            <w:right w:w="51" w:type="dxa"/>
          </w:tblCellMar>
        </w:tblPrEx>
        <w:trPr>
          <w:trHeight w:val="454" w:hRule="atLeast"/>
          <w:jc w:val="center"/>
        </w:trPr>
        <w:tc>
          <w:tcPr>
            <w:tcW w:w="895"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c>
          <w:tcPr>
            <w:tcW w:w="1546" w:type="dxa"/>
            <w:gridSpan w:val="2"/>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rPr>
                <w:color w:val="000000" w:themeColor="text1"/>
                <w14:textFill>
                  <w14:solidFill>
                    <w14:schemeClr w14:val="tx1"/>
                  </w14:solidFill>
                </w14:textFill>
              </w:rPr>
            </w:pPr>
            <w:r>
              <w:rPr>
                <w:rFonts w:hint="eastAsia"/>
                <w:bCs/>
                <w:color w:val="000000" w:themeColor="text1"/>
                <w14:textFill>
                  <w14:solidFill>
                    <w14:schemeClr w14:val="tx1"/>
                  </w14:solidFill>
                </w14:textFill>
              </w:rPr>
              <w:t>员工日常生活</w:t>
            </w:r>
          </w:p>
        </w:tc>
        <w:tc>
          <w:tcPr>
            <w:tcW w:w="1169" w:type="dxa"/>
            <w:vAlign w:val="center"/>
          </w:tcPr>
          <w:p>
            <w:pPr>
              <w:pStyle w:val="39"/>
              <w:keepNext w:val="0"/>
              <w:keepLines w:val="0"/>
              <w:pageBreakBefore w:val="0"/>
              <w:kinsoku/>
              <w:wordWrap/>
              <w:overflowPunct/>
              <w:topLinePunct w:val="0"/>
              <w:autoSpaceDE/>
              <w:autoSpaceDN/>
              <w:bidi w:val="0"/>
              <w:spacing w:before="63" w:beforeLines="20" w:after="63" w:afterLines="20"/>
              <w:ind w:left="0" w:leftChars="0" w:right="0" w:rightChars="0"/>
              <w:rPr>
                <w:color w:val="000000" w:themeColor="text1"/>
                <w14:textFill>
                  <w14:solidFill>
                    <w14:schemeClr w14:val="tx1"/>
                  </w14:solidFill>
                </w14:textFill>
              </w:rPr>
            </w:pPr>
            <w:r>
              <w:rPr>
                <w:color w:val="000000" w:themeColor="text1"/>
                <w14:textFill>
                  <w14:solidFill>
                    <w14:schemeClr w14:val="tx1"/>
                  </w14:solidFill>
                </w14:textFill>
              </w:rPr>
              <w:t>生活垃圾</w:t>
            </w:r>
          </w:p>
        </w:tc>
        <w:tc>
          <w:tcPr>
            <w:tcW w:w="2971"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委托</w:t>
            </w:r>
            <w:r>
              <w:rPr>
                <w:color w:val="000000" w:themeColor="text1"/>
                <w:szCs w:val="21"/>
                <w14:textFill>
                  <w14:solidFill>
                    <w14:schemeClr w14:val="tx1"/>
                  </w14:solidFill>
                </w14:textFill>
              </w:rPr>
              <w:t>环卫部门清运</w:t>
            </w:r>
          </w:p>
        </w:tc>
        <w:tc>
          <w:tcPr>
            <w:tcW w:w="2491"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rPr>
                <w:color w:val="000000" w:themeColor="text1"/>
                <w:szCs w:val="21"/>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1" w:type="dxa"/>
            <w:bottom w:w="0" w:type="dxa"/>
            <w:right w:w="51" w:type="dxa"/>
          </w:tblCellMar>
        </w:tblPrEx>
        <w:trPr>
          <w:trHeight w:val="454" w:hRule="atLeast"/>
          <w:jc w:val="center"/>
        </w:trPr>
        <w:tc>
          <w:tcPr>
            <w:tcW w:w="895" w:type="dxa"/>
            <w:tcBorders>
              <w:top w:val="single" w:color="auto" w:sz="6" w:space="0"/>
            </w:tcBorders>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噪</w:t>
            </w:r>
          </w:p>
          <w:p>
            <w:pPr>
              <w:keepNext w:val="0"/>
              <w:keepLines w:val="0"/>
              <w:pageBreakBefore w:val="0"/>
              <w:kinsoku/>
              <w:wordWrap/>
              <w:overflowPunct/>
              <w:topLinePunct w:val="0"/>
              <w:autoSpaceDE/>
              <w:autoSpaceDN/>
              <w:bidi w:val="0"/>
              <w:snapToGrid w:val="0"/>
              <w:spacing w:before="63" w:beforeLines="20" w:after="63" w:afterLines="20"/>
              <w:ind w:left="0" w:leftChars="0" w:right="0" w:rightChars="0"/>
              <w:jc w:val="center"/>
              <w:rPr>
                <w:color w:val="000000" w:themeColor="text1"/>
                <w:szCs w:val="21"/>
                <w14:textFill>
                  <w14:solidFill>
                    <w14:schemeClr w14:val="tx1"/>
                  </w14:solidFill>
                </w14:textFill>
              </w:rPr>
            </w:pPr>
            <w:r>
              <w:rPr>
                <w:color w:val="000000" w:themeColor="text1"/>
                <w:szCs w:val="21"/>
                <w14:textFill>
                  <w14:solidFill>
                    <w14:schemeClr w14:val="tx1"/>
                  </w14:solidFill>
                </w14:textFill>
              </w:rPr>
              <w:t>声</w:t>
            </w:r>
          </w:p>
        </w:tc>
        <w:tc>
          <w:tcPr>
            <w:tcW w:w="8177" w:type="dxa"/>
            <w:gridSpan w:val="5"/>
            <w:tcBorders>
              <w:top w:val="single" w:color="auto" w:sz="6" w:space="0"/>
            </w:tcBorders>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rPr>
                <w:color w:val="000000" w:themeColor="text1"/>
                <w:szCs w:val="21"/>
                <w14:textFill>
                  <w14:solidFill>
                    <w14:schemeClr w14:val="tx1"/>
                  </w14:solidFill>
                </w14:textFill>
              </w:rPr>
            </w:pPr>
            <w:r>
              <w:rPr>
                <w:rFonts w:hint="eastAsia"/>
                <w:color w:val="000000" w:themeColor="text1"/>
                <w:szCs w:val="21"/>
                <w14:textFill>
                  <w14:solidFill>
                    <w14:schemeClr w14:val="tx1"/>
                  </w14:solidFill>
                </w14:textFill>
              </w:rPr>
              <w:t>本</w:t>
            </w:r>
            <w:r>
              <w:rPr>
                <w:color w:val="000000" w:themeColor="text1"/>
                <w:szCs w:val="21"/>
                <w14:textFill>
                  <w14:solidFill>
                    <w14:schemeClr w14:val="tx1"/>
                  </w14:solidFill>
                </w14:textFill>
              </w:rPr>
              <w:t>项目主要高噪声设备为</w:t>
            </w:r>
            <w:r>
              <w:rPr>
                <w:rFonts w:hint="eastAsia"/>
                <w:color w:val="000000" w:themeColor="text1"/>
                <w:szCs w:val="21"/>
                <w:lang w:eastAsia="zh-CN"/>
                <w14:textFill>
                  <w14:solidFill>
                    <w14:schemeClr w14:val="tx1"/>
                  </w14:solidFill>
                </w14:textFill>
              </w:rPr>
              <w:t>喷枪、风机</w:t>
            </w:r>
            <w:r>
              <w:rPr>
                <w:rFonts w:hint="eastAsia"/>
                <w:color w:val="000000" w:themeColor="text1"/>
                <w:szCs w:val="21"/>
                <w14:textFill>
                  <w14:solidFill>
                    <w14:schemeClr w14:val="tx1"/>
                  </w14:solidFill>
                </w14:textFill>
              </w:rPr>
              <w:t>等生产设备</w:t>
            </w:r>
            <w:r>
              <w:rPr>
                <w:color w:val="000000" w:themeColor="text1"/>
                <w:szCs w:val="21"/>
                <w14:textFill>
                  <w14:solidFill>
                    <w14:schemeClr w14:val="tx1"/>
                  </w14:solidFill>
                </w14:textFill>
              </w:rPr>
              <w:t>，经减振、隔声与距离衰减后</w:t>
            </w:r>
            <w:r>
              <w:rPr>
                <w:color w:val="000000" w:themeColor="text1"/>
                <w:spacing w:val="-2"/>
                <w:szCs w:val="21"/>
                <w14:textFill>
                  <w14:solidFill>
                    <w14:schemeClr w14:val="tx1"/>
                  </w14:solidFill>
                </w14:textFill>
              </w:rPr>
              <w:t>对可满足《工业企业厂界环境噪声排放标准》（GB12348-2008）</w:t>
            </w:r>
            <w:r>
              <w:rPr>
                <w:rFonts w:hint="eastAsia"/>
                <w:color w:val="000000" w:themeColor="text1"/>
                <w:spacing w:val="-2"/>
                <w:szCs w:val="21"/>
                <w14:textFill>
                  <w14:solidFill>
                    <w14:schemeClr w14:val="tx1"/>
                  </w14:solidFill>
                </w14:textFill>
              </w:rPr>
              <w:t>3</w:t>
            </w:r>
            <w:r>
              <w:rPr>
                <w:color w:val="000000" w:themeColor="text1"/>
                <w:spacing w:val="-2"/>
                <w:szCs w:val="21"/>
                <w14:textFill>
                  <w14:solidFill>
                    <w14:schemeClr w14:val="tx1"/>
                  </w14:solidFill>
                </w14:textFill>
              </w:rPr>
              <w:t>类标准值要求。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1" w:type="dxa"/>
            <w:bottom w:w="0" w:type="dxa"/>
            <w:right w:w="51" w:type="dxa"/>
          </w:tblCellMar>
        </w:tblPrEx>
        <w:trPr>
          <w:trHeight w:val="454" w:hRule="atLeast"/>
          <w:jc w:val="center"/>
        </w:trPr>
        <w:tc>
          <w:tcPr>
            <w:tcW w:w="895" w:type="dxa"/>
            <w:tcBorders>
              <w:top w:val="single" w:color="auto" w:sz="6" w:space="0"/>
              <w:bottom w:val="single" w:color="auto" w:sz="6" w:space="0"/>
            </w:tcBorders>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rPr>
                <w:color w:val="000000" w:themeColor="text1"/>
                <w:szCs w:val="21"/>
                <w14:textFill>
                  <w14:solidFill>
                    <w14:schemeClr w14:val="tx1"/>
                  </w14:solidFill>
                </w14:textFill>
              </w:rPr>
            </w:pPr>
            <w:r>
              <w:rPr>
                <w:color w:val="000000" w:themeColor="text1"/>
                <w:szCs w:val="21"/>
                <w14:textFill>
                  <w14:solidFill>
                    <w14:schemeClr w14:val="tx1"/>
                  </w14:solidFill>
                </w14:textFill>
              </w:rPr>
              <w:t>其它</w:t>
            </w:r>
          </w:p>
        </w:tc>
        <w:tc>
          <w:tcPr>
            <w:tcW w:w="8177" w:type="dxa"/>
            <w:gridSpan w:val="5"/>
            <w:tcBorders>
              <w:top w:val="single" w:color="auto" w:sz="6" w:space="0"/>
              <w:bottom w:val="single" w:color="auto" w:sz="6" w:space="0"/>
            </w:tcBorders>
            <w:vAlign w:val="center"/>
          </w:tcPr>
          <w:p>
            <w:pPr>
              <w:keepNext w:val="0"/>
              <w:keepLines w:val="0"/>
              <w:pageBreakBefore w:val="0"/>
              <w:kinsoku/>
              <w:wordWrap/>
              <w:overflowPunct/>
              <w:topLinePunct w:val="0"/>
              <w:autoSpaceDE/>
              <w:autoSpaceDN/>
              <w:bidi w:val="0"/>
              <w:snapToGrid w:val="0"/>
              <w:spacing w:before="63" w:beforeLines="20" w:after="63" w:afterLines="20"/>
              <w:ind w:left="0" w:leftChars="0" w:right="0" w:rightChars="0" w:firstLine="190" w:firstLineChars="100"/>
              <w:jc w:val="center"/>
              <w:rPr>
                <w:color w:val="000000" w:themeColor="text1"/>
                <w:szCs w:val="21"/>
                <w14:textFill>
                  <w14:solidFill>
                    <w14:schemeClr w14:val="tx1"/>
                  </w14:solidFill>
                </w14:textFill>
              </w:rPr>
            </w:pPr>
            <w:r>
              <w:rPr>
                <w:rFonts w:hint="eastAsia"/>
                <w:color w:val="000000" w:themeColor="text1"/>
                <w:spacing w:val="-10"/>
                <w:szCs w:val="21"/>
                <w14:textFill>
                  <w14:solidFill>
                    <w14:schemeClr w14:val="tx1"/>
                  </w14:solidFill>
                </w14:textFill>
              </w:rPr>
              <w:t>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1" w:type="dxa"/>
            <w:bottom w:w="0" w:type="dxa"/>
            <w:right w:w="51" w:type="dxa"/>
          </w:tblCellMar>
        </w:tblPrEx>
        <w:trPr>
          <w:trHeight w:val="90" w:hRule="atLeast"/>
          <w:jc w:val="center"/>
        </w:trPr>
        <w:tc>
          <w:tcPr>
            <w:tcW w:w="9072" w:type="dxa"/>
            <w:gridSpan w:val="6"/>
            <w:tcBorders>
              <w:top w:val="single" w:color="auto" w:sz="6" w:space="0"/>
              <w:bottom w:val="single" w:color="auto" w:sz="12" w:space="0"/>
            </w:tcBorders>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left"/>
              <w:rPr>
                <w:color w:val="000000" w:themeColor="text1"/>
                <w:szCs w:val="21"/>
                <w14:textFill>
                  <w14:solidFill>
                    <w14:schemeClr w14:val="tx1"/>
                  </w14:solidFill>
                </w14:textFill>
              </w:rPr>
            </w:pPr>
            <w:r>
              <w:rPr>
                <w:b/>
                <w:bCs/>
                <w:color w:val="000000" w:themeColor="text1"/>
                <w:szCs w:val="21"/>
                <w14:textFill>
                  <w14:solidFill>
                    <w14:schemeClr w14:val="tx1"/>
                  </w14:solidFill>
                </w14:textFill>
              </w:rPr>
              <w:t>生态保护措施及预期效果：</w:t>
            </w:r>
            <w:r>
              <w:rPr>
                <w:rFonts w:hint="eastAsia"/>
                <w:color w:val="000000" w:themeColor="text1"/>
                <w:szCs w:val="21"/>
                <w14:textFill>
                  <w14:solidFill>
                    <w14:schemeClr w14:val="tx1"/>
                  </w14:solidFill>
                </w14:textFill>
              </w:rPr>
              <w:t>/</w:t>
            </w:r>
          </w:p>
        </w:tc>
      </w:tr>
    </w:tbl>
    <w:p>
      <w:pPr>
        <w:pStyle w:val="23"/>
        <w:rPr>
          <w:rFonts w:ascii="Times New Roman"/>
          <w:color w:val="000000" w:themeColor="text1"/>
          <w14:textFill>
            <w14:solidFill>
              <w14:schemeClr w14:val="tx1"/>
            </w14:solidFill>
          </w14:textFill>
        </w:rPr>
      </w:pPr>
      <w:r>
        <w:rPr>
          <w:rFonts w:ascii="Times New Roman"/>
          <w:color w:val="000000" w:themeColor="text1"/>
          <w14:textFill>
            <w14:solidFill>
              <w14:schemeClr w14:val="tx1"/>
            </w14:solidFill>
          </w14:textFill>
        </w:rPr>
        <w:t>结论与建议</w:t>
      </w:r>
    </w:p>
    <w:tbl>
      <w:tblPr>
        <w:tblStyle w:val="17"/>
        <w:tblW w:w="8533" w:type="dxa"/>
        <w:jc w:val="center"/>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8485"/>
        <w:gridCol w:w="48"/>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gridAfter w:val="1"/>
          <w:wAfter w:w="48" w:type="dxa"/>
          <w:trHeight w:val="13140" w:hRule="atLeast"/>
          <w:jc w:val="center"/>
        </w:trPr>
        <w:tc>
          <w:tcPr>
            <w:tcW w:w="8485" w:type="dxa"/>
          </w:tcPr>
          <w:p>
            <w:pPr>
              <w:snapToGrid w:val="0"/>
              <w:rPr>
                <w:b/>
                <w:color w:val="000000" w:themeColor="text1"/>
                <w:sz w:val="10"/>
                <w14:textFill>
                  <w14:solidFill>
                    <w14:schemeClr w14:val="tx1"/>
                  </w14:solidFill>
                </w14:textFill>
              </w:rPr>
            </w:pPr>
          </w:p>
          <w:p>
            <w:pPr>
              <w:spacing w:line="360" w:lineRule="auto"/>
              <w:ind w:firstLine="480"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1、项目概况</w:t>
            </w:r>
          </w:p>
          <w:p>
            <w:pPr>
              <w:spacing w:line="360" w:lineRule="auto"/>
              <w:ind w:firstLine="480" w:firstLineChars="200"/>
              <w:rPr>
                <w:sz w:val="24"/>
                <w:szCs w:val="24"/>
              </w:rPr>
            </w:pPr>
            <w:r>
              <w:rPr>
                <w:rFonts w:hint="eastAsia"/>
                <w:sz w:val="24"/>
                <w:szCs w:val="24"/>
                <w:lang w:eastAsia="zh-CN"/>
              </w:rPr>
              <w:t>江苏思耐尔传动科技有限公司</w:t>
            </w:r>
            <w:r>
              <w:rPr>
                <w:rFonts w:hint="eastAsia"/>
                <w:sz w:val="24"/>
                <w:szCs w:val="24"/>
              </w:rPr>
              <w:t>拟投资</w:t>
            </w:r>
            <w:r>
              <w:rPr>
                <w:rFonts w:hint="eastAsia"/>
                <w:sz w:val="24"/>
                <w:szCs w:val="24"/>
                <w:lang w:val="en-US" w:eastAsia="zh-CN"/>
              </w:rPr>
              <w:t>1000</w:t>
            </w:r>
            <w:r>
              <w:rPr>
                <w:rFonts w:hint="eastAsia"/>
                <w:sz w:val="24"/>
                <w:szCs w:val="24"/>
              </w:rPr>
              <w:t>万</w:t>
            </w:r>
            <w:r>
              <w:rPr>
                <w:rFonts w:hint="eastAsia"/>
                <w:sz w:val="24"/>
                <w:szCs w:val="24"/>
                <w:lang w:eastAsia="zh-CN"/>
              </w:rPr>
              <w:t>元</w:t>
            </w:r>
            <w:r>
              <w:rPr>
                <w:rFonts w:hint="eastAsia"/>
                <w:sz w:val="24"/>
                <w:szCs w:val="24"/>
              </w:rPr>
              <w:t>，租赁江苏欧砻机械设备有限公司闲置厂房用于建设</w:t>
            </w:r>
            <w:r>
              <w:rPr>
                <w:rFonts w:hint="eastAsia"/>
                <w:sz w:val="24"/>
                <w:szCs w:val="24"/>
                <w:lang w:eastAsia="zh-CN"/>
              </w:rPr>
              <w:t>“新建机械零部件生产项目”</w:t>
            </w:r>
            <w:r>
              <w:rPr>
                <w:rFonts w:hint="eastAsia"/>
                <w:sz w:val="24"/>
                <w:szCs w:val="24"/>
              </w:rPr>
              <w:t>，占地面积</w:t>
            </w:r>
            <w:r>
              <w:rPr>
                <w:rFonts w:hint="eastAsia"/>
                <w:sz w:val="24"/>
                <w:szCs w:val="24"/>
                <w:lang w:val="en-US" w:eastAsia="zh-CN"/>
              </w:rPr>
              <w:t>2264</w:t>
            </w:r>
            <w:r>
              <w:rPr>
                <w:rFonts w:hint="eastAsia"/>
                <w:sz w:val="24"/>
                <w:szCs w:val="24"/>
              </w:rPr>
              <w:t>m</w:t>
            </w:r>
            <w:r>
              <w:rPr>
                <w:rFonts w:hint="eastAsia"/>
                <w:sz w:val="24"/>
                <w:szCs w:val="24"/>
                <w:vertAlign w:val="superscript"/>
              </w:rPr>
              <w:t>2</w:t>
            </w:r>
            <w:r>
              <w:rPr>
                <w:rFonts w:hint="eastAsia"/>
                <w:sz w:val="24"/>
                <w:szCs w:val="24"/>
              </w:rPr>
              <w:t>。项目投产后，可</w:t>
            </w:r>
            <w:r>
              <w:rPr>
                <w:rFonts w:hint="eastAsia"/>
                <w:sz w:val="24"/>
                <w:szCs w:val="24"/>
                <w:lang w:eastAsia="zh-CN"/>
              </w:rPr>
              <w:t>年产减速器20万台、其他机械零部件20万套</w:t>
            </w:r>
            <w:r>
              <w:rPr>
                <w:rFonts w:hint="eastAsia"/>
                <w:sz w:val="24"/>
                <w:szCs w:val="24"/>
              </w:rPr>
              <w:t>。</w:t>
            </w:r>
          </w:p>
          <w:p>
            <w:pPr>
              <w:spacing w:line="360" w:lineRule="auto"/>
              <w:ind w:firstLine="480" w:firstLineChars="200"/>
              <w:rPr>
                <w:sz w:val="24"/>
                <w:szCs w:val="24"/>
              </w:rPr>
            </w:pPr>
            <w:r>
              <w:rPr>
                <w:rFonts w:hint="eastAsia"/>
                <w:sz w:val="24"/>
                <w:szCs w:val="24"/>
              </w:rPr>
              <w:t>本项目已于</w:t>
            </w:r>
            <w:r>
              <w:rPr>
                <w:rFonts w:hint="eastAsia"/>
                <w:sz w:val="24"/>
                <w:szCs w:val="24"/>
                <w:lang w:eastAsia="zh-CN"/>
              </w:rPr>
              <w:t>2019年11月13日</w:t>
            </w:r>
            <w:r>
              <w:rPr>
                <w:rFonts w:hint="eastAsia"/>
                <w:sz w:val="24"/>
                <w:szCs w:val="24"/>
              </w:rPr>
              <w:t>取得江苏省金坛区发展和改革委员会《</w:t>
            </w:r>
            <w:r>
              <w:rPr>
                <w:rFonts w:hint="eastAsia"/>
                <w:sz w:val="24"/>
                <w:szCs w:val="24"/>
                <w:lang w:eastAsia="zh-CN"/>
              </w:rPr>
              <w:t>新建机械零部件生产项目</w:t>
            </w:r>
            <w:r>
              <w:rPr>
                <w:rFonts w:hint="eastAsia"/>
                <w:sz w:val="24"/>
                <w:szCs w:val="24"/>
              </w:rPr>
              <w:t>》（坛发改备</w:t>
            </w:r>
            <w:r>
              <w:rPr>
                <w:rFonts w:hint="eastAsia"/>
                <w:sz w:val="24"/>
                <w:szCs w:val="24"/>
                <w:lang w:eastAsia="zh-CN"/>
              </w:rPr>
              <w:t>【2019】162号</w:t>
            </w:r>
            <w:r>
              <w:rPr>
                <w:rFonts w:hint="eastAsia"/>
                <w:sz w:val="24"/>
                <w:szCs w:val="24"/>
              </w:rPr>
              <w:t>），项目编号为</w:t>
            </w:r>
            <w:r>
              <w:rPr>
                <w:rFonts w:hint="eastAsia"/>
                <w:sz w:val="24"/>
                <w:szCs w:val="24"/>
                <w:lang w:eastAsia="zh-CN"/>
              </w:rPr>
              <w:t>2019-320413-34-03-562245</w:t>
            </w:r>
            <w:r>
              <w:rPr>
                <w:rFonts w:hint="eastAsia"/>
                <w:sz w:val="24"/>
                <w:szCs w:val="24"/>
              </w:rPr>
              <w:t>。</w:t>
            </w:r>
          </w:p>
          <w:p>
            <w:pPr>
              <w:spacing w:line="360" w:lineRule="auto"/>
              <w:ind w:firstLine="480"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2、</w:t>
            </w:r>
            <w:r>
              <w:rPr>
                <w:rFonts w:hint="eastAsia"/>
                <w:b/>
                <w:bCs/>
                <w:color w:val="000000" w:themeColor="text1"/>
                <w:sz w:val="24"/>
                <w14:textFill>
                  <w14:solidFill>
                    <w14:schemeClr w14:val="tx1"/>
                  </w14:solidFill>
                </w14:textFill>
              </w:rPr>
              <w:t>选址合理性与产业政策相符性分析</w:t>
            </w:r>
          </w:p>
          <w:p>
            <w:pPr>
              <w:spacing w:line="360" w:lineRule="auto"/>
              <w:ind w:firstLine="480" w:firstLineChars="200"/>
              <w:rPr>
                <w:color w:val="000000"/>
                <w:sz w:val="24"/>
              </w:rPr>
            </w:pPr>
            <w:r>
              <w:rPr>
                <w:rFonts w:hint="eastAsia"/>
                <w:sz w:val="24"/>
              </w:rPr>
              <w:t>本项目为</w:t>
            </w:r>
            <w:r>
              <w:rPr>
                <w:rFonts w:hint="eastAsia"/>
                <w:color w:val="000000" w:themeColor="text1"/>
                <w:sz w:val="24"/>
                <w:szCs w:val="24"/>
                <w:lang w:eastAsia="zh-CN"/>
                <w14:textFill>
                  <w14:solidFill>
                    <w14:schemeClr w14:val="tx1"/>
                  </w14:solidFill>
                </w14:textFill>
              </w:rPr>
              <w:t>C3499 其他未列明通用设备制造业</w:t>
            </w:r>
            <w:r>
              <w:rPr>
                <w:rFonts w:hint="eastAsia"/>
                <w:color w:val="000000" w:themeColor="text1"/>
                <w:sz w:val="24"/>
                <w:szCs w:val="24"/>
                <w14:textFill>
                  <w14:solidFill>
                    <w14:schemeClr w14:val="tx1"/>
                  </w14:solidFill>
                </w14:textFill>
              </w:rPr>
              <w:t>，</w:t>
            </w:r>
            <w:r>
              <w:rPr>
                <w:rFonts w:hint="eastAsia"/>
                <w:snapToGrid w:val="0"/>
                <w:color w:val="000000"/>
                <w:sz w:val="24"/>
              </w:rPr>
              <w:t>根据</w:t>
            </w:r>
            <w:r>
              <w:rPr>
                <w:rFonts w:hint="eastAsia"/>
                <w:snapToGrid w:val="0"/>
                <w:sz w:val="24"/>
              </w:rPr>
              <w:t>《产业结构调整指导目录（2019年本）》（2020年1月1日开始施行）</w:t>
            </w:r>
            <w:r>
              <w:rPr>
                <w:rFonts w:hint="eastAsia"/>
                <w:snapToGrid w:val="0"/>
                <w:color w:val="000000"/>
                <w:sz w:val="24"/>
              </w:rPr>
              <w:t>，本项目不属于</w:t>
            </w:r>
            <w:r>
              <w:rPr>
                <w:color w:val="000000"/>
                <w:sz w:val="24"/>
              </w:rPr>
              <w:t>其限制类或淘汰类项目，属于允许建设项目，</w:t>
            </w:r>
            <w:r>
              <w:rPr>
                <w:rFonts w:hint="eastAsia"/>
                <w:snapToGrid w:val="0"/>
                <w:color w:val="000000"/>
                <w:sz w:val="24"/>
              </w:rPr>
              <w:t>根据《江苏省工业和信息产业结构调整指导目录》（苏政办发</w:t>
            </w:r>
            <w:r>
              <w:rPr>
                <w:rFonts w:hint="eastAsia"/>
                <w:snapToGrid w:val="0"/>
                <w:color w:val="000000"/>
                <w:sz w:val="24"/>
                <w:lang w:eastAsia="zh-CN"/>
              </w:rPr>
              <w:t>〔</w:t>
            </w:r>
            <w:r>
              <w:rPr>
                <w:snapToGrid w:val="0"/>
                <w:color w:val="000000"/>
                <w:sz w:val="24"/>
              </w:rPr>
              <w:t>2013</w:t>
            </w:r>
            <w:r>
              <w:rPr>
                <w:rFonts w:hint="eastAsia"/>
                <w:snapToGrid w:val="0"/>
                <w:color w:val="000000"/>
                <w:sz w:val="24"/>
                <w:lang w:eastAsia="zh-CN"/>
              </w:rPr>
              <w:t>〕</w:t>
            </w:r>
            <w:r>
              <w:rPr>
                <w:snapToGrid w:val="0"/>
                <w:color w:val="000000"/>
                <w:sz w:val="24"/>
              </w:rPr>
              <w:t>9号</w:t>
            </w:r>
            <w:r>
              <w:rPr>
                <w:rFonts w:hint="eastAsia"/>
                <w:snapToGrid w:val="0"/>
                <w:color w:val="000000"/>
                <w:sz w:val="24"/>
              </w:rPr>
              <w:t>），《关于加快全省化工钢铁煤电行业转型升级高质量发展的实施意见》（苏办发〔2018〕32号）附件3《江苏省产业结构调整限制、淘汰和禁止目录》、《关于修改</w:t>
            </w:r>
            <w:r>
              <w:rPr>
                <w:snapToGrid w:val="0"/>
                <w:color w:val="000000"/>
                <w:sz w:val="24"/>
              </w:rPr>
              <w:t>&lt;</w:t>
            </w:r>
            <w:r>
              <w:rPr>
                <w:rFonts w:hint="eastAsia"/>
                <w:snapToGrid w:val="0"/>
                <w:color w:val="000000"/>
                <w:sz w:val="24"/>
              </w:rPr>
              <w:t>江苏省工业和信息产业结构调整指导目录（</w:t>
            </w:r>
            <w:r>
              <w:rPr>
                <w:snapToGrid w:val="0"/>
                <w:color w:val="000000"/>
                <w:sz w:val="24"/>
              </w:rPr>
              <w:t>2012</w:t>
            </w:r>
            <w:r>
              <w:rPr>
                <w:rFonts w:hint="eastAsia"/>
                <w:snapToGrid w:val="0"/>
                <w:color w:val="000000"/>
                <w:sz w:val="24"/>
              </w:rPr>
              <w:t>年本）</w:t>
            </w:r>
            <w:r>
              <w:rPr>
                <w:snapToGrid w:val="0"/>
                <w:color w:val="000000"/>
                <w:sz w:val="24"/>
              </w:rPr>
              <w:t>&gt;</w:t>
            </w:r>
            <w:r>
              <w:rPr>
                <w:rFonts w:hint="eastAsia"/>
                <w:snapToGrid w:val="0"/>
                <w:color w:val="000000"/>
                <w:sz w:val="24"/>
              </w:rPr>
              <w:t>部分条目的通知》，苏经信产业</w:t>
            </w:r>
            <w:r>
              <w:rPr>
                <w:rFonts w:hint="eastAsia"/>
                <w:snapToGrid w:val="0"/>
                <w:color w:val="000000"/>
                <w:sz w:val="24"/>
                <w:lang w:eastAsia="zh-CN"/>
              </w:rPr>
              <w:t>〔</w:t>
            </w:r>
            <w:r>
              <w:rPr>
                <w:snapToGrid w:val="0"/>
                <w:color w:val="000000"/>
                <w:sz w:val="24"/>
              </w:rPr>
              <w:t>2013</w:t>
            </w:r>
            <w:r>
              <w:rPr>
                <w:rFonts w:hint="eastAsia"/>
                <w:snapToGrid w:val="0"/>
                <w:color w:val="000000"/>
                <w:sz w:val="24"/>
              </w:rPr>
              <w:t>〕</w:t>
            </w:r>
            <w:r>
              <w:rPr>
                <w:snapToGrid w:val="0"/>
                <w:color w:val="000000"/>
                <w:sz w:val="24"/>
              </w:rPr>
              <w:t>183</w:t>
            </w:r>
            <w:r>
              <w:rPr>
                <w:rFonts w:hint="eastAsia"/>
                <w:snapToGrid w:val="0"/>
                <w:color w:val="000000"/>
                <w:sz w:val="24"/>
              </w:rPr>
              <w:t>号，</w:t>
            </w:r>
            <w:r>
              <w:rPr>
                <w:snapToGrid w:val="0"/>
                <w:color w:val="000000"/>
                <w:sz w:val="24"/>
              </w:rPr>
              <w:t>2013</w:t>
            </w:r>
            <w:r>
              <w:rPr>
                <w:rFonts w:hint="eastAsia"/>
                <w:snapToGrid w:val="0"/>
                <w:color w:val="000000"/>
                <w:sz w:val="24"/>
              </w:rPr>
              <w:t>年</w:t>
            </w:r>
            <w:r>
              <w:rPr>
                <w:snapToGrid w:val="0"/>
                <w:color w:val="000000"/>
                <w:sz w:val="24"/>
              </w:rPr>
              <w:t>3</w:t>
            </w:r>
            <w:r>
              <w:rPr>
                <w:rFonts w:hint="eastAsia"/>
                <w:snapToGrid w:val="0"/>
                <w:color w:val="000000"/>
                <w:sz w:val="24"/>
              </w:rPr>
              <w:t>月</w:t>
            </w:r>
            <w:r>
              <w:rPr>
                <w:snapToGrid w:val="0"/>
                <w:color w:val="000000"/>
                <w:sz w:val="24"/>
              </w:rPr>
              <w:t>15</w:t>
            </w:r>
            <w:r>
              <w:rPr>
                <w:rFonts w:hint="eastAsia"/>
                <w:snapToGrid w:val="0"/>
                <w:color w:val="000000"/>
                <w:sz w:val="24"/>
              </w:rPr>
              <w:t>日）</w:t>
            </w:r>
            <w:r>
              <w:rPr>
                <w:color w:val="000000"/>
                <w:sz w:val="24"/>
              </w:rPr>
              <w:t>，本项目不属于目录中的限制类</w:t>
            </w:r>
            <w:r>
              <w:rPr>
                <w:rFonts w:hint="eastAsia"/>
                <w:color w:val="000000"/>
                <w:sz w:val="24"/>
              </w:rPr>
              <w:t>、禁止类</w:t>
            </w:r>
            <w:r>
              <w:rPr>
                <w:color w:val="000000"/>
                <w:sz w:val="24"/>
              </w:rPr>
              <w:t>和淘汰类，属于允许类建设项目</w:t>
            </w:r>
            <w:r>
              <w:rPr>
                <w:rFonts w:hint="eastAsia"/>
                <w:snapToGrid w:val="0"/>
                <w:color w:val="000000"/>
                <w:sz w:val="24"/>
              </w:rPr>
              <w:t>。</w:t>
            </w:r>
            <w:r>
              <w:rPr>
                <w:rFonts w:hint="eastAsia"/>
                <w:color w:val="000000"/>
                <w:sz w:val="24"/>
              </w:rPr>
              <w:t>综上</w:t>
            </w:r>
            <w:r>
              <w:rPr>
                <w:color w:val="000000"/>
                <w:sz w:val="24"/>
              </w:rPr>
              <w:t>，本项目的建设符合</w:t>
            </w:r>
            <w:r>
              <w:rPr>
                <w:rFonts w:hint="eastAsia"/>
                <w:color w:val="000000"/>
                <w:sz w:val="24"/>
              </w:rPr>
              <w:t>相关</w:t>
            </w:r>
            <w:r>
              <w:rPr>
                <w:color w:val="000000"/>
                <w:sz w:val="24"/>
              </w:rPr>
              <w:t>产业政策要求。</w:t>
            </w:r>
          </w:p>
          <w:p>
            <w:pPr>
              <w:spacing w:line="360" w:lineRule="auto"/>
              <w:ind w:left="-4" w:leftChars="-2" w:firstLine="464" w:firstLineChars="200"/>
              <w:rPr>
                <w:color w:val="000000" w:themeColor="text1"/>
                <w:spacing w:val="-4"/>
                <w:sz w:val="24"/>
                <w14:textFill>
                  <w14:solidFill>
                    <w14:schemeClr w14:val="tx1"/>
                  </w14:solidFill>
                </w14:textFill>
              </w:rPr>
            </w:pPr>
            <w:r>
              <w:rPr>
                <w:rFonts w:hint="eastAsia"/>
                <w:color w:val="000000" w:themeColor="text1"/>
                <w:spacing w:val="-4"/>
                <w:sz w:val="24"/>
                <w14:textFill>
                  <w14:solidFill>
                    <w14:schemeClr w14:val="tx1"/>
                  </w14:solidFill>
                </w14:textFill>
              </w:rPr>
              <w:t>本项目厂区位于常州市金坛区直溪镇工业园区水南路18号，</w:t>
            </w:r>
            <w:r>
              <w:rPr>
                <w:rFonts w:hint="eastAsia"/>
                <w:spacing w:val="-4"/>
                <w:sz w:val="24"/>
              </w:rPr>
              <w:t>根据土地证，地类（用途）为工业用地。</w:t>
            </w:r>
            <w:r>
              <w:rPr>
                <w:rFonts w:hint="eastAsia"/>
                <w:color w:val="000000" w:themeColor="text1"/>
                <w:spacing w:val="-4"/>
                <w:sz w:val="24"/>
                <w14:textFill>
                  <w14:solidFill>
                    <w14:schemeClr w14:val="tx1"/>
                  </w14:solidFill>
                </w14:textFill>
              </w:rPr>
              <w:t>项目不属于《限制用地项目目录（2012年本）》、《禁止用地项目目录（2012年本）》、《江苏省限制用地项目目录（2013年本）》及《江苏省禁止用地项目目录（2013年本）》中的限制和禁止用地项目，且项目周边范围内无矿床、文物古迹和军事设施达到环保准入、投入强度、消防安全等相关规定，因此，本项目选址合理。</w:t>
            </w:r>
          </w:p>
          <w:p>
            <w:pPr>
              <w:spacing w:line="360" w:lineRule="auto"/>
              <w:ind w:left="-4" w:leftChars="-2" w:firstLine="464" w:firstLineChars="200"/>
              <w:rPr>
                <w:b/>
                <w:color w:val="000000" w:themeColor="text1"/>
                <w:sz w:val="24"/>
                <w:szCs w:val="24"/>
                <w14:textFill>
                  <w14:solidFill>
                    <w14:schemeClr w14:val="tx1"/>
                  </w14:solidFill>
                </w14:textFill>
              </w:rPr>
            </w:pPr>
            <w:r>
              <w:rPr>
                <w:rFonts w:hint="eastAsia"/>
                <w:color w:val="000000" w:themeColor="text1"/>
                <w:spacing w:val="-4"/>
                <w:sz w:val="24"/>
                <w14:textFill>
                  <w14:solidFill>
                    <w14:schemeClr w14:val="tx1"/>
                  </w14:solidFill>
                </w14:textFill>
              </w:rPr>
              <w:t>综上，本项目符合国家、地方产业政策，符合相关环保法规，项目选址符合区域总体规划。</w:t>
            </w:r>
          </w:p>
          <w:p>
            <w:pPr>
              <w:spacing w:line="360" w:lineRule="auto"/>
              <w:ind w:firstLine="480" w:firstLineChars="200"/>
              <w:rPr>
                <w:b/>
                <w:bCs/>
                <w:color w:val="000000" w:themeColor="text1"/>
                <w:sz w:val="24"/>
                <w14:textFill>
                  <w14:solidFill>
                    <w14:schemeClr w14:val="tx1"/>
                  </w14:solidFill>
                </w14:textFill>
              </w:rPr>
            </w:pPr>
            <w:r>
              <w:rPr>
                <w:b/>
                <w:bCs/>
                <w:color w:val="000000" w:themeColor="text1"/>
                <w:sz w:val="24"/>
                <w14:textFill>
                  <w14:solidFill>
                    <w14:schemeClr w14:val="tx1"/>
                  </w14:solidFill>
                </w14:textFill>
              </w:rPr>
              <w:t>3、</w:t>
            </w:r>
            <w:r>
              <w:rPr>
                <w:b/>
                <w:color w:val="000000" w:themeColor="text1"/>
                <w:sz w:val="24"/>
                <w14:textFill>
                  <w14:solidFill>
                    <w14:schemeClr w14:val="tx1"/>
                  </w14:solidFill>
                </w14:textFill>
              </w:rPr>
              <w:t>污染物产生及达标排放情况</w:t>
            </w:r>
          </w:p>
          <w:p>
            <w:pPr>
              <w:spacing w:line="360" w:lineRule="auto"/>
              <w:ind w:firstLine="470" w:firstLineChars="196"/>
              <w:rPr>
                <w:color w:val="000000" w:themeColor="text1"/>
                <w:sz w:val="24"/>
                <w14:textFill>
                  <w14:solidFill>
                    <w14:schemeClr w14:val="tx1"/>
                  </w14:solidFill>
                </w14:textFill>
              </w:rPr>
            </w:pPr>
            <w:r>
              <w:rPr>
                <w:color w:val="000000" w:themeColor="text1"/>
                <w:sz w:val="24"/>
                <w14:textFill>
                  <w14:solidFill>
                    <w14:schemeClr w14:val="tx1"/>
                  </w14:solidFill>
                </w14:textFill>
              </w:rPr>
              <w:t>（1）</w:t>
            </w:r>
            <w:r>
              <w:rPr>
                <w:rFonts w:hint="eastAsia"/>
                <w:color w:val="000000" w:themeColor="text1"/>
                <w:sz w:val="24"/>
                <w14:textFill>
                  <w14:solidFill>
                    <w14:schemeClr w14:val="tx1"/>
                  </w14:solidFill>
                </w14:textFill>
              </w:rPr>
              <w:t>废气</w:t>
            </w:r>
            <w:r>
              <w:rPr>
                <w:color w:val="000000" w:themeColor="text1"/>
                <w:sz w:val="24"/>
                <w14:textFill>
                  <w14:solidFill>
                    <w14:schemeClr w14:val="tx1"/>
                  </w14:solidFill>
                </w14:textFill>
              </w:rPr>
              <w:t xml:space="preserve"> </w:t>
            </w:r>
          </w:p>
          <w:p>
            <w:pPr>
              <w:spacing w:line="360" w:lineRule="auto"/>
              <w:ind w:firstLine="480" w:firstLineChars="200"/>
              <w:rPr>
                <w:color w:val="000000" w:themeColor="text1"/>
                <w14:textFill>
                  <w14:solidFill>
                    <w14:schemeClr w14:val="tx1"/>
                  </w14:solidFill>
                </w14:textFill>
              </w:rPr>
            </w:pPr>
            <w:r>
              <w:rPr>
                <w:rFonts w:hint="eastAsia"/>
                <w:sz w:val="24"/>
                <w:szCs w:val="24"/>
              </w:rPr>
              <w:t>本项目天然气经低氮燃烧装置然后产生废气经15m（1#）排气筒排放；喷塑粉尘经滤芯除尘器处理后经15m（1#）排气筒排放；固化废气经“冷却器+二级活性炭吸附装置”处理后通过15m（1#）排气筒排放。</w:t>
            </w:r>
            <w:r>
              <w:rPr>
                <w:sz w:val="24"/>
                <w:szCs w:val="24"/>
              </w:rPr>
              <w:t>企业拟通过以下措施进行控制：加强车间通风，加强生产管理，增加员工意识，规范操作，确保无组织排放废气厂界达标</w:t>
            </w:r>
            <w:r>
              <w:rPr>
                <w:rFonts w:hint="eastAsia"/>
                <w:sz w:val="24"/>
                <w:szCs w:val="24"/>
                <w:lang w:eastAsia="zh-CN"/>
              </w:rPr>
              <w:t>。颗粒物、</w:t>
            </w:r>
            <w:r>
              <w:rPr>
                <w:rFonts w:hint="eastAsia"/>
                <w:sz w:val="24"/>
                <w:szCs w:val="24"/>
                <w:lang w:val="en-US" w:eastAsia="zh-CN"/>
              </w:rPr>
              <w:t>SO</w:t>
            </w:r>
            <w:r>
              <w:rPr>
                <w:rFonts w:hint="eastAsia"/>
                <w:sz w:val="24"/>
                <w:szCs w:val="24"/>
                <w:vertAlign w:val="subscript"/>
                <w:lang w:val="en-US" w:eastAsia="zh-CN"/>
              </w:rPr>
              <w:t>2</w:t>
            </w:r>
            <w:r>
              <w:rPr>
                <w:rFonts w:hint="eastAsia"/>
                <w:sz w:val="24"/>
                <w:szCs w:val="24"/>
                <w:lang w:val="en-US" w:eastAsia="zh-CN"/>
              </w:rPr>
              <w:t>、NOx排放满足《工业炉窑大气污染物排放标准》（DB32/3728-2019）表1“常规大气污染物排放限值”和《长三角地区2019-2020年秋冬季大气污染综合治理攻坚行动方案》中氮氧化物排放浓度不高于50mg/m</w:t>
            </w:r>
            <w:r>
              <w:rPr>
                <w:rFonts w:hint="eastAsia"/>
                <w:sz w:val="24"/>
                <w:szCs w:val="24"/>
                <w:vertAlign w:val="superscript"/>
                <w:lang w:val="en-US" w:eastAsia="zh-CN"/>
              </w:rPr>
              <w:t>3</w:t>
            </w:r>
            <w:r>
              <w:rPr>
                <w:rFonts w:hint="eastAsia"/>
                <w:sz w:val="24"/>
                <w:szCs w:val="24"/>
                <w:lang w:val="en-US" w:eastAsia="zh-CN"/>
              </w:rPr>
              <w:t>的要求；</w:t>
            </w:r>
            <w:r>
              <w:rPr>
                <w:rFonts w:hint="eastAsia"/>
                <w:sz w:val="24"/>
                <w:szCs w:val="24"/>
                <w:lang w:eastAsia="zh-CN"/>
              </w:rPr>
              <w:t>非甲烷总烃和无组织排放颗粒物</w:t>
            </w:r>
            <w:r>
              <w:rPr>
                <w:sz w:val="24"/>
                <w:szCs w:val="24"/>
              </w:rPr>
              <w:t>排放满足</w:t>
            </w:r>
            <w:r>
              <w:rPr>
                <w:rFonts w:hint="eastAsia"/>
                <w:snapToGrid w:val="0"/>
                <w:sz w:val="24"/>
                <w:szCs w:val="24"/>
              </w:rPr>
              <w:t>《合成树脂工业污染物排放标准》（GB31572-2015）</w:t>
            </w:r>
            <w:r>
              <w:rPr>
                <w:snapToGrid w:val="0"/>
                <w:sz w:val="24"/>
                <w:szCs w:val="24"/>
              </w:rPr>
              <w:t>中相应标准</w:t>
            </w:r>
            <w:r>
              <w:rPr>
                <w:rFonts w:hint="eastAsia"/>
                <w:snapToGrid w:val="0"/>
                <w:sz w:val="24"/>
                <w:szCs w:val="24"/>
              </w:rPr>
              <w:t>；</w:t>
            </w:r>
            <w:r>
              <w:rPr>
                <w:rFonts w:hint="eastAsia"/>
                <w:sz w:val="24"/>
              </w:rPr>
              <w:t>车间外无组织排放VOCs满足《挥发性有机物无组织排放控制标准》（GB37822-2019）中相关标准。</w:t>
            </w:r>
          </w:p>
          <w:p>
            <w:pPr>
              <w:spacing w:line="360" w:lineRule="auto"/>
              <w:ind w:firstLine="477" w:firstLineChars="199"/>
              <w:rPr>
                <w:snapToGrid w:val="0"/>
                <w:color w:val="000000" w:themeColor="text1"/>
                <w:sz w:val="24"/>
                <w14:textFill>
                  <w14:solidFill>
                    <w14:schemeClr w14:val="tx1"/>
                  </w14:solidFill>
                </w14:textFill>
              </w:rPr>
            </w:pPr>
            <w:r>
              <w:rPr>
                <w:color w:val="000000" w:themeColor="text1"/>
                <w:sz w:val="24"/>
                <w14:textFill>
                  <w14:solidFill>
                    <w14:schemeClr w14:val="tx1"/>
                  </w14:solidFill>
                </w14:textFill>
              </w:rPr>
              <w:t>（2）</w:t>
            </w:r>
            <w:r>
              <w:rPr>
                <w:rFonts w:hint="eastAsia"/>
                <w:color w:val="000000" w:themeColor="text1"/>
                <w:sz w:val="24"/>
                <w14:textFill>
                  <w14:solidFill>
                    <w14:schemeClr w14:val="tx1"/>
                  </w14:solidFill>
                </w14:textFill>
              </w:rPr>
              <w:t>废水</w:t>
            </w:r>
          </w:p>
          <w:p>
            <w:pPr>
              <w:pStyle w:val="45"/>
              <w:spacing w:line="360" w:lineRule="auto"/>
              <w:ind w:firstLine="480"/>
              <w:jc w:val="both"/>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本项目</w:t>
            </w:r>
            <w:r>
              <w:rPr>
                <w:color w:val="000000" w:themeColor="text1"/>
                <w:szCs w:val="24"/>
                <w14:textFill>
                  <w14:solidFill>
                    <w14:schemeClr w14:val="tx1"/>
                  </w14:solidFill>
                </w14:textFill>
              </w:rPr>
              <w:t>废水仅为生活污水，</w:t>
            </w:r>
            <w:r>
              <w:rPr>
                <w:rFonts w:hint="eastAsia"/>
                <w:color w:val="000000" w:themeColor="text1"/>
                <w:szCs w:val="24"/>
                <w14:textFill>
                  <w14:solidFill>
                    <w14:schemeClr w14:val="tx1"/>
                  </w14:solidFill>
                </w14:textFill>
              </w:rPr>
              <w:t>废水</w:t>
            </w:r>
            <w:r>
              <w:rPr>
                <w:color w:val="000000" w:themeColor="text1"/>
                <w:szCs w:val="24"/>
                <w14:textFill>
                  <w14:solidFill>
                    <w14:schemeClr w14:val="tx1"/>
                  </w14:solidFill>
                </w14:textFill>
              </w:rPr>
              <w:t>量为</w:t>
            </w:r>
            <w:r>
              <w:rPr>
                <w:rFonts w:hint="eastAsia"/>
                <w:color w:val="000000" w:themeColor="text1"/>
                <w:szCs w:val="24"/>
                <w:lang w:eastAsia="zh-CN"/>
                <w14:textFill>
                  <w14:solidFill>
                    <w14:schemeClr w14:val="tx1"/>
                  </w14:solidFill>
                </w14:textFill>
              </w:rPr>
              <w:t>600t/a</w:t>
            </w:r>
            <w:r>
              <w:rPr>
                <w:rFonts w:hint="eastAsia"/>
                <w:color w:val="000000" w:themeColor="text1"/>
                <w:szCs w:val="24"/>
                <w14:textFill>
                  <w14:solidFill>
                    <w14:schemeClr w14:val="tx1"/>
                  </w14:solidFill>
                </w14:textFill>
              </w:rPr>
              <w:t>，</w:t>
            </w:r>
            <w:r>
              <w:rPr>
                <w:color w:val="000000" w:themeColor="text1"/>
                <w:szCs w:val="24"/>
                <w14:textFill>
                  <w14:solidFill>
                    <w14:schemeClr w14:val="tx1"/>
                  </w14:solidFill>
                </w14:textFill>
              </w:rPr>
              <w:t>经化粪池处理后</w:t>
            </w:r>
            <w:r>
              <w:rPr>
                <w:rFonts w:hint="eastAsia"/>
                <w:color w:val="000000" w:themeColor="text1"/>
                <w:szCs w:val="24"/>
                <w14:textFill>
                  <w14:solidFill>
                    <w14:schemeClr w14:val="tx1"/>
                  </w14:solidFill>
                </w14:textFill>
              </w:rPr>
              <w:t>通过常州中泽电力设备有限公司现有污水总排口接入市政污水管网，</w:t>
            </w:r>
            <w:r>
              <w:rPr>
                <w:color w:val="000000" w:themeColor="text1"/>
                <w:szCs w:val="24"/>
                <w14:textFill>
                  <w14:solidFill>
                    <w14:schemeClr w14:val="tx1"/>
                  </w14:solidFill>
                </w14:textFill>
              </w:rPr>
              <w:t>进入</w:t>
            </w:r>
            <w:r>
              <w:rPr>
                <w:rFonts w:hint="eastAsia"/>
                <w:color w:val="000000" w:themeColor="text1"/>
                <w:szCs w:val="24"/>
                <w14:textFill>
                  <w14:solidFill>
                    <w14:schemeClr w14:val="tx1"/>
                  </w14:solidFill>
                </w14:textFill>
              </w:rPr>
              <w:t>常州市金坛区直溪鑫鑫污水处理厂集中</w:t>
            </w:r>
            <w:r>
              <w:rPr>
                <w:color w:val="000000" w:themeColor="text1"/>
                <w:szCs w:val="24"/>
                <w14:textFill>
                  <w14:solidFill>
                    <w14:schemeClr w14:val="tx1"/>
                  </w14:solidFill>
                </w14:textFill>
              </w:rPr>
              <w:t>处理</w:t>
            </w:r>
            <w:r>
              <w:rPr>
                <w:rFonts w:cs="宋体"/>
                <w:color w:val="000000" w:themeColor="text1"/>
                <w14:textFill>
                  <w14:solidFill>
                    <w14:schemeClr w14:val="tx1"/>
                  </w14:solidFill>
                </w14:textFill>
              </w:rPr>
              <w:t>，</w:t>
            </w:r>
            <w:r>
              <w:rPr>
                <w:rFonts w:hint="eastAsia"/>
                <w:color w:val="000000" w:themeColor="text1"/>
                <w:szCs w:val="24"/>
                <w14:textFill>
                  <w14:solidFill>
                    <w14:schemeClr w14:val="tx1"/>
                  </w14:solidFill>
                </w14:textFill>
              </w:rPr>
              <w:t>达标后排入通济河。</w:t>
            </w:r>
          </w:p>
          <w:p>
            <w:pPr>
              <w:pStyle w:val="45"/>
              <w:spacing w:line="360" w:lineRule="auto"/>
              <w:ind w:firstLine="480"/>
              <w:jc w:val="both"/>
              <w:rPr>
                <w:rFonts w:cs="宋体"/>
                <w:color w:val="000000" w:themeColor="text1"/>
                <w14:textFill>
                  <w14:solidFill>
                    <w14:schemeClr w14:val="tx1"/>
                  </w14:solidFill>
                </w14:textFill>
              </w:rPr>
            </w:pPr>
            <w:r>
              <w:rPr>
                <w:rFonts w:hint="eastAsia"/>
                <w:color w:val="000000" w:themeColor="text1"/>
                <w:szCs w:val="24"/>
                <w14:textFill>
                  <w14:solidFill>
                    <w14:schemeClr w14:val="tx1"/>
                  </w14:solidFill>
                </w14:textFill>
              </w:rPr>
              <w:t>经处理后项目废水</w:t>
            </w:r>
            <w:r>
              <w:rPr>
                <w:color w:val="000000" w:themeColor="text1"/>
                <w:szCs w:val="24"/>
                <w14:textFill>
                  <w14:solidFill>
                    <w14:schemeClr w14:val="tx1"/>
                  </w14:solidFill>
                </w14:textFill>
              </w:rPr>
              <w:t>排放浓度约为COD：</w:t>
            </w:r>
            <w:r>
              <w:rPr>
                <w:rFonts w:hint="eastAsia"/>
                <w:color w:val="000000" w:themeColor="text1"/>
                <w:szCs w:val="24"/>
                <w14:textFill>
                  <w14:solidFill>
                    <w14:schemeClr w14:val="tx1"/>
                  </w14:solidFill>
                </w14:textFill>
              </w:rPr>
              <w:t>340</w:t>
            </w:r>
            <w:r>
              <w:rPr>
                <w:color w:val="000000" w:themeColor="text1"/>
                <w:szCs w:val="24"/>
                <w14:textFill>
                  <w14:solidFill>
                    <w14:schemeClr w14:val="tx1"/>
                  </w14:solidFill>
                </w14:textFill>
              </w:rPr>
              <w:t>mg/L</w:t>
            </w:r>
            <w:r>
              <w:rPr>
                <w:rFonts w:hint="eastAsia"/>
                <w:color w:val="000000" w:themeColor="text1"/>
                <w:szCs w:val="24"/>
                <w14:textFill>
                  <w14:solidFill>
                    <w14:schemeClr w14:val="tx1"/>
                  </w14:solidFill>
                </w14:textFill>
              </w:rPr>
              <w:t>、</w:t>
            </w:r>
            <w:r>
              <w:rPr>
                <w:color w:val="000000" w:themeColor="text1"/>
                <w:szCs w:val="24"/>
                <w14:textFill>
                  <w14:solidFill>
                    <w14:schemeClr w14:val="tx1"/>
                  </w14:solidFill>
                </w14:textFill>
              </w:rPr>
              <w:t>SS：</w:t>
            </w:r>
            <w:r>
              <w:rPr>
                <w:rFonts w:hint="eastAsia"/>
                <w:color w:val="000000" w:themeColor="text1"/>
                <w:szCs w:val="24"/>
                <w14:textFill>
                  <w14:solidFill>
                    <w14:schemeClr w14:val="tx1"/>
                  </w14:solidFill>
                </w14:textFill>
              </w:rPr>
              <w:t>160</w:t>
            </w:r>
            <w:r>
              <w:rPr>
                <w:color w:val="000000" w:themeColor="text1"/>
                <w:szCs w:val="24"/>
                <w14:textFill>
                  <w14:solidFill>
                    <w14:schemeClr w14:val="tx1"/>
                  </w14:solidFill>
                </w14:textFill>
              </w:rPr>
              <w:t>mg/L、氨氮：</w:t>
            </w:r>
            <w:r>
              <w:rPr>
                <w:rFonts w:hint="eastAsia"/>
                <w:color w:val="000000" w:themeColor="text1"/>
                <w:szCs w:val="24"/>
                <w14:textFill>
                  <w14:solidFill>
                    <w14:schemeClr w14:val="tx1"/>
                  </w14:solidFill>
                </w14:textFill>
              </w:rPr>
              <w:t>25</w:t>
            </w:r>
            <w:r>
              <w:rPr>
                <w:color w:val="000000" w:themeColor="text1"/>
                <w:szCs w:val="24"/>
                <w14:textFill>
                  <w14:solidFill>
                    <w14:schemeClr w14:val="tx1"/>
                  </w14:solidFill>
                </w14:textFill>
              </w:rPr>
              <w:t>mg/L、总磷：</w:t>
            </w:r>
            <w:r>
              <w:rPr>
                <w:rFonts w:hint="eastAsia"/>
                <w:color w:val="000000" w:themeColor="text1"/>
                <w:szCs w:val="24"/>
                <w14:textFill>
                  <w14:solidFill>
                    <w14:schemeClr w14:val="tx1"/>
                  </w14:solidFill>
                </w14:textFill>
              </w:rPr>
              <w:t>3</w:t>
            </w:r>
            <w:r>
              <w:rPr>
                <w:color w:val="000000" w:themeColor="text1"/>
                <w:szCs w:val="24"/>
                <w14:textFill>
                  <w14:solidFill>
                    <w14:schemeClr w14:val="tx1"/>
                  </w14:solidFill>
                </w14:textFill>
              </w:rPr>
              <w:t>mg/L</w:t>
            </w:r>
            <w:r>
              <w:rPr>
                <w:rFonts w:hint="eastAsia"/>
                <w:color w:val="000000" w:themeColor="text1"/>
                <w:szCs w:val="24"/>
                <w14:textFill>
                  <w14:solidFill>
                    <w14:schemeClr w14:val="tx1"/>
                  </w14:solidFill>
                </w14:textFill>
              </w:rPr>
              <w:t>、总氮：35</w:t>
            </w:r>
            <w:r>
              <w:rPr>
                <w:color w:val="000000" w:themeColor="text1"/>
                <w:szCs w:val="24"/>
                <w14:textFill>
                  <w14:solidFill>
                    <w14:schemeClr w14:val="tx1"/>
                  </w14:solidFill>
                </w14:textFill>
              </w:rPr>
              <w:t>mg/L，</w:t>
            </w:r>
            <w:r>
              <w:rPr>
                <w:rFonts w:hint="eastAsia"/>
                <w:color w:val="000000" w:themeColor="text1"/>
                <w:szCs w:val="24"/>
                <w14:textFill>
                  <w14:solidFill>
                    <w14:schemeClr w14:val="tx1"/>
                  </w14:solidFill>
                </w14:textFill>
              </w:rPr>
              <w:t>满足常州市金坛区直溪鑫鑫污水处理厂接管要求（</w:t>
            </w:r>
            <w:r>
              <w:rPr>
                <w:color w:val="000000" w:themeColor="text1"/>
                <w:szCs w:val="24"/>
                <w14:textFill>
                  <w14:solidFill>
                    <w14:schemeClr w14:val="tx1"/>
                  </w14:solidFill>
                </w14:textFill>
              </w:rPr>
              <w:t>COD</w:t>
            </w:r>
            <w:r>
              <w:rPr>
                <w:rFonts w:hint="eastAsia"/>
                <w:color w:val="000000" w:themeColor="text1"/>
                <w:szCs w:val="24"/>
                <w14:textFill>
                  <w14:solidFill>
                    <w14:schemeClr w14:val="tx1"/>
                  </w14:solidFill>
                </w14:textFill>
              </w:rPr>
              <w:t>≤48</w:t>
            </w:r>
            <w:r>
              <w:rPr>
                <w:color w:val="000000" w:themeColor="text1"/>
                <w:szCs w:val="24"/>
                <w14:textFill>
                  <w14:solidFill>
                    <w14:schemeClr w14:val="tx1"/>
                  </w14:solidFill>
                </w14:textFill>
              </w:rPr>
              <w:t>0mg/L</w:t>
            </w:r>
            <w:r>
              <w:rPr>
                <w:rFonts w:hint="eastAsia"/>
                <w:color w:val="000000" w:themeColor="text1"/>
                <w:szCs w:val="24"/>
                <w14:textFill>
                  <w14:solidFill>
                    <w14:schemeClr w14:val="tx1"/>
                  </w14:solidFill>
                </w14:textFill>
              </w:rPr>
              <w:t>、</w:t>
            </w:r>
            <w:r>
              <w:rPr>
                <w:color w:val="000000" w:themeColor="text1"/>
                <w:szCs w:val="24"/>
                <w14:textFill>
                  <w14:solidFill>
                    <w14:schemeClr w14:val="tx1"/>
                  </w14:solidFill>
                </w14:textFill>
              </w:rPr>
              <w:t>SS</w:t>
            </w:r>
            <w:r>
              <w:rPr>
                <w:rFonts w:hint="eastAsia"/>
                <w:color w:val="000000" w:themeColor="text1"/>
                <w:szCs w:val="24"/>
                <w14:textFill>
                  <w14:solidFill>
                    <w14:schemeClr w14:val="tx1"/>
                  </w14:solidFill>
                </w14:textFill>
              </w:rPr>
              <w:t>≤</w:t>
            </w:r>
            <w:r>
              <w:rPr>
                <w:color w:val="000000" w:themeColor="text1"/>
                <w:szCs w:val="24"/>
                <w14:textFill>
                  <w14:solidFill>
                    <w14:schemeClr w14:val="tx1"/>
                  </w14:solidFill>
                </w14:textFill>
              </w:rPr>
              <w:t>250mg/L、氨氮</w:t>
            </w:r>
            <w:r>
              <w:rPr>
                <w:rFonts w:hint="eastAsia"/>
                <w:color w:val="000000" w:themeColor="text1"/>
                <w:szCs w:val="24"/>
                <w14:textFill>
                  <w14:solidFill>
                    <w14:schemeClr w14:val="tx1"/>
                  </w14:solidFill>
                </w14:textFill>
              </w:rPr>
              <w:t>≤</w:t>
            </w:r>
            <w:r>
              <w:rPr>
                <w:color w:val="000000" w:themeColor="text1"/>
                <w:szCs w:val="24"/>
                <w14:textFill>
                  <w14:solidFill>
                    <w14:schemeClr w14:val="tx1"/>
                  </w14:solidFill>
                </w14:textFill>
              </w:rPr>
              <w:t>3</w:t>
            </w:r>
            <w:r>
              <w:rPr>
                <w:rFonts w:hint="eastAsia"/>
                <w:color w:val="000000" w:themeColor="text1"/>
                <w:szCs w:val="24"/>
                <w14:textFill>
                  <w14:solidFill>
                    <w14:schemeClr w14:val="tx1"/>
                  </w14:solidFill>
                </w14:textFill>
              </w:rPr>
              <w:t>0</w:t>
            </w:r>
            <w:r>
              <w:rPr>
                <w:color w:val="000000" w:themeColor="text1"/>
                <w:szCs w:val="24"/>
                <w14:textFill>
                  <w14:solidFill>
                    <w14:schemeClr w14:val="tx1"/>
                  </w14:solidFill>
                </w14:textFill>
              </w:rPr>
              <w:t>mg/L、总磷</w:t>
            </w:r>
            <w:r>
              <w:rPr>
                <w:rFonts w:hint="eastAsia"/>
                <w:color w:val="000000" w:themeColor="text1"/>
                <w:szCs w:val="24"/>
                <w14:textFill>
                  <w14:solidFill>
                    <w14:schemeClr w14:val="tx1"/>
                  </w14:solidFill>
                </w14:textFill>
              </w:rPr>
              <w:t>≤6</w:t>
            </w:r>
            <w:r>
              <w:rPr>
                <w:color w:val="000000" w:themeColor="text1"/>
                <w:szCs w:val="24"/>
                <w14:textFill>
                  <w14:solidFill>
                    <w14:schemeClr w14:val="tx1"/>
                  </w14:solidFill>
                </w14:textFill>
              </w:rPr>
              <w:t>mg/L</w:t>
            </w:r>
            <w:r>
              <w:rPr>
                <w:rFonts w:hint="eastAsia"/>
                <w:color w:val="000000" w:themeColor="text1"/>
                <w:szCs w:val="24"/>
                <w14:textFill>
                  <w14:solidFill>
                    <w14:schemeClr w14:val="tx1"/>
                  </w14:solidFill>
                </w14:textFill>
              </w:rPr>
              <w:t>、总氮≤45</w:t>
            </w:r>
            <w:r>
              <w:rPr>
                <w:color w:val="000000" w:themeColor="text1"/>
                <w:szCs w:val="24"/>
                <w14:textFill>
                  <w14:solidFill>
                    <w14:schemeClr w14:val="tx1"/>
                  </w14:solidFill>
                </w14:textFill>
              </w:rPr>
              <w:t>mg/L</w:t>
            </w:r>
            <w:r>
              <w:rPr>
                <w:rFonts w:hint="eastAsia"/>
                <w:color w:val="000000" w:themeColor="text1"/>
                <w:szCs w:val="24"/>
                <w14:textFill>
                  <w14:solidFill>
                    <w14:schemeClr w14:val="tx1"/>
                  </w14:solidFill>
                </w14:textFill>
              </w:rPr>
              <w:t>）</w:t>
            </w:r>
            <w:r>
              <w:rPr>
                <w:color w:val="000000" w:themeColor="text1"/>
                <w:szCs w:val="24"/>
                <w14:textFill>
                  <w14:solidFill>
                    <w14:schemeClr w14:val="tx1"/>
                  </w14:solidFill>
                </w14:textFill>
              </w:rPr>
              <w:t>。</w:t>
            </w:r>
          </w:p>
          <w:p>
            <w:pPr>
              <w:spacing w:line="360" w:lineRule="auto"/>
              <w:ind w:firstLine="480" w:firstLineChars="200"/>
              <w:rPr>
                <w:sz w:val="24"/>
              </w:rPr>
            </w:pPr>
            <w:r>
              <w:rPr>
                <w:sz w:val="24"/>
              </w:rPr>
              <w:t>常州市</w:t>
            </w:r>
            <w:r>
              <w:rPr>
                <w:rFonts w:hint="eastAsia"/>
                <w:sz w:val="24"/>
              </w:rPr>
              <w:t>金坛区</w:t>
            </w:r>
            <w:r>
              <w:rPr>
                <w:sz w:val="24"/>
              </w:rPr>
              <w:t>直溪鑫鑫污水处理厂尾水排放执行《太湖地区城镇污水处理厂及重点工业行业主要水污染物排放限值》（DB32/1072-20</w:t>
            </w:r>
            <w:r>
              <w:rPr>
                <w:rFonts w:hint="eastAsia"/>
                <w:sz w:val="24"/>
              </w:rPr>
              <w:t>18</w:t>
            </w:r>
            <w:r>
              <w:rPr>
                <w:sz w:val="24"/>
              </w:rPr>
              <w:t>）中表2标准及《城镇污水处理厂污染物排放标准》（GB18918-2002）中表1一级A标准</w:t>
            </w:r>
            <w:r>
              <w:rPr>
                <w:rFonts w:hint="eastAsia"/>
                <w:sz w:val="24"/>
              </w:rPr>
              <w:t>。</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（3）噪声</w:t>
            </w:r>
          </w:p>
          <w:p>
            <w:pPr>
              <w:tabs>
                <w:tab w:val="left" w:pos="6962"/>
              </w:tabs>
              <w:spacing w:line="360" w:lineRule="auto"/>
              <w:ind w:firstLine="480"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本项目主要高噪声设备为</w:t>
            </w:r>
            <w:r>
              <w:rPr>
                <w:rFonts w:hint="eastAsia"/>
                <w:color w:val="000000" w:themeColor="text1"/>
                <w:sz w:val="24"/>
                <w:szCs w:val="24"/>
                <w:lang w:eastAsia="zh-CN"/>
                <w14:textFill>
                  <w14:solidFill>
                    <w14:schemeClr w14:val="tx1"/>
                  </w14:solidFill>
                </w14:textFill>
              </w:rPr>
              <w:t>喷枪、风机</w:t>
            </w:r>
            <w:r>
              <w:rPr>
                <w:rFonts w:hint="eastAsia"/>
                <w:color w:val="000000" w:themeColor="text1"/>
                <w:sz w:val="24"/>
                <w:szCs w:val="24"/>
                <w14:textFill>
                  <w14:solidFill>
                    <w14:schemeClr w14:val="tx1"/>
                  </w14:solidFill>
                </w14:textFill>
              </w:rPr>
              <w:t>等生产设备，项目采</w:t>
            </w:r>
            <w:r>
              <w:rPr>
                <w:color w:val="000000" w:themeColor="text1"/>
                <w:sz w:val="24"/>
                <w:szCs w:val="24"/>
                <w14:textFill>
                  <w14:solidFill>
                    <w14:schemeClr w14:val="tx1"/>
                  </w14:solidFill>
                </w14:textFill>
              </w:rPr>
              <w:t>取了隔声、减振措施，噪声可以得到较大的削减，项目</w:t>
            </w:r>
            <w:r>
              <w:rPr>
                <w:rFonts w:hint="eastAsia"/>
                <w:color w:val="000000" w:themeColor="text1"/>
                <w:sz w:val="24"/>
                <w:szCs w:val="24"/>
                <w14:textFill>
                  <w14:solidFill>
                    <w14:schemeClr w14:val="tx1"/>
                  </w14:solidFill>
                </w14:textFill>
              </w:rPr>
              <w:t>厂界声环境达到</w:t>
            </w:r>
            <w:r>
              <w:rPr>
                <w:color w:val="000000" w:themeColor="text1"/>
                <w:sz w:val="24"/>
                <w:szCs w:val="24"/>
                <w14:textFill>
                  <w14:solidFill>
                    <w14:schemeClr w14:val="tx1"/>
                  </w14:solidFill>
                </w14:textFill>
              </w:rPr>
              <w:t>《声环境质量标准》（GB3096-2008）中的</w:t>
            </w:r>
            <w:r>
              <w:rPr>
                <w:rFonts w:hint="eastAsia"/>
                <w:color w:val="000000" w:themeColor="text1"/>
                <w:sz w:val="24"/>
                <w:szCs w:val="24"/>
                <w14:textFill>
                  <w14:solidFill>
                    <w14:schemeClr w14:val="tx1"/>
                  </w14:solidFill>
                </w14:textFill>
              </w:rPr>
              <w:t>3</w:t>
            </w:r>
            <w:r>
              <w:rPr>
                <w:color w:val="000000" w:themeColor="text1"/>
                <w:sz w:val="24"/>
                <w:szCs w:val="24"/>
                <w14:textFill>
                  <w14:solidFill>
                    <w14:schemeClr w14:val="tx1"/>
                  </w14:solidFill>
                </w14:textFill>
              </w:rPr>
              <w:t>类</w:t>
            </w:r>
            <w:r>
              <w:rPr>
                <w:rFonts w:hint="eastAsia"/>
                <w:color w:val="000000" w:themeColor="text1"/>
                <w:sz w:val="24"/>
                <w:szCs w:val="24"/>
                <w:lang w:eastAsia="zh-CN"/>
                <w14:textFill>
                  <w14:solidFill>
                    <w14:schemeClr w14:val="tx1"/>
                  </w14:solidFill>
                </w14:textFill>
              </w:rPr>
              <w:t>限值</w:t>
            </w:r>
            <w:r>
              <w:rPr>
                <w:color w:val="000000" w:themeColor="text1"/>
                <w:sz w:val="24"/>
                <w:szCs w:val="24"/>
                <w14:textFill>
                  <w14:solidFill>
                    <w14:schemeClr w14:val="tx1"/>
                  </w14:solidFill>
                </w14:textFill>
              </w:rPr>
              <w:t>，即：昼间≤6</w:t>
            </w:r>
            <w:r>
              <w:rPr>
                <w:rFonts w:hint="eastAsia"/>
                <w:color w:val="000000" w:themeColor="text1"/>
                <w:sz w:val="24"/>
                <w:szCs w:val="24"/>
                <w14:textFill>
                  <w14:solidFill>
                    <w14:schemeClr w14:val="tx1"/>
                  </w14:solidFill>
                </w14:textFill>
              </w:rPr>
              <w:t>5</w:t>
            </w:r>
            <w:r>
              <w:rPr>
                <w:color w:val="000000" w:themeColor="text1"/>
                <w:sz w:val="24"/>
                <w:szCs w:val="24"/>
                <w14:textFill>
                  <w14:solidFill>
                    <w14:schemeClr w14:val="tx1"/>
                  </w14:solidFill>
                </w14:textFill>
              </w:rPr>
              <w:t>dB</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A</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、夜间≤5</w:t>
            </w:r>
            <w:r>
              <w:rPr>
                <w:rFonts w:hint="eastAsia"/>
                <w:color w:val="000000" w:themeColor="text1"/>
                <w:sz w:val="24"/>
                <w:szCs w:val="24"/>
                <w14:textFill>
                  <w14:solidFill>
                    <w14:schemeClr w14:val="tx1"/>
                  </w14:solidFill>
                </w14:textFill>
              </w:rPr>
              <w:t>5</w:t>
            </w:r>
            <w:r>
              <w:rPr>
                <w:color w:val="000000" w:themeColor="text1"/>
                <w:sz w:val="24"/>
                <w:szCs w:val="24"/>
                <w14:textFill>
                  <w14:solidFill>
                    <w14:schemeClr w14:val="tx1"/>
                  </w14:solidFill>
                </w14:textFill>
              </w:rPr>
              <w:t>dB</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A</w:t>
            </w:r>
            <w:r>
              <w:rPr>
                <w:rFonts w:hint="eastAsia"/>
                <w:color w:val="000000" w:themeColor="text1"/>
                <w:sz w:val="24"/>
                <w:szCs w:val="24"/>
                <w14:textFill>
                  <w14:solidFill>
                    <w14:schemeClr w14:val="tx1"/>
                  </w14:solidFill>
                </w14:textFill>
              </w:rPr>
              <w:t>）。</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（4）固废</w:t>
            </w:r>
          </w:p>
          <w:p>
            <w:pPr>
              <w:tabs>
                <w:tab w:val="left" w:pos="6962"/>
              </w:tabs>
              <w:spacing w:line="360" w:lineRule="auto"/>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建设项目</w:t>
            </w:r>
            <w:r>
              <w:rPr>
                <w:rFonts w:hint="eastAsia"/>
                <w:color w:val="000000" w:themeColor="text1"/>
                <w:sz w:val="24"/>
                <w:szCs w:val="24"/>
                <w14:textFill>
                  <w14:solidFill>
                    <w14:schemeClr w14:val="tx1"/>
                  </w14:solidFill>
                </w14:textFill>
              </w:rPr>
              <w:t>固废包括一般工业固废、危险废物和生活垃圾。</w:t>
            </w:r>
            <w:r>
              <w:rPr>
                <w:color w:val="000000" w:themeColor="text1"/>
                <w:sz w:val="24"/>
                <w:szCs w:val="24"/>
                <w14:textFill>
                  <w14:solidFill>
                    <w14:schemeClr w14:val="tx1"/>
                  </w14:solidFill>
                </w14:textFill>
              </w:rPr>
              <w:t>本项目一般固废为</w:t>
            </w:r>
            <w:r>
              <w:rPr>
                <w:rFonts w:hint="eastAsia"/>
                <w:color w:val="000000" w:themeColor="text1"/>
                <w:sz w:val="24"/>
                <w:szCs w:val="24"/>
                <w:lang w:eastAsia="zh-CN"/>
                <w14:textFill>
                  <w14:solidFill>
                    <w14:schemeClr w14:val="tx1"/>
                  </w14:solidFill>
                </w14:textFill>
              </w:rPr>
              <w:t>废塑粉、</w:t>
            </w:r>
            <w:r>
              <w:rPr>
                <w:rFonts w:hint="eastAsia"/>
                <w:color w:val="000000" w:themeColor="text1"/>
                <w:sz w:val="24"/>
                <w:szCs w:val="24"/>
                <w14:textFill>
                  <w14:solidFill>
                    <w14:schemeClr w14:val="tx1"/>
                  </w14:solidFill>
                </w14:textFill>
              </w:rPr>
              <w:t>废包装材料</w:t>
            </w:r>
            <w:r>
              <w:rPr>
                <w:rFonts w:hint="eastAsia"/>
                <w:color w:val="000000" w:themeColor="text1"/>
                <w:sz w:val="24"/>
                <w14:textFill>
                  <w14:solidFill>
                    <w14:schemeClr w14:val="tx1"/>
                  </w14:solidFill>
                </w14:textFill>
              </w:rPr>
              <w:t>，外售相关单位</w:t>
            </w:r>
            <w:r>
              <w:rPr>
                <w:rFonts w:hint="eastAsia"/>
                <w:color w:val="000000" w:themeColor="text1"/>
                <w:sz w:val="24"/>
                <w:szCs w:val="24"/>
                <w14:textFill>
                  <w14:solidFill>
                    <w14:schemeClr w14:val="tx1"/>
                  </w14:solidFill>
                </w14:textFill>
              </w:rPr>
              <w:t>；危险废物有废包装桶、废活性炭委托有资质单位处置；生活垃圾</w:t>
            </w:r>
            <w:r>
              <w:rPr>
                <w:rFonts w:hint="eastAsia"/>
                <w:color w:val="000000" w:themeColor="text1"/>
                <w:sz w:val="24"/>
                <w:szCs w:val="24"/>
                <w:lang w:eastAsia="zh-CN"/>
                <w14:textFill>
                  <w14:solidFill>
                    <w14:schemeClr w14:val="tx1"/>
                  </w14:solidFill>
                </w14:textFill>
              </w:rPr>
              <w:t>（含含有抹布和手套）</w:t>
            </w:r>
            <w:r>
              <w:rPr>
                <w:rFonts w:hint="eastAsia"/>
                <w:color w:val="000000" w:themeColor="text1"/>
                <w:sz w:val="24"/>
                <w:szCs w:val="24"/>
                <w14:textFill>
                  <w14:solidFill>
                    <w14:schemeClr w14:val="tx1"/>
                  </w14:solidFill>
                </w14:textFill>
              </w:rPr>
              <w:t>委托环卫部门清运。</w:t>
            </w:r>
          </w:p>
          <w:p>
            <w:pPr>
              <w:tabs>
                <w:tab w:val="left" w:pos="6962"/>
              </w:tabs>
              <w:spacing w:line="360" w:lineRule="auto"/>
              <w:ind w:firstLine="480"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本项目设有一般固废仓库一处（建筑面积为1</w:t>
            </w:r>
            <w:r>
              <w:rPr>
                <w:rFonts w:hint="eastAsia"/>
                <w:color w:val="000000" w:themeColor="text1"/>
                <w:sz w:val="24"/>
                <w:szCs w:val="24"/>
                <w:lang w:val="en-US" w:eastAsia="zh-CN"/>
                <w14:textFill>
                  <w14:solidFill>
                    <w14:schemeClr w14:val="tx1"/>
                  </w14:solidFill>
                </w14:textFill>
              </w:rPr>
              <w:t>0</w:t>
            </w:r>
            <w:r>
              <w:rPr>
                <w:rFonts w:hint="eastAsia"/>
                <w:color w:val="000000" w:themeColor="text1"/>
                <w:sz w:val="24"/>
                <w:szCs w:val="24"/>
                <w14:textFill>
                  <w14:solidFill>
                    <w14:schemeClr w14:val="tx1"/>
                  </w14:solidFill>
                </w14:textFill>
              </w:rPr>
              <w:t>m</w:t>
            </w:r>
            <w:r>
              <w:rPr>
                <w:rFonts w:hint="eastAsia"/>
                <w:color w:val="000000" w:themeColor="text1"/>
                <w:sz w:val="24"/>
                <w:szCs w:val="24"/>
                <w:vertAlign w:val="superscript"/>
                <w14:textFill>
                  <w14:solidFill>
                    <w14:schemeClr w14:val="tx1"/>
                  </w14:solidFill>
                </w14:textFill>
              </w:rPr>
              <w:t>2</w:t>
            </w:r>
            <w:r>
              <w:rPr>
                <w:rFonts w:hint="eastAsia"/>
                <w:color w:val="000000" w:themeColor="text1"/>
                <w:sz w:val="24"/>
                <w:szCs w:val="24"/>
                <w14:textFill>
                  <w14:solidFill>
                    <w14:schemeClr w14:val="tx1"/>
                  </w14:solidFill>
                </w14:textFill>
              </w:rPr>
              <w:t>）和危险废物仓库一间（建筑面积为1</w:t>
            </w:r>
            <w:r>
              <w:rPr>
                <w:rFonts w:hint="eastAsia"/>
                <w:color w:val="000000" w:themeColor="text1"/>
                <w:sz w:val="24"/>
                <w:szCs w:val="24"/>
                <w:lang w:val="en-US" w:eastAsia="zh-CN"/>
                <w14:textFill>
                  <w14:solidFill>
                    <w14:schemeClr w14:val="tx1"/>
                  </w14:solidFill>
                </w14:textFill>
              </w:rPr>
              <w:t>0</w:t>
            </w:r>
            <w:r>
              <w:rPr>
                <w:rFonts w:hint="eastAsia"/>
                <w:color w:val="000000" w:themeColor="text1"/>
                <w:sz w:val="24"/>
                <w:szCs w:val="24"/>
                <w14:textFill>
                  <w14:solidFill>
                    <w14:schemeClr w14:val="tx1"/>
                  </w14:solidFill>
                </w14:textFill>
              </w:rPr>
              <w:t>m</w:t>
            </w:r>
            <w:r>
              <w:rPr>
                <w:rFonts w:hint="eastAsia"/>
                <w:color w:val="000000" w:themeColor="text1"/>
                <w:sz w:val="24"/>
                <w:szCs w:val="24"/>
                <w:vertAlign w:val="superscript"/>
                <w14:textFill>
                  <w14:solidFill>
                    <w14:schemeClr w14:val="tx1"/>
                  </w14:solidFill>
                </w14:textFill>
              </w:rPr>
              <w:t>2</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w:t>
            </w:r>
          </w:p>
          <w:p>
            <w:pPr>
              <w:spacing w:line="360" w:lineRule="auto"/>
              <w:ind w:firstLine="480"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可见本项目产生的固体废物能够得到有效的处理和利用，对周围环境影响较小，固体废物防治措施可行。</w:t>
            </w:r>
          </w:p>
          <w:p>
            <w:pPr>
              <w:spacing w:line="360" w:lineRule="auto"/>
              <w:ind w:firstLine="480" w:firstLineChars="200"/>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4、</w:t>
            </w:r>
            <w:r>
              <w:rPr>
                <w:b/>
                <w:color w:val="000000" w:themeColor="text1"/>
                <w:sz w:val="24"/>
                <w:szCs w:val="24"/>
                <w14:textFill>
                  <w14:solidFill>
                    <w14:schemeClr w14:val="tx1"/>
                  </w14:solidFill>
                </w14:textFill>
              </w:rPr>
              <w:t>环境影响分析：</w:t>
            </w:r>
          </w:p>
          <w:p>
            <w:pPr>
              <w:spacing w:line="360" w:lineRule="auto"/>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（1）大气</w:t>
            </w:r>
            <w:r>
              <w:rPr>
                <w:color w:val="000000" w:themeColor="text1"/>
                <w:kern w:val="0"/>
                <w:sz w:val="24"/>
                <w14:textFill>
                  <w14:solidFill>
                    <w14:schemeClr w14:val="tx1"/>
                  </w14:solidFill>
                </w14:textFill>
              </w:rPr>
              <w:t>环境影响分析</w:t>
            </w:r>
          </w:p>
          <w:p>
            <w:pPr>
              <w:spacing w:line="360" w:lineRule="auto"/>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本项目大气</w:t>
            </w:r>
            <w:r>
              <w:rPr>
                <w:color w:val="000000" w:themeColor="text1"/>
                <w:kern w:val="0"/>
                <w:sz w:val="24"/>
                <w14:textFill>
                  <w14:solidFill>
                    <w14:schemeClr w14:val="tx1"/>
                  </w14:solidFill>
                </w14:textFill>
              </w:rPr>
              <w:t>环境为非达标区，</w:t>
            </w:r>
            <w:r>
              <w:rPr>
                <w:rFonts w:hint="eastAsia"/>
                <w:color w:val="000000" w:themeColor="text1"/>
                <w:kern w:val="0"/>
                <w:sz w:val="24"/>
                <w14:textFill>
                  <w14:solidFill>
                    <w14:schemeClr w14:val="tx1"/>
                  </w14:solidFill>
                </w14:textFill>
              </w:rPr>
              <w:t>但常州市</w:t>
            </w:r>
            <w:r>
              <w:rPr>
                <w:color w:val="000000" w:themeColor="text1"/>
                <w:kern w:val="0"/>
                <w:sz w:val="24"/>
                <w14:textFill>
                  <w14:solidFill>
                    <w14:schemeClr w14:val="tx1"/>
                  </w14:solidFill>
                </w14:textFill>
              </w:rPr>
              <w:t>已经</w:t>
            </w:r>
            <w:r>
              <w:rPr>
                <w:rFonts w:hint="eastAsia"/>
                <w:color w:val="000000" w:themeColor="text1"/>
                <w:sz w:val="24"/>
                <w:szCs w:val="24"/>
                <w14:textFill>
                  <w14:solidFill>
                    <w14:schemeClr w14:val="tx1"/>
                  </w14:solidFill>
                </w14:textFill>
              </w:rPr>
              <w:t>全面启动保留燃煤小热电的超低排放改造，完成</w:t>
            </w:r>
            <w:r>
              <w:rPr>
                <w:color w:val="000000" w:themeColor="text1"/>
                <w:sz w:val="24"/>
                <w:szCs w:val="24"/>
                <w14:textFill>
                  <w14:solidFill>
                    <w14:schemeClr w14:val="tx1"/>
                  </w14:solidFill>
                </w14:textFill>
              </w:rPr>
              <w:t>35</w:t>
            </w:r>
            <w:r>
              <w:rPr>
                <w:rFonts w:hint="eastAsia"/>
                <w:color w:val="000000" w:themeColor="text1"/>
                <w:sz w:val="24"/>
                <w:szCs w:val="24"/>
                <w14:textFill>
                  <w14:solidFill>
                    <w14:schemeClr w14:val="tx1"/>
                  </w14:solidFill>
                </w14:textFill>
              </w:rPr>
              <w:t>吨</w:t>
            </w:r>
            <w:r>
              <w:rPr>
                <w:color w:val="000000" w:themeColor="text1"/>
                <w:sz w:val="24"/>
                <w:szCs w:val="24"/>
                <w14:textFill>
                  <w14:solidFill>
                    <w14:schemeClr w14:val="tx1"/>
                  </w14:solidFill>
                </w14:textFill>
              </w:rPr>
              <w:t>/</w:t>
            </w:r>
            <w:r>
              <w:rPr>
                <w:rFonts w:hint="eastAsia"/>
                <w:color w:val="000000" w:themeColor="text1"/>
                <w:sz w:val="24"/>
                <w:szCs w:val="24"/>
                <w14:textFill>
                  <w14:solidFill>
                    <w14:schemeClr w14:val="tx1"/>
                  </w14:solidFill>
                </w14:textFill>
              </w:rPr>
              <w:t>时（含）以下燃煤锅炉淘汰。印刷包装、集装箱等</w:t>
            </w:r>
            <w:r>
              <w:rPr>
                <w:color w:val="000000" w:themeColor="text1"/>
                <w:sz w:val="24"/>
                <w:szCs w:val="24"/>
                <w14:textFill>
                  <w14:solidFill>
                    <w14:schemeClr w14:val="tx1"/>
                  </w14:solidFill>
                </w14:textFill>
              </w:rPr>
              <w:t xml:space="preserve">7 </w:t>
            </w:r>
            <w:r>
              <w:rPr>
                <w:rFonts w:hint="eastAsia"/>
                <w:color w:val="000000" w:themeColor="text1"/>
                <w:sz w:val="24"/>
                <w:szCs w:val="24"/>
                <w14:textFill>
                  <w14:solidFill>
                    <w14:schemeClr w14:val="tx1"/>
                  </w14:solidFill>
                </w14:textFill>
              </w:rPr>
              <w:t>个行业完成低</w:t>
            </w:r>
            <w:r>
              <w:rPr>
                <w:color w:val="000000" w:themeColor="text1"/>
                <w:sz w:val="24"/>
                <w:szCs w:val="24"/>
                <w14:textFill>
                  <w14:solidFill>
                    <w14:schemeClr w14:val="tx1"/>
                  </w14:solidFill>
                </w14:textFill>
              </w:rPr>
              <w:t>VOCs</w:t>
            </w:r>
            <w:r>
              <w:rPr>
                <w:rFonts w:hint="eastAsia"/>
                <w:color w:val="000000" w:themeColor="text1"/>
                <w:sz w:val="24"/>
                <w:szCs w:val="24"/>
                <w14:textFill>
                  <w14:solidFill>
                    <w14:schemeClr w14:val="tx1"/>
                  </w14:solidFill>
                </w14:textFill>
              </w:rPr>
              <w:t>原料替代及全过程综合整治工作，对</w:t>
            </w:r>
            <w:r>
              <w:rPr>
                <w:rFonts w:hint="eastAsia"/>
                <w:color w:val="000000" w:themeColor="text1"/>
                <w:sz w:val="24"/>
                <w14:textFill>
                  <w14:solidFill>
                    <w14:schemeClr w14:val="tx1"/>
                  </w14:solidFill>
                </w14:textFill>
              </w:rPr>
              <w:t>二氧化氮、颗粒物、细颗粒物、</w:t>
            </w:r>
            <w:r>
              <w:rPr>
                <w:color w:val="000000" w:themeColor="text1"/>
                <w:sz w:val="24"/>
                <w:szCs w:val="24"/>
                <w14:textFill>
                  <w14:solidFill>
                    <w14:schemeClr w14:val="tx1"/>
                  </w14:solidFill>
                </w14:textFill>
              </w:rPr>
              <w:t>VOCs</w:t>
            </w:r>
            <w:r>
              <w:rPr>
                <w:rFonts w:hint="eastAsia"/>
                <w:color w:val="000000" w:themeColor="text1"/>
                <w:sz w:val="24"/>
                <w:szCs w:val="24"/>
                <w14:textFill>
                  <w14:solidFill>
                    <w14:schemeClr w14:val="tx1"/>
                  </w14:solidFill>
                </w14:textFill>
              </w:rPr>
              <w:t>等的区域削减。经</w:t>
            </w:r>
            <w:r>
              <w:rPr>
                <w:color w:val="000000" w:themeColor="text1"/>
                <w:sz w:val="24"/>
                <w:szCs w:val="24"/>
                <w14:textFill>
                  <w14:solidFill>
                    <w14:schemeClr w14:val="tx1"/>
                  </w14:solidFill>
                </w14:textFill>
              </w:rPr>
              <w:t>预测，本项目</w:t>
            </w:r>
            <w:r>
              <w:rPr>
                <w:rFonts w:hint="eastAsia"/>
                <w:color w:val="000000" w:themeColor="text1"/>
                <w:sz w:val="24"/>
                <w:szCs w:val="24"/>
                <w14:textFill>
                  <w14:solidFill>
                    <w14:schemeClr w14:val="tx1"/>
                  </w14:solidFill>
                </w14:textFill>
              </w:rPr>
              <w:t>污染物</w:t>
            </w:r>
            <w:r>
              <w:rPr>
                <w:sz w:val="24"/>
                <w:szCs w:val="24"/>
              </w:rPr>
              <w:t>最大小时浓度占标率远远小于100%</w:t>
            </w:r>
            <w:r>
              <w:rPr>
                <w:color w:val="000000" w:themeColor="text1"/>
                <w:sz w:val="24"/>
                <w:szCs w:val="24"/>
                <w14:textFill>
                  <w14:solidFill>
                    <w14:schemeClr w14:val="tx1"/>
                  </w14:solidFill>
                </w14:textFill>
              </w:rPr>
              <w:t>。因此</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项目建成后对大气环境影响是可以接受的。</w:t>
            </w:r>
          </w:p>
          <w:p>
            <w:pPr>
              <w:spacing w:line="360" w:lineRule="auto"/>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（2）地表水环境</w:t>
            </w:r>
            <w:r>
              <w:rPr>
                <w:color w:val="000000" w:themeColor="text1"/>
                <w:kern w:val="0"/>
                <w:sz w:val="24"/>
                <w14:textFill>
                  <w14:solidFill>
                    <w14:schemeClr w14:val="tx1"/>
                  </w14:solidFill>
                </w14:textFill>
              </w:rPr>
              <w:t>影响分析：</w:t>
            </w:r>
          </w:p>
          <w:p>
            <w:pPr>
              <w:spacing w:line="360" w:lineRule="auto"/>
              <w:ind w:firstLine="480" w:firstLineChars="200"/>
              <w:rPr>
                <w:color w:val="000000" w:themeColor="text1"/>
                <w:kern w:val="0"/>
                <w:sz w:val="32"/>
                <w14:textFill>
                  <w14:solidFill>
                    <w14:schemeClr w14:val="tx1"/>
                  </w14:solidFill>
                </w14:textFill>
              </w:rPr>
            </w:pPr>
            <w:r>
              <w:rPr>
                <w:rFonts w:hint="eastAsia" w:cs="宋体"/>
                <w:color w:val="000000" w:themeColor="text1"/>
                <w:sz w:val="24"/>
                <w14:textFill>
                  <w14:solidFill>
                    <w14:schemeClr w14:val="tx1"/>
                  </w14:solidFill>
                </w14:textFill>
              </w:rPr>
              <w:t>本项目</w:t>
            </w:r>
            <w:r>
              <w:rPr>
                <w:rFonts w:cs="宋体"/>
                <w:color w:val="000000" w:themeColor="text1"/>
                <w:sz w:val="24"/>
                <w14:textFill>
                  <w14:solidFill>
                    <w14:schemeClr w14:val="tx1"/>
                  </w14:solidFill>
                </w14:textFill>
              </w:rPr>
              <w:t>运行期仅有生活污水</w:t>
            </w:r>
            <w:r>
              <w:rPr>
                <w:rFonts w:hint="eastAsia" w:cs="宋体"/>
                <w:color w:val="000000" w:themeColor="text1"/>
                <w:sz w:val="24"/>
                <w:lang w:eastAsia="zh-CN"/>
                <w14:textFill>
                  <w14:solidFill>
                    <w14:schemeClr w14:val="tx1"/>
                  </w14:solidFill>
                </w14:textFill>
              </w:rPr>
              <w:t>排放</w:t>
            </w:r>
            <w:r>
              <w:rPr>
                <w:rFonts w:hint="eastAsia" w:cs="宋体"/>
                <w:color w:val="000000" w:themeColor="text1"/>
                <w:sz w:val="24"/>
                <w14:textFill>
                  <w14:solidFill>
                    <w14:schemeClr w14:val="tx1"/>
                  </w14:solidFill>
                </w14:textFill>
              </w:rPr>
              <w:t>，项目纳污河流满足</w:t>
            </w:r>
            <w:r>
              <w:rPr>
                <w:bCs/>
                <w:color w:val="000000" w:themeColor="text1"/>
                <w:sz w:val="24"/>
                <w14:textFill>
                  <w14:solidFill>
                    <w14:schemeClr w14:val="tx1"/>
                  </w14:solidFill>
                </w14:textFill>
              </w:rPr>
              <w:t>《地表水环境质量标准》（GB3838-2002）中</w:t>
            </w:r>
            <w:r>
              <w:rPr>
                <w:rFonts w:hint="eastAsia" w:ascii="宋体" w:cs="宋体"/>
                <w:bCs/>
                <w:color w:val="000000" w:themeColor="text1"/>
                <w:sz w:val="24"/>
                <w14:textFill>
                  <w14:solidFill>
                    <w14:schemeClr w14:val="tx1"/>
                  </w14:solidFill>
                </w14:textFill>
              </w:rPr>
              <w:t>Ⅳ</w:t>
            </w:r>
            <w:r>
              <w:rPr>
                <w:bCs/>
                <w:color w:val="000000" w:themeColor="text1"/>
                <w:sz w:val="24"/>
                <w14:textFill>
                  <w14:solidFill>
                    <w14:schemeClr w14:val="tx1"/>
                  </w14:solidFill>
                </w14:textFill>
              </w:rPr>
              <w:t>类标准。</w:t>
            </w:r>
            <w:r>
              <w:rPr>
                <w:rFonts w:hint="eastAsia"/>
                <w:bCs/>
                <w:color w:val="000000" w:themeColor="text1"/>
                <w:sz w:val="24"/>
                <w14:textFill>
                  <w14:solidFill>
                    <w14:schemeClr w14:val="tx1"/>
                  </w14:solidFill>
                </w14:textFill>
              </w:rPr>
              <w:t>项目所在地</w:t>
            </w:r>
            <w:r>
              <w:rPr>
                <w:bCs/>
                <w:color w:val="000000" w:themeColor="text1"/>
                <w:sz w:val="24"/>
                <w14:textFill>
                  <w14:solidFill>
                    <w14:schemeClr w14:val="tx1"/>
                  </w14:solidFill>
                </w14:textFill>
              </w:rPr>
              <w:t>已满足接管城市污水处理厂条件，</w:t>
            </w:r>
            <w:r>
              <w:rPr>
                <w:rFonts w:hint="eastAsia"/>
                <w:bCs/>
                <w:color w:val="000000" w:themeColor="text1"/>
                <w:sz w:val="24"/>
                <w14:textFill>
                  <w14:solidFill>
                    <w14:schemeClr w14:val="tx1"/>
                  </w14:solidFill>
                </w14:textFill>
              </w:rPr>
              <w:t>且废水</w:t>
            </w:r>
            <w:r>
              <w:rPr>
                <w:bCs/>
                <w:color w:val="000000" w:themeColor="text1"/>
                <w:sz w:val="24"/>
                <w14:textFill>
                  <w14:solidFill>
                    <w14:schemeClr w14:val="tx1"/>
                  </w14:solidFill>
                </w14:textFill>
              </w:rPr>
              <w:t>经化粪池处理</w:t>
            </w:r>
            <w:r>
              <w:rPr>
                <w:rFonts w:hint="eastAsia"/>
                <w:bCs/>
                <w:color w:val="000000" w:themeColor="text1"/>
                <w:sz w:val="24"/>
                <w14:textFill>
                  <w14:solidFill>
                    <w14:schemeClr w14:val="tx1"/>
                  </w14:solidFill>
                </w14:textFill>
              </w:rPr>
              <w:t>后</w:t>
            </w:r>
            <w:r>
              <w:rPr>
                <w:bCs/>
                <w:color w:val="000000" w:themeColor="text1"/>
                <w:sz w:val="24"/>
                <w14:textFill>
                  <w14:solidFill>
                    <w14:schemeClr w14:val="tx1"/>
                  </w14:solidFill>
                </w14:textFill>
              </w:rPr>
              <w:t>可满足污水处理厂接管标准。</w:t>
            </w:r>
            <w:r>
              <w:rPr>
                <w:rFonts w:hint="eastAsia" w:cs="宋体"/>
                <w:color w:val="000000" w:themeColor="text1"/>
                <w:sz w:val="24"/>
                <w14:textFill>
                  <w14:solidFill>
                    <w14:schemeClr w14:val="tx1"/>
                  </w14:solidFill>
                </w14:textFill>
              </w:rPr>
              <w:t>引用</w:t>
            </w:r>
            <w:r>
              <w:rPr>
                <w:rFonts w:hint="eastAsia"/>
                <w:color w:val="000000" w:themeColor="text1"/>
                <w:kern w:val="0"/>
                <w:sz w:val="24"/>
                <w:szCs w:val="24"/>
                <w14:textFill>
                  <w14:solidFill>
                    <w14:schemeClr w14:val="tx1"/>
                  </w14:solidFill>
                </w14:textFill>
              </w:rPr>
              <w:t>常州市金坛区直溪鑫鑫污水处理厂</w:t>
            </w:r>
            <w:r>
              <w:rPr>
                <w:rFonts w:hint="eastAsia" w:cs="宋体"/>
                <w:color w:val="000000" w:themeColor="text1"/>
                <w:sz w:val="24"/>
                <w14:textFill>
                  <w14:solidFill>
                    <w14:schemeClr w14:val="tx1"/>
                  </w14:solidFill>
                </w14:textFill>
              </w:rPr>
              <w:t>环评结论可知，废水经污水处理厂处理达标排放后对地表水环境影响较小。因此</w:t>
            </w:r>
            <w:r>
              <w:rPr>
                <w:rFonts w:cs="宋体"/>
                <w:color w:val="000000" w:themeColor="text1"/>
                <w:sz w:val="24"/>
                <w14:textFill>
                  <w14:solidFill>
                    <w14:schemeClr w14:val="tx1"/>
                  </w14:solidFill>
                </w14:textFill>
              </w:rPr>
              <w:t>本次评价认为</w:t>
            </w:r>
            <w:r>
              <w:rPr>
                <w:rFonts w:hint="eastAsia" w:cs="宋体"/>
                <w:color w:val="000000" w:themeColor="text1"/>
                <w:sz w:val="24"/>
                <w14:textFill>
                  <w14:solidFill>
                    <w14:schemeClr w14:val="tx1"/>
                  </w14:solidFill>
                </w14:textFill>
              </w:rPr>
              <w:t>本项目</w:t>
            </w:r>
            <w:r>
              <w:rPr>
                <w:rFonts w:cs="宋体"/>
                <w:color w:val="000000" w:themeColor="text1"/>
                <w:sz w:val="24"/>
                <w14:textFill>
                  <w14:solidFill>
                    <w14:schemeClr w14:val="tx1"/>
                  </w14:solidFill>
                </w14:textFill>
              </w:rPr>
              <w:t>对地表</w:t>
            </w:r>
            <w:r>
              <w:rPr>
                <w:rFonts w:hint="eastAsia" w:cs="宋体"/>
                <w:color w:val="000000" w:themeColor="text1"/>
                <w:sz w:val="24"/>
                <w14:textFill>
                  <w14:solidFill>
                    <w14:schemeClr w14:val="tx1"/>
                  </w14:solidFill>
                </w14:textFill>
              </w:rPr>
              <w:t>水</w:t>
            </w:r>
            <w:r>
              <w:rPr>
                <w:rFonts w:cs="宋体"/>
                <w:color w:val="000000" w:themeColor="text1"/>
                <w:sz w:val="24"/>
                <w14:textFill>
                  <w14:solidFill>
                    <w14:schemeClr w14:val="tx1"/>
                  </w14:solidFill>
                </w14:textFill>
              </w:rPr>
              <w:t>环境影响是可以接受的。</w:t>
            </w:r>
          </w:p>
          <w:p>
            <w:pPr>
              <w:spacing w:line="360" w:lineRule="auto"/>
              <w:ind w:firstLine="480" w:firstLineChars="200"/>
              <w:rPr>
                <w:color w:val="000000" w:themeColor="text1"/>
                <w:kern w:val="0"/>
                <w:sz w:val="24"/>
                <w14:textFill>
                  <w14:solidFill>
                    <w14:schemeClr w14:val="tx1"/>
                  </w14:solidFill>
                </w14:textFill>
              </w:rPr>
            </w:pPr>
            <w:r>
              <w:rPr>
                <w:rFonts w:hint="eastAsia"/>
                <w:color w:val="000000" w:themeColor="text1"/>
                <w:kern w:val="0"/>
                <w:sz w:val="24"/>
                <w14:textFill>
                  <w14:solidFill>
                    <w14:schemeClr w14:val="tx1"/>
                  </w14:solidFill>
                </w14:textFill>
              </w:rPr>
              <w:t>（3）声</w:t>
            </w:r>
            <w:r>
              <w:rPr>
                <w:color w:val="000000" w:themeColor="text1"/>
                <w:kern w:val="0"/>
                <w:sz w:val="24"/>
                <w14:textFill>
                  <w14:solidFill>
                    <w14:schemeClr w14:val="tx1"/>
                  </w14:solidFill>
                </w14:textFill>
              </w:rPr>
              <w:t>环境影响</w:t>
            </w:r>
            <w:r>
              <w:rPr>
                <w:rFonts w:hint="eastAsia"/>
                <w:color w:val="000000" w:themeColor="text1"/>
                <w:kern w:val="0"/>
                <w:sz w:val="24"/>
                <w14:textFill>
                  <w14:solidFill>
                    <w14:schemeClr w14:val="tx1"/>
                  </w14:solidFill>
                </w14:textFill>
              </w:rPr>
              <w:t>分析</w:t>
            </w:r>
            <w:r>
              <w:rPr>
                <w:color w:val="000000" w:themeColor="text1"/>
                <w:kern w:val="0"/>
                <w:sz w:val="24"/>
                <w14:textFill>
                  <w14:solidFill>
                    <w14:schemeClr w14:val="tx1"/>
                  </w14:solidFill>
                </w14:textFill>
              </w:rPr>
              <w:t>：</w:t>
            </w:r>
          </w:p>
          <w:p>
            <w:pPr>
              <w:spacing w:line="360" w:lineRule="auto"/>
              <w:ind w:firstLine="480" w:firstLineChars="200"/>
              <w:rPr>
                <w:rFonts w:cs="宋体"/>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本项目高</w:t>
            </w:r>
            <w:r>
              <w:rPr>
                <w:color w:val="000000" w:themeColor="text1"/>
                <w:sz w:val="24"/>
                <w14:textFill>
                  <w14:solidFill>
                    <w14:schemeClr w14:val="tx1"/>
                  </w14:solidFill>
                </w14:textFill>
              </w:rPr>
              <w:t>噪设备采取了隔声、减振措施，噪声可以得到较大的削减，</w:t>
            </w:r>
            <w:r>
              <w:rPr>
                <w:rFonts w:hint="eastAsia"/>
                <w:color w:val="000000" w:themeColor="text1"/>
                <w:sz w:val="24"/>
                <w14:textFill>
                  <w14:solidFill>
                    <w14:schemeClr w14:val="tx1"/>
                  </w14:solidFill>
                </w14:textFill>
              </w:rPr>
              <w:t>叠加</w:t>
            </w:r>
            <w:r>
              <w:rPr>
                <w:color w:val="000000" w:themeColor="text1"/>
                <w:sz w:val="24"/>
                <w14:textFill>
                  <w14:solidFill>
                    <w14:schemeClr w14:val="tx1"/>
                  </w14:solidFill>
                </w14:textFill>
              </w:rPr>
              <w:t>现状</w:t>
            </w:r>
            <w:r>
              <w:rPr>
                <w:rFonts w:hint="eastAsia"/>
                <w:color w:val="000000" w:themeColor="text1"/>
                <w:sz w:val="24"/>
                <w14:textFill>
                  <w14:solidFill>
                    <w14:schemeClr w14:val="tx1"/>
                  </w14:solidFill>
                </w14:textFill>
              </w:rPr>
              <w:t>值</w:t>
            </w:r>
            <w:r>
              <w:rPr>
                <w:color w:val="000000" w:themeColor="text1"/>
                <w:sz w:val="24"/>
                <w14:textFill>
                  <w14:solidFill>
                    <w14:schemeClr w14:val="tx1"/>
                  </w14:solidFill>
                </w14:textFill>
              </w:rPr>
              <w:t>后</w:t>
            </w:r>
            <w:r>
              <w:rPr>
                <w:color w:val="000000" w:themeColor="text1"/>
                <w:sz w:val="24"/>
                <w:szCs w:val="24"/>
                <w14:textFill>
                  <w14:solidFill>
                    <w14:schemeClr w14:val="tx1"/>
                  </w14:solidFill>
                </w14:textFill>
              </w:rPr>
              <w:t>项目</w:t>
            </w:r>
            <w:r>
              <w:rPr>
                <w:rFonts w:hint="eastAsia"/>
                <w:color w:val="000000" w:themeColor="text1"/>
                <w:sz w:val="24"/>
                <w:szCs w:val="24"/>
                <w14:textFill>
                  <w14:solidFill>
                    <w14:schemeClr w14:val="tx1"/>
                  </w14:solidFill>
                </w14:textFill>
              </w:rPr>
              <w:t>厂界声环境达到</w:t>
            </w:r>
            <w:r>
              <w:rPr>
                <w:color w:val="000000" w:themeColor="text1"/>
                <w:sz w:val="24"/>
                <w:szCs w:val="24"/>
                <w14:textFill>
                  <w14:solidFill>
                    <w14:schemeClr w14:val="tx1"/>
                  </w14:solidFill>
                </w14:textFill>
              </w:rPr>
              <w:t>《声环境质量标准》（GB3096-2008）中的</w:t>
            </w:r>
            <w:r>
              <w:rPr>
                <w:rFonts w:hint="eastAsia"/>
                <w:color w:val="000000" w:themeColor="text1"/>
                <w:sz w:val="24"/>
                <w:szCs w:val="24"/>
                <w14:textFill>
                  <w14:solidFill>
                    <w14:schemeClr w14:val="tx1"/>
                  </w14:solidFill>
                </w14:textFill>
              </w:rPr>
              <w:t>3</w:t>
            </w:r>
            <w:r>
              <w:rPr>
                <w:color w:val="000000" w:themeColor="text1"/>
                <w:sz w:val="24"/>
                <w:szCs w:val="24"/>
                <w14:textFill>
                  <w14:solidFill>
                    <w14:schemeClr w14:val="tx1"/>
                  </w14:solidFill>
                </w14:textFill>
              </w:rPr>
              <w:t>类</w:t>
            </w:r>
            <w:r>
              <w:rPr>
                <w:rFonts w:hint="eastAsia"/>
                <w:color w:val="000000" w:themeColor="text1"/>
                <w:sz w:val="24"/>
                <w:szCs w:val="24"/>
                <w:lang w:eastAsia="zh-CN"/>
                <w14:textFill>
                  <w14:solidFill>
                    <w14:schemeClr w14:val="tx1"/>
                  </w14:solidFill>
                </w14:textFill>
              </w:rPr>
              <w:t>限值</w:t>
            </w:r>
            <w:r>
              <w:rPr>
                <w:color w:val="000000" w:themeColor="text1"/>
                <w:sz w:val="24"/>
                <w:szCs w:val="24"/>
                <w14:textFill>
                  <w14:solidFill>
                    <w14:schemeClr w14:val="tx1"/>
                  </w14:solidFill>
                </w14:textFill>
              </w:rPr>
              <w:t>，</w:t>
            </w:r>
            <w:r>
              <w:rPr>
                <w:color w:val="000000" w:themeColor="text1"/>
                <w:kern w:val="0"/>
                <w:sz w:val="24"/>
                <w:szCs w:val="24"/>
                <w14:textFill>
                  <w14:solidFill>
                    <w14:schemeClr w14:val="tx1"/>
                  </w14:solidFill>
                </w14:textFill>
              </w:rPr>
              <w:t>即：昼间≤6</w:t>
            </w:r>
            <w:r>
              <w:rPr>
                <w:rFonts w:hint="eastAsia"/>
                <w:color w:val="000000" w:themeColor="text1"/>
                <w:kern w:val="0"/>
                <w:sz w:val="24"/>
                <w:szCs w:val="24"/>
                <w14:textFill>
                  <w14:solidFill>
                    <w14:schemeClr w14:val="tx1"/>
                  </w14:solidFill>
                </w14:textFill>
              </w:rPr>
              <w:t>5</w:t>
            </w:r>
            <w:r>
              <w:rPr>
                <w:color w:val="000000" w:themeColor="text1"/>
                <w:kern w:val="0"/>
                <w:sz w:val="24"/>
                <w:szCs w:val="24"/>
                <w14:textFill>
                  <w14:solidFill>
                    <w14:schemeClr w14:val="tx1"/>
                  </w14:solidFill>
                </w14:textFill>
              </w:rPr>
              <w:t>dB</w:t>
            </w:r>
            <w:r>
              <w:rPr>
                <w:rFonts w:hint="eastAsia"/>
                <w:color w:val="000000" w:themeColor="text1"/>
                <w:kern w:val="0"/>
                <w:sz w:val="24"/>
                <w:szCs w:val="24"/>
                <w14:textFill>
                  <w14:solidFill>
                    <w14:schemeClr w14:val="tx1"/>
                  </w14:solidFill>
                </w14:textFill>
              </w:rPr>
              <w:t>（</w:t>
            </w:r>
            <w:r>
              <w:rPr>
                <w:color w:val="000000" w:themeColor="text1"/>
                <w:kern w:val="0"/>
                <w:sz w:val="24"/>
                <w:szCs w:val="24"/>
                <w14:textFill>
                  <w14:solidFill>
                    <w14:schemeClr w14:val="tx1"/>
                  </w14:solidFill>
                </w14:textFill>
              </w:rPr>
              <w:t>A</w:t>
            </w:r>
            <w:r>
              <w:rPr>
                <w:rFonts w:hint="eastAsia"/>
                <w:color w:val="000000" w:themeColor="text1"/>
                <w:kern w:val="0"/>
                <w:sz w:val="24"/>
                <w:szCs w:val="24"/>
                <w14:textFill>
                  <w14:solidFill>
                    <w14:schemeClr w14:val="tx1"/>
                  </w14:solidFill>
                </w14:textFill>
              </w:rPr>
              <w:t>）</w:t>
            </w:r>
            <w:r>
              <w:rPr>
                <w:color w:val="000000" w:themeColor="text1"/>
                <w:kern w:val="0"/>
                <w:sz w:val="24"/>
                <w:szCs w:val="24"/>
                <w14:textFill>
                  <w14:solidFill>
                    <w14:schemeClr w14:val="tx1"/>
                  </w14:solidFill>
                </w14:textFill>
              </w:rPr>
              <w:t>、夜间≤5</w:t>
            </w:r>
            <w:r>
              <w:rPr>
                <w:rFonts w:hint="eastAsia"/>
                <w:color w:val="000000" w:themeColor="text1"/>
                <w:kern w:val="0"/>
                <w:sz w:val="24"/>
                <w:szCs w:val="24"/>
                <w14:textFill>
                  <w14:solidFill>
                    <w14:schemeClr w14:val="tx1"/>
                  </w14:solidFill>
                </w14:textFill>
              </w:rPr>
              <w:t>5</w:t>
            </w:r>
            <w:r>
              <w:rPr>
                <w:color w:val="000000" w:themeColor="text1"/>
                <w:kern w:val="0"/>
                <w:sz w:val="24"/>
                <w:szCs w:val="24"/>
                <w14:textFill>
                  <w14:solidFill>
                    <w14:schemeClr w14:val="tx1"/>
                  </w14:solidFill>
                </w14:textFill>
              </w:rPr>
              <w:t>dB</w:t>
            </w:r>
            <w:r>
              <w:rPr>
                <w:rFonts w:hint="eastAsia"/>
                <w:color w:val="000000" w:themeColor="text1"/>
                <w:kern w:val="0"/>
                <w:sz w:val="24"/>
                <w:szCs w:val="24"/>
                <w14:textFill>
                  <w14:solidFill>
                    <w14:schemeClr w14:val="tx1"/>
                  </w14:solidFill>
                </w14:textFill>
              </w:rPr>
              <w:t>（</w:t>
            </w:r>
            <w:r>
              <w:rPr>
                <w:color w:val="000000" w:themeColor="text1"/>
                <w:kern w:val="0"/>
                <w:sz w:val="24"/>
                <w:szCs w:val="24"/>
                <w14:textFill>
                  <w14:solidFill>
                    <w14:schemeClr w14:val="tx1"/>
                  </w14:solidFill>
                </w14:textFill>
              </w:rPr>
              <w:t>A</w:t>
            </w:r>
            <w:r>
              <w:rPr>
                <w:rFonts w:hint="eastAsia"/>
                <w:color w:val="000000" w:themeColor="text1"/>
                <w:kern w:val="0"/>
                <w:sz w:val="24"/>
                <w:szCs w:val="24"/>
                <w14:textFill>
                  <w14:solidFill>
                    <w14:schemeClr w14:val="tx1"/>
                  </w14:solidFill>
                </w14:textFill>
              </w:rPr>
              <w:t>）。因此</w:t>
            </w:r>
            <w:r>
              <w:rPr>
                <w:rFonts w:cs="宋体"/>
                <w:color w:val="000000" w:themeColor="text1"/>
                <w:sz w:val="24"/>
                <w14:textFill>
                  <w14:solidFill>
                    <w14:schemeClr w14:val="tx1"/>
                  </w14:solidFill>
                </w14:textFill>
              </w:rPr>
              <w:t>本次评价认为</w:t>
            </w:r>
            <w:r>
              <w:rPr>
                <w:rFonts w:hint="eastAsia" w:cs="宋体"/>
                <w:color w:val="000000" w:themeColor="text1"/>
                <w:sz w:val="24"/>
                <w14:textFill>
                  <w14:solidFill>
                    <w14:schemeClr w14:val="tx1"/>
                  </w14:solidFill>
                </w14:textFill>
              </w:rPr>
              <w:t>本项目</w:t>
            </w:r>
            <w:r>
              <w:rPr>
                <w:rFonts w:cs="宋体"/>
                <w:color w:val="000000" w:themeColor="text1"/>
                <w:sz w:val="24"/>
                <w14:textFill>
                  <w14:solidFill>
                    <w14:schemeClr w14:val="tx1"/>
                  </w14:solidFill>
                </w14:textFill>
              </w:rPr>
              <w:t>对</w:t>
            </w:r>
            <w:r>
              <w:rPr>
                <w:rFonts w:hint="eastAsia" w:cs="宋体"/>
                <w:color w:val="000000" w:themeColor="text1"/>
                <w:sz w:val="24"/>
                <w14:textFill>
                  <w14:solidFill>
                    <w14:schemeClr w14:val="tx1"/>
                  </w14:solidFill>
                </w14:textFill>
              </w:rPr>
              <w:t>声</w:t>
            </w:r>
            <w:r>
              <w:rPr>
                <w:rFonts w:cs="宋体"/>
                <w:color w:val="000000" w:themeColor="text1"/>
                <w:sz w:val="24"/>
                <w14:textFill>
                  <w14:solidFill>
                    <w14:schemeClr w14:val="tx1"/>
                  </w14:solidFill>
                </w14:textFill>
              </w:rPr>
              <w:t>环境影响是可以接受的。</w:t>
            </w:r>
          </w:p>
          <w:p>
            <w:pPr>
              <w:spacing w:line="360" w:lineRule="auto"/>
              <w:ind w:firstLine="480" w:firstLineChars="200"/>
              <w:rPr>
                <w:rFonts w:cs="宋体"/>
                <w:color w:val="000000" w:themeColor="text1"/>
                <w:sz w:val="24"/>
                <w14:textFill>
                  <w14:solidFill>
                    <w14:schemeClr w14:val="tx1"/>
                  </w14:solidFill>
                </w14:textFill>
              </w:rPr>
            </w:pPr>
            <w:r>
              <w:rPr>
                <w:rFonts w:hint="eastAsia" w:cs="宋体"/>
                <w:color w:val="000000" w:themeColor="text1"/>
                <w:sz w:val="24"/>
                <w14:textFill>
                  <w14:solidFill>
                    <w14:schemeClr w14:val="tx1"/>
                  </w14:solidFill>
                </w14:textFill>
              </w:rPr>
              <w:t>（4）固体</w:t>
            </w:r>
            <w:r>
              <w:rPr>
                <w:rFonts w:cs="宋体"/>
                <w:color w:val="000000" w:themeColor="text1"/>
                <w:sz w:val="24"/>
                <w14:textFill>
                  <w14:solidFill>
                    <w14:schemeClr w14:val="tx1"/>
                  </w14:solidFill>
                </w14:textFill>
              </w:rPr>
              <w:t>废物环境影响分析：</w:t>
            </w:r>
          </w:p>
          <w:p>
            <w:pPr>
              <w:spacing w:line="360" w:lineRule="auto"/>
              <w:ind w:firstLine="480" w:firstLineChars="200"/>
              <w:rPr>
                <w:color w:val="000000" w:themeColor="text1"/>
                <w:kern w:val="0"/>
                <w:sz w:val="24"/>
                <w14:textFill>
                  <w14:solidFill>
                    <w14:schemeClr w14:val="tx1"/>
                  </w14:solidFill>
                </w14:textFill>
              </w:rPr>
            </w:pPr>
            <w:r>
              <w:rPr>
                <w:color w:val="000000" w:themeColor="text1"/>
                <w:sz w:val="24"/>
                <w14:textFill>
                  <w14:solidFill>
                    <w14:schemeClr w14:val="tx1"/>
                  </w14:solidFill>
                </w14:textFill>
              </w:rPr>
              <w:t>项目所产生的固废均得到合理处置，固废零排放</w:t>
            </w:r>
            <w:r>
              <w:rPr>
                <w:rFonts w:hint="eastAsia"/>
                <w:color w:val="000000" w:themeColor="text1"/>
                <w:sz w:val="24"/>
                <w14:textFill>
                  <w14:solidFill>
                    <w14:schemeClr w14:val="tx1"/>
                  </w14:solidFill>
                </w14:textFill>
              </w:rPr>
              <w:t>，因此</w:t>
            </w:r>
            <w:r>
              <w:rPr>
                <w:color w:val="000000" w:themeColor="text1"/>
                <w:sz w:val="24"/>
                <w14:textFill>
                  <w14:solidFill>
                    <w14:schemeClr w14:val="tx1"/>
                  </w14:solidFill>
                </w14:textFill>
              </w:rPr>
              <w:t>固体废物对周边环境影响是可以接受的</w:t>
            </w:r>
            <w:r>
              <w:rPr>
                <w:rFonts w:hint="eastAsia"/>
                <w:color w:val="000000" w:themeColor="text1"/>
                <w:sz w:val="24"/>
                <w14:textFill>
                  <w14:solidFill>
                    <w14:schemeClr w14:val="tx1"/>
                  </w14:solidFill>
                </w14:textFill>
              </w:rPr>
              <w:t>。</w:t>
            </w:r>
          </w:p>
          <w:p>
            <w:pPr>
              <w:spacing w:line="360" w:lineRule="auto"/>
              <w:ind w:firstLine="480"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5、环境质量现状及本项目对环境的影响程度</w:t>
            </w:r>
          </w:p>
          <w:p>
            <w:pPr>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建设项目所在区域通济河水质满足《地表水环境质量标准》</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GB3838 -2002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中IV类标准要求，现状水质良好</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201</w:t>
            </w:r>
            <w:r>
              <w:rPr>
                <w:rFonts w:hint="eastAsia"/>
                <w:color w:val="000000" w:themeColor="text1"/>
                <w:sz w:val="24"/>
                <w14:textFill>
                  <w14:solidFill>
                    <w14:schemeClr w14:val="tx1"/>
                  </w14:solidFill>
                </w14:textFill>
              </w:rPr>
              <w:t>8</w:t>
            </w:r>
            <w:r>
              <w:rPr>
                <w:color w:val="000000" w:themeColor="text1"/>
                <w:sz w:val="24"/>
                <w14:textFill>
                  <w14:solidFill>
                    <w14:schemeClr w14:val="tx1"/>
                  </w14:solidFill>
                </w14:textFill>
              </w:rPr>
              <w:t xml:space="preserve"> 年常州市区二氧化氮、臭氧、可吸入颗粒物和细颗粒物的评价指标不能满足《环境空气质量标准》</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GB3095-2012</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 xml:space="preserve"> 二级标准，项目所在区域为不达标区。根据大气环境质量达标规划，大气环境质量状况可以得到进一步改善</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项目各厂界昼间噪声值均符合《声环境质量标准》</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GB3096-2008</w:t>
            </w:r>
            <w:r>
              <w:rPr>
                <w:rFonts w:hint="eastAsia"/>
                <w:color w:val="000000" w:themeColor="text1"/>
                <w:sz w:val="24"/>
                <w14:textFill>
                  <w14:solidFill>
                    <w14:schemeClr w14:val="tx1"/>
                  </w14:solidFill>
                </w14:textFill>
              </w:rPr>
              <w:t>）</w:t>
            </w:r>
            <w:r>
              <w:rPr>
                <w:color w:val="000000" w:themeColor="text1"/>
                <w:sz w:val="24"/>
                <w14:textFill>
                  <w14:solidFill>
                    <w14:schemeClr w14:val="tx1"/>
                  </w14:solidFill>
                </w14:textFill>
              </w:rPr>
              <w:t>中3类声环境区环境噪声限值要求，环境噪声现状良好。本项目各项污染物经治理后对环境造成的影响较小，不会造成区域环境功能的改变，从对环境质量影响分析项目可行。</w:t>
            </w:r>
          </w:p>
          <w:p>
            <w:pPr>
              <w:spacing w:line="360" w:lineRule="auto"/>
              <w:ind w:firstLine="480" w:firstLineChars="200"/>
              <w:rPr>
                <w:b/>
                <w:bCs/>
                <w:color w:val="000000" w:themeColor="text1"/>
                <w:sz w:val="24"/>
                <w:szCs w:val="24"/>
                <w14:textFill>
                  <w14:solidFill>
                    <w14:schemeClr w14:val="tx1"/>
                  </w14:solidFill>
                </w14:textFill>
              </w:rPr>
            </w:pPr>
            <w:r>
              <w:rPr>
                <w:b/>
                <w:color w:val="000000" w:themeColor="text1"/>
                <w:sz w:val="24"/>
                <w14:textFill>
                  <w14:solidFill>
                    <w14:schemeClr w14:val="tx1"/>
                  </w14:solidFill>
                </w14:textFill>
              </w:rPr>
              <w:t>6</w:t>
            </w:r>
            <w:r>
              <w:rPr>
                <w:b/>
                <w:color w:val="000000" w:themeColor="text1"/>
                <w:spacing w:val="-2"/>
                <w:sz w:val="24"/>
                <w14:textFill>
                  <w14:solidFill>
                    <w14:schemeClr w14:val="tx1"/>
                  </w14:solidFill>
                </w14:textFill>
              </w:rPr>
              <w:t>、</w:t>
            </w:r>
            <w:r>
              <w:rPr>
                <w:b/>
                <w:bCs/>
                <w:color w:val="000000" w:themeColor="text1"/>
                <w:sz w:val="24"/>
                <w:szCs w:val="24"/>
                <w14:textFill>
                  <w14:solidFill>
                    <w14:schemeClr w14:val="tx1"/>
                  </w14:solidFill>
                </w14:textFill>
              </w:rPr>
              <w:t>总量控制结论</w:t>
            </w:r>
          </w:p>
          <w:p>
            <w:pPr>
              <w:tabs>
                <w:tab w:val="left" w:pos="1367"/>
              </w:tabs>
              <w:spacing w:line="360" w:lineRule="auto"/>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本项目产生的生活污水经</w:t>
            </w:r>
            <w:r>
              <w:rPr>
                <w:rFonts w:hint="eastAsia"/>
                <w:color w:val="000000" w:themeColor="text1"/>
                <w:sz w:val="24"/>
                <w14:textFill>
                  <w14:solidFill>
                    <w14:schemeClr w14:val="tx1"/>
                  </w14:solidFill>
                </w14:textFill>
              </w:rPr>
              <w:t>化粪池</w:t>
            </w:r>
            <w:r>
              <w:rPr>
                <w:color w:val="000000" w:themeColor="text1"/>
                <w:sz w:val="24"/>
                <w14:textFill>
                  <w14:solidFill>
                    <w14:schemeClr w14:val="tx1"/>
                  </w14:solidFill>
                </w14:textFill>
              </w:rPr>
              <w:t>处理后，接入</w:t>
            </w:r>
            <w:r>
              <w:rPr>
                <w:rFonts w:hint="eastAsia"/>
                <w:color w:val="000000" w:themeColor="text1"/>
                <w:sz w:val="24"/>
                <w14:textFill>
                  <w14:solidFill>
                    <w14:schemeClr w14:val="tx1"/>
                  </w14:solidFill>
                </w14:textFill>
              </w:rPr>
              <w:t>常州市金坛区直溪鑫鑫污水处理厂</w:t>
            </w:r>
            <w:r>
              <w:rPr>
                <w:color w:val="000000" w:themeColor="text1"/>
                <w:sz w:val="24"/>
                <w14:textFill>
                  <w14:solidFill>
                    <w14:schemeClr w14:val="tx1"/>
                  </w14:solidFill>
                </w14:textFill>
              </w:rPr>
              <w:t>集中处理</w:t>
            </w:r>
            <w:r>
              <w:rPr>
                <w:rFonts w:hint="eastAsia"/>
                <w:color w:val="000000" w:themeColor="text1"/>
                <w:sz w:val="24"/>
                <w14:textFill>
                  <w14:solidFill>
                    <w14:schemeClr w14:val="tx1"/>
                  </w14:solidFill>
                </w14:textFill>
              </w:rPr>
              <w:t>。</w:t>
            </w:r>
          </w:p>
          <w:p>
            <w:pPr>
              <w:tabs>
                <w:tab w:val="left" w:pos="1367"/>
              </w:tabs>
              <w:spacing w:line="360" w:lineRule="auto"/>
              <w:ind w:firstLine="480"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废水接管考核量：废水量：</w:t>
            </w:r>
            <w:r>
              <w:rPr>
                <w:rFonts w:hint="eastAsia"/>
                <w:color w:val="000000" w:themeColor="text1"/>
                <w:sz w:val="24"/>
                <w:szCs w:val="24"/>
                <w:lang w:val="en-US" w:eastAsia="zh-CN"/>
                <w14:textFill>
                  <w14:solidFill>
                    <w14:schemeClr w14:val="tx1"/>
                  </w14:solidFill>
                </w14:textFill>
              </w:rPr>
              <w:t>600</w:t>
            </w:r>
            <w:r>
              <w:rPr>
                <w:rFonts w:hint="eastAsia"/>
                <w:color w:val="000000" w:themeColor="text1"/>
                <w:sz w:val="24"/>
                <w:szCs w:val="24"/>
                <w14:textFill>
                  <w14:solidFill>
                    <w14:schemeClr w14:val="tx1"/>
                  </w14:solidFill>
                </w14:textFill>
              </w:rPr>
              <w:t>m</w:t>
            </w:r>
            <w:r>
              <w:rPr>
                <w:rFonts w:hint="eastAsia"/>
                <w:color w:val="000000" w:themeColor="text1"/>
                <w:sz w:val="24"/>
                <w:szCs w:val="24"/>
                <w:vertAlign w:val="superscript"/>
                <w14:textFill>
                  <w14:solidFill>
                    <w14:schemeClr w14:val="tx1"/>
                  </w14:solidFill>
                </w14:textFill>
              </w:rPr>
              <w:t>3</w:t>
            </w:r>
            <w:r>
              <w:rPr>
                <w:rFonts w:hint="eastAsia"/>
                <w:color w:val="000000" w:themeColor="text1"/>
                <w:sz w:val="24"/>
                <w:szCs w:val="24"/>
                <w14:textFill>
                  <w14:solidFill>
                    <w14:schemeClr w14:val="tx1"/>
                  </w14:solidFill>
                </w14:textFill>
              </w:rPr>
              <w:t>/a，COD：</w:t>
            </w:r>
            <w:r>
              <w:rPr>
                <w:color w:val="000000" w:themeColor="text1"/>
                <w:kern w:val="0"/>
                <w:sz w:val="24"/>
                <w:szCs w:val="24"/>
                <w:lang w:bidi="ar"/>
                <w14:textFill>
                  <w14:solidFill>
                    <w14:schemeClr w14:val="tx1"/>
                  </w14:solidFill>
                </w14:textFill>
              </w:rPr>
              <w:t>0.</w:t>
            </w:r>
            <w:r>
              <w:rPr>
                <w:rFonts w:hint="eastAsia"/>
                <w:color w:val="000000" w:themeColor="text1"/>
                <w:kern w:val="0"/>
                <w:sz w:val="24"/>
                <w:szCs w:val="24"/>
                <w:lang w:val="en-US" w:eastAsia="zh-CN" w:bidi="ar"/>
                <w14:textFill>
                  <w14:solidFill>
                    <w14:schemeClr w14:val="tx1"/>
                  </w14:solidFill>
                </w14:textFill>
              </w:rPr>
              <w:t>2040</w:t>
            </w:r>
            <w:r>
              <w:rPr>
                <w:rFonts w:hint="eastAsia"/>
                <w:color w:val="000000" w:themeColor="text1"/>
                <w:sz w:val="24"/>
                <w:szCs w:val="24"/>
                <w14:textFill>
                  <w14:solidFill>
                    <w14:schemeClr w14:val="tx1"/>
                  </w14:solidFill>
                </w14:textFill>
              </w:rPr>
              <w:t>t/a；悬浮物：</w:t>
            </w:r>
            <w:r>
              <w:rPr>
                <w:rFonts w:hint="eastAsia"/>
                <w:color w:val="000000" w:themeColor="text1"/>
                <w:kern w:val="0"/>
                <w:sz w:val="24"/>
                <w:szCs w:val="24"/>
                <w:lang w:bidi="ar"/>
                <w14:textFill>
                  <w14:solidFill>
                    <w14:schemeClr w14:val="tx1"/>
                  </w14:solidFill>
                </w14:textFill>
              </w:rPr>
              <w:t>0.0</w:t>
            </w:r>
            <w:r>
              <w:rPr>
                <w:rFonts w:hint="eastAsia"/>
                <w:color w:val="000000" w:themeColor="text1"/>
                <w:kern w:val="0"/>
                <w:sz w:val="24"/>
                <w:szCs w:val="24"/>
                <w:lang w:val="en-US" w:eastAsia="zh-CN" w:bidi="ar"/>
                <w14:textFill>
                  <w14:solidFill>
                    <w14:schemeClr w14:val="tx1"/>
                  </w14:solidFill>
                </w14:textFill>
              </w:rPr>
              <w:t>960</w:t>
            </w:r>
            <w:r>
              <w:rPr>
                <w:rFonts w:hint="eastAsia"/>
                <w:color w:val="000000" w:themeColor="text1"/>
                <w:sz w:val="24"/>
                <w:szCs w:val="24"/>
                <w14:textFill>
                  <w14:solidFill>
                    <w14:schemeClr w14:val="tx1"/>
                  </w14:solidFill>
                </w14:textFill>
              </w:rPr>
              <w:t>t/a；氨氮</w:t>
            </w:r>
            <w:r>
              <w:rPr>
                <w:color w:val="000000" w:themeColor="text1"/>
                <w:kern w:val="0"/>
                <w:sz w:val="24"/>
                <w:szCs w:val="24"/>
                <w:lang w:bidi="ar"/>
                <w14:textFill>
                  <w14:solidFill>
                    <w14:schemeClr w14:val="tx1"/>
                  </w14:solidFill>
                </w14:textFill>
              </w:rPr>
              <w:t>0.0</w:t>
            </w:r>
            <w:r>
              <w:rPr>
                <w:rFonts w:hint="eastAsia"/>
                <w:color w:val="000000" w:themeColor="text1"/>
                <w:kern w:val="0"/>
                <w:sz w:val="24"/>
                <w:szCs w:val="24"/>
                <w:lang w:val="en-US" w:eastAsia="zh-CN" w:bidi="ar"/>
                <w14:textFill>
                  <w14:solidFill>
                    <w14:schemeClr w14:val="tx1"/>
                  </w14:solidFill>
                </w14:textFill>
              </w:rPr>
              <w:t>150</w:t>
            </w:r>
            <w:r>
              <w:rPr>
                <w:rFonts w:hint="eastAsia"/>
                <w:color w:val="000000" w:themeColor="text1"/>
                <w:sz w:val="24"/>
                <w:szCs w:val="24"/>
                <w14:textFill>
                  <w14:solidFill>
                    <w14:schemeClr w14:val="tx1"/>
                  </w14:solidFill>
                </w14:textFill>
              </w:rPr>
              <w:t>t/a；总磷：</w:t>
            </w:r>
            <w:r>
              <w:rPr>
                <w:color w:val="000000" w:themeColor="text1"/>
                <w:kern w:val="0"/>
                <w:sz w:val="24"/>
                <w:szCs w:val="24"/>
                <w:lang w:bidi="ar"/>
                <w14:textFill>
                  <w14:solidFill>
                    <w14:schemeClr w14:val="tx1"/>
                  </w14:solidFill>
                </w14:textFill>
              </w:rPr>
              <w:t>0.0</w:t>
            </w:r>
            <w:r>
              <w:rPr>
                <w:rFonts w:hint="eastAsia"/>
                <w:color w:val="000000" w:themeColor="text1"/>
                <w:kern w:val="0"/>
                <w:sz w:val="24"/>
                <w:szCs w:val="24"/>
                <w:lang w:bidi="ar"/>
                <w14:textFill>
                  <w14:solidFill>
                    <w14:schemeClr w14:val="tx1"/>
                  </w14:solidFill>
                </w14:textFill>
              </w:rPr>
              <w:t>0</w:t>
            </w:r>
            <w:r>
              <w:rPr>
                <w:rFonts w:hint="eastAsia"/>
                <w:color w:val="000000" w:themeColor="text1"/>
                <w:kern w:val="0"/>
                <w:sz w:val="24"/>
                <w:szCs w:val="24"/>
                <w:lang w:val="en-US" w:eastAsia="zh-CN" w:bidi="ar"/>
                <w14:textFill>
                  <w14:solidFill>
                    <w14:schemeClr w14:val="tx1"/>
                  </w14:solidFill>
                </w14:textFill>
              </w:rPr>
              <w:t>18</w:t>
            </w:r>
            <w:r>
              <w:rPr>
                <w:rFonts w:hint="eastAsia"/>
                <w:color w:val="000000" w:themeColor="text1"/>
                <w:sz w:val="24"/>
                <w:szCs w:val="24"/>
                <w14:textFill>
                  <w14:solidFill>
                    <w14:schemeClr w14:val="tx1"/>
                  </w14:solidFill>
                </w14:textFill>
              </w:rPr>
              <w:t>t/a、总氮：</w:t>
            </w:r>
            <w:r>
              <w:rPr>
                <w:color w:val="000000" w:themeColor="text1"/>
                <w:kern w:val="0"/>
                <w:sz w:val="24"/>
                <w:szCs w:val="24"/>
                <w:lang w:bidi="ar"/>
                <w14:textFill>
                  <w14:solidFill>
                    <w14:schemeClr w14:val="tx1"/>
                  </w14:solidFill>
                </w14:textFill>
              </w:rPr>
              <w:t>0.</w:t>
            </w:r>
            <w:r>
              <w:rPr>
                <w:rFonts w:hint="eastAsia"/>
                <w:color w:val="000000" w:themeColor="text1"/>
                <w:kern w:val="0"/>
                <w:sz w:val="24"/>
                <w:szCs w:val="24"/>
                <w:lang w:bidi="ar"/>
                <w14:textFill>
                  <w14:solidFill>
                    <w14:schemeClr w14:val="tx1"/>
                  </w14:solidFill>
                </w14:textFill>
              </w:rPr>
              <w:t>0</w:t>
            </w:r>
            <w:r>
              <w:rPr>
                <w:rFonts w:hint="eastAsia"/>
                <w:color w:val="000000" w:themeColor="text1"/>
                <w:kern w:val="0"/>
                <w:sz w:val="24"/>
                <w:szCs w:val="24"/>
                <w:lang w:val="en-US" w:eastAsia="zh-CN" w:bidi="ar"/>
                <w14:textFill>
                  <w14:solidFill>
                    <w14:schemeClr w14:val="tx1"/>
                  </w14:solidFill>
                </w14:textFill>
              </w:rPr>
              <w:t>210</w:t>
            </w:r>
            <w:r>
              <w:rPr>
                <w:rFonts w:hint="eastAsia"/>
                <w:color w:val="000000" w:themeColor="text1"/>
                <w:sz w:val="24"/>
                <w:szCs w:val="24"/>
                <w14:textFill>
                  <w14:solidFill>
                    <w14:schemeClr w14:val="tx1"/>
                  </w14:solidFill>
                </w14:textFill>
              </w:rPr>
              <w:t>t/a。</w:t>
            </w:r>
            <w:r>
              <w:rPr>
                <w:color w:val="000000" w:themeColor="text1"/>
                <w:sz w:val="24"/>
                <w:szCs w:val="24"/>
                <w14:textFill>
                  <w14:solidFill>
                    <w14:schemeClr w14:val="tx1"/>
                  </w14:solidFill>
                </w14:textFill>
              </w:rPr>
              <w:t>水污染物总量纳入</w:t>
            </w:r>
            <w:r>
              <w:rPr>
                <w:rFonts w:hint="eastAsia"/>
                <w:color w:val="000000" w:themeColor="text1"/>
                <w:sz w:val="24"/>
                <w14:textFill>
                  <w14:solidFill>
                    <w14:schemeClr w14:val="tx1"/>
                  </w14:solidFill>
                </w14:textFill>
              </w:rPr>
              <w:t>常州市金坛区直溪鑫鑫污水处理厂</w:t>
            </w:r>
            <w:r>
              <w:rPr>
                <w:color w:val="000000" w:themeColor="text1"/>
                <w:sz w:val="24"/>
                <w:szCs w:val="24"/>
                <w14:textFill>
                  <w14:solidFill>
                    <w14:schemeClr w14:val="tx1"/>
                  </w14:solidFill>
                </w14:textFill>
              </w:rPr>
              <w:t>内。</w:t>
            </w:r>
          </w:p>
          <w:p>
            <w:pPr>
              <w:tabs>
                <w:tab w:val="left" w:pos="1367"/>
              </w:tabs>
              <w:spacing w:line="360" w:lineRule="auto"/>
              <w:ind w:firstLine="480"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经污水处理厂处理后的终排量为：废水量</w:t>
            </w:r>
            <w:r>
              <w:rPr>
                <w:rFonts w:hint="eastAsia"/>
                <w:color w:val="000000" w:themeColor="text1"/>
                <w:sz w:val="24"/>
                <w:szCs w:val="24"/>
                <w:lang w:val="en-US" w:eastAsia="zh-CN"/>
                <w14:textFill>
                  <w14:solidFill>
                    <w14:schemeClr w14:val="tx1"/>
                  </w14:solidFill>
                </w14:textFill>
              </w:rPr>
              <w:t>600</w:t>
            </w:r>
            <w:r>
              <w:rPr>
                <w:rFonts w:hint="eastAsia"/>
                <w:color w:val="000000" w:themeColor="text1"/>
                <w:sz w:val="24"/>
                <w:szCs w:val="24"/>
                <w14:textFill>
                  <w14:solidFill>
                    <w14:schemeClr w14:val="tx1"/>
                  </w14:solidFill>
                </w14:textFill>
              </w:rPr>
              <w:t>m</w:t>
            </w:r>
            <w:r>
              <w:rPr>
                <w:rFonts w:hint="eastAsia"/>
                <w:color w:val="000000" w:themeColor="text1"/>
                <w:sz w:val="24"/>
                <w:szCs w:val="24"/>
                <w:vertAlign w:val="superscript"/>
                <w14:textFill>
                  <w14:solidFill>
                    <w14:schemeClr w14:val="tx1"/>
                  </w14:solidFill>
                </w14:textFill>
              </w:rPr>
              <w:t>3</w:t>
            </w:r>
            <w:r>
              <w:rPr>
                <w:rFonts w:hint="eastAsia"/>
                <w:color w:val="000000" w:themeColor="text1"/>
                <w:sz w:val="24"/>
                <w:szCs w:val="24"/>
                <w14:textFill>
                  <w14:solidFill>
                    <w14:schemeClr w14:val="tx1"/>
                  </w14:solidFill>
                </w14:textFill>
              </w:rPr>
              <w:t>/a；COD：0.0</w:t>
            </w:r>
            <w:r>
              <w:rPr>
                <w:rFonts w:hint="eastAsia"/>
                <w:color w:val="000000" w:themeColor="text1"/>
                <w:sz w:val="24"/>
                <w:szCs w:val="24"/>
                <w:lang w:val="en-US" w:eastAsia="zh-CN"/>
                <w14:textFill>
                  <w14:solidFill>
                    <w14:schemeClr w14:val="tx1"/>
                  </w14:solidFill>
                </w14:textFill>
              </w:rPr>
              <w:t>300</w:t>
            </w:r>
            <w:r>
              <w:rPr>
                <w:rFonts w:hint="eastAsia"/>
                <w:color w:val="000000" w:themeColor="text1"/>
                <w:sz w:val="24"/>
                <w:szCs w:val="24"/>
                <w14:textFill>
                  <w14:solidFill>
                    <w14:schemeClr w14:val="tx1"/>
                  </w14:solidFill>
                </w14:textFill>
              </w:rPr>
              <w:t>t/a；悬浮物：</w:t>
            </w:r>
            <w:r>
              <w:rPr>
                <w:color w:val="000000" w:themeColor="text1"/>
                <w:kern w:val="0"/>
                <w:sz w:val="24"/>
                <w:szCs w:val="24"/>
                <w:lang w:bidi="ar"/>
                <w14:textFill>
                  <w14:solidFill>
                    <w14:schemeClr w14:val="tx1"/>
                  </w14:solidFill>
                </w14:textFill>
              </w:rPr>
              <w:t>0.0</w:t>
            </w:r>
            <w:r>
              <w:rPr>
                <w:rFonts w:hint="eastAsia"/>
                <w:color w:val="000000" w:themeColor="text1"/>
                <w:kern w:val="0"/>
                <w:sz w:val="24"/>
                <w:szCs w:val="24"/>
                <w:lang w:bidi="ar"/>
                <w14:textFill>
                  <w14:solidFill>
                    <w14:schemeClr w14:val="tx1"/>
                  </w14:solidFill>
                </w14:textFill>
              </w:rPr>
              <w:t>0</w:t>
            </w:r>
            <w:r>
              <w:rPr>
                <w:rFonts w:hint="eastAsia"/>
                <w:color w:val="000000" w:themeColor="text1"/>
                <w:kern w:val="0"/>
                <w:sz w:val="24"/>
                <w:szCs w:val="24"/>
                <w:lang w:val="en-US" w:eastAsia="zh-CN" w:bidi="ar"/>
                <w14:textFill>
                  <w14:solidFill>
                    <w14:schemeClr w14:val="tx1"/>
                  </w14:solidFill>
                </w14:textFill>
              </w:rPr>
              <w:t>60</w:t>
            </w:r>
            <w:r>
              <w:rPr>
                <w:rFonts w:hint="eastAsia"/>
                <w:color w:val="000000" w:themeColor="text1"/>
                <w:sz w:val="24"/>
                <w:szCs w:val="24"/>
                <w14:textFill>
                  <w14:solidFill>
                    <w14:schemeClr w14:val="tx1"/>
                  </w14:solidFill>
                </w14:textFill>
              </w:rPr>
              <w:t>t/a；氨氮：</w:t>
            </w:r>
            <w:r>
              <w:rPr>
                <w:color w:val="000000" w:themeColor="text1"/>
                <w:kern w:val="0"/>
                <w:sz w:val="24"/>
                <w:szCs w:val="24"/>
                <w:lang w:bidi="ar"/>
                <w14:textFill>
                  <w14:solidFill>
                    <w14:schemeClr w14:val="tx1"/>
                  </w14:solidFill>
                </w14:textFill>
              </w:rPr>
              <w:t>0.00</w:t>
            </w:r>
            <w:r>
              <w:rPr>
                <w:rFonts w:hint="eastAsia"/>
                <w:color w:val="000000" w:themeColor="text1"/>
                <w:kern w:val="0"/>
                <w:sz w:val="24"/>
                <w:szCs w:val="24"/>
                <w:lang w:val="en-US" w:eastAsia="zh-CN" w:bidi="ar"/>
                <w14:textFill>
                  <w14:solidFill>
                    <w14:schemeClr w14:val="tx1"/>
                  </w14:solidFill>
                </w14:textFill>
              </w:rPr>
              <w:t>24</w:t>
            </w:r>
            <w:r>
              <w:rPr>
                <w:rFonts w:hint="eastAsia"/>
                <w:color w:val="000000" w:themeColor="text1"/>
                <w:sz w:val="24"/>
                <w:szCs w:val="24"/>
                <w14:textFill>
                  <w14:solidFill>
                    <w14:schemeClr w14:val="tx1"/>
                  </w14:solidFill>
                </w14:textFill>
              </w:rPr>
              <w:t>t/a；总磷：</w:t>
            </w:r>
            <w:r>
              <w:rPr>
                <w:color w:val="000000" w:themeColor="text1"/>
                <w:kern w:val="0"/>
                <w:sz w:val="24"/>
                <w:szCs w:val="24"/>
                <w:lang w:bidi="ar"/>
                <w14:textFill>
                  <w14:solidFill>
                    <w14:schemeClr w14:val="tx1"/>
                  </w14:solidFill>
                </w14:textFill>
              </w:rPr>
              <w:t>0.000</w:t>
            </w:r>
            <w:r>
              <w:rPr>
                <w:rFonts w:hint="eastAsia"/>
                <w:color w:val="000000" w:themeColor="text1"/>
                <w:kern w:val="0"/>
                <w:sz w:val="24"/>
                <w:szCs w:val="24"/>
                <w:lang w:val="en-US" w:eastAsia="zh-CN" w:bidi="ar"/>
                <w14:textFill>
                  <w14:solidFill>
                    <w14:schemeClr w14:val="tx1"/>
                  </w14:solidFill>
                </w14:textFill>
              </w:rPr>
              <w:t>3</w:t>
            </w:r>
            <w:r>
              <w:rPr>
                <w:rFonts w:hint="eastAsia"/>
                <w:color w:val="000000" w:themeColor="text1"/>
                <w:sz w:val="24"/>
                <w:szCs w:val="24"/>
                <w14:textFill>
                  <w14:solidFill>
                    <w14:schemeClr w14:val="tx1"/>
                  </w14:solidFill>
                </w14:textFill>
              </w:rPr>
              <w:t>t/a、总氮：</w:t>
            </w:r>
            <w:r>
              <w:rPr>
                <w:color w:val="000000" w:themeColor="text1"/>
                <w:kern w:val="0"/>
                <w:sz w:val="24"/>
                <w:szCs w:val="24"/>
                <w:lang w:bidi="ar"/>
                <w14:textFill>
                  <w14:solidFill>
                    <w14:schemeClr w14:val="tx1"/>
                  </w14:solidFill>
                </w14:textFill>
              </w:rPr>
              <w:t>0.0</w:t>
            </w:r>
            <w:r>
              <w:rPr>
                <w:rFonts w:hint="eastAsia"/>
                <w:color w:val="000000" w:themeColor="text1"/>
                <w:kern w:val="0"/>
                <w:sz w:val="24"/>
                <w:szCs w:val="24"/>
                <w:lang w:bidi="ar"/>
                <w14:textFill>
                  <w14:solidFill>
                    <w14:schemeClr w14:val="tx1"/>
                  </w14:solidFill>
                </w14:textFill>
              </w:rPr>
              <w:t>0</w:t>
            </w:r>
            <w:r>
              <w:rPr>
                <w:rFonts w:hint="eastAsia"/>
                <w:color w:val="000000" w:themeColor="text1"/>
                <w:kern w:val="0"/>
                <w:sz w:val="24"/>
                <w:szCs w:val="24"/>
                <w:lang w:val="en-US" w:eastAsia="zh-CN" w:bidi="ar"/>
                <w14:textFill>
                  <w14:solidFill>
                    <w14:schemeClr w14:val="tx1"/>
                  </w14:solidFill>
                </w14:textFill>
              </w:rPr>
              <w:t>72</w:t>
            </w:r>
            <w:r>
              <w:rPr>
                <w:rFonts w:hint="eastAsia"/>
                <w:color w:val="000000" w:themeColor="text1"/>
                <w:sz w:val="24"/>
                <w:szCs w:val="24"/>
                <w14:textFill>
                  <w14:solidFill>
                    <w14:schemeClr w14:val="tx1"/>
                  </w14:solidFill>
                </w14:textFill>
              </w:rPr>
              <w:t>t/a。</w:t>
            </w:r>
          </w:p>
          <w:p>
            <w:pPr>
              <w:spacing w:line="360" w:lineRule="auto"/>
              <w:ind w:firstLine="480" w:firstLineChars="200"/>
              <w:jc w:val="left"/>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大气污染物：本企业</w:t>
            </w:r>
            <w:r>
              <w:rPr>
                <w:rFonts w:hint="eastAsia"/>
                <w:color w:val="000000" w:themeColor="text1"/>
                <w:sz w:val="24"/>
                <w:szCs w:val="24"/>
                <w14:textFill>
                  <w14:solidFill>
                    <w14:schemeClr w14:val="tx1"/>
                  </w14:solidFill>
                </w14:textFill>
              </w:rPr>
              <w:t>废气颗粒物</w:t>
            </w:r>
            <w:r>
              <w:rPr>
                <w:color w:val="000000" w:themeColor="text1"/>
                <w:sz w:val="24"/>
                <w:szCs w:val="24"/>
                <w14:textFill>
                  <w14:solidFill>
                    <w14:schemeClr w14:val="tx1"/>
                  </w14:solidFill>
                </w14:textFill>
              </w:rPr>
              <w:t>有组织排放量</w:t>
            </w:r>
            <w:r>
              <w:rPr>
                <w:rFonts w:hint="eastAsia"/>
                <w:color w:val="000000" w:themeColor="text1"/>
                <w:sz w:val="24"/>
                <w:szCs w:val="24"/>
                <w14:textFill>
                  <w14:solidFill>
                    <w14:schemeClr w14:val="tx1"/>
                  </w14:solidFill>
                </w14:textFill>
              </w:rPr>
              <w:t>为</w:t>
            </w:r>
            <w:r>
              <w:rPr>
                <w:rFonts w:hint="eastAsia"/>
                <w:sz w:val="24"/>
                <w:szCs w:val="24"/>
              </w:rPr>
              <w:t>0</w:t>
            </w:r>
            <w:r>
              <w:rPr>
                <w:sz w:val="24"/>
                <w:szCs w:val="24"/>
              </w:rPr>
              <w:t>.</w:t>
            </w:r>
            <w:r>
              <w:rPr>
                <w:rFonts w:hint="eastAsia"/>
                <w:sz w:val="24"/>
                <w:szCs w:val="24"/>
              </w:rPr>
              <w:t>0</w:t>
            </w:r>
            <w:r>
              <w:rPr>
                <w:rFonts w:hint="eastAsia"/>
                <w:sz w:val="24"/>
                <w:szCs w:val="24"/>
                <w:lang w:val="en-US" w:eastAsia="zh-CN"/>
              </w:rPr>
              <w:t>27</w:t>
            </w:r>
            <w:r>
              <w:rPr>
                <w:sz w:val="24"/>
                <w:szCs w:val="24"/>
              </w:rPr>
              <w:t>t/a，需申请总量控制</w:t>
            </w:r>
            <w:r>
              <w:rPr>
                <w:rFonts w:hint="eastAsia"/>
                <w:sz w:val="24"/>
                <w:szCs w:val="24"/>
              </w:rPr>
              <w:t>0.0</w:t>
            </w:r>
            <w:r>
              <w:rPr>
                <w:rFonts w:hint="eastAsia"/>
                <w:sz w:val="24"/>
                <w:szCs w:val="24"/>
                <w:lang w:val="en-US" w:eastAsia="zh-CN"/>
              </w:rPr>
              <w:t>27</w:t>
            </w:r>
            <w:r>
              <w:rPr>
                <w:sz w:val="24"/>
                <w:szCs w:val="24"/>
              </w:rPr>
              <w:t>t/a</w:t>
            </w:r>
            <w:r>
              <w:rPr>
                <w:rFonts w:hint="eastAsia"/>
                <w:sz w:val="24"/>
                <w:szCs w:val="24"/>
              </w:rPr>
              <w:t>；</w:t>
            </w:r>
            <w:r>
              <w:rPr>
                <w:rFonts w:hint="eastAsia"/>
                <w:sz w:val="24"/>
                <w:szCs w:val="24"/>
                <w:lang w:eastAsia="zh-CN"/>
              </w:rPr>
              <w:t>非甲烷总烃</w:t>
            </w:r>
            <w:r>
              <w:rPr>
                <w:sz w:val="24"/>
                <w:szCs w:val="24"/>
              </w:rPr>
              <w:t>有组织排放量为</w:t>
            </w:r>
            <w:r>
              <w:rPr>
                <w:bCs/>
                <w:kern w:val="0"/>
                <w:sz w:val="24"/>
                <w:szCs w:val="24"/>
              </w:rPr>
              <w:t>0.</w:t>
            </w:r>
            <w:r>
              <w:rPr>
                <w:rFonts w:hint="eastAsia"/>
                <w:bCs/>
                <w:kern w:val="0"/>
                <w:sz w:val="24"/>
                <w:szCs w:val="24"/>
              </w:rPr>
              <w:t>0</w:t>
            </w:r>
            <w:r>
              <w:rPr>
                <w:rFonts w:hint="eastAsia"/>
                <w:bCs/>
                <w:kern w:val="0"/>
                <w:sz w:val="24"/>
                <w:szCs w:val="24"/>
                <w:lang w:val="en-US" w:eastAsia="zh-CN"/>
              </w:rPr>
              <w:t>03</w:t>
            </w:r>
            <w:r>
              <w:rPr>
                <w:sz w:val="24"/>
                <w:szCs w:val="24"/>
              </w:rPr>
              <w:t>t/a</w:t>
            </w:r>
            <w:r>
              <w:rPr>
                <w:rFonts w:hint="eastAsia"/>
                <w:sz w:val="24"/>
                <w:szCs w:val="24"/>
              </w:rPr>
              <w:t>，</w:t>
            </w:r>
            <w:r>
              <w:rPr>
                <w:sz w:val="24"/>
                <w:szCs w:val="24"/>
              </w:rPr>
              <w:t>需申请总量控制</w:t>
            </w:r>
            <w:r>
              <w:rPr>
                <w:bCs/>
                <w:kern w:val="0"/>
                <w:sz w:val="24"/>
                <w:szCs w:val="24"/>
              </w:rPr>
              <w:t>0.</w:t>
            </w:r>
            <w:r>
              <w:rPr>
                <w:rFonts w:hint="eastAsia"/>
                <w:bCs/>
                <w:kern w:val="0"/>
                <w:sz w:val="24"/>
                <w:szCs w:val="24"/>
              </w:rPr>
              <w:t>0</w:t>
            </w:r>
            <w:r>
              <w:rPr>
                <w:rFonts w:hint="eastAsia"/>
                <w:bCs/>
                <w:kern w:val="0"/>
                <w:sz w:val="24"/>
                <w:szCs w:val="24"/>
                <w:lang w:val="en-US" w:eastAsia="zh-CN"/>
              </w:rPr>
              <w:t>03</w:t>
            </w:r>
            <w:r>
              <w:rPr>
                <w:sz w:val="24"/>
                <w:szCs w:val="24"/>
              </w:rPr>
              <w:t>t/a；</w:t>
            </w:r>
            <w:r>
              <w:rPr>
                <w:rFonts w:hint="eastAsia"/>
                <w:sz w:val="24"/>
                <w:szCs w:val="24"/>
                <w:lang w:val="en-US" w:eastAsia="zh-CN"/>
              </w:rPr>
              <w:t>SO</w:t>
            </w:r>
            <w:r>
              <w:rPr>
                <w:rFonts w:hint="eastAsia"/>
                <w:sz w:val="24"/>
                <w:szCs w:val="24"/>
                <w:vertAlign w:val="subscript"/>
                <w:lang w:val="en-US" w:eastAsia="zh-CN"/>
              </w:rPr>
              <w:t>2</w:t>
            </w:r>
            <w:r>
              <w:rPr>
                <w:sz w:val="24"/>
                <w:szCs w:val="24"/>
              </w:rPr>
              <w:t>有组织排放量为</w:t>
            </w:r>
            <w:r>
              <w:rPr>
                <w:bCs/>
                <w:kern w:val="0"/>
                <w:sz w:val="24"/>
                <w:szCs w:val="24"/>
              </w:rPr>
              <w:t>0.</w:t>
            </w:r>
            <w:r>
              <w:rPr>
                <w:rFonts w:hint="eastAsia"/>
                <w:bCs/>
                <w:kern w:val="0"/>
                <w:sz w:val="24"/>
                <w:szCs w:val="24"/>
              </w:rPr>
              <w:t>01</w:t>
            </w:r>
            <w:r>
              <w:rPr>
                <w:rFonts w:hint="eastAsia"/>
                <w:bCs/>
                <w:kern w:val="0"/>
                <w:sz w:val="24"/>
                <w:szCs w:val="24"/>
                <w:lang w:val="en-US" w:eastAsia="zh-CN"/>
              </w:rPr>
              <w:t>2</w:t>
            </w:r>
            <w:r>
              <w:rPr>
                <w:sz w:val="24"/>
                <w:szCs w:val="24"/>
              </w:rPr>
              <w:t>t/a</w:t>
            </w:r>
            <w:r>
              <w:rPr>
                <w:rFonts w:hint="eastAsia"/>
                <w:sz w:val="24"/>
                <w:szCs w:val="24"/>
              </w:rPr>
              <w:t>，</w:t>
            </w:r>
            <w:r>
              <w:rPr>
                <w:sz w:val="24"/>
                <w:szCs w:val="24"/>
              </w:rPr>
              <w:t>需申请总量控制</w:t>
            </w:r>
            <w:r>
              <w:rPr>
                <w:bCs/>
                <w:kern w:val="0"/>
                <w:sz w:val="24"/>
                <w:szCs w:val="24"/>
              </w:rPr>
              <w:t>0.</w:t>
            </w:r>
            <w:r>
              <w:rPr>
                <w:rFonts w:hint="eastAsia"/>
                <w:bCs/>
                <w:kern w:val="0"/>
                <w:sz w:val="24"/>
                <w:szCs w:val="24"/>
              </w:rPr>
              <w:t>01</w:t>
            </w:r>
            <w:r>
              <w:rPr>
                <w:rFonts w:hint="eastAsia"/>
                <w:bCs/>
                <w:kern w:val="0"/>
                <w:sz w:val="24"/>
                <w:szCs w:val="24"/>
                <w:lang w:val="en-US" w:eastAsia="zh-CN"/>
              </w:rPr>
              <w:t>2</w:t>
            </w:r>
            <w:r>
              <w:rPr>
                <w:sz w:val="24"/>
                <w:szCs w:val="24"/>
              </w:rPr>
              <w:t>t/a</w:t>
            </w:r>
            <w:r>
              <w:rPr>
                <w:rFonts w:hint="eastAsia"/>
                <w:sz w:val="24"/>
                <w:szCs w:val="24"/>
              </w:rPr>
              <w:t>；</w:t>
            </w:r>
            <w:r>
              <w:rPr>
                <w:rFonts w:hint="eastAsia"/>
                <w:sz w:val="24"/>
                <w:szCs w:val="24"/>
                <w:lang w:val="en-US" w:eastAsia="zh-CN"/>
              </w:rPr>
              <w:t>NOx</w:t>
            </w:r>
            <w:r>
              <w:rPr>
                <w:sz w:val="24"/>
                <w:szCs w:val="24"/>
              </w:rPr>
              <w:t>有组织排放量为</w:t>
            </w:r>
            <w:r>
              <w:rPr>
                <w:bCs/>
                <w:kern w:val="0"/>
                <w:sz w:val="24"/>
                <w:szCs w:val="24"/>
              </w:rPr>
              <w:t>0.</w:t>
            </w:r>
            <w:r>
              <w:rPr>
                <w:rFonts w:hint="eastAsia"/>
                <w:bCs/>
                <w:kern w:val="0"/>
                <w:sz w:val="24"/>
                <w:szCs w:val="24"/>
              </w:rPr>
              <w:t>02</w:t>
            </w:r>
            <w:r>
              <w:rPr>
                <w:sz w:val="24"/>
                <w:szCs w:val="24"/>
              </w:rPr>
              <w:t>t/a</w:t>
            </w:r>
            <w:r>
              <w:rPr>
                <w:rFonts w:hint="eastAsia"/>
                <w:sz w:val="24"/>
                <w:szCs w:val="24"/>
              </w:rPr>
              <w:t>，</w:t>
            </w:r>
            <w:r>
              <w:rPr>
                <w:sz w:val="24"/>
                <w:szCs w:val="24"/>
              </w:rPr>
              <w:t>需申请总量控制</w:t>
            </w:r>
            <w:r>
              <w:rPr>
                <w:bCs/>
                <w:kern w:val="0"/>
                <w:sz w:val="24"/>
                <w:szCs w:val="24"/>
              </w:rPr>
              <w:t>0.</w:t>
            </w:r>
            <w:r>
              <w:rPr>
                <w:rFonts w:hint="eastAsia"/>
                <w:bCs/>
                <w:kern w:val="0"/>
                <w:sz w:val="24"/>
                <w:szCs w:val="24"/>
              </w:rPr>
              <w:t>02</w:t>
            </w:r>
            <w:r>
              <w:rPr>
                <w:sz w:val="24"/>
                <w:szCs w:val="24"/>
              </w:rPr>
              <w:t>t/a</w:t>
            </w:r>
            <w:r>
              <w:rPr>
                <w:rFonts w:hint="eastAsia"/>
                <w:sz w:val="24"/>
                <w:szCs w:val="24"/>
              </w:rPr>
              <w:t>。</w:t>
            </w:r>
            <w:r>
              <w:rPr>
                <w:color w:val="000000" w:themeColor="text1"/>
                <w:sz w:val="24"/>
                <w:szCs w:val="24"/>
                <w14:textFill>
                  <w14:solidFill>
                    <w14:schemeClr w14:val="tx1"/>
                  </w14:solidFill>
                </w14:textFill>
              </w:rPr>
              <w:t>其总量在</w:t>
            </w:r>
            <w:r>
              <w:rPr>
                <w:rFonts w:hint="eastAsia"/>
                <w:color w:val="000000" w:themeColor="text1"/>
                <w:sz w:val="24"/>
                <w:szCs w:val="24"/>
                <w14:textFill>
                  <w14:solidFill>
                    <w14:schemeClr w14:val="tx1"/>
                  </w14:solidFill>
                </w14:textFill>
              </w:rPr>
              <w:t>金坛区</w:t>
            </w:r>
            <w:r>
              <w:rPr>
                <w:color w:val="000000" w:themeColor="text1"/>
                <w:sz w:val="24"/>
                <w:szCs w:val="24"/>
                <w14:textFill>
                  <w14:solidFill>
                    <w14:schemeClr w14:val="tx1"/>
                  </w14:solidFill>
                </w14:textFill>
              </w:rPr>
              <w:t>境内平衡。</w:t>
            </w:r>
          </w:p>
          <w:p>
            <w:pPr>
              <w:spacing w:line="360" w:lineRule="auto"/>
              <w:ind w:firstLine="480" w:firstLineChars="200"/>
              <w:rPr>
                <w:b/>
                <w:color w:val="000000" w:themeColor="text1"/>
                <w:sz w:val="24"/>
                <w14:textFill>
                  <w14:solidFill>
                    <w14:schemeClr w14:val="tx1"/>
                  </w14:solidFill>
                </w14:textFill>
              </w:rPr>
            </w:pPr>
            <w:r>
              <w:rPr>
                <w:rFonts w:hint="eastAsia"/>
                <w:b/>
                <w:color w:val="000000" w:themeColor="text1"/>
                <w:sz w:val="24"/>
                <w14:textFill>
                  <w14:solidFill>
                    <w14:schemeClr w14:val="tx1"/>
                  </w14:solidFill>
                </w14:textFill>
              </w:rPr>
              <w:t>7</w:t>
            </w:r>
            <w:r>
              <w:rPr>
                <w:b/>
                <w:color w:val="000000" w:themeColor="text1"/>
                <w:sz w:val="24"/>
                <w14:textFill>
                  <w14:solidFill>
                    <w14:schemeClr w14:val="tx1"/>
                  </w14:solidFill>
                </w14:textFill>
              </w:rPr>
              <w:t>、</w:t>
            </w:r>
            <w:r>
              <w:rPr>
                <w:rFonts w:hint="eastAsia"/>
                <w:b/>
                <w:color w:val="000000" w:themeColor="text1"/>
                <w:sz w:val="24"/>
                <w:lang w:eastAsia="zh-CN"/>
                <w14:textFill>
                  <w14:solidFill>
                    <w14:schemeClr w14:val="tx1"/>
                  </w14:solidFill>
                </w14:textFill>
              </w:rPr>
              <w:t>“</w:t>
            </w:r>
            <w:r>
              <w:rPr>
                <w:b/>
                <w:color w:val="000000" w:themeColor="text1"/>
                <w:sz w:val="24"/>
                <w14:textFill>
                  <w14:solidFill>
                    <w14:schemeClr w14:val="tx1"/>
                  </w14:solidFill>
                </w14:textFill>
              </w:rPr>
              <w:t>三同时</w:t>
            </w:r>
            <w:r>
              <w:rPr>
                <w:rFonts w:hint="eastAsia"/>
                <w:b/>
                <w:color w:val="000000" w:themeColor="text1"/>
                <w:sz w:val="24"/>
                <w:lang w:eastAsia="zh-CN"/>
                <w14:textFill>
                  <w14:solidFill>
                    <w14:schemeClr w14:val="tx1"/>
                  </w14:solidFill>
                </w14:textFill>
              </w:rPr>
              <w:t>”</w:t>
            </w:r>
            <w:r>
              <w:rPr>
                <w:b/>
                <w:color w:val="000000" w:themeColor="text1"/>
                <w:sz w:val="24"/>
                <w14:textFill>
                  <w14:solidFill>
                    <w14:schemeClr w14:val="tx1"/>
                  </w14:solidFill>
                </w14:textFill>
              </w:rPr>
              <w:t>验收</w:t>
            </w:r>
          </w:p>
          <w:p>
            <w:pPr>
              <w:spacing w:line="360" w:lineRule="auto"/>
              <w:ind w:firstLine="480" w:firstLineChars="200"/>
              <w:rPr>
                <w:color w:val="000000" w:themeColor="text1"/>
                <w:kern w:val="24"/>
                <w:sz w:val="24"/>
                <w14:textFill>
                  <w14:solidFill>
                    <w14:schemeClr w14:val="tx1"/>
                  </w14:solidFill>
                </w14:textFill>
              </w:rPr>
            </w:pPr>
            <w:r>
              <w:rPr>
                <w:color w:val="000000" w:themeColor="text1"/>
                <w:kern w:val="24"/>
                <w:sz w:val="24"/>
                <w14:textFill>
                  <w14:solidFill>
                    <w14:schemeClr w14:val="tx1"/>
                  </w14:solidFill>
                </w14:textFill>
              </w:rPr>
              <w:t>根据《中华人民共和国环境保护法》规定，建设项目污染防治设施必须与主体工程同时设计、同时施工、同时投入运行，</w:t>
            </w:r>
            <w:r>
              <w:rPr>
                <w:rFonts w:hint="eastAsia"/>
                <w:color w:val="000000" w:themeColor="text1"/>
                <w:kern w:val="24"/>
                <w:sz w:val="24"/>
                <w14:textFill>
                  <w14:solidFill>
                    <w14:schemeClr w14:val="tx1"/>
                  </w14:solidFill>
                </w14:textFill>
              </w:rPr>
              <w:t>项目建成后，</w:t>
            </w:r>
            <w:r>
              <w:rPr>
                <w:color w:val="000000" w:themeColor="text1"/>
                <w:kern w:val="24"/>
                <w:sz w:val="24"/>
                <w14:textFill>
                  <w14:solidFill>
                    <w14:schemeClr w14:val="tx1"/>
                  </w14:solidFill>
                </w14:textFill>
              </w:rPr>
              <w:t>建设单位</w:t>
            </w:r>
            <w:r>
              <w:rPr>
                <w:rFonts w:hint="eastAsia"/>
                <w:color w:val="000000" w:themeColor="text1"/>
                <w:kern w:val="24"/>
                <w:sz w:val="24"/>
                <w14:textFill>
                  <w14:solidFill>
                    <w14:schemeClr w14:val="tx1"/>
                  </w14:solidFill>
                </w14:textFill>
              </w:rPr>
              <w:t>自主</w:t>
            </w:r>
            <w:r>
              <w:rPr>
                <w:color w:val="000000" w:themeColor="text1"/>
                <w:kern w:val="24"/>
                <w:sz w:val="24"/>
                <w14:textFill>
                  <w14:solidFill>
                    <w14:schemeClr w14:val="tx1"/>
                  </w14:solidFill>
                </w14:textFill>
              </w:rPr>
              <w:t>验收，验收清单如下表</w:t>
            </w:r>
            <w:r>
              <w:rPr>
                <w:rFonts w:hint="eastAsia"/>
                <w:color w:val="000000" w:themeColor="text1"/>
                <w:kern w:val="24"/>
                <w:sz w:val="24"/>
                <w14:textFill>
                  <w14:solidFill>
                    <w14:schemeClr w14:val="tx1"/>
                  </w14:solidFill>
                </w14:textFill>
              </w:rPr>
              <w:t>9-1</w:t>
            </w:r>
            <w:r>
              <w:rPr>
                <w:color w:val="000000" w:themeColor="text1"/>
                <w:kern w:val="24"/>
                <w:sz w:val="24"/>
                <w14:textFill>
                  <w14:solidFill>
                    <w14:schemeClr w14:val="tx1"/>
                  </w14:solidFill>
                </w14:textFill>
              </w:rPr>
              <w:t>。</w:t>
            </w:r>
          </w:p>
          <w:p>
            <w:pPr>
              <w:spacing w:line="440" w:lineRule="exact"/>
              <w:jc w:val="center"/>
              <w:rPr>
                <w:b/>
                <w:sz w:val="24"/>
              </w:rPr>
            </w:pPr>
            <w:r>
              <w:rPr>
                <w:b/>
                <w:sz w:val="24"/>
              </w:rPr>
              <w:t>表9-1  建设项目</w:t>
            </w:r>
            <w:r>
              <w:rPr>
                <w:rFonts w:hint="eastAsia"/>
                <w:b/>
                <w:sz w:val="24"/>
                <w:lang w:eastAsia="zh-CN"/>
              </w:rPr>
              <w:t>“</w:t>
            </w:r>
            <w:r>
              <w:rPr>
                <w:b/>
                <w:sz w:val="24"/>
              </w:rPr>
              <w:t>三同时</w:t>
            </w:r>
            <w:r>
              <w:rPr>
                <w:rFonts w:hint="eastAsia"/>
                <w:b/>
                <w:sz w:val="24"/>
                <w:lang w:eastAsia="zh-CN"/>
              </w:rPr>
              <w:t>”</w:t>
            </w:r>
            <w:r>
              <w:rPr>
                <w:b/>
                <w:sz w:val="24"/>
              </w:rPr>
              <w:t>验收一览表</w:t>
            </w:r>
          </w:p>
          <w:tbl>
            <w:tblPr>
              <w:tblStyle w:val="17"/>
              <w:tblW w:w="8310" w:type="dxa"/>
              <w:jc w:val="center"/>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Layout w:type="fixed"/>
              <w:tblCellMar>
                <w:top w:w="0" w:type="dxa"/>
                <w:left w:w="108" w:type="dxa"/>
                <w:bottom w:w="0" w:type="dxa"/>
                <w:right w:w="108" w:type="dxa"/>
              </w:tblCellMar>
            </w:tblPr>
            <w:tblGrid>
              <w:gridCol w:w="562"/>
              <w:gridCol w:w="997"/>
              <w:gridCol w:w="1701"/>
              <w:gridCol w:w="1842"/>
              <w:gridCol w:w="2599"/>
              <w:gridCol w:w="609"/>
            </w:tblGrid>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174" w:hRule="atLeast"/>
                <w:jc w:val="center"/>
              </w:trPr>
              <w:tc>
                <w:tcPr>
                  <w:tcW w:w="1559" w:type="dxa"/>
                  <w:gridSpan w:val="2"/>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b/>
                      <w:bCs/>
                      <w:szCs w:val="21"/>
                    </w:rPr>
                  </w:pPr>
                  <w:r>
                    <w:rPr>
                      <w:b/>
                      <w:szCs w:val="21"/>
                    </w:rPr>
                    <w:t>项目名称</w:t>
                  </w:r>
                </w:p>
              </w:tc>
              <w:tc>
                <w:tcPr>
                  <w:tcW w:w="6751" w:type="dxa"/>
                  <w:gridSpan w:val="4"/>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rFonts w:hint="eastAsia" w:eastAsia="宋体"/>
                      <w:b/>
                      <w:bCs/>
                      <w:szCs w:val="21"/>
                      <w:lang w:eastAsia="zh-CN"/>
                    </w:rPr>
                  </w:pPr>
                  <w:r>
                    <w:rPr>
                      <w:rFonts w:hint="eastAsia"/>
                      <w:b/>
                      <w:szCs w:val="21"/>
                      <w:lang w:eastAsia="zh-CN"/>
                    </w:rPr>
                    <w:t>新建机械零部件生产项目</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550" w:hRule="atLeast"/>
                <w:jc w:val="center"/>
              </w:trPr>
              <w:tc>
                <w:tcPr>
                  <w:tcW w:w="562"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b/>
                      <w:szCs w:val="21"/>
                    </w:rPr>
                  </w:pPr>
                  <w:r>
                    <w:rPr>
                      <w:b/>
                      <w:szCs w:val="21"/>
                    </w:rPr>
                    <w:t>类别</w:t>
                  </w:r>
                </w:p>
              </w:tc>
              <w:tc>
                <w:tcPr>
                  <w:tcW w:w="997"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b/>
                      <w:szCs w:val="21"/>
                    </w:rPr>
                  </w:pPr>
                  <w:r>
                    <w:rPr>
                      <w:b/>
                      <w:szCs w:val="21"/>
                    </w:rPr>
                    <w:t>污染源</w:t>
                  </w:r>
                </w:p>
              </w:tc>
              <w:tc>
                <w:tcPr>
                  <w:tcW w:w="1701"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b/>
                      <w:szCs w:val="21"/>
                    </w:rPr>
                  </w:pPr>
                  <w:r>
                    <w:rPr>
                      <w:b/>
                      <w:szCs w:val="21"/>
                    </w:rPr>
                    <w:t>污染物</w:t>
                  </w:r>
                </w:p>
              </w:tc>
              <w:tc>
                <w:tcPr>
                  <w:tcW w:w="1842"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b/>
                      <w:szCs w:val="21"/>
                    </w:rPr>
                  </w:pPr>
                  <w:r>
                    <w:rPr>
                      <w:b/>
                      <w:szCs w:val="21"/>
                    </w:rPr>
                    <w:t>治理措施（设施数量、规模、处理能力）</w:t>
                  </w:r>
                </w:p>
              </w:tc>
              <w:tc>
                <w:tcPr>
                  <w:tcW w:w="2599"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b/>
                      <w:szCs w:val="21"/>
                    </w:rPr>
                  </w:pPr>
                  <w:r>
                    <w:rPr>
                      <w:b/>
                      <w:szCs w:val="21"/>
                    </w:rPr>
                    <w:t>处理效果、执行标准或拟达要求</w:t>
                  </w:r>
                </w:p>
              </w:tc>
              <w:tc>
                <w:tcPr>
                  <w:tcW w:w="609"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b/>
                      <w:szCs w:val="21"/>
                    </w:rPr>
                  </w:pPr>
                  <w:r>
                    <w:rPr>
                      <w:b/>
                      <w:szCs w:val="21"/>
                    </w:rPr>
                    <w:t>完成时间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436" w:hRule="atLeast"/>
                <w:jc w:val="center"/>
              </w:trPr>
              <w:tc>
                <w:tcPr>
                  <w:tcW w:w="562" w:type="dxa"/>
                  <w:vMerge w:val="restart"/>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r>
                    <w:rPr>
                      <w:szCs w:val="21"/>
                    </w:rPr>
                    <w:t>废气</w:t>
                  </w:r>
                </w:p>
              </w:tc>
              <w:tc>
                <w:tcPr>
                  <w:tcW w:w="997" w:type="dxa"/>
                  <w:vMerge w:val="restart"/>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r>
                    <w:rPr>
                      <w:szCs w:val="21"/>
                    </w:rPr>
                    <w:t>1#排气筒</w:t>
                  </w:r>
                </w:p>
              </w:tc>
              <w:tc>
                <w:tcPr>
                  <w:tcW w:w="1701"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rFonts w:hint="eastAsia" w:eastAsia="宋体"/>
                      <w:szCs w:val="21"/>
                      <w:lang w:eastAsia="zh-CN"/>
                    </w:rPr>
                  </w:pPr>
                  <w:r>
                    <w:rPr>
                      <w:rFonts w:hint="eastAsia"/>
                      <w:szCs w:val="21"/>
                      <w:lang w:eastAsia="zh-CN"/>
                    </w:rPr>
                    <w:t>非甲烷总烃</w:t>
                  </w:r>
                </w:p>
              </w:tc>
              <w:tc>
                <w:tcPr>
                  <w:tcW w:w="1842"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szCs w:val="21"/>
                    </w:rPr>
                  </w:pPr>
                  <w:r>
                    <w:rPr>
                      <w:rFonts w:hint="eastAsia"/>
                      <w:szCs w:val="21"/>
                      <w:lang w:eastAsia="zh-CN"/>
                    </w:rPr>
                    <w:t>冷却器+二级活性炭吸附装置</w:t>
                  </w:r>
                </w:p>
              </w:tc>
              <w:tc>
                <w:tcPr>
                  <w:tcW w:w="2599"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szCs w:val="21"/>
                    </w:rPr>
                  </w:pPr>
                  <w:r>
                    <w:rPr>
                      <w:rFonts w:hint="eastAsia"/>
                      <w:szCs w:val="21"/>
                    </w:rPr>
                    <w:t>《合成树脂工业污染物排放标准》（GB31572-2015）</w:t>
                  </w:r>
                  <w:r>
                    <w:rPr>
                      <w:szCs w:val="21"/>
                    </w:rPr>
                    <w:t>中相应标准</w:t>
                  </w:r>
                </w:p>
              </w:tc>
              <w:tc>
                <w:tcPr>
                  <w:tcW w:w="609" w:type="dxa"/>
                  <w:vMerge w:val="restart"/>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pPr>
                  <w:r>
                    <w:rPr>
                      <w:rFonts w:hint="eastAsia"/>
                    </w:rPr>
                    <w:t>与建设项目同时设计</w:t>
                  </w:r>
                </w:p>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pPr>
                  <w:r>
                    <w:rPr>
                      <w:rFonts w:hint="eastAsia"/>
                    </w:rPr>
                    <w:t>、</w:t>
                  </w:r>
                </w:p>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pPr>
                  <w:r>
                    <w:rPr>
                      <w:rFonts w:hint="eastAsia"/>
                    </w:rPr>
                    <w:t>同时施工</w:t>
                  </w:r>
                </w:p>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pPr>
                  <w:r>
                    <w:rPr>
                      <w:rFonts w:hint="eastAsia"/>
                    </w:rPr>
                    <w:t>、</w:t>
                  </w:r>
                </w:p>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szCs w:val="21"/>
                    </w:rPr>
                  </w:pPr>
                  <w:r>
                    <w:rPr>
                      <w:rFonts w:hint="eastAsia"/>
                    </w:rPr>
                    <w:t>同时投入运行</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332" w:hRule="atLeast"/>
                <w:jc w:val="center"/>
              </w:trPr>
              <w:tc>
                <w:tcPr>
                  <w:tcW w:w="562"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p>
              </w:tc>
              <w:tc>
                <w:tcPr>
                  <w:tcW w:w="997"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p>
              </w:tc>
              <w:tc>
                <w:tcPr>
                  <w:tcW w:w="1701"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rFonts w:hint="eastAsia" w:eastAsia="宋体"/>
                      <w:szCs w:val="21"/>
                      <w:lang w:eastAsia="zh-CN"/>
                    </w:rPr>
                  </w:pPr>
                  <w:r>
                    <w:rPr>
                      <w:rFonts w:hint="eastAsia"/>
                      <w:color w:val="000000" w:themeColor="text1"/>
                      <w:szCs w:val="21"/>
                      <w:lang w:eastAsia="zh-CN"/>
                      <w14:textFill>
                        <w14:solidFill>
                          <w14:schemeClr w14:val="tx1"/>
                        </w14:solidFill>
                      </w14:textFill>
                    </w:rPr>
                    <w:t>颗粒物</w:t>
                  </w:r>
                </w:p>
              </w:tc>
              <w:tc>
                <w:tcPr>
                  <w:tcW w:w="1842"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rFonts w:hint="eastAsia" w:eastAsia="宋体"/>
                      <w:szCs w:val="21"/>
                      <w:lang w:eastAsia="zh-CN"/>
                    </w:rPr>
                  </w:pPr>
                  <w:r>
                    <w:rPr>
                      <w:rFonts w:hint="eastAsia"/>
                      <w:szCs w:val="21"/>
                      <w:lang w:eastAsia="zh-CN"/>
                    </w:rPr>
                    <w:t>滤芯除尘器</w:t>
                  </w:r>
                </w:p>
              </w:tc>
              <w:tc>
                <w:tcPr>
                  <w:tcW w:w="2599" w:type="dxa"/>
                  <w:vMerge w:val="restart"/>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szCs w:val="21"/>
                    </w:rPr>
                  </w:pPr>
                  <w:r>
                    <w:rPr>
                      <w:rFonts w:hint="default" w:ascii="Times New Roman" w:hAnsi="Times New Roman" w:eastAsia="宋体" w:cs="Times New Roman"/>
                      <w:color w:val="auto"/>
                      <w:sz w:val="21"/>
                      <w:szCs w:val="21"/>
                      <w:lang w:val="en-US" w:eastAsia="zh-CN"/>
                    </w:rPr>
                    <w:t>《工业炉窑大气污染物排放标准》（DB32/3728-2019）表1“常规大气污染物排放限值”和《长三角地区2019-2020年秋冬季大气污染综合治理攻坚行动方案》中氮氧化物排放浓度不高于50mg/m</w:t>
                  </w:r>
                  <w:r>
                    <w:rPr>
                      <w:rFonts w:hint="default" w:ascii="Times New Roman" w:hAnsi="Times New Roman" w:eastAsia="宋体" w:cs="Times New Roman"/>
                      <w:color w:val="auto"/>
                      <w:sz w:val="21"/>
                      <w:szCs w:val="21"/>
                      <w:vertAlign w:val="superscript"/>
                      <w:lang w:val="en-US" w:eastAsia="zh-CN"/>
                    </w:rPr>
                    <w:t>3</w:t>
                  </w:r>
                  <w:r>
                    <w:rPr>
                      <w:rFonts w:hint="default" w:ascii="Times New Roman" w:hAnsi="Times New Roman" w:eastAsia="宋体" w:cs="Times New Roman"/>
                      <w:color w:val="auto"/>
                      <w:sz w:val="21"/>
                      <w:szCs w:val="21"/>
                      <w:lang w:val="en-US" w:eastAsia="zh-CN"/>
                    </w:rPr>
                    <w:t>的要求</w:t>
                  </w:r>
                </w:p>
              </w:tc>
              <w:tc>
                <w:tcPr>
                  <w:tcW w:w="609" w:type="dxa"/>
                  <w:vMerge w:val="continue"/>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332" w:hRule="atLeast"/>
                <w:jc w:val="center"/>
              </w:trPr>
              <w:tc>
                <w:tcPr>
                  <w:tcW w:w="562"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p>
              </w:tc>
              <w:tc>
                <w:tcPr>
                  <w:tcW w:w="997"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p>
              </w:tc>
              <w:tc>
                <w:tcPr>
                  <w:tcW w:w="1701"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rFonts w:hint="default" w:eastAsia="宋体"/>
                      <w:szCs w:val="21"/>
                      <w:lang w:val="en-US" w:eastAsia="zh-CN"/>
                    </w:rPr>
                  </w:pPr>
                  <w:r>
                    <w:rPr>
                      <w:rFonts w:hint="eastAsia"/>
                      <w:szCs w:val="21"/>
                      <w:lang w:val="en-US" w:eastAsia="zh-CN"/>
                    </w:rPr>
                    <w:t>SO</w:t>
                  </w:r>
                  <w:r>
                    <w:rPr>
                      <w:rFonts w:hint="eastAsia"/>
                      <w:szCs w:val="21"/>
                      <w:vertAlign w:val="subscript"/>
                      <w:lang w:val="en-US" w:eastAsia="zh-CN"/>
                    </w:rPr>
                    <w:t>2</w:t>
                  </w:r>
                </w:p>
              </w:tc>
              <w:tc>
                <w:tcPr>
                  <w:tcW w:w="1842"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rFonts w:hint="eastAsia" w:eastAsia="宋体"/>
                      <w:szCs w:val="21"/>
                      <w:lang w:val="en-US" w:eastAsia="zh-CN"/>
                    </w:rPr>
                  </w:pPr>
                  <w:r>
                    <w:rPr>
                      <w:rFonts w:hint="eastAsia"/>
                      <w:szCs w:val="21"/>
                      <w:lang w:val="en-US" w:eastAsia="zh-CN"/>
                    </w:rPr>
                    <w:t>/</w:t>
                  </w:r>
                </w:p>
              </w:tc>
              <w:tc>
                <w:tcPr>
                  <w:tcW w:w="2599" w:type="dxa"/>
                  <w:vMerge w:val="continue"/>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szCs w:val="21"/>
                    </w:rPr>
                  </w:pPr>
                </w:p>
              </w:tc>
              <w:tc>
                <w:tcPr>
                  <w:tcW w:w="609" w:type="dxa"/>
                  <w:vMerge w:val="continue"/>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332" w:hRule="atLeast"/>
                <w:jc w:val="center"/>
              </w:trPr>
              <w:tc>
                <w:tcPr>
                  <w:tcW w:w="562"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p>
              </w:tc>
              <w:tc>
                <w:tcPr>
                  <w:tcW w:w="997"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p>
              </w:tc>
              <w:tc>
                <w:tcPr>
                  <w:tcW w:w="1701"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rFonts w:hint="default" w:eastAsia="宋体"/>
                      <w:szCs w:val="21"/>
                      <w:lang w:val="en-US" w:eastAsia="zh-CN"/>
                    </w:rPr>
                  </w:pPr>
                  <w:r>
                    <w:rPr>
                      <w:rFonts w:hint="eastAsia"/>
                      <w:szCs w:val="21"/>
                      <w:lang w:val="en-US" w:eastAsia="zh-CN"/>
                    </w:rPr>
                    <w:t>NOx</w:t>
                  </w:r>
                </w:p>
              </w:tc>
              <w:tc>
                <w:tcPr>
                  <w:tcW w:w="1842"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rFonts w:hint="eastAsia" w:eastAsia="宋体"/>
                      <w:szCs w:val="21"/>
                      <w:lang w:eastAsia="zh-CN"/>
                    </w:rPr>
                  </w:pPr>
                  <w:r>
                    <w:rPr>
                      <w:rFonts w:hint="eastAsia"/>
                      <w:szCs w:val="21"/>
                      <w:lang w:eastAsia="zh-CN"/>
                    </w:rPr>
                    <w:t>低氮燃烧装置</w:t>
                  </w:r>
                </w:p>
              </w:tc>
              <w:tc>
                <w:tcPr>
                  <w:tcW w:w="2599" w:type="dxa"/>
                  <w:vMerge w:val="continue"/>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szCs w:val="21"/>
                    </w:rPr>
                  </w:pPr>
                </w:p>
              </w:tc>
              <w:tc>
                <w:tcPr>
                  <w:tcW w:w="609" w:type="dxa"/>
                  <w:vMerge w:val="continue"/>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332" w:hRule="atLeast"/>
                <w:jc w:val="center"/>
              </w:trPr>
              <w:tc>
                <w:tcPr>
                  <w:tcW w:w="562"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p>
              </w:tc>
              <w:tc>
                <w:tcPr>
                  <w:tcW w:w="997" w:type="dxa"/>
                  <w:vMerge w:val="restart"/>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r>
                    <w:rPr>
                      <w:rFonts w:hint="eastAsia"/>
                      <w:szCs w:val="21"/>
                    </w:rPr>
                    <w:t>生产车间</w:t>
                  </w:r>
                </w:p>
              </w:tc>
              <w:tc>
                <w:tcPr>
                  <w:tcW w:w="1701"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szCs w:val="21"/>
                    </w:rPr>
                  </w:pPr>
                  <w:r>
                    <w:rPr>
                      <w:rFonts w:hint="eastAsia"/>
                      <w:color w:val="000000" w:themeColor="text1"/>
                      <w:szCs w:val="21"/>
                      <w14:textFill>
                        <w14:solidFill>
                          <w14:schemeClr w14:val="tx1"/>
                        </w14:solidFill>
                      </w14:textFill>
                    </w:rPr>
                    <w:t>颗粒物</w:t>
                  </w:r>
                </w:p>
              </w:tc>
              <w:tc>
                <w:tcPr>
                  <w:tcW w:w="1842"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szCs w:val="21"/>
                    </w:rPr>
                  </w:pPr>
                  <w:r>
                    <w:rPr>
                      <w:rFonts w:hint="eastAsia"/>
                      <w:szCs w:val="21"/>
                    </w:rPr>
                    <w:t>/</w:t>
                  </w:r>
                </w:p>
              </w:tc>
              <w:tc>
                <w:tcPr>
                  <w:tcW w:w="2599"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szCs w:val="21"/>
                    </w:rPr>
                  </w:pPr>
                  <w:r>
                    <w:rPr>
                      <w:rFonts w:hint="eastAsia"/>
                      <w:szCs w:val="21"/>
                    </w:rPr>
                    <w:t>《合成树脂工业污染物排放标准》（GB31572-2015）</w:t>
                  </w:r>
                </w:p>
              </w:tc>
              <w:tc>
                <w:tcPr>
                  <w:tcW w:w="609" w:type="dxa"/>
                  <w:vMerge w:val="continue"/>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1371" w:hRule="atLeast"/>
                <w:jc w:val="center"/>
              </w:trPr>
              <w:tc>
                <w:tcPr>
                  <w:tcW w:w="562"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p>
              </w:tc>
              <w:tc>
                <w:tcPr>
                  <w:tcW w:w="997" w:type="dxa"/>
                  <w:vMerge w:val="continue"/>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p>
              </w:tc>
              <w:tc>
                <w:tcPr>
                  <w:tcW w:w="1701"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rFonts w:hint="eastAsia" w:eastAsia="宋体"/>
                      <w:szCs w:val="21"/>
                      <w:lang w:eastAsia="zh-CN"/>
                    </w:rPr>
                  </w:pPr>
                  <w:r>
                    <w:rPr>
                      <w:rFonts w:hint="eastAsia"/>
                      <w:color w:val="000000" w:themeColor="text1"/>
                      <w:szCs w:val="21"/>
                      <w:lang w:eastAsia="zh-CN"/>
                      <w14:textFill>
                        <w14:solidFill>
                          <w14:schemeClr w14:val="tx1"/>
                        </w14:solidFill>
                      </w14:textFill>
                    </w:rPr>
                    <w:t>非甲烷总烃</w:t>
                  </w:r>
                </w:p>
              </w:tc>
              <w:tc>
                <w:tcPr>
                  <w:tcW w:w="1842"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szCs w:val="21"/>
                    </w:rPr>
                  </w:pPr>
                  <w:r>
                    <w:rPr>
                      <w:szCs w:val="21"/>
                    </w:rPr>
                    <w:t>/</w:t>
                  </w:r>
                </w:p>
              </w:tc>
              <w:tc>
                <w:tcPr>
                  <w:tcW w:w="2599"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r>
                    <w:rPr>
                      <w:rFonts w:hint="eastAsia"/>
                      <w:szCs w:val="21"/>
                    </w:rPr>
                    <w:t>厂界：《合成树脂工业污染物排放标准》（GB31572-2015）</w:t>
                  </w:r>
                </w:p>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color w:val="FF0000"/>
                      <w:szCs w:val="21"/>
                    </w:rPr>
                  </w:pPr>
                  <w:r>
                    <w:rPr>
                      <w:rFonts w:hint="eastAsia"/>
                      <w:szCs w:val="21"/>
                    </w:rPr>
                    <w:t>车间外：《挥发性有机物无组织排放控制标准》（GB37822-2019）</w:t>
                  </w:r>
                </w:p>
              </w:tc>
              <w:tc>
                <w:tcPr>
                  <w:tcW w:w="609" w:type="dxa"/>
                  <w:vMerge w:val="continue"/>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165" w:hRule="atLeast"/>
                <w:jc w:val="center"/>
              </w:trPr>
              <w:tc>
                <w:tcPr>
                  <w:tcW w:w="562"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r>
                    <w:rPr>
                      <w:szCs w:val="21"/>
                    </w:rPr>
                    <w:t>废水</w:t>
                  </w:r>
                </w:p>
              </w:tc>
              <w:tc>
                <w:tcPr>
                  <w:tcW w:w="997"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r>
                    <w:rPr>
                      <w:szCs w:val="21"/>
                    </w:rPr>
                    <w:t>生活污水</w:t>
                  </w:r>
                </w:p>
              </w:tc>
              <w:tc>
                <w:tcPr>
                  <w:tcW w:w="1701"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szCs w:val="21"/>
                    </w:rPr>
                  </w:pPr>
                  <w:r>
                    <w:rPr>
                      <w:szCs w:val="21"/>
                    </w:rPr>
                    <w:t>pH、COD、SS、氨氮、总磷</w:t>
                  </w:r>
                </w:p>
              </w:tc>
              <w:tc>
                <w:tcPr>
                  <w:tcW w:w="1842"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rFonts w:hint="eastAsia" w:eastAsia="宋体"/>
                      <w:szCs w:val="21"/>
                      <w:lang w:eastAsia="zh-CN"/>
                    </w:rPr>
                  </w:pPr>
                  <w:r>
                    <w:rPr>
                      <w:szCs w:val="21"/>
                    </w:rPr>
                    <w:t>化粪池（依托），</w:t>
                  </w:r>
                  <w:r>
                    <w:rPr>
                      <w:rFonts w:hint="eastAsia"/>
                      <w:szCs w:val="21"/>
                      <w:lang w:eastAsia="zh-CN"/>
                    </w:rPr>
                    <w:t>600t/a</w:t>
                  </w:r>
                </w:p>
              </w:tc>
              <w:tc>
                <w:tcPr>
                  <w:tcW w:w="2599"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szCs w:val="21"/>
                    </w:rPr>
                  </w:pPr>
                  <w:r>
                    <w:rPr>
                      <w:rFonts w:hint="eastAsia"/>
                      <w:color w:val="000000" w:themeColor="text1"/>
                      <w:szCs w:val="21"/>
                      <w14:textFill>
                        <w14:solidFill>
                          <w14:schemeClr w14:val="tx1"/>
                        </w14:solidFill>
                      </w14:textFill>
                    </w:rPr>
                    <w:t>达常州市金坛区直溪鑫鑫污水处理厂接管限值</w:t>
                  </w:r>
                </w:p>
              </w:tc>
              <w:tc>
                <w:tcPr>
                  <w:tcW w:w="609" w:type="dxa"/>
                  <w:vMerge w:val="continue"/>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360" w:hRule="atLeast"/>
                <w:jc w:val="center"/>
              </w:trPr>
              <w:tc>
                <w:tcPr>
                  <w:tcW w:w="562"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r>
                    <w:rPr>
                      <w:szCs w:val="21"/>
                    </w:rPr>
                    <w:t>噪声</w:t>
                  </w:r>
                </w:p>
              </w:tc>
              <w:tc>
                <w:tcPr>
                  <w:tcW w:w="997"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r>
                    <w:rPr>
                      <w:rFonts w:hint="eastAsia"/>
                      <w:szCs w:val="21"/>
                    </w:rPr>
                    <w:t>厂界</w:t>
                  </w:r>
                </w:p>
              </w:tc>
              <w:tc>
                <w:tcPr>
                  <w:tcW w:w="1701"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r>
                    <w:rPr>
                      <w:szCs w:val="21"/>
                    </w:rPr>
                    <w:t>连续等效A声级</w:t>
                  </w:r>
                </w:p>
              </w:tc>
              <w:tc>
                <w:tcPr>
                  <w:tcW w:w="1842"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r>
                    <w:rPr>
                      <w:szCs w:val="21"/>
                    </w:rPr>
                    <w:t>厂房隔声、消声、减振基础，降噪</w:t>
                  </w:r>
                  <w:r>
                    <w:rPr>
                      <w:rFonts w:hint="eastAsia"/>
                      <w:szCs w:val="21"/>
                    </w:rPr>
                    <w:t>30</w:t>
                  </w:r>
                  <w:r>
                    <w:rPr>
                      <w:szCs w:val="21"/>
                    </w:rPr>
                    <w:t>dB</w:t>
                  </w:r>
                  <w:r>
                    <w:rPr>
                      <w:rFonts w:hint="eastAsia"/>
                      <w:szCs w:val="21"/>
                    </w:rPr>
                    <w:t>（</w:t>
                  </w:r>
                  <w:r>
                    <w:rPr>
                      <w:szCs w:val="21"/>
                    </w:rPr>
                    <w:t>A</w:t>
                  </w:r>
                  <w:r>
                    <w:rPr>
                      <w:rFonts w:hint="eastAsia"/>
                      <w:szCs w:val="21"/>
                    </w:rPr>
                    <w:t>）</w:t>
                  </w:r>
                </w:p>
              </w:tc>
              <w:tc>
                <w:tcPr>
                  <w:tcW w:w="2599"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pacing w:val="-10"/>
                      <w:szCs w:val="21"/>
                    </w:rPr>
                  </w:pPr>
                  <w:r>
                    <w:rPr>
                      <w:spacing w:val="-10"/>
                      <w:szCs w:val="21"/>
                    </w:rPr>
                    <w:t>《工业企业厂界环境噪声排放标准》（GB12348-2008）表1中</w:t>
                  </w:r>
                  <w:r>
                    <w:rPr>
                      <w:rFonts w:hint="eastAsia"/>
                      <w:spacing w:val="-10"/>
                      <w:szCs w:val="21"/>
                    </w:rPr>
                    <w:t>3</w:t>
                  </w:r>
                  <w:r>
                    <w:rPr>
                      <w:spacing w:val="-10"/>
                      <w:szCs w:val="21"/>
                    </w:rPr>
                    <w:t>类功能区对应标准限值</w:t>
                  </w:r>
                </w:p>
              </w:tc>
              <w:tc>
                <w:tcPr>
                  <w:tcW w:w="609" w:type="dxa"/>
                  <w:vMerge w:val="continue"/>
                  <w:vAlign w:val="center"/>
                </w:tcPr>
                <w:p>
                  <w:pPr>
                    <w:keepNext w:val="0"/>
                    <w:keepLines w:val="0"/>
                    <w:pageBreakBefore w:val="0"/>
                    <w:widowControl/>
                    <w:kinsoku/>
                    <w:wordWrap/>
                    <w:overflowPunct/>
                    <w:topLinePunct w:val="0"/>
                    <w:autoSpaceDE/>
                    <w:autoSpaceDN/>
                    <w:bidi w:val="0"/>
                    <w:spacing w:before="63" w:beforeLines="20" w:after="63" w:afterLines="20"/>
                    <w:ind w:left="0" w:leftChars="0" w:right="0" w:rightChars="0"/>
                    <w:jc w:val="left"/>
                    <w:textAlignment w:val="auto"/>
                    <w:rPr>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56" w:hRule="atLeast"/>
                <w:jc w:val="center"/>
              </w:trPr>
              <w:tc>
                <w:tcPr>
                  <w:tcW w:w="562" w:type="dxa"/>
                  <w:vMerge w:val="restart"/>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r>
                    <w:rPr>
                      <w:szCs w:val="21"/>
                    </w:rPr>
                    <w:t>固废</w:t>
                  </w:r>
                </w:p>
              </w:tc>
              <w:tc>
                <w:tcPr>
                  <w:tcW w:w="997"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r>
                    <w:rPr>
                      <w:szCs w:val="21"/>
                    </w:rPr>
                    <w:t>危险固废</w:t>
                  </w:r>
                </w:p>
              </w:tc>
              <w:tc>
                <w:tcPr>
                  <w:tcW w:w="1701"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rFonts w:hint="eastAsia" w:eastAsia="宋体"/>
                      <w:szCs w:val="21"/>
                      <w:lang w:eastAsia="zh-CN"/>
                    </w:rPr>
                  </w:pPr>
                  <w:r>
                    <w:rPr>
                      <w:szCs w:val="21"/>
                    </w:rPr>
                    <w:t>废活性炭、</w:t>
                  </w:r>
                  <w:r>
                    <w:rPr>
                      <w:rFonts w:hint="eastAsia"/>
                      <w:szCs w:val="21"/>
                    </w:rPr>
                    <w:t>废包装桶</w:t>
                  </w:r>
                  <w:r>
                    <w:rPr>
                      <w:rFonts w:hint="eastAsia"/>
                      <w:szCs w:val="21"/>
                      <w:lang w:eastAsia="zh-CN"/>
                    </w:rPr>
                    <w:t>、含油抹布和手套</w:t>
                  </w:r>
                </w:p>
              </w:tc>
              <w:tc>
                <w:tcPr>
                  <w:tcW w:w="1842"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r>
                    <w:rPr>
                      <w:szCs w:val="21"/>
                    </w:rPr>
                    <w:t>危险固废暂存场，</w:t>
                  </w:r>
                  <w:r>
                    <w:rPr>
                      <w:rFonts w:hint="eastAsia"/>
                      <w:szCs w:val="21"/>
                    </w:rPr>
                    <w:t>1</w:t>
                  </w:r>
                  <w:r>
                    <w:rPr>
                      <w:rFonts w:hint="eastAsia"/>
                      <w:szCs w:val="21"/>
                      <w:lang w:val="en-US" w:eastAsia="zh-CN"/>
                    </w:rPr>
                    <w:t>0</w:t>
                  </w:r>
                  <w:r>
                    <w:rPr>
                      <w:szCs w:val="21"/>
                    </w:rPr>
                    <w:t>m</w:t>
                  </w:r>
                  <w:r>
                    <w:rPr>
                      <w:szCs w:val="21"/>
                      <w:vertAlign w:val="superscript"/>
                    </w:rPr>
                    <w:t>2</w:t>
                  </w:r>
                </w:p>
              </w:tc>
              <w:tc>
                <w:tcPr>
                  <w:tcW w:w="2599" w:type="dxa"/>
                  <w:vMerge w:val="restart"/>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highlight w:val="yellow"/>
                    </w:rPr>
                  </w:pPr>
                  <w:r>
                    <w:rPr>
                      <w:rFonts w:hint="eastAsia"/>
                      <w:szCs w:val="21"/>
                      <w:lang w:eastAsia="zh-CN"/>
                    </w:rPr>
                    <w:t>分类贮存，</w:t>
                  </w:r>
                  <w:r>
                    <w:rPr>
                      <w:szCs w:val="21"/>
                    </w:rPr>
                    <w:t>有效处置</w:t>
                  </w:r>
                </w:p>
              </w:tc>
              <w:tc>
                <w:tcPr>
                  <w:tcW w:w="609" w:type="dxa"/>
                  <w:vMerge w:val="continue"/>
                  <w:vAlign w:val="center"/>
                </w:tcPr>
                <w:p>
                  <w:pPr>
                    <w:keepNext w:val="0"/>
                    <w:keepLines w:val="0"/>
                    <w:pageBreakBefore w:val="0"/>
                    <w:widowControl/>
                    <w:kinsoku/>
                    <w:wordWrap/>
                    <w:overflowPunct/>
                    <w:topLinePunct w:val="0"/>
                    <w:autoSpaceDE/>
                    <w:autoSpaceDN/>
                    <w:bidi w:val="0"/>
                    <w:spacing w:before="63" w:beforeLines="20" w:after="63" w:afterLines="20"/>
                    <w:ind w:left="0" w:leftChars="0" w:right="0" w:rightChars="0"/>
                    <w:jc w:val="left"/>
                    <w:textAlignment w:val="auto"/>
                    <w:rPr>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56" w:hRule="atLeast"/>
                <w:jc w:val="center"/>
              </w:trPr>
              <w:tc>
                <w:tcPr>
                  <w:tcW w:w="562" w:type="dxa"/>
                  <w:vMerge w:val="continue"/>
                  <w:vAlign w:val="center"/>
                </w:tcPr>
                <w:p>
                  <w:pPr>
                    <w:keepNext w:val="0"/>
                    <w:keepLines w:val="0"/>
                    <w:pageBreakBefore w:val="0"/>
                    <w:widowControl/>
                    <w:kinsoku/>
                    <w:wordWrap/>
                    <w:overflowPunct/>
                    <w:topLinePunct w:val="0"/>
                    <w:autoSpaceDE/>
                    <w:autoSpaceDN/>
                    <w:bidi w:val="0"/>
                    <w:spacing w:before="63" w:beforeLines="20" w:after="63" w:afterLines="20"/>
                    <w:ind w:left="0" w:leftChars="0" w:right="0" w:rightChars="0"/>
                    <w:jc w:val="left"/>
                    <w:textAlignment w:val="auto"/>
                    <w:rPr>
                      <w:szCs w:val="21"/>
                    </w:rPr>
                  </w:pPr>
                </w:p>
              </w:tc>
              <w:tc>
                <w:tcPr>
                  <w:tcW w:w="997"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r>
                    <w:rPr>
                      <w:szCs w:val="21"/>
                    </w:rPr>
                    <w:t>一般固废</w:t>
                  </w:r>
                </w:p>
              </w:tc>
              <w:tc>
                <w:tcPr>
                  <w:tcW w:w="1701"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r>
                    <w:rPr>
                      <w:rFonts w:hint="eastAsia"/>
                      <w:szCs w:val="21"/>
                      <w:lang w:eastAsia="zh-CN"/>
                    </w:rPr>
                    <w:t>废塑粉</w:t>
                  </w:r>
                  <w:r>
                    <w:rPr>
                      <w:rFonts w:hint="eastAsia"/>
                      <w:szCs w:val="21"/>
                    </w:rPr>
                    <w:t>、废包装材料</w:t>
                  </w:r>
                </w:p>
              </w:tc>
              <w:tc>
                <w:tcPr>
                  <w:tcW w:w="1842"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r>
                    <w:rPr>
                      <w:szCs w:val="21"/>
                    </w:rPr>
                    <w:t>一般固废暂存场，</w:t>
                  </w:r>
                  <w:r>
                    <w:rPr>
                      <w:rFonts w:hint="eastAsia"/>
                      <w:szCs w:val="21"/>
                    </w:rPr>
                    <w:t>1</w:t>
                  </w:r>
                  <w:r>
                    <w:rPr>
                      <w:rFonts w:hint="eastAsia"/>
                      <w:szCs w:val="21"/>
                      <w:lang w:val="en-US" w:eastAsia="zh-CN"/>
                    </w:rPr>
                    <w:t>0</w:t>
                  </w:r>
                  <w:r>
                    <w:rPr>
                      <w:szCs w:val="21"/>
                    </w:rPr>
                    <w:t>m</w:t>
                  </w:r>
                  <w:r>
                    <w:rPr>
                      <w:szCs w:val="21"/>
                      <w:vertAlign w:val="superscript"/>
                    </w:rPr>
                    <w:t>2</w:t>
                  </w:r>
                </w:p>
              </w:tc>
              <w:tc>
                <w:tcPr>
                  <w:tcW w:w="2599" w:type="dxa"/>
                  <w:vMerge w:val="continue"/>
                  <w:vAlign w:val="center"/>
                </w:tcPr>
                <w:p>
                  <w:pPr>
                    <w:keepNext w:val="0"/>
                    <w:keepLines w:val="0"/>
                    <w:pageBreakBefore w:val="0"/>
                    <w:widowControl/>
                    <w:kinsoku/>
                    <w:wordWrap/>
                    <w:overflowPunct/>
                    <w:topLinePunct w:val="0"/>
                    <w:autoSpaceDE/>
                    <w:autoSpaceDN/>
                    <w:bidi w:val="0"/>
                    <w:spacing w:before="63" w:beforeLines="20" w:after="63" w:afterLines="20"/>
                    <w:ind w:left="0" w:leftChars="0" w:right="0" w:rightChars="0"/>
                    <w:jc w:val="left"/>
                    <w:textAlignment w:val="auto"/>
                    <w:rPr>
                      <w:szCs w:val="21"/>
                      <w:highlight w:val="yellow"/>
                    </w:rPr>
                  </w:pPr>
                </w:p>
              </w:tc>
              <w:tc>
                <w:tcPr>
                  <w:tcW w:w="609" w:type="dxa"/>
                  <w:vMerge w:val="continue"/>
                  <w:vAlign w:val="center"/>
                </w:tcPr>
                <w:p>
                  <w:pPr>
                    <w:keepNext w:val="0"/>
                    <w:keepLines w:val="0"/>
                    <w:pageBreakBefore w:val="0"/>
                    <w:widowControl/>
                    <w:kinsoku/>
                    <w:wordWrap/>
                    <w:overflowPunct/>
                    <w:topLinePunct w:val="0"/>
                    <w:autoSpaceDE/>
                    <w:autoSpaceDN/>
                    <w:bidi w:val="0"/>
                    <w:spacing w:before="63" w:beforeLines="20" w:after="63" w:afterLines="20"/>
                    <w:ind w:left="0" w:leftChars="0" w:right="0" w:rightChars="0"/>
                    <w:jc w:val="left"/>
                    <w:textAlignment w:val="auto"/>
                    <w:rPr>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165" w:hRule="atLeast"/>
                <w:jc w:val="center"/>
              </w:trPr>
              <w:tc>
                <w:tcPr>
                  <w:tcW w:w="562" w:type="dxa"/>
                  <w:vMerge w:val="continue"/>
                  <w:vAlign w:val="center"/>
                </w:tcPr>
                <w:p>
                  <w:pPr>
                    <w:keepNext w:val="0"/>
                    <w:keepLines w:val="0"/>
                    <w:pageBreakBefore w:val="0"/>
                    <w:widowControl/>
                    <w:kinsoku/>
                    <w:wordWrap/>
                    <w:overflowPunct/>
                    <w:topLinePunct w:val="0"/>
                    <w:autoSpaceDE/>
                    <w:autoSpaceDN/>
                    <w:bidi w:val="0"/>
                    <w:spacing w:before="63" w:beforeLines="20" w:after="63" w:afterLines="20"/>
                    <w:ind w:left="0" w:leftChars="0" w:right="0" w:rightChars="0"/>
                    <w:jc w:val="left"/>
                    <w:textAlignment w:val="auto"/>
                    <w:rPr>
                      <w:szCs w:val="21"/>
                    </w:rPr>
                  </w:pPr>
                </w:p>
              </w:tc>
              <w:tc>
                <w:tcPr>
                  <w:tcW w:w="997"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r>
                    <w:rPr>
                      <w:szCs w:val="21"/>
                    </w:rPr>
                    <w:t>员工生活</w:t>
                  </w:r>
                </w:p>
              </w:tc>
              <w:tc>
                <w:tcPr>
                  <w:tcW w:w="1701" w:type="dxa"/>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szCs w:val="21"/>
                    </w:rPr>
                  </w:pPr>
                  <w:r>
                    <w:rPr>
                      <w:szCs w:val="21"/>
                    </w:rPr>
                    <w:t>生活垃圾</w:t>
                  </w:r>
                </w:p>
              </w:tc>
              <w:tc>
                <w:tcPr>
                  <w:tcW w:w="1842" w:type="dxa"/>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r>
                    <w:rPr>
                      <w:szCs w:val="21"/>
                    </w:rPr>
                    <w:t>环卫清运</w:t>
                  </w:r>
                  <w:r>
                    <w:rPr>
                      <w:rFonts w:hint="eastAsia"/>
                      <w:szCs w:val="21"/>
                      <w:lang w:val="en-US" w:eastAsia="zh-CN"/>
                    </w:rPr>
                    <w:t>7.</w:t>
                  </w:r>
                  <w:r>
                    <w:rPr>
                      <w:rFonts w:hint="eastAsia"/>
                      <w:szCs w:val="21"/>
                    </w:rPr>
                    <w:t>5</w:t>
                  </w:r>
                  <w:r>
                    <w:rPr>
                      <w:szCs w:val="21"/>
                    </w:rPr>
                    <w:t>t/a</w:t>
                  </w:r>
                </w:p>
              </w:tc>
              <w:tc>
                <w:tcPr>
                  <w:tcW w:w="2599" w:type="dxa"/>
                  <w:vMerge w:val="continue"/>
                  <w:vAlign w:val="center"/>
                </w:tcPr>
                <w:p>
                  <w:pPr>
                    <w:keepNext w:val="0"/>
                    <w:keepLines w:val="0"/>
                    <w:pageBreakBefore w:val="0"/>
                    <w:widowControl/>
                    <w:kinsoku/>
                    <w:wordWrap/>
                    <w:overflowPunct/>
                    <w:topLinePunct w:val="0"/>
                    <w:autoSpaceDE/>
                    <w:autoSpaceDN/>
                    <w:bidi w:val="0"/>
                    <w:spacing w:before="63" w:beforeLines="20" w:after="63" w:afterLines="20"/>
                    <w:ind w:left="0" w:leftChars="0" w:right="0" w:rightChars="0"/>
                    <w:jc w:val="left"/>
                    <w:textAlignment w:val="auto"/>
                    <w:rPr>
                      <w:szCs w:val="21"/>
                      <w:highlight w:val="yellow"/>
                    </w:rPr>
                  </w:pPr>
                </w:p>
              </w:tc>
              <w:tc>
                <w:tcPr>
                  <w:tcW w:w="609" w:type="dxa"/>
                  <w:vMerge w:val="continue"/>
                  <w:vAlign w:val="center"/>
                </w:tcPr>
                <w:p>
                  <w:pPr>
                    <w:keepNext w:val="0"/>
                    <w:keepLines w:val="0"/>
                    <w:pageBreakBefore w:val="0"/>
                    <w:widowControl/>
                    <w:kinsoku/>
                    <w:wordWrap/>
                    <w:overflowPunct/>
                    <w:topLinePunct w:val="0"/>
                    <w:autoSpaceDE/>
                    <w:autoSpaceDN/>
                    <w:bidi w:val="0"/>
                    <w:spacing w:before="63" w:beforeLines="20" w:after="63" w:afterLines="20"/>
                    <w:ind w:left="0" w:leftChars="0" w:right="0" w:rightChars="0"/>
                    <w:jc w:val="left"/>
                    <w:textAlignment w:val="auto"/>
                    <w:rPr>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165" w:hRule="atLeast"/>
                <w:jc w:val="center"/>
              </w:trPr>
              <w:tc>
                <w:tcPr>
                  <w:tcW w:w="1559" w:type="dxa"/>
                  <w:gridSpan w:val="2"/>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r>
                    <w:rPr>
                      <w:szCs w:val="21"/>
                    </w:rPr>
                    <w:t>总量平衡具体方案</w:t>
                  </w:r>
                </w:p>
              </w:tc>
              <w:tc>
                <w:tcPr>
                  <w:tcW w:w="6142" w:type="dxa"/>
                  <w:gridSpan w:val="3"/>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textAlignment w:val="auto"/>
                    <w:rPr>
                      <w:szCs w:val="21"/>
                    </w:rPr>
                  </w:pPr>
                  <w:r>
                    <w:rPr>
                      <w:szCs w:val="21"/>
                    </w:rPr>
                    <w:t>废气申请量为颗粒物≤0.</w:t>
                  </w:r>
                  <w:r>
                    <w:rPr>
                      <w:rFonts w:hint="eastAsia"/>
                      <w:szCs w:val="21"/>
                    </w:rPr>
                    <w:t>0</w:t>
                  </w:r>
                  <w:r>
                    <w:rPr>
                      <w:rFonts w:hint="eastAsia"/>
                      <w:szCs w:val="21"/>
                      <w:lang w:val="en-US" w:eastAsia="zh-CN"/>
                    </w:rPr>
                    <w:t>27</w:t>
                  </w:r>
                  <w:r>
                    <w:rPr>
                      <w:szCs w:val="21"/>
                    </w:rPr>
                    <w:t>t/a、</w:t>
                  </w:r>
                  <w:r>
                    <w:rPr>
                      <w:rFonts w:hint="eastAsia"/>
                      <w:szCs w:val="21"/>
                      <w:lang w:eastAsia="zh-CN"/>
                    </w:rPr>
                    <w:t>非甲烷总烃</w:t>
                  </w:r>
                  <w:r>
                    <w:rPr>
                      <w:szCs w:val="21"/>
                    </w:rPr>
                    <w:t>≤0.</w:t>
                  </w:r>
                  <w:r>
                    <w:rPr>
                      <w:rFonts w:hint="eastAsia"/>
                      <w:szCs w:val="21"/>
                      <w:lang w:val="en-US" w:eastAsia="zh-CN"/>
                    </w:rPr>
                    <w:t>003</w:t>
                  </w:r>
                  <w:r>
                    <w:rPr>
                      <w:szCs w:val="21"/>
                    </w:rPr>
                    <w:t>t/a</w:t>
                  </w:r>
                  <w:r>
                    <w:rPr>
                      <w:rFonts w:hint="eastAsia"/>
                      <w:szCs w:val="21"/>
                    </w:rPr>
                    <w:t>、</w:t>
                  </w:r>
                  <w:r>
                    <w:rPr>
                      <w:rFonts w:hint="eastAsia"/>
                      <w:szCs w:val="21"/>
                      <w:lang w:val="en-US" w:eastAsia="zh-CN"/>
                    </w:rPr>
                    <w:t>SO</w:t>
                  </w:r>
                  <w:r>
                    <w:rPr>
                      <w:rFonts w:hint="eastAsia"/>
                      <w:szCs w:val="21"/>
                      <w:vertAlign w:val="subscript"/>
                      <w:lang w:val="en-US" w:eastAsia="zh-CN"/>
                    </w:rPr>
                    <w:t>2</w:t>
                  </w:r>
                  <w:r>
                    <w:rPr>
                      <w:szCs w:val="21"/>
                    </w:rPr>
                    <w:t>≤0.</w:t>
                  </w:r>
                  <w:r>
                    <w:rPr>
                      <w:rFonts w:hint="eastAsia"/>
                      <w:szCs w:val="21"/>
                    </w:rPr>
                    <w:t>01</w:t>
                  </w:r>
                  <w:r>
                    <w:rPr>
                      <w:rFonts w:hint="eastAsia"/>
                      <w:szCs w:val="21"/>
                      <w:lang w:val="en-US" w:eastAsia="zh-CN"/>
                    </w:rPr>
                    <w:t>2</w:t>
                  </w:r>
                  <w:r>
                    <w:rPr>
                      <w:szCs w:val="21"/>
                    </w:rPr>
                    <w:t>t/a、</w:t>
                  </w:r>
                  <w:r>
                    <w:rPr>
                      <w:rFonts w:hint="eastAsia"/>
                      <w:szCs w:val="21"/>
                      <w:lang w:val="en-US" w:eastAsia="zh-CN"/>
                    </w:rPr>
                    <w:t>NOx</w:t>
                  </w:r>
                  <w:r>
                    <w:rPr>
                      <w:szCs w:val="21"/>
                    </w:rPr>
                    <w:t>≤0.</w:t>
                  </w:r>
                  <w:r>
                    <w:rPr>
                      <w:rFonts w:hint="eastAsia"/>
                      <w:szCs w:val="21"/>
                    </w:rPr>
                    <w:t>02</w:t>
                  </w:r>
                  <w:r>
                    <w:rPr>
                      <w:szCs w:val="21"/>
                    </w:rPr>
                    <w:t>t/a。废水排放总量（接管考核量）≤</w:t>
                  </w:r>
                  <w:r>
                    <w:rPr>
                      <w:rFonts w:hint="eastAsia"/>
                      <w:szCs w:val="21"/>
                      <w:lang w:eastAsia="zh-CN"/>
                    </w:rPr>
                    <w:t>600t/a</w:t>
                  </w:r>
                  <w:r>
                    <w:rPr>
                      <w:szCs w:val="21"/>
                    </w:rPr>
                    <w:t>，水污染物排放总量COD≤0.</w:t>
                  </w:r>
                  <w:r>
                    <w:rPr>
                      <w:rFonts w:hint="eastAsia"/>
                      <w:szCs w:val="21"/>
                      <w:lang w:val="en-US" w:eastAsia="zh-CN"/>
                    </w:rPr>
                    <w:t>2040</w:t>
                  </w:r>
                  <w:r>
                    <w:rPr>
                      <w:szCs w:val="21"/>
                    </w:rPr>
                    <w:t>t/a、SS≤0.0</w:t>
                  </w:r>
                  <w:r>
                    <w:rPr>
                      <w:rFonts w:hint="eastAsia"/>
                      <w:szCs w:val="21"/>
                      <w:lang w:val="en-US" w:eastAsia="zh-CN"/>
                    </w:rPr>
                    <w:t>960</w:t>
                  </w:r>
                  <w:r>
                    <w:rPr>
                      <w:szCs w:val="21"/>
                    </w:rPr>
                    <w:t>t/a、氨氮≤0.0</w:t>
                  </w:r>
                  <w:r>
                    <w:rPr>
                      <w:rFonts w:hint="eastAsia"/>
                      <w:szCs w:val="21"/>
                      <w:lang w:val="en-US" w:eastAsia="zh-CN"/>
                    </w:rPr>
                    <w:t>150</w:t>
                  </w:r>
                  <w:r>
                    <w:rPr>
                      <w:szCs w:val="21"/>
                    </w:rPr>
                    <w:t>t/a、总磷≤0.00</w:t>
                  </w:r>
                  <w:r>
                    <w:rPr>
                      <w:rFonts w:hint="eastAsia"/>
                      <w:szCs w:val="21"/>
                      <w:lang w:val="en-US" w:eastAsia="zh-CN"/>
                    </w:rPr>
                    <w:t>18</w:t>
                  </w:r>
                  <w:r>
                    <w:rPr>
                      <w:szCs w:val="21"/>
                    </w:rPr>
                    <w:t>t/a、总氮≤0.0</w:t>
                  </w:r>
                  <w:r>
                    <w:rPr>
                      <w:rFonts w:hint="eastAsia"/>
                      <w:szCs w:val="21"/>
                      <w:lang w:val="en-US" w:eastAsia="zh-CN"/>
                    </w:rPr>
                    <w:t>210</w:t>
                  </w:r>
                  <w:r>
                    <w:rPr>
                      <w:szCs w:val="21"/>
                    </w:rPr>
                    <w:t>t/a；最终排入外环境的水污染物总量为COD≤0.0</w:t>
                  </w:r>
                  <w:r>
                    <w:rPr>
                      <w:rFonts w:hint="eastAsia"/>
                      <w:szCs w:val="21"/>
                      <w:lang w:val="en-US" w:eastAsia="zh-CN"/>
                    </w:rPr>
                    <w:t>300</w:t>
                  </w:r>
                  <w:r>
                    <w:rPr>
                      <w:szCs w:val="21"/>
                    </w:rPr>
                    <w:t>t/a、SS≤0.00</w:t>
                  </w:r>
                  <w:r>
                    <w:rPr>
                      <w:rFonts w:hint="eastAsia"/>
                      <w:szCs w:val="21"/>
                      <w:lang w:val="en-US" w:eastAsia="zh-CN"/>
                    </w:rPr>
                    <w:t>60</w:t>
                  </w:r>
                  <w:r>
                    <w:rPr>
                      <w:szCs w:val="21"/>
                    </w:rPr>
                    <w:t>t/a、氨氮≤0.00</w:t>
                  </w:r>
                  <w:r>
                    <w:rPr>
                      <w:rFonts w:hint="eastAsia"/>
                      <w:szCs w:val="21"/>
                      <w:lang w:val="en-US" w:eastAsia="zh-CN"/>
                    </w:rPr>
                    <w:t>24</w:t>
                  </w:r>
                  <w:r>
                    <w:rPr>
                      <w:szCs w:val="21"/>
                    </w:rPr>
                    <w:t>t/a、总磷≤0.000</w:t>
                  </w:r>
                  <w:r>
                    <w:rPr>
                      <w:rFonts w:hint="eastAsia"/>
                      <w:szCs w:val="21"/>
                      <w:lang w:val="en-US" w:eastAsia="zh-CN"/>
                    </w:rPr>
                    <w:t>3</w:t>
                  </w:r>
                  <w:r>
                    <w:rPr>
                      <w:szCs w:val="21"/>
                    </w:rPr>
                    <w:t>t/a、总氮≤0.00</w:t>
                  </w:r>
                  <w:r>
                    <w:rPr>
                      <w:rFonts w:hint="eastAsia"/>
                      <w:szCs w:val="21"/>
                      <w:lang w:val="en-US" w:eastAsia="zh-CN"/>
                    </w:rPr>
                    <w:t>72</w:t>
                  </w:r>
                  <w:r>
                    <w:rPr>
                      <w:szCs w:val="21"/>
                    </w:rPr>
                    <w:t>t/a，纳入常州金坛区直溪鑫鑫污水处理厂总量范围内。固废：固废排放总量为零。</w:t>
                  </w:r>
                </w:p>
              </w:tc>
              <w:tc>
                <w:tcPr>
                  <w:tcW w:w="609" w:type="dxa"/>
                  <w:vMerge w:val="continue"/>
                  <w:vAlign w:val="center"/>
                </w:tcPr>
                <w:p>
                  <w:pPr>
                    <w:keepNext w:val="0"/>
                    <w:keepLines w:val="0"/>
                    <w:pageBreakBefore w:val="0"/>
                    <w:widowControl/>
                    <w:kinsoku/>
                    <w:wordWrap/>
                    <w:overflowPunct/>
                    <w:topLinePunct w:val="0"/>
                    <w:autoSpaceDE/>
                    <w:autoSpaceDN/>
                    <w:bidi w:val="0"/>
                    <w:spacing w:before="63" w:beforeLines="20" w:after="63" w:afterLines="20"/>
                    <w:ind w:left="0" w:leftChars="0" w:right="0" w:rightChars="0"/>
                    <w:jc w:val="left"/>
                    <w:textAlignment w:val="auto"/>
                    <w:rPr>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165" w:hRule="atLeast"/>
                <w:jc w:val="center"/>
              </w:trPr>
              <w:tc>
                <w:tcPr>
                  <w:tcW w:w="1559" w:type="dxa"/>
                  <w:gridSpan w:val="2"/>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r>
                    <w:rPr>
                      <w:szCs w:val="21"/>
                    </w:rPr>
                    <w:t>防护距离设置</w:t>
                  </w:r>
                </w:p>
              </w:tc>
              <w:tc>
                <w:tcPr>
                  <w:tcW w:w="6142" w:type="dxa"/>
                  <w:gridSpan w:val="3"/>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szCs w:val="21"/>
                    </w:rPr>
                  </w:pPr>
                  <w:r>
                    <w:rPr>
                      <w:rFonts w:hint="eastAsia"/>
                      <w:szCs w:val="21"/>
                    </w:rPr>
                    <w:t>以以生产车间为边界</w:t>
                  </w:r>
                  <w:r>
                    <w:rPr>
                      <w:szCs w:val="21"/>
                    </w:rPr>
                    <w:t>设置100m卫生防护距离</w:t>
                  </w:r>
                </w:p>
              </w:tc>
              <w:tc>
                <w:tcPr>
                  <w:tcW w:w="609" w:type="dxa"/>
                  <w:vMerge w:val="continue"/>
                  <w:vAlign w:val="center"/>
                </w:tcPr>
                <w:p>
                  <w:pPr>
                    <w:keepNext w:val="0"/>
                    <w:keepLines w:val="0"/>
                    <w:pageBreakBefore w:val="0"/>
                    <w:widowControl/>
                    <w:kinsoku/>
                    <w:wordWrap/>
                    <w:overflowPunct/>
                    <w:topLinePunct w:val="0"/>
                    <w:autoSpaceDE/>
                    <w:autoSpaceDN/>
                    <w:bidi w:val="0"/>
                    <w:spacing w:before="63" w:beforeLines="20" w:after="63" w:afterLines="20"/>
                    <w:ind w:left="0" w:leftChars="0" w:right="0" w:rightChars="0"/>
                    <w:jc w:val="left"/>
                    <w:textAlignment w:val="auto"/>
                    <w:rPr>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165" w:hRule="atLeast"/>
                <w:jc w:val="center"/>
              </w:trPr>
              <w:tc>
                <w:tcPr>
                  <w:tcW w:w="1559" w:type="dxa"/>
                  <w:gridSpan w:val="2"/>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r>
                    <w:rPr>
                      <w:szCs w:val="21"/>
                    </w:rPr>
                    <w:t>大气防护距离设置</w:t>
                  </w:r>
                </w:p>
              </w:tc>
              <w:tc>
                <w:tcPr>
                  <w:tcW w:w="6142" w:type="dxa"/>
                  <w:gridSpan w:val="3"/>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jc w:val="center"/>
                    <w:textAlignment w:val="auto"/>
                    <w:rPr>
                      <w:szCs w:val="21"/>
                    </w:rPr>
                  </w:pPr>
                  <w:r>
                    <w:rPr>
                      <w:szCs w:val="21"/>
                    </w:rPr>
                    <w:t>无需设置大气环境防护距离</w:t>
                  </w:r>
                </w:p>
              </w:tc>
              <w:tc>
                <w:tcPr>
                  <w:tcW w:w="609" w:type="dxa"/>
                  <w:vMerge w:val="continue"/>
                  <w:vAlign w:val="center"/>
                </w:tcPr>
                <w:p>
                  <w:pPr>
                    <w:keepNext w:val="0"/>
                    <w:keepLines w:val="0"/>
                    <w:pageBreakBefore w:val="0"/>
                    <w:widowControl/>
                    <w:kinsoku/>
                    <w:wordWrap/>
                    <w:overflowPunct/>
                    <w:topLinePunct w:val="0"/>
                    <w:autoSpaceDE/>
                    <w:autoSpaceDN/>
                    <w:bidi w:val="0"/>
                    <w:spacing w:before="63" w:beforeLines="20" w:after="63" w:afterLines="20"/>
                    <w:ind w:left="0" w:leftChars="0" w:right="0" w:rightChars="0"/>
                    <w:jc w:val="left"/>
                    <w:textAlignment w:val="auto"/>
                    <w:rPr>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165" w:hRule="atLeast"/>
                <w:jc w:val="center"/>
              </w:trPr>
              <w:tc>
                <w:tcPr>
                  <w:tcW w:w="1559" w:type="dxa"/>
                  <w:gridSpan w:val="2"/>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r>
                    <w:rPr>
                      <w:szCs w:val="21"/>
                    </w:rPr>
                    <w:t>事故应急措施</w:t>
                  </w:r>
                </w:p>
              </w:tc>
              <w:tc>
                <w:tcPr>
                  <w:tcW w:w="6142" w:type="dxa"/>
                  <w:gridSpan w:val="3"/>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textAlignment w:val="auto"/>
                    <w:rPr>
                      <w:szCs w:val="21"/>
                    </w:rPr>
                  </w:pPr>
                  <w:r>
                    <w:rPr>
                      <w:szCs w:val="21"/>
                    </w:rPr>
                    <w:t>做好仓库、生产车间的环境风险管理、风险应急物质配备，定期进行应急演练</w:t>
                  </w:r>
                </w:p>
              </w:tc>
              <w:tc>
                <w:tcPr>
                  <w:tcW w:w="609" w:type="dxa"/>
                  <w:vMerge w:val="continue"/>
                  <w:vAlign w:val="center"/>
                </w:tcPr>
                <w:p>
                  <w:pPr>
                    <w:keepNext w:val="0"/>
                    <w:keepLines w:val="0"/>
                    <w:pageBreakBefore w:val="0"/>
                    <w:widowControl/>
                    <w:kinsoku/>
                    <w:wordWrap/>
                    <w:overflowPunct/>
                    <w:topLinePunct w:val="0"/>
                    <w:autoSpaceDE/>
                    <w:autoSpaceDN/>
                    <w:bidi w:val="0"/>
                    <w:spacing w:before="63" w:beforeLines="20" w:after="63" w:afterLines="20"/>
                    <w:ind w:left="0" w:leftChars="0" w:right="0" w:rightChars="0"/>
                    <w:jc w:val="left"/>
                    <w:textAlignment w:val="auto"/>
                    <w:rPr>
                      <w:szCs w:val="21"/>
                    </w:rPr>
                  </w:pP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4" w:space="0"/>
                </w:tblBorders>
                <w:tblCellMar>
                  <w:top w:w="0" w:type="dxa"/>
                  <w:left w:w="108" w:type="dxa"/>
                  <w:bottom w:w="0" w:type="dxa"/>
                  <w:right w:w="108" w:type="dxa"/>
                </w:tblCellMar>
              </w:tblPrEx>
              <w:trPr>
                <w:trHeight w:val="165" w:hRule="atLeast"/>
                <w:jc w:val="center"/>
              </w:trPr>
              <w:tc>
                <w:tcPr>
                  <w:tcW w:w="1559" w:type="dxa"/>
                  <w:gridSpan w:val="2"/>
                  <w:vAlign w:val="center"/>
                </w:tcPr>
                <w:p>
                  <w:pPr>
                    <w:keepNext w:val="0"/>
                    <w:keepLines w:val="0"/>
                    <w:pageBreakBefore w:val="0"/>
                    <w:kinsoku/>
                    <w:wordWrap/>
                    <w:overflowPunct/>
                    <w:topLinePunct w:val="0"/>
                    <w:autoSpaceDE/>
                    <w:autoSpaceDN/>
                    <w:bidi w:val="0"/>
                    <w:spacing w:before="63" w:beforeLines="20" w:after="63" w:afterLines="20"/>
                    <w:ind w:left="0" w:leftChars="0" w:right="0" w:rightChars="0"/>
                    <w:jc w:val="center"/>
                    <w:textAlignment w:val="auto"/>
                    <w:rPr>
                      <w:szCs w:val="21"/>
                    </w:rPr>
                  </w:pPr>
                  <w:r>
                    <w:rPr>
                      <w:szCs w:val="21"/>
                    </w:rPr>
                    <w:t>环境管理与环境监测</w:t>
                  </w:r>
                </w:p>
              </w:tc>
              <w:tc>
                <w:tcPr>
                  <w:tcW w:w="6142" w:type="dxa"/>
                  <w:gridSpan w:val="3"/>
                  <w:vAlign w:val="center"/>
                </w:tcPr>
                <w:p>
                  <w:pPr>
                    <w:keepNext w:val="0"/>
                    <w:keepLines w:val="0"/>
                    <w:pageBreakBefore w:val="0"/>
                    <w:kinsoku/>
                    <w:wordWrap/>
                    <w:overflowPunct/>
                    <w:topLinePunct w:val="0"/>
                    <w:autoSpaceDE/>
                    <w:autoSpaceDN/>
                    <w:bidi w:val="0"/>
                    <w:adjustRightInd w:val="0"/>
                    <w:snapToGrid w:val="0"/>
                    <w:spacing w:before="63" w:beforeLines="20" w:after="63" w:afterLines="20"/>
                    <w:ind w:left="0" w:leftChars="0" w:right="0" w:rightChars="0"/>
                    <w:textAlignment w:val="auto"/>
                    <w:rPr>
                      <w:szCs w:val="21"/>
                    </w:rPr>
                  </w:pPr>
                  <w:r>
                    <w:rPr>
                      <w:szCs w:val="21"/>
                    </w:rPr>
                    <w:t>设立专门的环保机构并对全公司日常环境行为进行有效管理，执行环境监测计划，做好危废管理台账记录</w:t>
                  </w:r>
                </w:p>
              </w:tc>
              <w:tc>
                <w:tcPr>
                  <w:tcW w:w="609" w:type="dxa"/>
                  <w:vMerge w:val="continue"/>
                  <w:vAlign w:val="center"/>
                </w:tcPr>
                <w:p>
                  <w:pPr>
                    <w:keepNext w:val="0"/>
                    <w:keepLines w:val="0"/>
                    <w:pageBreakBefore w:val="0"/>
                    <w:widowControl/>
                    <w:kinsoku/>
                    <w:wordWrap/>
                    <w:overflowPunct/>
                    <w:topLinePunct w:val="0"/>
                    <w:autoSpaceDE/>
                    <w:autoSpaceDN/>
                    <w:bidi w:val="0"/>
                    <w:spacing w:before="63" w:beforeLines="20" w:after="63" w:afterLines="20"/>
                    <w:ind w:left="0" w:leftChars="0" w:right="0" w:rightChars="0"/>
                    <w:jc w:val="left"/>
                    <w:textAlignment w:val="auto"/>
                    <w:rPr>
                      <w:szCs w:val="21"/>
                    </w:rPr>
                  </w:pPr>
                </w:p>
              </w:tc>
            </w:tr>
          </w:tbl>
          <w:p>
            <w:pPr>
              <w:spacing w:line="360" w:lineRule="auto"/>
              <w:ind w:firstLine="480" w:firstLineChars="200"/>
              <w:rPr>
                <w:b/>
                <w:color w:val="000000" w:themeColor="text1"/>
                <w:sz w:val="24"/>
                <w14:textFill>
                  <w14:solidFill>
                    <w14:schemeClr w14:val="tx1"/>
                  </w14:solidFill>
                </w14:textFill>
              </w:rPr>
            </w:pPr>
            <w:r>
              <w:rPr>
                <w:b/>
                <w:color w:val="000000" w:themeColor="text1"/>
                <w:sz w:val="24"/>
                <w14:textFill>
                  <w14:solidFill>
                    <w14:schemeClr w14:val="tx1"/>
                  </w14:solidFill>
                </w14:textFill>
              </w:rPr>
              <w:t>综上所述，本项目的建设符合国家产业政策，选址与当地规划相符，各项污染物能够实现达标排放，对环境的影响</w:t>
            </w:r>
            <w:r>
              <w:rPr>
                <w:rFonts w:hint="eastAsia"/>
                <w:b/>
                <w:color w:val="000000" w:themeColor="text1"/>
                <w:sz w:val="24"/>
                <w14:textFill>
                  <w14:solidFill>
                    <w14:schemeClr w14:val="tx1"/>
                  </w14:solidFill>
                </w14:textFill>
              </w:rPr>
              <w:t>可以接受</w:t>
            </w:r>
            <w:r>
              <w:rPr>
                <w:b/>
                <w:color w:val="000000" w:themeColor="text1"/>
                <w:sz w:val="24"/>
                <w14:textFill>
                  <w14:solidFill>
                    <w14:schemeClr w14:val="tx1"/>
                  </w14:solidFill>
                </w14:textFill>
              </w:rPr>
              <w:t>，不会造成区域环境功能的改变，因此从环境保护的角度来讲，本评价认为该项目在坚持</w:t>
            </w:r>
            <w:r>
              <w:rPr>
                <w:rFonts w:hint="eastAsia"/>
                <w:b/>
                <w:color w:val="000000" w:themeColor="text1"/>
                <w:sz w:val="24"/>
                <w:lang w:eastAsia="zh-CN"/>
                <w14:textFill>
                  <w14:solidFill>
                    <w14:schemeClr w14:val="tx1"/>
                  </w14:solidFill>
                </w14:textFill>
              </w:rPr>
              <w:t>“</w:t>
            </w:r>
            <w:r>
              <w:rPr>
                <w:b/>
                <w:color w:val="000000" w:themeColor="text1"/>
                <w:sz w:val="24"/>
                <w14:textFill>
                  <w14:solidFill>
                    <w14:schemeClr w14:val="tx1"/>
                  </w14:solidFill>
                </w14:textFill>
              </w:rPr>
              <w:t>三同时</w:t>
            </w:r>
            <w:r>
              <w:rPr>
                <w:rFonts w:hint="eastAsia"/>
                <w:b/>
                <w:color w:val="000000" w:themeColor="text1"/>
                <w:sz w:val="24"/>
                <w:lang w:eastAsia="zh-CN"/>
                <w14:textFill>
                  <w14:solidFill>
                    <w14:schemeClr w14:val="tx1"/>
                  </w14:solidFill>
                </w14:textFill>
              </w:rPr>
              <w:t>”</w:t>
            </w:r>
            <w:r>
              <w:rPr>
                <w:b/>
                <w:color w:val="000000" w:themeColor="text1"/>
                <w:sz w:val="24"/>
                <w14:textFill>
                  <w14:solidFill>
                    <w14:schemeClr w14:val="tx1"/>
                  </w14:solidFill>
                </w14:textFill>
              </w:rPr>
              <w:t>原则并采取一定的环保措施后，在拟建地建设是可行的。</w:t>
            </w:r>
          </w:p>
          <w:p>
            <w:pPr>
              <w:spacing w:line="360" w:lineRule="auto"/>
              <w:ind w:firstLine="470" w:firstLineChars="196"/>
              <w:rPr>
                <w:b/>
                <w:color w:val="000000" w:themeColor="text1"/>
                <w:sz w:val="24"/>
                <w14:textFill>
                  <w14:solidFill>
                    <w14:schemeClr w14:val="tx1"/>
                  </w14:solidFill>
                </w14:textFill>
              </w:rPr>
            </w:pPr>
            <w:r>
              <w:rPr>
                <w:b/>
                <w:color w:val="000000" w:themeColor="text1"/>
                <w:sz w:val="24"/>
                <w14:textFill>
                  <w14:solidFill>
                    <w14:schemeClr w14:val="tx1"/>
                  </w14:solidFill>
                </w14:textFill>
              </w:rPr>
              <w:t>二、建议与要求</w:t>
            </w:r>
          </w:p>
          <w:p>
            <w:pPr>
              <w:spacing w:line="360" w:lineRule="auto"/>
              <w:ind w:firstLine="480"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1</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 xml:space="preserve"> 落实环保设施的建设，确保污染物达标排放</w:t>
            </w:r>
            <w:r>
              <w:rPr>
                <w:rFonts w:hint="eastAsia"/>
                <w:color w:val="000000" w:themeColor="text1"/>
                <w:sz w:val="24"/>
                <w:szCs w:val="24"/>
                <w14:textFill>
                  <w14:solidFill>
                    <w14:schemeClr w14:val="tx1"/>
                  </w14:solidFill>
                </w14:textFill>
              </w:rPr>
              <w:t>。</w:t>
            </w:r>
          </w:p>
          <w:p>
            <w:pPr>
              <w:spacing w:line="360" w:lineRule="auto"/>
              <w:ind w:firstLine="480"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2</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 xml:space="preserve"> 企业应当实行环保目标厂长经理负责制，项目法人应对项目环保工作总负责，把企业的环境保护工作列入生产管理中去，并且在生产中加以检查和落实，确保上述环保措施的真正落实执行，保证污染物达标排放。</w:t>
            </w:r>
          </w:p>
          <w:p>
            <w:pPr>
              <w:spacing w:line="360" w:lineRule="auto"/>
              <w:ind w:firstLine="480"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3</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 xml:space="preserve"> 加强生产管理，选用较先进的生产设备，减少污染源的产生量、同时对设备定期检修，以防产生异常噪声对周围环境产生影响。</w:t>
            </w:r>
          </w:p>
          <w:p>
            <w:pPr>
              <w:spacing w:line="360" w:lineRule="auto"/>
              <w:ind w:firstLine="480" w:firstLineChars="2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4</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 xml:space="preserve"> 加强企业管理的同时，应注意对职工环境保护的宣传教育工作，提高全体员工的环保意识，做到环境保护，人人有责。</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978" w:hRule="atLeast"/>
          <w:jc w:val="center"/>
        </w:trPr>
        <w:tc>
          <w:tcPr>
            <w:tcW w:w="8533" w:type="dxa"/>
            <w:gridSpan w:val="2"/>
            <w:tcBorders>
              <w:top w:val="single" w:color="auto" w:sz="4" w:space="0"/>
              <w:left w:val="single" w:color="auto" w:sz="12" w:space="0"/>
              <w:bottom w:val="single" w:color="auto" w:sz="4" w:space="0"/>
              <w:right w:val="single" w:color="auto" w:sz="12" w:space="0"/>
            </w:tcBorders>
          </w:tcPr>
          <w:p>
            <w:pPr>
              <w:ind w:firstLine="240" w:firstLineChars="100"/>
              <w:rPr>
                <w:color w:val="000000" w:themeColor="text1"/>
                <w:sz w:val="24"/>
                <w14:textFill>
                  <w14:solidFill>
                    <w14:schemeClr w14:val="tx1"/>
                  </w14:solidFill>
                </w14:textFill>
              </w:rPr>
            </w:pPr>
            <w:r>
              <w:rPr>
                <w:color w:val="000000" w:themeColor="text1"/>
                <w:sz w:val="24"/>
                <w14:textFill>
                  <w14:solidFill>
                    <w14:schemeClr w14:val="tx1"/>
                  </w14:solidFill>
                </w14:textFill>
              </w:rPr>
              <w:t>预审意见：</w:t>
            </w: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r>
              <w:rPr>
                <w:color w:val="000000" w:themeColor="text1"/>
                <w:sz w:val="24"/>
                <w14:textFill>
                  <w14:solidFill>
                    <w14:schemeClr w14:val="tx1"/>
                  </w14:solidFill>
                </w14:textFill>
              </w:rPr>
              <w:t>公  章</w:t>
            </w: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r>
              <w:rPr>
                <w:color w:val="000000" w:themeColor="text1"/>
                <w:sz w:val="24"/>
                <w14:textFill>
                  <w14:solidFill>
                    <w14:schemeClr w14:val="tx1"/>
                  </w14:solidFill>
                </w14:textFill>
              </w:rPr>
              <w:t>经办：          签发：                             年   月   日</w:t>
            </w:r>
          </w:p>
          <w:p>
            <w:pPr>
              <w:rPr>
                <w:color w:val="000000" w:themeColor="text1"/>
                <w:sz w:val="24"/>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180" w:hRule="atLeast"/>
          <w:jc w:val="center"/>
        </w:trPr>
        <w:tc>
          <w:tcPr>
            <w:tcW w:w="8533" w:type="dxa"/>
            <w:gridSpan w:val="2"/>
            <w:tcBorders>
              <w:top w:val="single" w:color="auto" w:sz="4" w:space="0"/>
              <w:left w:val="single" w:color="auto" w:sz="12" w:space="0"/>
              <w:bottom w:val="single" w:color="auto" w:sz="12" w:space="0"/>
              <w:right w:val="single" w:color="auto" w:sz="12" w:space="0"/>
            </w:tcBorders>
          </w:tcPr>
          <w:p>
            <w:pPr>
              <w:ind w:firstLine="240" w:firstLineChars="100"/>
              <w:rPr>
                <w:color w:val="000000" w:themeColor="text1"/>
                <w:sz w:val="24"/>
                <w14:textFill>
                  <w14:solidFill>
                    <w14:schemeClr w14:val="tx1"/>
                  </w14:solidFill>
                </w14:textFill>
              </w:rPr>
            </w:pPr>
            <w:r>
              <w:rPr>
                <w:color w:val="000000" w:themeColor="text1"/>
                <w:sz w:val="24"/>
                <w14:textFill>
                  <w14:solidFill>
                    <w14:schemeClr w14:val="tx1"/>
                  </w14:solidFill>
                </w14:textFill>
              </w:rPr>
              <w:t>下一级环境保护行政主管部门审查意见：</w:t>
            </w: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公  章</w:t>
            </w: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经办：          签发：                             年   月   日</w:t>
            </w: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830" w:hRule="atLeast"/>
          <w:jc w:val="center"/>
        </w:trPr>
        <w:tc>
          <w:tcPr>
            <w:tcW w:w="8533" w:type="dxa"/>
            <w:gridSpan w:val="2"/>
            <w:tcBorders>
              <w:top w:val="single" w:color="auto" w:sz="12" w:space="0"/>
              <w:left w:val="single" w:color="auto" w:sz="12" w:space="0"/>
              <w:bottom w:val="single" w:color="auto" w:sz="12" w:space="0"/>
              <w:right w:val="single" w:color="auto" w:sz="12" w:space="0"/>
            </w:tcBorders>
          </w:tcPr>
          <w:p>
            <w:pP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审批意见：</w:t>
            </w: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r>
              <w:rPr>
                <w:color w:val="000000" w:themeColor="text1"/>
                <w:sz w:val="24"/>
                <w14:textFill>
                  <w14:solidFill>
                    <w14:schemeClr w14:val="tx1"/>
                  </w14:solidFill>
                </w14:textFill>
              </w:rPr>
              <w:t xml:space="preserve">                                                   公  章</w:t>
            </w: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p>
          <w:p>
            <w:pPr>
              <w:rPr>
                <w:color w:val="000000" w:themeColor="text1"/>
                <w:sz w:val="24"/>
                <w14:textFill>
                  <w14:solidFill>
                    <w14:schemeClr w14:val="tx1"/>
                  </w14:solidFill>
                </w14:textFill>
              </w:rPr>
            </w:pPr>
            <w:r>
              <w:rPr>
                <w:color w:val="000000" w:themeColor="text1"/>
                <w:sz w:val="24"/>
                <w14:textFill>
                  <w14:solidFill>
                    <w14:schemeClr w14:val="tx1"/>
                  </w14:solidFill>
                </w14:textFill>
              </w:rPr>
              <w:t>经办：             签发：                        年   月   日</w:t>
            </w:r>
          </w:p>
          <w:p>
            <w:pPr>
              <w:rPr>
                <w:color w:val="000000" w:themeColor="text1"/>
                <w:sz w:val="24"/>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3519" w:hRule="atLeast"/>
          <w:jc w:val="center"/>
        </w:trPr>
        <w:tc>
          <w:tcPr>
            <w:tcW w:w="8533" w:type="dxa"/>
            <w:gridSpan w:val="2"/>
            <w:tcBorders>
              <w:top w:val="single" w:color="auto" w:sz="12" w:space="0"/>
              <w:left w:val="single" w:color="auto" w:sz="12" w:space="0"/>
              <w:bottom w:val="single" w:color="auto" w:sz="12" w:space="0"/>
              <w:right w:val="single" w:color="auto" w:sz="12" w:space="0"/>
            </w:tcBorders>
          </w:tcPr>
          <w:p>
            <w:pPr>
              <w:jc w:val="center"/>
              <w:rPr>
                <w:b/>
                <w:color w:val="000000" w:themeColor="text1"/>
                <w:sz w:val="24"/>
                <w:szCs w:val="24"/>
                <w14:textFill>
                  <w14:solidFill>
                    <w14:schemeClr w14:val="tx1"/>
                  </w14:solidFill>
                </w14:textFill>
              </w:rPr>
            </w:pPr>
            <w:r>
              <w:rPr>
                <w:b/>
                <w:color w:val="000000" w:themeColor="text1"/>
                <w:sz w:val="24"/>
                <w:szCs w:val="24"/>
                <w14:textFill>
                  <w14:solidFill>
                    <w14:schemeClr w14:val="tx1"/>
                  </w14:solidFill>
                </w14:textFill>
              </w:rPr>
              <w:t>注       释</w:t>
            </w:r>
          </w:p>
          <w:p>
            <w:pPr>
              <w:numPr>
                <w:ilvl w:val="0"/>
                <w:numId w:val="10"/>
              </w:numPr>
              <w:adjustRightInd w:val="0"/>
              <w:snapToGrid w:val="0"/>
              <w:spacing w:line="360" w:lineRule="auto"/>
              <w:ind w:left="0"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本报告表应附以下附图</w:t>
            </w:r>
            <w:r>
              <w:rPr>
                <w:rFonts w:hint="eastAsia"/>
                <w:color w:val="000000" w:themeColor="text1"/>
                <w:sz w:val="24"/>
                <w:szCs w:val="24"/>
                <w14:textFill>
                  <w14:solidFill>
                    <w14:schemeClr w14:val="tx1"/>
                  </w14:solidFill>
                </w14:textFill>
              </w:rPr>
              <w:t>、</w:t>
            </w:r>
            <w:r>
              <w:rPr>
                <w:color w:val="000000" w:themeColor="text1"/>
                <w:sz w:val="24"/>
                <w:szCs w:val="24"/>
                <w14:textFill>
                  <w14:solidFill>
                    <w14:schemeClr w14:val="tx1"/>
                  </w14:solidFill>
                </w14:textFill>
              </w:rPr>
              <w:t>附件、</w:t>
            </w:r>
            <w:r>
              <w:rPr>
                <w:rFonts w:hint="eastAsia"/>
                <w:color w:val="000000" w:themeColor="text1"/>
                <w:sz w:val="24"/>
                <w:szCs w:val="24"/>
                <w14:textFill>
                  <w14:solidFill>
                    <w14:schemeClr w14:val="tx1"/>
                  </w14:solidFill>
                </w14:textFill>
              </w:rPr>
              <w:t>附</w:t>
            </w:r>
            <w:r>
              <w:rPr>
                <w:color w:val="000000" w:themeColor="text1"/>
                <w:sz w:val="24"/>
                <w:szCs w:val="24"/>
                <w14:textFill>
                  <w14:solidFill>
                    <w14:schemeClr w14:val="tx1"/>
                  </w14:solidFill>
                </w14:textFill>
              </w:rPr>
              <w:t>表：</w:t>
            </w:r>
          </w:p>
          <w:p>
            <w:pPr>
              <w:adjustRightInd w:val="0"/>
              <w:snapToGrid w:val="0"/>
              <w:spacing w:line="360" w:lineRule="auto"/>
              <w:ind w:firstLine="720" w:firstLineChars="300"/>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附图</w:t>
            </w:r>
            <w:r>
              <w:rPr>
                <w:b/>
                <w:color w:val="000000" w:themeColor="text1"/>
                <w:sz w:val="24"/>
                <w:szCs w:val="24"/>
                <w14:textFill>
                  <w14:solidFill>
                    <w14:schemeClr w14:val="tx1"/>
                  </w14:solidFill>
                </w14:textFill>
              </w:rPr>
              <w:t>：</w:t>
            </w:r>
          </w:p>
          <w:p>
            <w:pPr>
              <w:adjustRightInd w:val="0"/>
              <w:snapToGrid w:val="0"/>
              <w:spacing w:line="360" w:lineRule="auto"/>
              <w:ind w:firstLine="720" w:firstLineChars="3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附图</w:t>
            </w:r>
            <w:r>
              <w:rPr>
                <w:rFonts w:hint="eastAsia"/>
                <w:color w:val="000000" w:themeColor="text1"/>
                <w:sz w:val="24"/>
                <w:szCs w:val="24"/>
                <w14:textFill>
                  <w14:solidFill>
                    <w14:schemeClr w14:val="tx1"/>
                  </w14:solidFill>
                </w14:textFill>
              </w:rPr>
              <w:t>一</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本</w:t>
            </w:r>
            <w:r>
              <w:rPr>
                <w:color w:val="000000" w:themeColor="text1"/>
                <w:sz w:val="24"/>
                <w:szCs w:val="24"/>
                <w14:textFill>
                  <w14:solidFill>
                    <w14:schemeClr w14:val="tx1"/>
                  </w14:solidFill>
                </w14:textFill>
              </w:rPr>
              <w:t>项目地理位置</w:t>
            </w:r>
            <w:r>
              <w:rPr>
                <w:rFonts w:hint="eastAsia"/>
                <w:color w:val="000000" w:themeColor="text1"/>
                <w:sz w:val="24"/>
                <w:szCs w:val="24"/>
                <w14:textFill>
                  <w14:solidFill>
                    <w14:schemeClr w14:val="tx1"/>
                  </w14:solidFill>
                </w14:textFill>
              </w:rPr>
              <w:t>示意</w:t>
            </w:r>
            <w:r>
              <w:rPr>
                <w:color w:val="000000" w:themeColor="text1"/>
                <w:sz w:val="24"/>
                <w:szCs w:val="24"/>
                <w14:textFill>
                  <w14:solidFill>
                    <w14:schemeClr w14:val="tx1"/>
                  </w14:solidFill>
                </w14:textFill>
              </w:rPr>
              <w:t>图</w:t>
            </w:r>
          </w:p>
          <w:p>
            <w:pPr>
              <w:adjustRightInd w:val="0"/>
              <w:snapToGrid w:val="0"/>
              <w:spacing w:line="360" w:lineRule="auto"/>
              <w:ind w:firstLine="720" w:firstLineChars="3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附图</w:t>
            </w:r>
            <w:r>
              <w:rPr>
                <w:rFonts w:hint="eastAsia"/>
                <w:color w:val="000000" w:themeColor="text1"/>
                <w:sz w:val="24"/>
                <w:szCs w:val="24"/>
                <w14:textFill>
                  <w14:solidFill>
                    <w14:schemeClr w14:val="tx1"/>
                  </w14:solidFill>
                </w14:textFill>
              </w:rPr>
              <w:t>二</w:t>
            </w:r>
            <w:r>
              <w:rPr>
                <w:color w:val="000000" w:themeColor="text1"/>
                <w:sz w:val="24"/>
                <w:szCs w:val="24"/>
                <w14:textFill>
                  <w14:solidFill>
                    <w14:schemeClr w14:val="tx1"/>
                  </w14:solidFill>
                </w14:textFill>
              </w:rPr>
              <w:t xml:space="preserve">  </w:t>
            </w:r>
            <w:r>
              <w:rPr>
                <w:rFonts w:hint="eastAsia"/>
                <w:color w:val="000000" w:themeColor="text1"/>
                <w:sz w:val="24"/>
                <w:szCs w:val="24"/>
                <w14:textFill>
                  <w14:solidFill>
                    <w14:schemeClr w14:val="tx1"/>
                  </w14:solidFill>
                </w14:textFill>
              </w:rPr>
              <w:t>本项目周围环境概况示意图</w:t>
            </w:r>
          </w:p>
          <w:p>
            <w:pPr>
              <w:adjustRightInd w:val="0"/>
              <w:snapToGrid w:val="0"/>
              <w:spacing w:line="360" w:lineRule="auto"/>
              <w:ind w:firstLine="720" w:firstLineChars="3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附图三  本项目生产车间平面布置图</w:t>
            </w:r>
          </w:p>
          <w:p>
            <w:pPr>
              <w:spacing w:line="360" w:lineRule="auto"/>
              <w:ind w:firstLine="720" w:firstLineChars="300"/>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附件</w:t>
            </w:r>
            <w:r>
              <w:rPr>
                <w:b/>
                <w:color w:val="000000" w:themeColor="text1"/>
                <w:sz w:val="24"/>
                <w:szCs w:val="24"/>
                <w14:textFill>
                  <w14:solidFill>
                    <w14:schemeClr w14:val="tx1"/>
                  </w14:solidFill>
                </w14:textFill>
              </w:rPr>
              <w:t>：</w:t>
            </w:r>
          </w:p>
          <w:p>
            <w:pPr>
              <w:spacing w:line="360" w:lineRule="auto"/>
              <w:ind w:firstLine="720" w:firstLineChars="3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附件一  备案</w:t>
            </w:r>
          </w:p>
          <w:p>
            <w:pPr>
              <w:spacing w:line="360" w:lineRule="auto"/>
              <w:ind w:firstLine="720" w:firstLineChars="3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附件二  环评合同</w:t>
            </w:r>
          </w:p>
          <w:p>
            <w:pPr>
              <w:spacing w:line="360" w:lineRule="auto"/>
              <w:ind w:firstLine="720" w:firstLineChars="300"/>
              <w:rPr>
                <w:rFonts w:hint="default" w:eastAsia="宋体"/>
                <w:color w:val="000000" w:themeColor="text1"/>
                <w:sz w:val="24"/>
                <w:szCs w:val="24"/>
                <w:lang w:val="en-US" w:eastAsia="zh-CN"/>
                <w14:textFill>
                  <w14:solidFill>
                    <w14:schemeClr w14:val="tx1"/>
                  </w14:solidFill>
                </w14:textFill>
              </w:rPr>
            </w:pPr>
            <w:r>
              <w:rPr>
                <w:rFonts w:hint="eastAsia"/>
                <w:color w:val="000000" w:themeColor="text1"/>
                <w:sz w:val="24"/>
                <w:szCs w:val="24"/>
                <w14:textFill>
                  <w14:solidFill>
                    <w14:schemeClr w14:val="tx1"/>
                  </w14:solidFill>
                </w14:textFill>
              </w:rPr>
              <w:t>附件三  检测报告</w:t>
            </w:r>
          </w:p>
          <w:p>
            <w:pPr>
              <w:spacing w:line="360" w:lineRule="auto"/>
              <w:ind w:firstLine="720" w:firstLineChars="3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附件四  营业执照</w:t>
            </w:r>
          </w:p>
          <w:p>
            <w:pPr>
              <w:spacing w:line="360" w:lineRule="auto"/>
              <w:ind w:firstLine="720" w:firstLineChars="3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附件五  法人身份证正</w:t>
            </w:r>
          </w:p>
          <w:p>
            <w:pPr>
              <w:spacing w:line="360" w:lineRule="auto"/>
              <w:ind w:firstLine="720" w:firstLineChars="3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附件六  土地证</w:t>
            </w:r>
          </w:p>
          <w:p>
            <w:pPr>
              <w:spacing w:line="360" w:lineRule="auto"/>
              <w:ind w:firstLine="720" w:firstLineChars="3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附件七  租赁协议</w:t>
            </w:r>
          </w:p>
          <w:p>
            <w:pPr>
              <w:spacing w:line="360" w:lineRule="auto"/>
              <w:ind w:firstLine="720" w:firstLineChars="3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附件八  检测报告公示截图</w:t>
            </w:r>
          </w:p>
          <w:p>
            <w:pPr>
              <w:spacing w:line="360" w:lineRule="auto"/>
              <w:ind w:firstLine="720" w:firstLineChars="3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附件九  环评报告公示截图</w:t>
            </w:r>
          </w:p>
          <w:p>
            <w:pPr>
              <w:spacing w:line="360" w:lineRule="auto"/>
              <w:ind w:firstLine="720" w:firstLineChars="3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附件十  建设单位承诺书</w:t>
            </w:r>
          </w:p>
          <w:p>
            <w:pPr>
              <w:spacing w:line="360" w:lineRule="auto"/>
              <w:ind w:firstLine="720" w:firstLineChars="300"/>
              <w:rPr>
                <w:bCs/>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附件十一</w:t>
            </w:r>
            <w:r>
              <w:rPr>
                <w:color w:val="000000" w:themeColor="text1"/>
                <w:sz w:val="24"/>
                <w:szCs w:val="24"/>
                <w14:textFill>
                  <w14:solidFill>
                    <w14:schemeClr w14:val="tx1"/>
                  </w14:solidFill>
                </w14:textFill>
              </w:rPr>
              <w:t xml:space="preserve"> </w:t>
            </w:r>
            <w:r>
              <w:rPr>
                <w:rFonts w:hint="eastAsia"/>
                <w:bCs/>
                <w:color w:val="000000" w:themeColor="text1"/>
                <w:sz w:val="24"/>
                <w:szCs w:val="24"/>
                <w14:textFill>
                  <w14:solidFill>
                    <w14:schemeClr w14:val="tx1"/>
                  </w14:solidFill>
                </w14:textFill>
              </w:rPr>
              <w:t>建设单位环评单位承诺函</w:t>
            </w:r>
          </w:p>
          <w:p>
            <w:pPr>
              <w:spacing w:line="360" w:lineRule="auto"/>
              <w:ind w:firstLine="720" w:firstLineChars="3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附件十二 声明确认单</w:t>
            </w:r>
          </w:p>
          <w:p>
            <w:pPr>
              <w:spacing w:line="360" w:lineRule="auto"/>
              <w:ind w:firstLine="720" w:firstLineChars="3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附件十三 危废承诺书</w:t>
            </w:r>
          </w:p>
          <w:p>
            <w:pPr>
              <w:spacing w:line="360" w:lineRule="auto"/>
              <w:ind w:firstLine="720" w:firstLineChars="300"/>
              <w:rPr>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附件十四 委托书</w:t>
            </w:r>
          </w:p>
          <w:p>
            <w:pPr>
              <w:spacing w:line="360" w:lineRule="auto"/>
              <w:ind w:firstLine="720" w:firstLineChars="300"/>
              <w:rPr>
                <w:bCs/>
                <w:color w:val="000000" w:themeColor="text1"/>
                <w:sz w:val="24"/>
                <w:szCs w:val="24"/>
                <w14:textFill>
                  <w14:solidFill>
                    <w14:schemeClr w14:val="tx1"/>
                  </w14:solidFill>
                </w14:textFill>
              </w:rPr>
            </w:pPr>
            <w:r>
              <w:rPr>
                <w:rFonts w:hint="eastAsia"/>
                <w:bCs/>
                <w:color w:val="000000" w:themeColor="text1"/>
                <w:sz w:val="24"/>
                <w:szCs w:val="24"/>
                <w14:textFill>
                  <w14:solidFill>
                    <w14:schemeClr w14:val="tx1"/>
                  </w14:solidFill>
                </w14:textFill>
              </w:rPr>
              <w:t>附件十五 房东承诺</w:t>
            </w:r>
          </w:p>
          <w:p>
            <w:pPr>
              <w:spacing w:line="360" w:lineRule="auto"/>
              <w:ind w:firstLine="720" w:firstLineChars="300"/>
              <w:rPr>
                <w:b/>
                <w:color w:val="000000" w:themeColor="text1"/>
                <w:sz w:val="24"/>
                <w:szCs w:val="24"/>
                <w14:textFill>
                  <w14:solidFill>
                    <w14:schemeClr w14:val="tx1"/>
                  </w14:solidFill>
                </w14:textFill>
              </w:rPr>
            </w:pPr>
            <w:r>
              <w:rPr>
                <w:rFonts w:hint="eastAsia"/>
                <w:b/>
                <w:color w:val="000000" w:themeColor="text1"/>
                <w:sz w:val="24"/>
                <w:szCs w:val="24"/>
                <w14:textFill>
                  <w14:solidFill>
                    <w14:schemeClr w14:val="tx1"/>
                  </w14:solidFill>
                </w14:textFill>
              </w:rPr>
              <w:t>附表</w:t>
            </w:r>
            <w:r>
              <w:rPr>
                <w:b/>
                <w:color w:val="000000" w:themeColor="text1"/>
                <w:sz w:val="24"/>
                <w:szCs w:val="24"/>
                <w14:textFill>
                  <w14:solidFill>
                    <w14:schemeClr w14:val="tx1"/>
                  </w14:solidFill>
                </w14:textFill>
              </w:rPr>
              <w:t>：</w:t>
            </w:r>
          </w:p>
          <w:p>
            <w:pPr>
              <w:spacing w:line="360" w:lineRule="auto"/>
              <w:ind w:firstLine="720" w:firstLineChars="3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附表1 建设项目大气环境影响评价自查表</w:t>
            </w:r>
          </w:p>
          <w:p>
            <w:pPr>
              <w:spacing w:line="360" w:lineRule="auto"/>
              <w:ind w:firstLine="720" w:firstLineChars="3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附表2 建设</w:t>
            </w:r>
            <w:r>
              <w:rPr>
                <w:color w:val="000000" w:themeColor="text1"/>
                <w:sz w:val="24"/>
                <w:szCs w:val="24"/>
                <w14:textFill>
                  <w14:solidFill>
                    <w14:schemeClr w14:val="tx1"/>
                  </w14:solidFill>
                </w14:textFill>
              </w:rPr>
              <w:t>项目</w:t>
            </w:r>
            <w:r>
              <w:rPr>
                <w:rFonts w:hint="eastAsia"/>
                <w:color w:val="000000" w:themeColor="text1"/>
                <w:sz w:val="24"/>
                <w:szCs w:val="24"/>
                <w14:textFill>
                  <w14:solidFill>
                    <w14:schemeClr w14:val="tx1"/>
                  </w14:solidFill>
                </w14:textFill>
              </w:rPr>
              <w:t>地表水环境影响评价自查表</w:t>
            </w:r>
          </w:p>
          <w:p>
            <w:pPr>
              <w:spacing w:line="360" w:lineRule="auto"/>
              <w:ind w:firstLine="720" w:firstLineChars="300"/>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附表3建设</w:t>
            </w:r>
            <w:r>
              <w:rPr>
                <w:color w:val="000000" w:themeColor="text1"/>
                <w:sz w:val="24"/>
                <w:szCs w:val="24"/>
                <w14:textFill>
                  <w14:solidFill>
                    <w14:schemeClr w14:val="tx1"/>
                  </w14:solidFill>
                </w14:textFill>
              </w:rPr>
              <w:t>项目</w:t>
            </w:r>
            <w:r>
              <w:rPr>
                <w:rFonts w:hint="eastAsia"/>
                <w:color w:val="000000" w:themeColor="text1"/>
                <w:sz w:val="24"/>
                <w:szCs w:val="24"/>
                <w14:textFill>
                  <w14:solidFill>
                    <w14:schemeClr w14:val="tx1"/>
                  </w14:solidFill>
                </w14:textFill>
              </w:rPr>
              <w:t>基础信息表</w:t>
            </w:r>
          </w:p>
          <w:p>
            <w:pPr>
              <w:spacing w:line="360" w:lineRule="auto"/>
              <w:ind w:firstLine="720" w:firstLineChars="3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如果本报告表不能说明项目产生的污染及对环境造成的影响，应进行专项评价。根据建设项目的特点和当地环境特征，应选下列</w:t>
            </w:r>
            <w:r>
              <w:rPr>
                <w:rFonts w:hint="eastAsia"/>
                <w:color w:val="000000" w:themeColor="text1"/>
                <w:sz w:val="24"/>
                <w:szCs w:val="24"/>
                <w14:textFill>
                  <w14:solidFill>
                    <w14:schemeClr w14:val="tx1"/>
                  </w14:solidFill>
                </w14:textFill>
              </w:rPr>
              <w:t>1~</w:t>
            </w:r>
            <w:r>
              <w:rPr>
                <w:color w:val="000000" w:themeColor="text1"/>
                <w:sz w:val="24"/>
                <w:szCs w:val="24"/>
                <w14:textFill>
                  <w14:solidFill>
                    <w14:schemeClr w14:val="tx1"/>
                  </w14:solidFill>
                </w14:textFill>
              </w:rPr>
              <w:t>2项进行专项评价。</w:t>
            </w:r>
          </w:p>
          <w:p>
            <w:pPr>
              <w:numPr>
                <w:ilvl w:val="0"/>
                <w:numId w:val="11"/>
              </w:numPr>
              <w:spacing w:line="360" w:lineRule="auto"/>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大气环境影响专项评价</w:t>
            </w:r>
          </w:p>
          <w:p>
            <w:pPr>
              <w:numPr>
                <w:ilvl w:val="0"/>
                <w:numId w:val="11"/>
              </w:numPr>
              <w:spacing w:line="360" w:lineRule="auto"/>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水环境影响专项评价</w:t>
            </w:r>
          </w:p>
          <w:p>
            <w:pPr>
              <w:numPr>
                <w:ilvl w:val="0"/>
                <w:numId w:val="11"/>
              </w:numPr>
              <w:spacing w:line="360" w:lineRule="auto"/>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生态环境影响专项评价</w:t>
            </w:r>
          </w:p>
          <w:p>
            <w:pPr>
              <w:numPr>
                <w:ilvl w:val="0"/>
                <w:numId w:val="11"/>
              </w:numPr>
              <w:spacing w:line="360" w:lineRule="auto"/>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声影响专项评价</w:t>
            </w:r>
          </w:p>
          <w:p>
            <w:pPr>
              <w:numPr>
                <w:ilvl w:val="0"/>
                <w:numId w:val="11"/>
              </w:numPr>
              <w:spacing w:line="360" w:lineRule="auto"/>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固体废弃物影响专项评价</w:t>
            </w:r>
          </w:p>
          <w:p>
            <w:pPr>
              <w:spacing w:line="360" w:lineRule="auto"/>
              <w:ind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以上专项评价未包括的可另列专项，专项评价按照《环境影响评价技术导则》中的要求进行。</w:t>
            </w:r>
          </w:p>
          <w:p>
            <w:pPr>
              <w:rPr>
                <w:color w:val="000000" w:themeColor="text1"/>
                <w:sz w:val="24"/>
                <w14:textFill>
                  <w14:solidFill>
                    <w14:schemeClr w14:val="tx1"/>
                  </w14:solidFill>
                </w14:textFill>
              </w:rPr>
            </w:pPr>
          </w:p>
        </w:tc>
      </w:tr>
    </w:tbl>
    <w:p/>
    <w:sectPr>
      <w:pgSz w:w="11906" w:h="16838"/>
      <w:pgMar w:top="1440" w:right="1797" w:bottom="1440" w:left="1797" w:header="851" w:footer="992" w:gutter="0"/>
      <w:pgBorders>
        <w:top w:val="none" w:sz="0" w:space="0"/>
        <w:left w:val="none" w:sz="0" w:space="0"/>
        <w:bottom w:val="none" w:sz="0" w:space="0"/>
        <w:right w:val="none" w:sz="0" w:space="0"/>
      </w:pgBorders>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_x000B__x000C_">
    <w:altName w:val="Times New Roman"/>
    <w:panose1 w:val="00000000000000000000"/>
    <w:charset w:val="00"/>
    <w:family w:val="auto"/>
    <w:pitch w:val="default"/>
    <w:sig w:usb0="00000000" w:usb1="00000000" w:usb2="00000000" w:usb3="00000000" w:csb0="00000001" w:csb1="00000000"/>
  </w:font>
  <w:font w:name="仿宋_GB2312">
    <w:altName w:val="仿宋"/>
    <w:panose1 w:val="00000000000000000000"/>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SimSun-ExtB">
    <w:panose1 w:val="02010609060101010101"/>
    <w:charset w:val="86"/>
    <w:family w:val="modern"/>
    <w:pitch w:val="default"/>
    <w:sig w:usb0="00000001" w:usb1="02000000" w:usb2="00000000" w:usb3="00000000" w:csb0="00040001" w:csb1="00000000"/>
  </w:font>
  <w:font w:name="TimesNewRomanPSMT">
    <w:altName w:val="MS Gothic"/>
    <w:panose1 w:val="00000000000000000000"/>
    <w:charset w:val="80"/>
    <w:family w:val="auto"/>
    <w:pitch w:val="default"/>
    <w:sig w:usb0="00000000" w:usb1="00000000" w:usb2="00000010" w:usb3="00000000" w:csb0="00060001" w:csb1="00000000"/>
  </w:font>
  <w:font w:name="Cambria Math">
    <w:panose1 w:val="02040503050406030204"/>
    <w:charset w:val="00"/>
    <w:family w:val="roman"/>
    <w:pitch w:val="default"/>
    <w:sig w:usb0="A00002EF" w:usb1="420020EB" w:usb2="00000000" w:usb3="00000000" w:csb0="2000009F" w:csb1="00000000"/>
  </w:font>
  <w:font w:name="等线">
    <w:altName w:val="Arial Unicode MS"/>
    <w:panose1 w:val="02010600030101010101"/>
    <w:charset w:val="86"/>
    <w:family w:val="auto"/>
    <w:pitch w:val="default"/>
    <w:sig w:usb0="00000000" w:usb1="00000000" w:usb2="00000016" w:usb3="00000000" w:csb0="0004000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MS Gothic">
    <w:panose1 w:val="020B0609070205080204"/>
    <w:charset w:val="80"/>
    <w:family w:val="auto"/>
    <w:pitch w:val="default"/>
    <w:sig w:usb0="E00002FF" w:usb1="6AC7FDFB" w:usb2="00000012" w:usb3="00000000" w:csb0="4002009F" w:csb1="DFD7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0"/>
      </w:rPr>
    </w:pPr>
    <w:r>
      <w:fldChar w:fldCharType="begin"/>
    </w:r>
    <w:r>
      <w:rPr>
        <w:rStyle w:val="20"/>
      </w:rPr>
      <w:instrText xml:space="preserve">PAGE  </w:instrText>
    </w:r>
    <w:r>
      <w:fldChar w:fldCharType="separate"/>
    </w:r>
    <w:r>
      <w:rPr>
        <w:rStyle w:val="20"/>
      </w:rPr>
      <w:t>16</w:t>
    </w:r>
    <w:r>
      <w:fldChar w:fldCharType="end"/>
    </w:r>
  </w:p>
  <w:p>
    <w:pPr>
      <w:pStyle w:val="1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center" w:y="1"/>
      <w:rPr>
        <w:rStyle w:val="20"/>
      </w:rPr>
    </w:pPr>
    <w:r>
      <w:fldChar w:fldCharType="begin"/>
    </w:r>
    <w:r>
      <w:rPr>
        <w:rStyle w:val="20"/>
      </w:rPr>
      <w:instrText xml:space="preserve">PAGE  </w:instrText>
    </w:r>
    <w:r>
      <w:fldChar w:fldCharType="separate"/>
    </w:r>
    <w:r>
      <w:t xml:space="preserve"> </w:t>
    </w:r>
    <w:r>
      <w:fldChar w:fldCharType="end"/>
    </w:r>
  </w:p>
  <w:p>
    <w:pPr>
      <w:pStyle w:val="12"/>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center"/>
    </w:pPr>
    <w:r>
      <w:fldChar w:fldCharType="begin"/>
    </w:r>
    <w:r>
      <w:rPr>
        <w:rStyle w:val="20"/>
      </w:rPr>
      <w:instrText xml:space="preserve"> PAGE </w:instrText>
    </w:r>
    <w:r>
      <w:fldChar w:fldCharType="separate"/>
    </w:r>
    <w:r>
      <w:rPr>
        <w:rStyle w:val="20"/>
      </w:rP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0830FCF"/>
    <w:multiLevelType w:val="singleLevel"/>
    <w:tmpl w:val="90830FCF"/>
    <w:lvl w:ilvl="0" w:tentative="0">
      <w:start w:val="3"/>
      <w:numFmt w:val="chineseCounting"/>
      <w:suff w:val="nothing"/>
      <w:lvlText w:val="%1、"/>
      <w:lvlJc w:val="left"/>
      <w:rPr>
        <w:rFonts w:hint="eastAsia"/>
      </w:rPr>
    </w:lvl>
  </w:abstractNum>
  <w:abstractNum w:abstractNumId="1">
    <w:nsid w:val="9BB817D3"/>
    <w:multiLevelType w:val="singleLevel"/>
    <w:tmpl w:val="9BB817D3"/>
    <w:lvl w:ilvl="0" w:tentative="0">
      <w:start w:val="1"/>
      <w:numFmt w:val="decimal"/>
      <w:suff w:val="nothing"/>
      <w:lvlText w:val="%1、"/>
      <w:lvlJc w:val="left"/>
    </w:lvl>
  </w:abstractNum>
  <w:abstractNum w:abstractNumId="2">
    <w:nsid w:val="C84B2FA1"/>
    <w:multiLevelType w:val="singleLevel"/>
    <w:tmpl w:val="C84B2FA1"/>
    <w:lvl w:ilvl="0" w:tentative="0">
      <w:start w:val="1"/>
      <w:numFmt w:val="bullet"/>
      <w:pStyle w:val="3"/>
      <w:lvlText w:val=""/>
      <w:lvlJc w:val="left"/>
      <w:pPr>
        <w:tabs>
          <w:tab w:val="left" w:pos="2040"/>
        </w:tabs>
        <w:ind w:left="2040" w:hanging="360"/>
      </w:pPr>
      <w:rPr>
        <w:rFonts w:hint="default" w:ascii="Wingdings" w:hAnsi="Wingdings"/>
      </w:rPr>
    </w:lvl>
  </w:abstractNum>
  <w:abstractNum w:abstractNumId="3">
    <w:nsid w:val="F3AAF8EC"/>
    <w:multiLevelType w:val="singleLevel"/>
    <w:tmpl w:val="F3AAF8EC"/>
    <w:lvl w:ilvl="0" w:tentative="0">
      <w:start w:val="1"/>
      <w:numFmt w:val="decimal"/>
      <w:suff w:val="nothing"/>
      <w:lvlText w:val="%1）"/>
      <w:lvlJc w:val="left"/>
    </w:lvl>
  </w:abstractNum>
  <w:abstractNum w:abstractNumId="4">
    <w:nsid w:val="F907CAEF"/>
    <w:multiLevelType w:val="singleLevel"/>
    <w:tmpl w:val="F907CAEF"/>
    <w:lvl w:ilvl="0" w:tentative="0">
      <w:start w:val="1"/>
      <w:numFmt w:val="decimal"/>
      <w:suff w:val="nothing"/>
      <w:lvlText w:val="（%1）"/>
      <w:lvlJc w:val="left"/>
    </w:lvl>
  </w:abstractNum>
  <w:abstractNum w:abstractNumId="5">
    <w:nsid w:val="00000007"/>
    <w:multiLevelType w:val="singleLevel"/>
    <w:tmpl w:val="00000007"/>
    <w:lvl w:ilvl="0" w:tentative="0">
      <w:start w:val="1"/>
      <w:numFmt w:val="japaneseCounting"/>
      <w:lvlText w:val="%1、"/>
      <w:lvlJc w:val="left"/>
      <w:pPr>
        <w:tabs>
          <w:tab w:val="left" w:pos="984"/>
        </w:tabs>
        <w:ind w:left="984" w:hanging="420"/>
      </w:pPr>
      <w:rPr>
        <w:rFonts w:hint="eastAsia"/>
      </w:rPr>
    </w:lvl>
  </w:abstractNum>
  <w:abstractNum w:abstractNumId="6">
    <w:nsid w:val="2658ABBD"/>
    <w:multiLevelType w:val="singleLevel"/>
    <w:tmpl w:val="2658ABBD"/>
    <w:lvl w:ilvl="0" w:tentative="0">
      <w:start w:val="2"/>
      <w:numFmt w:val="decimal"/>
      <w:suff w:val="nothing"/>
      <w:lvlText w:val="%1）"/>
      <w:lvlJc w:val="left"/>
    </w:lvl>
  </w:abstractNum>
  <w:abstractNum w:abstractNumId="7">
    <w:nsid w:val="34576934"/>
    <w:multiLevelType w:val="singleLevel"/>
    <w:tmpl w:val="34576934"/>
    <w:lvl w:ilvl="0" w:tentative="0">
      <w:start w:val="1"/>
      <w:numFmt w:val="upperLetter"/>
      <w:lvlText w:val="%1."/>
      <w:lvlJc w:val="left"/>
    </w:lvl>
  </w:abstractNum>
  <w:abstractNum w:abstractNumId="8">
    <w:nsid w:val="47AD5529"/>
    <w:multiLevelType w:val="singleLevel"/>
    <w:tmpl w:val="47AD5529"/>
    <w:lvl w:ilvl="0" w:tentative="0">
      <w:start w:val="2"/>
      <w:numFmt w:val="decimal"/>
      <w:suff w:val="nothing"/>
      <w:lvlText w:val="%1、"/>
      <w:lvlJc w:val="left"/>
    </w:lvl>
  </w:abstractNum>
  <w:abstractNum w:abstractNumId="9">
    <w:nsid w:val="48E57202"/>
    <w:multiLevelType w:val="singleLevel"/>
    <w:tmpl w:val="48E57202"/>
    <w:lvl w:ilvl="0" w:tentative="0">
      <w:start w:val="2"/>
      <w:numFmt w:val="decimal"/>
      <w:suff w:val="nothing"/>
      <w:lvlText w:val="（%1）"/>
      <w:lvlJc w:val="left"/>
    </w:lvl>
  </w:abstractNum>
  <w:abstractNum w:abstractNumId="10">
    <w:nsid w:val="5AC62DD9"/>
    <w:multiLevelType w:val="singleLevel"/>
    <w:tmpl w:val="5AC62DD9"/>
    <w:lvl w:ilvl="0" w:tentative="0">
      <w:start w:val="1"/>
      <w:numFmt w:val="decimal"/>
      <w:lvlText w:val="%1．"/>
      <w:lvlJc w:val="left"/>
      <w:pPr>
        <w:tabs>
          <w:tab w:val="left" w:pos="948"/>
        </w:tabs>
        <w:ind w:left="948" w:hanging="312"/>
      </w:pPr>
      <w:rPr>
        <w:rFonts w:hint="eastAsia"/>
      </w:rPr>
    </w:lvl>
  </w:abstractNum>
  <w:num w:numId="1">
    <w:abstractNumId w:val="2"/>
  </w:num>
  <w:num w:numId="2">
    <w:abstractNumId w:val="1"/>
  </w:num>
  <w:num w:numId="3">
    <w:abstractNumId w:val="8"/>
  </w:num>
  <w:num w:numId="4">
    <w:abstractNumId w:val="0"/>
  </w:num>
  <w:num w:numId="5">
    <w:abstractNumId w:val="4"/>
  </w:num>
  <w:num w:numId="6">
    <w:abstractNumId w:val="9"/>
  </w:num>
  <w:num w:numId="7">
    <w:abstractNumId w:val="7"/>
  </w:num>
  <w:num w:numId="8">
    <w:abstractNumId w:val="3"/>
  </w:num>
  <w:num w:numId="9">
    <w:abstractNumId w:val="6"/>
  </w:num>
  <w:num w:numId="10">
    <w:abstractNumId w:val="5"/>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154"/>
    <w:rsid w:val="000C3A27"/>
    <w:rsid w:val="002C4844"/>
    <w:rsid w:val="002F3858"/>
    <w:rsid w:val="003868F0"/>
    <w:rsid w:val="003E1732"/>
    <w:rsid w:val="007175E2"/>
    <w:rsid w:val="00772F18"/>
    <w:rsid w:val="008B4B8D"/>
    <w:rsid w:val="00973616"/>
    <w:rsid w:val="00B35F65"/>
    <w:rsid w:val="00B71977"/>
    <w:rsid w:val="00BA5154"/>
    <w:rsid w:val="00D06CB7"/>
    <w:rsid w:val="00D70CA7"/>
    <w:rsid w:val="00EC513D"/>
    <w:rsid w:val="00F16A78"/>
    <w:rsid w:val="00FA102B"/>
    <w:rsid w:val="02F30FA5"/>
    <w:rsid w:val="04136965"/>
    <w:rsid w:val="051F4330"/>
    <w:rsid w:val="055C3F2C"/>
    <w:rsid w:val="05A2593E"/>
    <w:rsid w:val="08914085"/>
    <w:rsid w:val="0EC50F48"/>
    <w:rsid w:val="14572A53"/>
    <w:rsid w:val="1944491D"/>
    <w:rsid w:val="1B1A3E57"/>
    <w:rsid w:val="1E1965A6"/>
    <w:rsid w:val="1FF93469"/>
    <w:rsid w:val="20FE4172"/>
    <w:rsid w:val="21B81E49"/>
    <w:rsid w:val="23032210"/>
    <w:rsid w:val="257E2520"/>
    <w:rsid w:val="2B553971"/>
    <w:rsid w:val="2B9B7828"/>
    <w:rsid w:val="2EDC5C69"/>
    <w:rsid w:val="30A2095B"/>
    <w:rsid w:val="330D3711"/>
    <w:rsid w:val="3BA750AB"/>
    <w:rsid w:val="3F561114"/>
    <w:rsid w:val="4083164B"/>
    <w:rsid w:val="411E6477"/>
    <w:rsid w:val="41842016"/>
    <w:rsid w:val="42F64173"/>
    <w:rsid w:val="43305CCB"/>
    <w:rsid w:val="470D5841"/>
    <w:rsid w:val="4BA15893"/>
    <w:rsid w:val="4CD22242"/>
    <w:rsid w:val="50E615D2"/>
    <w:rsid w:val="51AB5519"/>
    <w:rsid w:val="54ED19F9"/>
    <w:rsid w:val="57683373"/>
    <w:rsid w:val="5856517E"/>
    <w:rsid w:val="58CD7ED2"/>
    <w:rsid w:val="5A341C93"/>
    <w:rsid w:val="5B9B4E26"/>
    <w:rsid w:val="5C6D45E5"/>
    <w:rsid w:val="602C0F19"/>
    <w:rsid w:val="602C2DE0"/>
    <w:rsid w:val="60875148"/>
    <w:rsid w:val="662057F6"/>
    <w:rsid w:val="6C610006"/>
    <w:rsid w:val="732A6167"/>
    <w:rsid w:val="76282D0A"/>
    <w:rsid w:val="76F831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qFormat="1"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qFormat/>
    <w:uiPriority w:val="0"/>
    <w:pPr>
      <w:keepNext/>
      <w:keepLines/>
      <w:snapToGrid w:val="0"/>
      <w:spacing w:line="360" w:lineRule="auto"/>
      <w:outlineLvl w:val="0"/>
    </w:pPr>
    <w:rPr>
      <w:rFonts w:eastAsia="黑体"/>
      <w:kern w:val="44"/>
      <w:sz w:val="28"/>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List Bullet 5"/>
    <w:basedOn w:val="1"/>
    <w:qFormat/>
    <w:uiPriority w:val="0"/>
    <w:pPr>
      <w:numPr>
        <w:ilvl w:val="0"/>
        <w:numId w:val="1"/>
      </w:numPr>
    </w:pPr>
  </w:style>
  <w:style w:type="paragraph" w:styleId="5">
    <w:name w:val="Normal Indent"/>
    <w:basedOn w:val="1"/>
    <w:qFormat/>
    <w:uiPriority w:val="0"/>
    <w:pPr>
      <w:ind w:firstLine="200" w:firstLineChars="200"/>
    </w:pPr>
  </w:style>
  <w:style w:type="paragraph" w:styleId="6">
    <w:name w:val="caption"/>
    <w:basedOn w:val="1"/>
    <w:next w:val="1"/>
    <w:qFormat/>
    <w:uiPriority w:val="0"/>
    <w:pPr>
      <w:widowControl/>
      <w:jc w:val="left"/>
    </w:pPr>
    <w:rPr>
      <w:rFonts w:ascii="Calibri" w:hAnsi="Calibri"/>
      <w:b/>
      <w:bCs/>
      <w:color w:val="2DA2BF"/>
      <w:kern w:val="0"/>
      <w:sz w:val="18"/>
      <w:szCs w:val="18"/>
    </w:rPr>
  </w:style>
  <w:style w:type="paragraph" w:styleId="7">
    <w:name w:val="annotation text"/>
    <w:basedOn w:val="1"/>
    <w:link w:val="48"/>
    <w:qFormat/>
    <w:uiPriority w:val="0"/>
    <w:pPr>
      <w:jc w:val="left"/>
    </w:pPr>
  </w:style>
  <w:style w:type="paragraph" w:styleId="8">
    <w:name w:val="Body Text Indent"/>
    <w:basedOn w:val="1"/>
    <w:qFormat/>
    <w:uiPriority w:val="0"/>
    <w:pPr>
      <w:snapToGrid w:val="0"/>
      <w:spacing w:before="120" w:line="360" w:lineRule="atLeast"/>
      <w:ind w:firstLine="539"/>
    </w:pPr>
    <w:rPr>
      <w:sz w:val="24"/>
    </w:rPr>
  </w:style>
  <w:style w:type="paragraph" w:styleId="9">
    <w:name w:val="Block Text"/>
    <w:basedOn w:val="1"/>
    <w:qFormat/>
    <w:uiPriority w:val="0"/>
    <w:pPr>
      <w:adjustRightInd w:val="0"/>
      <w:snapToGrid w:val="0"/>
      <w:spacing w:line="490" w:lineRule="atLeast"/>
      <w:ind w:left="5" w:leftChars="5" w:right="-214" w:rightChars="-214" w:firstLine="200" w:firstLineChars="200"/>
    </w:pPr>
    <w:rPr>
      <w:color w:val="000000"/>
      <w:sz w:val="28"/>
      <w:szCs w:val="24"/>
    </w:rPr>
  </w:style>
  <w:style w:type="paragraph" w:styleId="10">
    <w:name w:val="Plain Text"/>
    <w:basedOn w:val="1"/>
    <w:qFormat/>
    <w:uiPriority w:val="0"/>
    <w:pPr>
      <w:adjustRightInd w:val="0"/>
      <w:spacing w:before="120" w:line="400" w:lineRule="exact"/>
      <w:textAlignment w:val="baseline"/>
    </w:pPr>
    <w:rPr>
      <w:rFonts w:ascii="宋体"/>
      <w:spacing w:val="-2"/>
      <w:kern w:val="28"/>
    </w:rPr>
  </w:style>
  <w:style w:type="paragraph" w:styleId="11">
    <w:name w:val="Balloon Text"/>
    <w:basedOn w:val="1"/>
    <w:link w:val="50"/>
    <w:qFormat/>
    <w:uiPriority w:val="0"/>
    <w:rPr>
      <w:sz w:val="18"/>
      <w:szCs w:val="18"/>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bottom w:val="single" w:color="auto" w:sz="6" w:space="1"/>
      </w:pBdr>
      <w:tabs>
        <w:tab w:val="center" w:pos="4153"/>
        <w:tab w:val="right" w:pos="8306"/>
      </w:tabs>
      <w:snapToGrid w:val="0"/>
      <w:jc w:val="center"/>
    </w:pPr>
    <w:rPr>
      <w:sz w:val="18"/>
    </w:rPr>
  </w:style>
  <w:style w:type="paragraph" w:styleId="14">
    <w:name w:val="Normal (Web)"/>
    <w:basedOn w:val="1"/>
    <w:qFormat/>
    <w:uiPriority w:val="99"/>
    <w:pPr>
      <w:widowControl/>
      <w:spacing w:before="150" w:line="312" w:lineRule="auto"/>
      <w:ind w:firstLine="480"/>
      <w:jc w:val="left"/>
    </w:pPr>
    <w:rPr>
      <w:rFonts w:ascii="_x000B__x000C_" w:hAnsi="_x000B__x000C_"/>
      <w:color w:val="000000"/>
      <w:spacing w:val="15"/>
      <w:kern w:val="0"/>
      <w:sz w:val="18"/>
    </w:rPr>
  </w:style>
  <w:style w:type="paragraph" w:styleId="15">
    <w:name w:val="Title"/>
    <w:basedOn w:val="1"/>
    <w:next w:val="1"/>
    <w:qFormat/>
    <w:uiPriority w:val="0"/>
    <w:pPr>
      <w:adjustRightInd w:val="0"/>
      <w:snapToGrid w:val="0"/>
      <w:spacing w:before="240" w:after="240" w:line="300" w:lineRule="auto"/>
      <w:jc w:val="left"/>
      <w:outlineLvl w:val="0"/>
    </w:pPr>
    <w:rPr>
      <w:rFonts w:ascii="仿宋_GB2312" w:eastAsia="仿宋_GB2312"/>
      <w:b/>
      <w:sz w:val="32"/>
    </w:rPr>
  </w:style>
  <w:style w:type="paragraph" w:styleId="16">
    <w:name w:val="annotation subject"/>
    <w:basedOn w:val="7"/>
    <w:next w:val="7"/>
    <w:link w:val="49"/>
    <w:qFormat/>
    <w:uiPriority w:val="0"/>
    <w:rPr>
      <w:b/>
      <w:bCs/>
    </w:rPr>
  </w:style>
  <w:style w:type="table" w:styleId="18">
    <w:name w:val="Table Grid"/>
    <w:basedOn w:val="17"/>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0">
    <w:name w:val="page number"/>
    <w:basedOn w:val="19"/>
    <w:qFormat/>
    <w:uiPriority w:val="0"/>
  </w:style>
  <w:style w:type="character" w:styleId="21">
    <w:name w:val="Hyperlink"/>
    <w:basedOn w:val="19"/>
    <w:qFormat/>
    <w:uiPriority w:val="0"/>
    <w:rPr>
      <w:color w:val="0000FF"/>
      <w:u w:val="single"/>
    </w:rPr>
  </w:style>
  <w:style w:type="character" w:styleId="22">
    <w:name w:val="annotation reference"/>
    <w:qFormat/>
    <w:uiPriority w:val="0"/>
    <w:rPr>
      <w:sz w:val="21"/>
    </w:rPr>
  </w:style>
  <w:style w:type="paragraph" w:customStyle="1" w:styleId="23">
    <w:name w:val="样式 标题 1 + 加粗"/>
    <w:basedOn w:val="4"/>
    <w:qFormat/>
    <w:uiPriority w:val="0"/>
    <w:rPr>
      <w:rFonts w:ascii="宋体" w:eastAsia="宋体"/>
      <w:b/>
    </w:rPr>
  </w:style>
  <w:style w:type="paragraph" w:customStyle="1" w:styleId="24">
    <w:name w:val="列出段落1"/>
    <w:basedOn w:val="1"/>
    <w:qFormat/>
    <w:uiPriority w:val="0"/>
    <w:pPr>
      <w:ind w:firstLine="420" w:firstLineChars="200"/>
    </w:pPr>
    <w:rPr>
      <w:rFonts w:ascii="Calibri" w:hAnsi="Calibri"/>
      <w:szCs w:val="22"/>
    </w:rPr>
  </w:style>
  <w:style w:type="paragraph" w:customStyle="1" w:styleId="25">
    <w:name w:val="表蕊"/>
    <w:basedOn w:val="1"/>
    <w:qFormat/>
    <w:uiPriority w:val="0"/>
    <w:pPr>
      <w:adjustRightInd w:val="0"/>
      <w:spacing w:line="320" w:lineRule="atLeast"/>
      <w:jc w:val="left"/>
      <w:textAlignment w:val="baseline"/>
    </w:pPr>
    <w:rPr>
      <w:rFonts w:eastAsia="楷体_GB2312"/>
      <w:spacing w:val="-10"/>
      <w:kern w:val="0"/>
    </w:rPr>
  </w:style>
  <w:style w:type="paragraph" w:customStyle="1" w:styleId="26">
    <w:name w:val="表格"/>
    <w:basedOn w:val="1"/>
    <w:qFormat/>
    <w:uiPriority w:val="0"/>
    <w:pPr>
      <w:widowControl/>
      <w:adjustRightInd w:val="0"/>
      <w:spacing w:line="320" w:lineRule="atLeast"/>
      <w:ind w:right="-102" w:hanging="108"/>
      <w:jc w:val="center"/>
      <w:textAlignment w:val="baseline"/>
    </w:pPr>
    <w:rPr>
      <w:rFonts w:ascii="Calibri" w:hAnsi="Calibri"/>
      <w:kern w:val="0"/>
      <w:sz w:val="24"/>
    </w:rPr>
  </w:style>
  <w:style w:type="character" w:customStyle="1" w:styleId="27">
    <w:name w:val="font01"/>
    <w:basedOn w:val="19"/>
    <w:qFormat/>
    <w:uiPriority w:val="0"/>
    <w:rPr>
      <w:rFonts w:hint="eastAsia" w:ascii="宋体" w:hAnsi="宋体" w:eastAsia="宋体" w:cs="宋体"/>
      <w:color w:val="0000FF"/>
      <w:sz w:val="22"/>
      <w:szCs w:val="22"/>
      <w:u w:val="none"/>
    </w:rPr>
  </w:style>
  <w:style w:type="character" w:customStyle="1" w:styleId="28">
    <w:name w:val="font11"/>
    <w:basedOn w:val="19"/>
    <w:qFormat/>
    <w:uiPriority w:val="0"/>
    <w:rPr>
      <w:rFonts w:hint="eastAsia" w:ascii="宋体" w:hAnsi="宋体" w:eastAsia="宋体" w:cs="宋体"/>
      <w:color w:val="0000FF"/>
      <w:sz w:val="24"/>
      <w:szCs w:val="24"/>
      <w:u w:val="none"/>
    </w:rPr>
  </w:style>
  <w:style w:type="paragraph" w:customStyle="1" w:styleId="29">
    <w:name w:val="表内"/>
    <w:basedOn w:val="30"/>
    <w:qFormat/>
    <w:uiPriority w:val="0"/>
    <w:pPr>
      <w:spacing w:line="240" w:lineRule="atLeast"/>
    </w:pPr>
    <w:rPr>
      <w:b w:val="0"/>
      <w:i w:val="0"/>
      <w:sz w:val="21"/>
      <w:szCs w:val="32"/>
    </w:rPr>
  </w:style>
  <w:style w:type="paragraph" w:customStyle="1" w:styleId="30">
    <w:name w:val="表标题1"/>
    <w:basedOn w:val="31"/>
    <w:qFormat/>
    <w:uiPriority w:val="0"/>
    <w:pPr>
      <w:spacing w:line="500" w:lineRule="exact"/>
      <w:jc w:val="center"/>
    </w:pPr>
    <w:rPr>
      <w:rFonts w:ascii="仿宋_GB2312" w:eastAsia="仿宋_GB2312"/>
      <w:b/>
      <w:bCs/>
      <w:szCs w:val="24"/>
    </w:rPr>
  </w:style>
  <w:style w:type="paragraph" w:customStyle="1" w:styleId="31">
    <w:name w:val="表正"/>
    <w:basedOn w:val="32"/>
    <w:qFormat/>
    <w:uiPriority w:val="0"/>
    <w:pPr>
      <w:ind w:firstLine="200" w:firstLineChars="200"/>
    </w:pPr>
    <w:rPr>
      <w:rFonts w:eastAsia="宋体"/>
      <w:kern w:val="0"/>
    </w:rPr>
  </w:style>
  <w:style w:type="paragraph" w:customStyle="1" w:styleId="32">
    <w:name w:val="标3"/>
    <w:basedOn w:val="33"/>
    <w:qFormat/>
    <w:uiPriority w:val="0"/>
    <w:rPr>
      <w:b w:val="0"/>
      <w:i/>
    </w:rPr>
  </w:style>
  <w:style w:type="paragraph" w:customStyle="1" w:styleId="33">
    <w:name w:val="标2"/>
    <w:basedOn w:val="34"/>
    <w:qFormat/>
    <w:uiPriority w:val="0"/>
    <w:rPr>
      <w:sz w:val="24"/>
    </w:rPr>
  </w:style>
  <w:style w:type="paragraph" w:customStyle="1" w:styleId="34">
    <w:name w:val="标1"/>
    <w:basedOn w:val="15"/>
    <w:qFormat/>
    <w:uiPriority w:val="0"/>
    <w:pPr>
      <w:spacing w:before="0" w:after="0" w:line="360" w:lineRule="auto"/>
    </w:pPr>
    <w:rPr>
      <w:rFonts w:ascii="Times New Roman" w:eastAsia="黑体"/>
      <w:sz w:val="28"/>
    </w:rPr>
  </w:style>
  <w:style w:type="paragraph" w:customStyle="1" w:styleId="35">
    <w:name w:val="A正文"/>
    <w:basedOn w:val="1"/>
    <w:qFormat/>
    <w:uiPriority w:val="0"/>
    <w:pPr>
      <w:widowControl/>
      <w:spacing w:line="360" w:lineRule="auto"/>
      <w:ind w:firstLine="200" w:firstLineChars="200"/>
      <w:jc w:val="left"/>
    </w:pPr>
    <w:rPr>
      <w:kern w:val="0"/>
      <w:sz w:val="24"/>
      <w:szCs w:val="24"/>
    </w:rPr>
  </w:style>
  <w:style w:type="paragraph" w:customStyle="1" w:styleId="36">
    <w:name w:val="1表格"/>
    <w:basedOn w:val="1"/>
    <w:qFormat/>
    <w:uiPriority w:val="0"/>
    <w:pPr>
      <w:spacing w:line="160" w:lineRule="atLeast"/>
      <w:jc w:val="center"/>
    </w:pPr>
    <w:rPr>
      <w:rFonts w:eastAsia="仿宋_GB2312"/>
    </w:rPr>
  </w:style>
  <w:style w:type="paragraph" w:customStyle="1" w:styleId="37">
    <w:name w:val="111正文"/>
    <w:basedOn w:val="1"/>
    <w:qFormat/>
    <w:uiPriority w:val="0"/>
    <w:pPr>
      <w:tabs>
        <w:tab w:val="left" w:pos="600"/>
      </w:tabs>
      <w:spacing w:line="360" w:lineRule="auto"/>
      <w:ind w:firstLine="200" w:firstLineChars="200"/>
    </w:pPr>
    <w:rPr>
      <w:kern w:val="0"/>
      <w:sz w:val="24"/>
      <w:szCs w:val="22"/>
    </w:rPr>
  </w:style>
  <w:style w:type="paragraph" w:customStyle="1" w:styleId="38">
    <w:name w:val="表格内文字"/>
    <w:basedOn w:val="1"/>
    <w:qFormat/>
    <w:uiPriority w:val="0"/>
    <w:pPr>
      <w:tabs>
        <w:tab w:val="left" w:pos="0"/>
      </w:tabs>
      <w:adjustRightInd w:val="0"/>
      <w:snapToGrid w:val="0"/>
      <w:jc w:val="center"/>
    </w:pPr>
    <w:rPr>
      <w:rFonts w:eastAsia="仿宋_GB2312"/>
      <w:sz w:val="24"/>
    </w:rPr>
  </w:style>
  <w:style w:type="paragraph" w:customStyle="1" w:styleId="39">
    <w:name w:val="表格中文字"/>
    <w:basedOn w:val="1"/>
    <w:qFormat/>
    <w:uiPriority w:val="0"/>
    <w:pPr>
      <w:adjustRightInd w:val="0"/>
      <w:snapToGrid w:val="0"/>
      <w:jc w:val="center"/>
    </w:pPr>
    <w:rPr>
      <w:kern w:val="18"/>
      <w:szCs w:val="21"/>
    </w:rPr>
  </w:style>
  <w:style w:type="paragraph" w:customStyle="1" w:styleId="40">
    <w:name w:val="图表文字"/>
    <w:basedOn w:val="1"/>
    <w:qFormat/>
    <w:uiPriority w:val="0"/>
    <w:pPr>
      <w:widowControl/>
      <w:ind w:right="-51" w:rightChars="-51"/>
      <w:jc w:val="center"/>
    </w:pPr>
    <w:rPr>
      <w:rFonts w:ascii="宋体"/>
      <w:kern w:val="0"/>
      <w:sz w:val="22"/>
    </w:rPr>
  </w:style>
  <w:style w:type="paragraph" w:customStyle="1" w:styleId="41">
    <w:name w:val="Default"/>
    <w:qFormat/>
    <w:uiPriority w:val="0"/>
    <w:pPr>
      <w:widowControl w:val="0"/>
      <w:autoSpaceDE w:val="0"/>
      <w:autoSpaceDN w:val="0"/>
      <w:adjustRightInd w:val="0"/>
      <w:spacing w:after="200" w:line="276" w:lineRule="auto"/>
    </w:pPr>
    <w:rPr>
      <w:rFonts w:ascii="宋体" w:hAnsi="Times New Roman" w:eastAsia="宋体" w:cs="宋体"/>
      <w:color w:val="000000"/>
      <w:sz w:val="24"/>
      <w:szCs w:val="24"/>
      <w:lang w:val="en-US" w:eastAsia="zh-CN" w:bidi="ar-SA"/>
    </w:rPr>
  </w:style>
  <w:style w:type="paragraph" w:customStyle="1" w:styleId="42">
    <w:name w:val="正文 首行缩进:  2 字符"/>
    <w:basedOn w:val="1"/>
    <w:qFormat/>
    <w:uiPriority w:val="0"/>
    <w:pPr>
      <w:adjustRightInd w:val="0"/>
      <w:snapToGrid w:val="0"/>
      <w:spacing w:line="500" w:lineRule="exact"/>
      <w:ind w:firstLine="200" w:firstLineChars="200"/>
      <w:jc w:val="left"/>
    </w:pPr>
    <w:rPr>
      <w:rFonts w:cs="宋体"/>
      <w:sz w:val="24"/>
    </w:rPr>
  </w:style>
  <w:style w:type="paragraph" w:customStyle="1" w:styleId="43">
    <w:name w:val="图表"/>
    <w:basedOn w:val="1"/>
    <w:qFormat/>
    <w:uiPriority w:val="0"/>
    <w:pPr>
      <w:adjustRightInd w:val="0"/>
      <w:snapToGrid w:val="0"/>
      <w:jc w:val="center"/>
    </w:pPr>
    <w:rPr>
      <w:color w:val="000000"/>
      <w:szCs w:val="22"/>
      <w:lang w:val="zh-CN"/>
    </w:rPr>
  </w:style>
  <w:style w:type="paragraph" w:customStyle="1" w:styleId="44">
    <w:name w:val="5级标题"/>
    <w:basedOn w:val="1"/>
    <w:qFormat/>
    <w:uiPriority w:val="0"/>
    <w:pPr>
      <w:spacing w:line="360" w:lineRule="auto"/>
      <w:jc w:val="left"/>
    </w:pPr>
    <w:rPr>
      <w:kern w:val="0"/>
      <w:sz w:val="24"/>
    </w:rPr>
  </w:style>
  <w:style w:type="paragraph" w:customStyle="1" w:styleId="45">
    <w:name w:val="霍尼韦尔"/>
    <w:basedOn w:val="1"/>
    <w:qFormat/>
    <w:uiPriority w:val="0"/>
    <w:pPr>
      <w:spacing w:line="480" w:lineRule="exact"/>
      <w:ind w:firstLine="200" w:firstLineChars="200"/>
      <w:jc w:val="left"/>
    </w:pPr>
    <w:rPr>
      <w:kern w:val="0"/>
      <w:sz w:val="24"/>
    </w:rPr>
  </w:style>
  <w:style w:type="paragraph" w:customStyle="1" w:styleId="46">
    <w:name w:val="表格文化"/>
    <w:basedOn w:val="1"/>
    <w:qFormat/>
    <w:uiPriority w:val="0"/>
    <w:pPr>
      <w:widowControl/>
      <w:spacing w:beforeLines="25" w:afterLines="25" w:line="360" w:lineRule="auto"/>
      <w:jc w:val="center"/>
    </w:pPr>
    <w:rPr>
      <w:b/>
      <w:bCs/>
      <w:snapToGrid w:val="0"/>
      <w:kern w:val="0"/>
      <w:sz w:val="24"/>
    </w:rPr>
  </w:style>
  <w:style w:type="paragraph" w:customStyle="1" w:styleId="47">
    <w:name w:val="正文啊"/>
    <w:basedOn w:val="1"/>
    <w:qFormat/>
    <w:uiPriority w:val="0"/>
    <w:pPr>
      <w:widowControl/>
      <w:spacing w:line="360" w:lineRule="auto"/>
      <w:ind w:firstLine="420"/>
    </w:pPr>
    <w:rPr>
      <w:rFonts w:ascii="Calibri" w:hAnsi="Calibri"/>
      <w:sz w:val="24"/>
      <w:szCs w:val="22"/>
    </w:rPr>
  </w:style>
  <w:style w:type="character" w:customStyle="1" w:styleId="48">
    <w:name w:val="批注文字 Char"/>
    <w:basedOn w:val="19"/>
    <w:link w:val="7"/>
    <w:qFormat/>
    <w:uiPriority w:val="0"/>
    <w:rPr>
      <w:kern w:val="2"/>
      <w:sz w:val="21"/>
    </w:rPr>
  </w:style>
  <w:style w:type="character" w:customStyle="1" w:styleId="49">
    <w:name w:val="批注主题 Char"/>
    <w:basedOn w:val="48"/>
    <w:link w:val="16"/>
    <w:qFormat/>
    <w:uiPriority w:val="0"/>
    <w:rPr>
      <w:b/>
      <w:bCs/>
      <w:kern w:val="2"/>
      <w:sz w:val="21"/>
    </w:rPr>
  </w:style>
  <w:style w:type="character" w:customStyle="1" w:styleId="50">
    <w:name w:val="批注框文本 Char"/>
    <w:basedOn w:val="19"/>
    <w:link w:val="11"/>
    <w:qFormat/>
    <w:uiPriority w:val="0"/>
    <w:rPr>
      <w:kern w:val="2"/>
      <w:sz w:val="18"/>
      <w:szCs w:val="18"/>
    </w:rPr>
  </w:style>
  <w:style w:type="paragraph" w:customStyle="1" w:styleId="51">
    <w:name w:val="二级无标题条"/>
    <w:basedOn w:val="1"/>
    <w:qFormat/>
    <w:uiPriority w:val="0"/>
    <w:rPr>
      <w:szCs w:val="24"/>
    </w:rPr>
  </w:style>
  <w:style w:type="paragraph" w:customStyle="1" w:styleId="52">
    <w:name w:val="样式 表格 + 黑色"/>
    <w:basedOn w:val="26"/>
    <w:qFormat/>
    <w:uiPriority w:val="0"/>
    <w:pPr>
      <w:adjustRightInd/>
      <w:snapToGrid w:val="0"/>
      <w:spacing w:line="280" w:lineRule="atLeast"/>
      <w:ind w:right="0" w:firstLine="0"/>
      <w:textAlignment w:val="auto"/>
    </w:pPr>
    <w:rPr>
      <w:rFonts w:ascii="宋体" w:hAnsi="宋体" w:eastAsia="仿宋_GB2312"/>
      <w:snapToGrid w:val="0"/>
      <w:color w:val="000000"/>
      <w:spacing w:val="-4"/>
      <w:sz w:val="21"/>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5" Type="http://schemas.openxmlformats.org/officeDocument/2006/relationships/fontTable" Target="fontTable.xml"/><Relationship Id="rId34" Type="http://schemas.openxmlformats.org/officeDocument/2006/relationships/customXml" Target="../customXml/item2.xml"/><Relationship Id="rId33" Type="http://schemas.openxmlformats.org/officeDocument/2006/relationships/numbering" Target="numbering.xml"/><Relationship Id="rId32" Type="http://schemas.openxmlformats.org/officeDocument/2006/relationships/customXml" Target="../customXml/item1.xml"/><Relationship Id="rId31" Type="http://schemas.openxmlformats.org/officeDocument/2006/relationships/image" Target="media/image15.png"/><Relationship Id="rId30" Type="http://schemas.openxmlformats.org/officeDocument/2006/relationships/image" Target="media/image14.png"/><Relationship Id="rId3" Type="http://schemas.openxmlformats.org/officeDocument/2006/relationships/header" Target="header1.xml"/><Relationship Id="rId29" Type="http://schemas.openxmlformats.org/officeDocument/2006/relationships/image" Target="media/image13.png"/><Relationship Id="rId28" Type="http://schemas.openxmlformats.org/officeDocument/2006/relationships/image" Target="media/image12.jpeg"/><Relationship Id="rId27" Type="http://schemas.openxmlformats.org/officeDocument/2006/relationships/image" Target="media/image11.jpeg"/><Relationship Id="rId26" Type="http://schemas.openxmlformats.org/officeDocument/2006/relationships/image" Target="media/image10.png"/><Relationship Id="rId25" Type="http://schemas.openxmlformats.org/officeDocument/2006/relationships/image" Target="media/image9.png"/><Relationship Id="rId24" Type="http://schemas.openxmlformats.org/officeDocument/2006/relationships/image" Target="media/image8.png"/><Relationship Id="rId23" Type="http://schemas.openxmlformats.org/officeDocument/2006/relationships/image" Target="media/image7.png"/><Relationship Id="rId22" Type="http://schemas.openxmlformats.org/officeDocument/2006/relationships/image" Target="media/image6.wmf"/><Relationship Id="rId21" Type="http://schemas.openxmlformats.org/officeDocument/2006/relationships/oleObject" Target="embeddings/oleObject6.bin"/><Relationship Id="rId20" Type="http://schemas.openxmlformats.org/officeDocument/2006/relationships/image" Target="media/image5.wmf"/><Relationship Id="rId2" Type="http://schemas.openxmlformats.org/officeDocument/2006/relationships/settings" Target="settings.xml"/><Relationship Id="rId19" Type="http://schemas.openxmlformats.org/officeDocument/2006/relationships/oleObject" Target="embeddings/oleObject5.bin"/><Relationship Id="rId18" Type="http://schemas.openxmlformats.org/officeDocument/2006/relationships/image" Target="media/image4.wmf"/><Relationship Id="rId17" Type="http://schemas.openxmlformats.org/officeDocument/2006/relationships/oleObject" Target="embeddings/oleObject4.bin"/><Relationship Id="rId16" Type="http://schemas.openxmlformats.org/officeDocument/2006/relationships/image" Target="media/image3.wmf"/><Relationship Id="rId15" Type="http://schemas.openxmlformats.org/officeDocument/2006/relationships/oleObject" Target="embeddings/oleObject3.bin"/><Relationship Id="rId14" Type="http://schemas.openxmlformats.org/officeDocument/2006/relationships/image" Target="media/image2.wmf"/><Relationship Id="rId13" Type="http://schemas.openxmlformats.org/officeDocument/2006/relationships/oleObject" Target="embeddings/oleObject2.bin"/><Relationship Id="rId12" Type="http://schemas.openxmlformats.org/officeDocument/2006/relationships/image" Target="media/image1.wmf"/><Relationship Id="rId11" Type="http://schemas.openxmlformats.org/officeDocument/2006/relationships/oleObject" Target="embeddings/oleObject1.bin"/><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8EF50AB-9D97-46F1-8E19-D7D1C680C476}">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83</Pages>
  <Words>8945</Words>
  <Characters>50991</Characters>
  <Lines>424</Lines>
  <Paragraphs>119</Paragraphs>
  <TotalTime>6</TotalTime>
  <ScaleCrop>false</ScaleCrop>
  <LinksUpToDate>false</LinksUpToDate>
  <CharactersWithSpaces>59817</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2020-05-15T07:41:49Z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