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color w:val="auto"/>
          <w:sz w:val="30"/>
        </w:rPr>
      </w:pPr>
    </w:p>
    <w:p>
      <w:pPr>
        <w:snapToGrid w:val="0"/>
        <w:spacing w:line="360" w:lineRule="auto"/>
        <w:jc w:val="center"/>
        <w:rPr>
          <w:b/>
          <w:color w:val="auto"/>
          <w:sz w:val="30"/>
        </w:rPr>
      </w:pPr>
    </w:p>
    <w:p>
      <w:pPr>
        <w:snapToGrid w:val="0"/>
        <w:spacing w:line="360" w:lineRule="auto"/>
        <w:jc w:val="center"/>
        <w:rPr>
          <w:b/>
          <w:color w:val="auto"/>
          <w:sz w:val="30"/>
        </w:rPr>
      </w:pPr>
    </w:p>
    <w:p>
      <w:pPr>
        <w:snapToGrid w:val="0"/>
        <w:spacing w:line="360" w:lineRule="auto"/>
        <w:jc w:val="center"/>
        <w:rPr>
          <w:b/>
          <w:color w:val="auto"/>
          <w:sz w:val="30"/>
        </w:rPr>
      </w:pPr>
    </w:p>
    <w:p>
      <w:pPr>
        <w:snapToGrid w:val="0"/>
        <w:spacing w:line="360" w:lineRule="auto"/>
        <w:jc w:val="center"/>
        <w:rPr>
          <w:rFonts w:eastAsia="黑体"/>
          <w:color w:val="auto"/>
          <w:sz w:val="72"/>
        </w:rPr>
      </w:pPr>
      <w:r>
        <w:rPr>
          <w:rFonts w:eastAsia="黑体"/>
          <w:color w:val="auto"/>
          <w:sz w:val="72"/>
        </w:rPr>
        <w:t>建设项目环境影响报告表</w:t>
      </w:r>
    </w:p>
    <w:p>
      <w:pPr>
        <w:snapToGrid w:val="0"/>
        <w:spacing w:line="360" w:lineRule="auto"/>
        <w:jc w:val="center"/>
        <w:rPr>
          <w:rFonts w:eastAsia="黑体"/>
          <w:color w:val="auto"/>
          <w:sz w:val="36"/>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rPr>
          <w:rFonts w:eastAsia="黑体"/>
          <w:color w:val="auto"/>
          <w:sz w:val="36"/>
          <w:u w:val="single"/>
        </w:rPr>
      </w:pPr>
      <w:r>
        <w:rPr>
          <w:rFonts w:eastAsia="黑体"/>
          <w:color w:val="auto"/>
          <w:spacing w:val="-20"/>
          <w:sz w:val="36"/>
        </w:rPr>
        <w:t>项 目 名 称：</w:t>
      </w:r>
      <w:r>
        <w:rPr>
          <w:rFonts w:eastAsia="黑体"/>
          <w:color w:val="auto"/>
          <w:spacing w:val="-20"/>
          <w:sz w:val="36"/>
          <w:u w:val="single"/>
        </w:rPr>
        <w:t xml:space="preserve">  </w:t>
      </w:r>
      <w:r>
        <w:rPr>
          <w:rFonts w:hint="eastAsia" w:eastAsia="黑体"/>
          <w:color w:val="auto"/>
          <w:spacing w:val="-20"/>
          <w:sz w:val="36"/>
          <w:u w:val="single"/>
        </w:rPr>
        <w:t xml:space="preserve">     年产5000件机械零部件项目       </w:t>
      </w:r>
    </w:p>
    <w:p>
      <w:pPr>
        <w:snapToGrid w:val="0"/>
        <w:spacing w:line="360" w:lineRule="auto"/>
        <w:rPr>
          <w:rFonts w:eastAsia="黑体"/>
          <w:color w:val="auto"/>
          <w:sz w:val="28"/>
          <w:u w:val="single"/>
        </w:rPr>
      </w:pPr>
      <w:r>
        <w:rPr>
          <w:rFonts w:eastAsia="黑体"/>
          <w:color w:val="auto"/>
          <w:spacing w:val="-30"/>
          <w:sz w:val="36"/>
        </w:rPr>
        <w:t>建设单位(盖章)：</w:t>
      </w:r>
      <w:r>
        <w:rPr>
          <w:rFonts w:eastAsia="黑体"/>
          <w:color w:val="auto"/>
          <w:spacing w:val="-30"/>
          <w:sz w:val="36"/>
          <w:u w:val="single"/>
        </w:rPr>
        <w:t xml:space="preserve">  </w:t>
      </w:r>
      <w:r>
        <w:rPr>
          <w:rFonts w:hint="eastAsia" w:eastAsia="黑体"/>
          <w:color w:val="auto"/>
          <w:spacing w:val="-30"/>
          <w:sz w:val="36"/>
          <w:u w:val="single"/>
        </w:rPr>
        <w:t xml:space="preserve">  </w:t>
      </w:r>
      <w:r>
        <w:rPr>
          <w:rFonts w:hint="eastAsia" w:eastAsia="黑体"/>
          <w:color w:val="auto"/>
          <w:spacing w:val="-30"/>
          <w:sz w:val="36"/>
          <w:u w:val="single"/>
          <w:lang w:val="en-US" w:eastAsia="zh-CN"/>
        </w:rPr>
        <w:t xml:space="preserve">   </w:t>
      </w:r>
      <w:r>
        <w:rPr>
          <w:rFonts w:hint="eastAsia" w:eastAsia="黑体"/>
          <w:color w:val="auto"/>
          <w:spacing w:val="-30"/>
          <w:sz w:val="36"/>
          <w:u w:val="single"/>
        </w:rPr>
        <w:t xml:space="preserve">常州旻昱智能科技有限公司  </w:t>
      </w:r>
      <w:r>
        <w:rPr>
          <w:rFonts w:eastAsia="黑体"/>
          <w:color w:val="auto"/>
          <w:spacing w:val="-20"/>
          <w:sz w:val="36"/>
          <w:u w:val="single"/>
        </w:rPr>
        <w:t xml:space="preserve"> </w:t>
      </w:r>
      <w:r>
        <w:rPr>
          <w:rFonts w:hint="eastAsia" w:eastAsia="黑体"/>
          <w:color w:val="auto"/>
          <w:spacing w:val="-20"/>
          <w:sz w:val="36"/>
          <w:u w:val="single"/>
        </w:rPr>
        <w:t xml:space="preserve">    </w:t>
      </w: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bookmarkStart w:id="8" w:name="_GoBack"/>
      <w:bookmarkEnd w:id="8"/>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color w:val="auto"/>
          <w:sz w:val="32"/>
        </w:rPr>
      </w:pPr>
      <w:r>
        <w:rPr>
          <w:rFonts w:eastAsia="黑体"/>
          <w:color w:val="auto"/>
          <w:sz w:val="32"/>
        </w:rPr>
        <w:t>编制日期：20</w:t>
      </w:r>
      <w:r>
        <w:rPr>
          <w:rFonts w:hint="eastAsia" w:eastAsia="黑体"/>
          <w:color w:val="auto"/>
          <w:sz w:val="32"/>
        </w:rPr>
        <w:t>20</w:t>
      </w:r>
      <w:r>
        <w:rPr>
          <w:rFonts w:eastAsia="黑体"/>
          <w:color w:val="auto"/>
          <w:sz w:val="32"/>
        </w:rPr>
        <w:t>年</w:t>
      </w:r>
      <w:r>
        <w:rPr>
          <w:rFonts w:hint="eastAsia" w:eastAsia="黑体"/>
          <w:color w:val="auto"/>
          <w:sz w:val="32"/>
          <w:lang w:val="en-US" w:eastAsia="zh-CN"/>
        </w:rPr>
        <w:t>12</w:t>
      </w:r>
      <w:r>
        <w:rPr>
          <w:rFonts w:eastAsia="黑体"/>
          <w:color w:val="auto"/>
          <w:sz w:val="32"/>
        </w:rPr>
        <w:t>月</w:t>
      </w: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napToGrid w:val="0"/>
        <w:spacing w:line="360" w:lineRule="auto"/>
        <w:jc w:val="center"/>
        <w:rPr>
          <w:rFonts w:eastAsia="黑体"/>
          <w:b/>
          <w:color w:val="auto"/>
          <w:sz w:val="30"/>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p>
    <w:p>
      <w:pPr>
        <w:spacing w:line="360" w:lineRule="auto"/>
        <w:jc w:val="center"/>
        <w:rPr>
          <w:color w:val="auto"/>
          <w:sz w:val="28"/>
        </w:rPr>
      </w:pPr>
      <w:r>
        <w:rPr>
          <w:color w:val="auto"/>
          <w:sz w:val="28"/>
        </w:rPr>
        <w:t>《建设项目环境影响报告表》编制说明</w:t>
      </w:r>
    </w:p>
    <w:p>
      <w:pPr>
        <w:spacing w:line="360" w:lineRule="auto"/>
        <w:rPr>
          <w:color w:val="auto"/>
          <w:sz w:val="28"/>
        </w:rPr>
      </w:pPr>
    </w:p>
    <w:p>
      <w:pPr>
        <w:spacing w:line="360" w:lineRule="auto"/>
        <w:ind w:firstLine="480" w:firstLineChars="200"/>
        <w:rPr>
          <w:color w:val="auto"/>
          <w:sz w:val="24"/>
        </w:rPr>
      </w:pPr>
      <w:r>
        <w:rPr>
          <w:color w:val="auto"/>
          <w:sz w:val="24"/>
        </w:rPr>
        <w:t>《建设项目环境影响报告表》由具有从事环境影响评价工作资质的单位编制。</w:t>
      </w:r>
    </w:p>
    <w:p>
      <w:pPr>
        <w:spacing w:line="360" w:lineRule="auto"/>
        <w:ind w:firstLine="480" w:firstLineChars="200"/>
        <w:rPr>
          <w:color w:val="auto"/>
          <w:sz w:val="24"/>
        </w:rPr>
      </w:pPr>
      <w:r>
        <w:rPr>
          <w:color w:val="auto"/>
          <w:sz w:val="24"/>
        </w:rPr>
        <w:t>1．项目名称——指项目立项批复时的名称，应不超过30个字（两个英文字段作一个汉字）。</w:t>
      </w:r>
    </w:p>
    <w:p>
      <w:pPr>
        <w:spacing w:line="360" w:lineRule="auto"/>
        <w:ind w:firstLine="480" w:firstLineChars="200"/>
        <w:rPr>
          <w:color w:val="auto"/>
          <w:sz w:val="24"/>
        </w:rPr>
      </w:pPr>
      <w:r>
        <w:rPr>
          <w:color w:val="auto"/>
          <w:sz w:val="24"/>
        </w:rPr>
        <w:t>2．建设地点——指项目所在地详细地址，公路、铁路应填写起止地点。</w:t>
      </w:r>
    </w:p>
    <w:p>
      <w:pPr>
        <w:spacing w:line="360" w:lineRule="auto"/>
        <w:ind w:firstLine="480" w:firstLineChars="200"/>
        <w:rPr>
          <w:color w:val="auto"/>
          <w:sz w:val="24"/>
        </w:rPr>
      </w:pPr>
      <w:r>
        <w:rPr>
          <w:color w:val="auto"/>
          <w:sz w:val="24"/>
        </w:rPr>
        <w:t>3．行业类别——按国标填写。</w:t>
      </w:r>
    </w:p>
    <w:p>
      <w:pPr>
        <w:spacing w:line="360" w:lineRule="auto"/>
        <w:ind w:firstLine="480" w:firstLineChars="200"/>
        <w:rPr>
          <w:color w:val="auto"/>
          <w:sz w:val="24"/>
        </w:rPr>
      </w:pPr>
      <w:r>
        <w:rPr>
          <w:color w:val="auto"/>
          <w:sz w:val="24"/>
        </w:rPr>
        <w:t xml:space="preserve">4．总投资——指项目投资总额。 </w:t>
      </w:r>
    </w:p>
    <w:p>
      <w:pPr>
        <w:spacing w:line="360" w:lineRule="auto"/>
        <w:ind w:firstLine="480" w:firstLineChars="200"/>
        <w:rPr>
          <w:color w:val="auto"/>
          <w:sz w:val="24"/>
        </w:rPr>
      </w:pPr>
      <w:r>
        <w:rPr>
          <w:color w:val="auto"/>
          <w:sz w:val="24"/>
        </w:rPr>
        <w:t>5．主要环境保护目标 —— 指项目区周围一定范围内集中居民住宅区、学校、医院、保护文物、风景名胜区、水源地和生态敏感点等，应尽可能给出保护目标、性质、规模和距厂界距离等。</w:t>
      </w:r>
    </w:p>
    <w:p>
      <w:pPr>
        <w:spacing w:line="360" w:lineRule="auto"/>
        <w:ind w:firstLine="480" w:firstLineChars="200"/>
        <w:rPr>
          <w:color w:val="auto"/>
          <w:sz w:val="24"/>
        </w:rPr>
      </w:pPr>
      <w:r>
        <w:rPr>
          <w:color w:val="auto"/>
          <w:sz w:val="24"/>
        </w:rPr>
        <w:t>6．结论与建议 —— 给出本项目清洁生产、达标排放和总量控制的分析结论，确定污染防治措施的有效性，说明本项目对环境造成的影响，给出建设项目环境可行性的明确结论。同时提出减少环境影响的其它建议。</w:t>
      </w:r>
    </w:p>
    <w:p>
      <w:pPr>
        <w:spacing w:line="360" w:lineRule="auto"/>
        <w:ind w:firstLine="480" w:firstLineChars="200"/>
        <w:rPr>
          <w:color w:val="auto"/>
          <w:sz w:val="24"/>
        </w:rPr>
      </w:pPr>
      <w:r>
        <w:rPr>
          <w:color w:val="auto"/>
          <w:sz w:val="24"/>
        </w:rPr>
        <w:t>7．预审意见——由行业主管部门填写答复意见，无主管部门项目，可不填。</w:t>
      </w:r>
    </w:p>
    <w:p>
      <w:pPr>
        <w:spacing w:line="360" w:lineRule="auto"/>
        <w:ind w:firstLine="480" w:firstLineChars="200"/>
        <w:rPr>
          <w:color w:val="auto"/>
          <w:sz w:val="24"/>
        </w:rPr>
      </w:pPr>
      <w:r>
        <w:rPr>
          <w:color w:val="auto"/>
          <w:sz w:val="24"/>
        </w:rPr>
        <w:t>8．审批意见——由负责审批该项目的环境保护行政主管部门批复。</w:t>
      </w:r>
    </w:p>
    <w:p>
      <w:pPr>
        <w:spacing w:line="360" w:lineRule="auto"/>
        <w:ind w:firstLine="480" w:firstLineChars="200"/>
        <w:rPr>
          <w:color w:val="auto"/>
          <w:sz w:val="24"/>
        </w:rPr>
        <w:sectPr>
          <w:headerReference r:id="rId4" w:type="first"/>
          <w:footerReference r:id="rId7" w:type="first"/>
          <w:headerReference r:id="rId3" w:type="default"/>
          <w:footerReference r:id="rId5" w:type="default"/>
          <w:footerReference r:id="rId6" w:type="even"/>
          <w:pgSz w:w="11906" w:h="16838"/>
          <w:pgMar w:top="1440" w:right="1800" w:bottom="1440" w:left="1800" w:header="851" w:footer="992" w:gutter="0"/>
          <w:pgBorders>
            <w:top w:val="none" w:sz="0" w:space="0"/>
            <w:left w:val="none" w:sz="0" w:space="0"/>
            <w:bottom w:val="none" w:sz="0" w:space="0"/>
            <w:right w:val="none" w:sz="0" w:space="0"/>
          </w:pgBorders>
          <w:pgNumType w:start="0"/>
          <w:cols w:space="720" w:num="1"/>
          <w:titlePg/>
          <w:docGrid w:type="lines" w:linePitch="312" w:charSpace="0"/>
        </w:sectPr>
      </w:pPr>
    </w:p>
    <w:p>
      <w:pPr>
        <w:pStyle w:val="21"/>
        <w:rPr>
          <w:color w:val="auto"/>
        </w:rPr>
        <w:sectPr>
          <w:pgSz w:w="11906" w:h="16838"/>
          <w:pgMar w:top="1440" w:right="1800" w:bottom="1440" w:left="1800" w:header="851" w:footer="992" w:gutter="0"/>
          <w:pgBorders>
            <w:top w:val="none" w:sz="0" w:space="0"/>
            <w:left w:val="none" w:sz="0" w:space="0"/>
            <w:bottom w:val="none" w:sz="0" w:space="0"/>
            <w:right w:val="none" w:sz="0" w:space="0"/>
          </w:pgBorders>
          <w:pgNumType w:start="0"/>
          <w:cols w:space="720" w:num="1"/>
          <w:titlePg/>
          <w:docGrid w:type="lines" w:linePitch="312" w:charSpace="0"/>
        </w:sectPr>
      </w:pPr>
    </w:p>
    <w:p>
      <w:pPr>
        <w:pStyle w:val="312"/>
        <w:jc w:val="left"/>
        <w:rPr>
          <w:rFonts w:ascii="Times New Roman" w:hAnsi="Times New Roman"/>
          <w:color w:val="auto"/>
        </w:rPr>
      </w:pPr>
      <w:r>
        <w:rPr>
          <w:rFonts w:ascii="Times New Roman" w:hAnsi="Times New Roman"/>
          <w:color w:val="auto"/>
        </w:rPr>
        <w:t>建设项目基本情况</w:t>
      </w:r>
    </w:p>
    <w:tbl>
      <w:tblPr>
        <w:tblStyle w:val="56"/>
        <w:tblW w:w="85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9"/>
        <w:gridCol w:w="1276"/>
        <w:gridCol w:w="293"/>
        <w:gridCol w:w="579"/>
        <w:gridCol w:w="710"/>
        <w:gridCol w:w="1511"/>
        <w:gridCol w:w="963"/>
        <w:gridCol w:w="496"/>
        <w:gridCol w:w="14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1309" w:type="dxa"/>
            <w:tcBorders>
              <w:top w:val="single" w:color="auto" w:sz="12" w:space="0"/>
              <w:left w:val="single" w:color="auto" w:sz="12" w:space="0"/>
            </w:tcBorders>
            <w:vAlign w:val="center"/>
          </w:tcPr>
          <w:p>
            <w:pPr>
              <w:jc w:val="center"/>
              <w:rPr>
                <w:color w:val="auto"/>
                <w:sz w:val="24"/>
                <w:szCs w:val="24"/>
              </w:rPr>
            </w:pPr>
            <w:r>
              <w:rPr>
                <w:color w:val="auto"/>
                <w:sz w:val="24"/>
                <w:szCs w:val="24"/>
              </w:rPr>
              <w:t>项目名称</w:t>
            </w:r>
          </w:p>
        </w:tc>
        <w:tc>
          <w:tcPr>
            <w:tcW w:w="7233" w:type="dxa"/>
            <w:gridSpan w:val="8"/>
            <w:tcBorders>
              <w:top w:val="single" w:color="auto" w:sz="12" w:space="0"/>
              <w:right w:val="single" w:color="auto" w:sz="12" w:space="0"/>
            </w:tcBorders>
            <w:vAlign w:val="center"/>
          </w:tcPr>
          <w:p>
            <w:pPr>
              <w:jc w:val="center"/>
              <w:rPr>
                <w:rFonts w:hint="eastAsia" w:eastAsia="宋体"/>
                <w:color w:val="auto"/>
                <w:sz w:val="24"/>
                <w:szCs w:val="24"/>
                <w:lang w:eastAsia="zh-CN"/>
              </w:rPr>
            </w:pPr>
            <w:r>
              <w:rPr>
                <w:rFonts w:hint="eastAsia"/>
                <w:color w:val="auto"/>
                <w:sz w:val="24"/>
                <w:szCs w:val="24"/>
                <w:lang w:eastAsia="zh-CN"/>
              </w:rPr>
              <w:t>年产5000件机械零部件项目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建设单位</w:t>
            </w:r>
          </w:p>
        </w:tc>
        <w:tc>
          <w:tcPr>
            <w:tcW w:w="7233" w:type="dxa"/>
            <w:gridSpan w:val="8"/>
            <w:tcBorders>
              <w:right w:val="single" w:color="auto" w:sz="12" w:space="0"/>
            </w:tcBorders>
            <w:vAlign w:val="center"/>
          </w:tcPr>
          <w:p>
            <w:pPr>
              <w:jc w:val="center"/>
              <w:rPr>
                <w:rFonts w:hint="eastAsia" w:eastAsia="宋体"/>
                <w:color w:val="auto"/>
                <w:sz w:val="24"/>
                <w:szCs w:val="24"/>
                <w:lang w:eastAsia="zh-CN"/>
              </w:rPr>
            </w:pPr>
            <w:r>
              <w:rPr>
                <w:rFonts w:hint="eastAsia"/>
                <w:color w:val="auto"/>
                <w:sz w:val="24"/>
                <w:szCs w:val="24"/>
                <w:lang w:eastAsia="zh-CN"/>
              </w:rPr>
              <w:t xml:space="preserve"> 常州旻昱智能科技有限公司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法人代表</w:t>
            </w:r>
          </w:p>
        </w:tc>
        <w:tc>
          <w:tcPr>
            <w:tcW w:w="2858" w:type="dxa"/>
            <w:gridSpan w:val="4"/>
            <w:vAlign w:val="center"/>
          </w:tcPr>
          <w:p>
            <w:pPr>
              <w:jc w:val="center"/>
              <w:rPr>
                <w:rFonts w:hint="eastAsia" w:eastAsia="宋体"/>
                <w:color w:val="auto"/>
                <w:sz w:val="24"/>
                <w:szCs w:val="24"/>
                <w:lang w:eastAsia="zh-CN"/>
              </w:rPr>
            </w:pPr>
          </w:p>
        </w:tc>
        <w:tc>
          <w:tcPr>
            <w:tcW w:w="1511" w:type="dxa"/>
            <w:vAlign w:val="center"/>
          </w:tcPr>
          <w:p>
            <w:pPr>
              <w:jc w:val="center"/>
              <w:rPr>
                <w:color w:val="auto"/>
                <w:sz w:val="24"/>
                <w:szCs w:val="24"/>
              </w:rPr>
            </w:pPr>
            <w:r>
              <w:rPr>
                <w:rFonts w:hint="eastAsia"/>
                <w:color w:val="auto"/>
                <w:sz w:val="24"/>
                <w:szCs w:val="24"/>
              </w:rPr>
              <w:t>联系人</w:t>
            </w:r>
          </w:p>
        </w:tc>
        <w:tc>
          <w:tcPr>
            <w:tcW w:w="2864" w:type="dxa"/>
            <w:gridSpan w:val="3"/>
            <w:tcBorders>
              <w:right w:val="single" w:color="auto" w:sz="12" w:space="0"/>
            </w:tcBorders>
            <w:vAlign w:val="center"/>
          </w:tcPr>
          <w:p>
            <w:pPr>
              <w:jc w:val="center"/>
              <w:rPr>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通讯地址</w:t>
            </w:r>
          </w:p>
        </w:tc>
        <w:tc>
          <w:tcPr>
            <w:tcW w:w="7233" w:type="dxa"/>
            <w:gridSpan w:val="8"/>
            <w:tcBorders>
              <w:right w:val="single" w:color="auto" w:sz="12" w:space="0"/>
            </w:tcBorders>
            <w:vAlign w:val="center"/>
          </w:tcPr>
          <w:p>
            <w:pPr>
              <w:jc w:val="center"/>
              <w:rPr>
                <w:rFonts w:hint="default" w:eastAsia="宋体"/>
                <w:color w:val="auto"/>
                <w:sz w:val="24"/>
                <w:szCs w:val="24"/>
                <w:lang w:val="en-US" w:eastAsia="zh-CN"/>
              </w:rPr>
            </w:pPr>
            <w:r>
              <w:rPr>
                <w:rFonts w:hint="eastAsia"/>
                <w:color w:val="auto"/>
                <w:sz w:val="24"/>
                <w:szCs w:val="24"/>
              </w:rPr>
              <w:t>常州市金坛区</w:t>
            </w:r>
            <w:r>
              <w:rPr>
                <w:rFonts w:hint="eastAsia"/>
                <w:color w:val="auto"/>
                <w:sz w:val="24"/>
                <w:szCs w:val="24"/>
                <w:lang w:eastAsia="zh-CN"/>
              </w:rPr>
              <w:t>龙湖路</w:t>
            </w:r>
            <w:r>
              <w:rPr>
                <w:rFonts w:hint="eastAsia"/>
                <w:color w:val="auto"/>
                <w:sz w:val="24"/>
                <w:szCs w:val="24"/>
                <w:lang w:val="en-US" w:eastAsia="zh-CN"/>
              </w:rPr>
              <w:t>2号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联系电话</w:t>
            </w:r>
          </w:p>
        </w:tc>
        <w:tc>
          <w:tcPr>
            <w:tcW w:w="2148" w:type="dxa"/>
            <w:gridSpan w:val="3"/>
            <w:vAlign w:val="center"/>
          </w:tcPr>
          <w:p>
            <w:pPr>
              <w:jc w:val="center"/>
              <w:rPr>
                <w:color w:val="auto"/>
                <w:sz w:val="24"/>
                <w:szCs w:val="24"/>
              </w:rPr>
            </w:pPr>
          </w:p>
        </w:tc>
        <w:tc>
          <w:tcPr>
            <w:tcW w:w="710" w:type="dxa"/>
            <w:vAlign w:val="center"/>
          </w:tcPr>
          <w:p>
            <w:pPr>
              <w:jc w:val="center"/>
              <w:rPr>
                <w:color w:val="auto"/>
                <w:sz w:val="24"/>
                <w:szCs w:val="24"/>
              </w:rPr>
            </w:pPr>
            <w:r>
              <w:rPr>
                <w:rFonts w:hint="eastAsia"/>
                <w:color w:val="auto"/>
                <w:sz w:val="24"/>
                <w:szCs w:val="24"/>
              </w:rPr>
              <w:t>传真</w:t>
            </w:r>
          </w:p>
        </w:tc>
        <w:tc>
          <w:tcPr>
            <w:tcW w:w="1511" w:type="dxa"/>
            <w:vAlign w:val="center"/>
          </w:tcPr>
          <w:p>
            <w:pPr>
              <w:jc w:val="center"/>
              <w:rPr>
                <w:color w:val="auto"/>
                <w:sz w:val="24"/>
                <w:szCs w:val="24"/>
              </w:rPr>
            </w:pPr>
            <w:r>
              <w:rPr>
                <w:color w:val="auto"/>
                <w:sz w:val="24"/>
                <w:szCs w:val="24"/>
              </w:rPr>
              <w:t>/</w:t>
            </w:r>
          </w:p>
        </w:tc>
        <w:tc>
          <w:tcPr>
            <w:tcW w:w="1459" w:type="dxa"/>
            <w:gridSpan w:val="2"/>
            <w:tcBorders>
              <w:right w:val="single" w:color="auto" w:sz="2" w:space="0"/>
            </w:tcBorders>
            <w:vAlign w:val="center"/>
          </w:tcPr>
          <w:p>
            <w:pPr>
              <w:jc w:val="center"/>
              <w:rPr>
                <w:color w:val="auto"/>
                <w:sz w:val="24"/>
                <w:szCs w:val="24"/>
              </w:rPr>
            </w:pPr>
            <w:r>
              <w:rPr>
                <w:rFonts w:hint="eastAsia"/>
                <w:color w:val="auto"/>
                <w:sz w:val="24"/>
                <w:szCs w:val="24"/>
              </w:rPr>
              <w:t>邮政编码</w:t>
            </w:r>
          </w:p>
        </w:tc>
        <w:tc>
          <w:tcPr>
            <w:tcW w:w="1405" w:type="dxa"/>
            <w:tcBorders>
              <w:left w:val="single" w:color="auto" w:sz="2" w:space="0"/>
              <w:right w:val="single" w:color="auto" w:sz="12" w:space="0"/>
            </w:tcBorders>
            <w:vAlign w:val="center"/>
          </w:tcPr>
          <w:p>
            <w:pPr>
              <w:jc w:val="center"/>
              <w:rPr>
                <w:color w:val="auto"/>
                <w:sz w:val="24"/>
                <w:szCs w:val="24"/>
              </w:rPr>
            </w:pPr>
            <w:r>
              <w:rPr>
                <w:rFonts w:hint="eastAsia"/>
                <w:color w:val="auto"/>
                <w:sz w:val="24"/>
                <w:szCs w:val="24"/>
              </w:rPr>
              <w:t>213200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建设地点</w:t>
            </w:r>
          </w:p>
        </w:tc>
        <w:tc>
          <w:tcPr>
            <w:tcW w:w="7233" w:type="dxa"/>
            <w:gridSpan w:val="8"/>
            <w:tcBorders>
              <w:right w:val="single" w:color="auto" w:sz="12" w:space="0"/>
            </w:tcBorders>
            <w:vAlign w:val="center"/>
          </w:tcPr>
          <w:p>
            <w:pPr>
              <w:jc w:val="center"/>
              <w:rPr>
                <w:color w:val="auto"/>
                <w:sz w:val="24"/>
                <w:szCs w:val="24"/>
              </w:rPr>
            </w:pPr>
            <w:r>
              <w:rPr>
                <w:rFonts w:hint="eastAsia"/>
                <w:color w:val="auto"/>
                <w:sz w:val="24"/>
                <w:szCs w:val="24"/>
              </w:rPr>
              <w:t>常州市金坛区</w:t>
            </w:r>
            <w:r>
              <w:rPr>
                <w:rFonts w:hint="eastAsia"/>
                <w:color w:val="auto"/>
                <w:sz w:val="24"/>
                <w:szCs w:val="24"/>
                <w:lang w:eastAsia="zh-CN"/>
              </w:rPr>
              <w:t>龙湖路</w:t>
            </w:r>
            <w:r>
              <w:rPr>
                <w:rFonts w:hint="eastAsia"/>
                <w:color w:val="auto"/>
                <w:sz w:val="24"/>
                <w:szCs w:val="24"/>
                <w:lang w:val="en-US" w:eastAsia="zh-CN"/>
              </w:rPr>
              <w:t>2号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立项审批部门</w:t>
            </w:r>
          </w:p>
        </w:tc>
        <w:tc>
          <w:tcPr>
            <w:tcW w:w="2858" w:type="dxa"/>
            <w:gridSpan w:val="4"/>
            <w:vAlign w:val="center"/>
          </w:tcPr>
          <w:p>
            <w:pPr>
              <w:jc w:val="center"/>
              <w:rPr>
                <w:rFonts w:hint="eastAsia" w:eastAsia="宋体"/>
                <w:color w:val="auto"/>
                <w:sz w:val="24"/>
                <w:szCs w:val="24"/>
                <w:lang w:eastAsia="zh-CN"/>
              </w:rPr>
            </w:pPr>
            <w:r>
              <w:rPr>
                <w:rFonts w:hint="eastAsia"/>
                <w:color w:val="auto"/>
                <w:sz w:val="24"/>
                <w:szCs w:val="24"/>
                <w:lang w:eastAsia="zh-CN"/>
              </w:rPr>
              <w:t>江苏省金坛经济开发区科技经贸局</w:t>
            </w:r>
          </w:p>
        </w:tc>
        <w:tc>
          <w:tcPr>
            <w:tcW w:w="1511" w:type="dxa"/>
            <w:vAlign w:val="center"/>
          </w:tcPr>
          <w:p>
            <w:pPr>
              <w:jc w:val="center"/>
              <w:rPr>
                <w:color w:val="auto"/>
                <w:sz w:val="24"/>
                <w:szCs w:val="24"/>
              </w:rPr>
            </w:pPr>
            <w:r>
              <w:rPr>
                <w:color w:val="auto"/>
                <w:sz w:val="24"/>
                <w:szCs w:val="24"/>
              </w:rPr>
              <w:t>批准文号</w:t>
            </w:r>
          </w:p>
        </w:tc>
        <w:tc>
          <w:tcPr>
            <w:tcW w:w="2864" w:type="dxa"/>
            <w:gridSpan w:val="3"/>
            <w:tcBorders>
              <w:right w:val="single" w:color="auto" w:sz="12" w:space="0"/>
            </w:tcBorders>
            <w:vAlign w:val="center"/>
          </w:tcPr>
          <w:p>
            <w:pPr>
              <w:snapToGrid w:val="0"/>
              <w:rPr>
                <w:color w:val="auto"/>
                <w:sz w:val="24"/>
              </w:rPr>
            </w:pPr>
            <w:r>
              <w:rPr>
                <w:rFonts w:hint="eastAsia"/>
                <w:color w:val="auto"/>
                <w:sz w:val="24"/>
                <w:lang w:eastAsia="zh-CN"/>
              </w:rPr>
              <w:t>坛开科经备字</w:t>
            </w:r>
            <w:r>
              <w:rPr>
                <w:rFonts w:hint="eastAsia"/>
                <w:color w:val="auto"/>
                <w:sz w:val="24"/>
              </w:rPr>
              <w:t>[2020]2</w:t>
            </w:r>
            <w:r>
              <w:rPr>
                <w:rFonts w:hint="eastAsia"/>
                <w:color w:val="auto"/>
                <w:sz w:val="24"/>
                <w:lang w:val="en-US" w:eastAsia="zh-CN"/>
              </w:rPr>
              <w:t>12</w:t>
            </w:r>
            <w:r>
              <w:rPr>
                <w:rFonts w:hint="eastAsia"/>
                <w:color w:val="auto"/>
                <w:sz w:val="24"/>
              </w:rPr>
              <w:t>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建设性质</w:t>
            </w:r>
          </w:p>
        </w:tc>
        <w:tc>
          <w:tcPr>
            <w:tcW w:w="2858" w:type="dxa"/>
            <w:gridSpan w:val="4"/>
            <w:vAlign w:val="center"/>
          </w:tcPr>
          <w:p>
            <w:pPr>
              <w:jc w:val="center"/>
              <w:rPr>
                <w:color w:val="auto"/>
                <w:sz w:val="24"/>
                <w:szCs w:val="24"/>
              </w:rPr>
            </w:pPr>
            <w:r>
              <w:rPr>
                <w:color w:val="auto"/>
                <w:sz w:val="24"/>
                <w:szCs w:val="24"/>
              </w:rPr>
              <w:t>新建</w:t>
            </w:r>
            <w:r>
              <w:rPr>
                <w:rFonts w:hint="eastAsia" w:ascii="宋体" w:hAnsi="宋体"/>
                <w:color w:val="auto"/>
                <w:sz w:val="24"/>
                <w:szCs w:val="24"/>
              </w:rPr>
              <w:sym w:font="Wingdings 2" w:char="0052"/>
            </w:r>
            <w:r>
              <w:rPr>
                <w:color w:val="auto"/>
                <w:sz w:val="24"/>
                <w:szCs w:val="24"/>
              </w:rPr>
              <w:t>改扩建</w:t>
            </w:r>
            <w:bookmarkStart w:id="0" w:name="OLE_LINK3"/>
            <w:bookmarkStart w:id="1" w:name="OLE_LINK2"/>
            <w:r>
              <w:rPr>
                <w:rFonts w:hint="eastAsia" w:ascii="宋体" w:hAnsi="宋体"/>
                <w:color w:val="auto"/>
                <w:sz w:val="24"/>
                <w:szCs w:val="24"/>
              </w:rPr>
              <w:sym w:font="Wingdings 2" w:char="00A3"/>
            </w:r>
            <w:r>
              <w:rPr>
                <w:color w:val="auto"/>
                <w:sz w:val="24"/>
                <w:szCs w:val="24"/>
              </w:rPr>
              <w:t>技改</w:t>
            </w:r>
            <w:bookmarkEnd w:id="0"/>
            <w:bookmarkEnd w:id="1"/>
            <w:r>
              <w:rPr>
                <w:rFonts w:hint="eastAsia" w:ascii="宋体" w:hAnsi="宋体"/>
                <w:color w:val="auto"/>
                <w:sz w:val="24"/>
                <w:szCs w:val="24"/>
              </w:rPr>
              <w:sym w:font="Wingdings 2" w:char="00A3"/>
            </w:r>
          </w:p>
        </w:tc>
        <w:tc>
          <w:tcPr>
            <w:tcW w:w="1511" w:type="dxa"/>
            <w:vAlign w:val="center"/>
          </w:tcPr>
          <w:p>
            <w:pPr>
              <w:jc w:val="center"/>
              <w:rPr>
                <w:color w:val="auto"/>
                <w:sz w:val="24"/>
                <w:szCs w:val="24"/>
              </w:rPr>
            </w:pPr>
            <w:r>
              <w:rPr>
                <w:color w:val="auto"/>
                <w:sz w:val="24"/>
                <w:szCs w:val="24"/>
              </w:rPr>
              <w:t>行业类别</w:t>
            </w:r>
          </w:p>
          <w:p>
            <w:pPr>
              <w:jc w:val="center"/>
              <w:rPr>
                <w:color w:val="auto"/>
                <w:sz w:val="24"/>
                <w:szCs w:val="24"/>
              </w:rPr>
            </w:pPr>
            <w:r>
              <w:rPr>
                <w:color w:val="auto"/>
                <w:sz w:val="24"/>
                <w:szCs w:val="24"/>
              </w:rPr>
              <w:t>及代码</w:t>
            </w:r>
          </w:p>
        </w:tc>
        <w:tc>
          <w:tcPr>
            <w:tcW w:w="2864" w:type="dxa"/>
            <w:gridSpan w:val="3"/>
            <w:tcBorders>
              <w:bottom w:val="single" w:color="auto" w:sz="4" w:space="0"/>
              <w:right w:val="single" w:color="auto" w:sz="12" w:space="0"/>
            </w:tcBorders>
            <w:vAlign w:val="center"/>
          </w:tcPr>
          <w:p>
            <w:pPr>
              <w:snapToGrid w:val="0"/>
              <w:jc w:val="center"/>
              <w:rPr>
                <w:color w:val="auto"/>
                <w:sz w:val="24"/>
                <w:szCs w:val="24"/>
                <w:highlight w:val="yellow"/>
              </w:rPr>
            </w:pPr>
            <w:r>
              <w:rPr>
                <w:rFonts w:hint="eastAsia" w:ascii="Times New Roman" w:hAnsi="Times New Roman" w:cs="Times New Roman"/>
                <w:color w:val="auto"/>
                <w:sz w:val="24"/>
                <w:szCs w:val="24"/>
              </w:rPr>
              <w:t>C3311 金属结构制造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9" w:type="dxa"/>
            <w:tcBorders>
              <w:left w:val="single" w:color="auto" w:sz="12" w:space="0"/>
            </w:tcBorders>
            <w:vAlign w:val="center"/>
          </w:tcPr>
          <w:p>
            <w:pPr>
              <w:jc w:val="center"/>
              <w:rPr>
                <w:color w:val="auto"/>
                <w:sz w:val="24"/>
                <w:szCs w:val="24"/>
              </w:rPr>
            </w:pPr>
            <w:r>
              <w:rPr>
                <w:color w:val="auto"/>
                <w:sz w:val="24"/>
                <w:szCs w:val="24"/>
              </w:rPr>
              <w:t>占地面积（平方米）</w:t>
            </w:r>
          </w:p>
        </w:tc>
        <w:tc>
          <w:tcPr>
            <w:tcW w:w="2858" w:type="dxa"/>
            <w:gridSpan w:val="4"/>
            <w:vAlign w:val="center"/>
          </w:tcPr>
          <w:p>
            <w:pPr>
              <w:jc w:val="center"/>
              <w:rPr>
                <w:rFonts w:hint="default" w:eastAsia="宋体"/>
                <w:color w:val="auto"/>
                <w:sz w:val="24"/>
                <w:szCs w:val="24"/>
                <w:lang w:val="en-US" w:eastAsia="zh-CN"/>
              </w:rPr>
            </w:pPr>
            <w:r>
              <w:rPr>
                <w:rFonts w:hint="eastAsia"/>
                <w:color w:val="auto"/>
                <w:sz w:val="24"/>
                <w:szCs w:val="24"/>
                <w:lang w:val="en-US" w:eastAsia="zh-CN"/>
              </w:rPr>
              <w:t>2500</w:t>
            </w:r>
          </w:p>
        </w:tc>
        <w:tc>
          <w:tcPr>
            <w:tcW w:w="1511" w:type="dxa"/>
            <w:vAlign w:val="center"/>
          </w:tcPr>
          <w:p>
            <w:pPr>
              <w:jc w:val="center"/>
              <w:rPr>
                <w:color w:val="auto"/>
                <w:sz w:val="24"/>
                <w:szCs w:val="24"/>
              </w:rPr>
            </w:pPr>
            <w:r>
              <w:rPr>
                <w:color w:val="auto"/>
                <w:sz w:val="24"/>
                <w:szCs w:val="24"/>
              </w:rPr>
              <w:t>绿化面积</w:t>
            </w:r>
          </w:p>
          <w:p>
            <w:pPr>
              <w:jc w:val="center"/>
              <w:rPr>
                <w:color w:val="auto"/>
                <w:sz w:val="24"/>
                <w:szCs w:val="24"/>
              </w:rPr>
            </w:pPr>
            <w:r>
              <w:rPr>
                <w:color w:val="auto"/>
                <w:sz w:val="24"/>
                <w:szCs w:val="24"/>
              </w:rPr>
              <w:t>（平方米）</w:t>
            </w:r>
          </w:p>
        </w:tc>
        <w:tc>
          <w:tcPr>
            <w:tcW w:w="2864" w:type="dxa"/>
            <w:gridSpan w:val="3"/>
            <w:tcBorders>
              <w:bottom w:val="single" w:color="auto" w:sz="4" w:space="0"/>
              <w:right w:val="single" w:color="auto" w:sz="12" w:space="0"/>
            </w:tcBorders>
            <w:vAlign w:val="center"/>
          </w:tcPr>
          <w:p>
            <w:pPr>
              <w:jc w:val="center"/>
              <w:rPr>
                <w:color w:val="auto"/>
                <w:sz w:val="24"/>
              </w:rPr>
            </w:pP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9" w:type="dxa"/>
            <w:tcBorders>
              <w:left w:val="single" w:color="auto" w:sz="12" w:space="0"/>
            </w:tcBorders>
            <w:shd w:val="clear" w:color="auto" w:fill="auto"/>
            <w:vAlign w:val="center"/>
          </w:tcPr>
          <w:p>
            <w:pPr>
              <w:jc w:val="center"/>
              <w:rPr>
                <w:color w:val="auto"/>
                <w:sz w:val="24"/>
              </w:rPr>
            </w:pPr>
            <w:r>
              <w:rPr>
                <w:color w:val="auto"/>
                <w:sz w:val="24"/>
              </w:rPr>
              <w:t>总投资</w:t>
            </w:r>
          </w:p>
          <w:p>
            <w:pPr>
              <w:jc w:val="center"/>
              <w:rPr>
                <w:color w:val="auto"/>
                <w:sz w:val="24"/>
              </w:rPr>
            </w:pPr>
            <w:r>
              <w:rPr>
                <w:color w:val="auto"/>
                <w:sz w:val="24"/>
              </w:rPr>
              <w:t>（万元）</w:t>
            </w:r>
          </w:p>
        </w:tc>
        <w:tc>
          <w:tcPr>
            <w:tcW w:w="1569" w:type="dxa"/>
            <w:gridSpan w:val="2"/>
            <w:shd w:val="clear" w:color="auto" w:fill="auto"/>
            <w:vAlign w:val="center"/>
          </w:tcPr>
          <w:p>
            <w:pPr>
              <w:jc w:val="center"/>
              <w:rPr>
                <w:rFonts w:hint="default" w:eastAsia="宋体"/>
                <w:color w:val="auto"/>
                <w:sz w:val="24"/>
                <w:lang w:val="en-US" w:eastAsia="zh-CN"/>
              </w:rPr>
            </w:pPr>
            <w:r>
              <w:rPr>
                <w:rFonts w:hint="eastAsia"/>
                <w:color w:val="auto"/>
                <w:sz w:val="24"/>
                <w:lang w:val="en-US" w:eastAsia="zh-CN"/>
              </w:rPr>
              <w:t>350</w:t>
            </w:r>
          </w:p>
        </w:tc>
        <w:tc>
          <w:tcPr>
            <w:tcW w:w="1289" w:type="dxa"/>
            <w:gridSpan w:val="2"/>
            <w:shd w:val="clear" w:color="auto" w:fill="auto"/>
            <w:vAlign w:val="center"/>
          </w:tcPr>
          <w:p>
            <w:pPr>
              <w:jc w:val="center"/>
              <w:rPr>
                <w:color w:val="auto"/>
                <w:sz w:val="24"/>
              </w:rPr>
            </w:pPr>
            <w:r>
              <w:rPr>
                <w:color w:val="auto"/>
                <w:sz w:val="24"/>
              </w:rPr>
              <w:t>其中：环保投资（万元）</w:t>
            </w:r>
          </w:p>
        </w:tc>
        <w:tc>
          <w:tcPr>
            <w:tcW w:w="1511" w:type="dxa"/>
            <w:shd w:val="clear" w:color="auto" w:fill="FFFFFF"/>
            <w:vAlign w:val="center"/>
          </w:tcPr>
          <w:p>
            <w:pPr>
              <w:jc w:val="center"/>
              <w:rPr>
                <w:rFonts w:hint="default" w:eastAsia="宋体"/>
                <w:color w:val="auto"/>
                <w:sz w:val="24"/>
                <w:lang w:val="en-US" w:eastAsia="zh-CN"/>
              </w:rPr>
            </w:pPr>
            <w:r>
              <w:rPr>
                <w:rFonts w:hint="eastAsia"/>
                <w:color w:val="auto"/>
                <w:sz w:val="24"/>
                <w:lang w:val="en-US" w:eastAsia="zh-CN"/>
              </w:rPr>
              <w:t>37.4</w:t>
            </w:r>
          </w:p>
        </w:tc>
        <w:tc>
          <w:tcPr>
            <w:tcW w:w="1459" w:type="dxa"/>
            <w:gridSpan w:val="2"/>
            <w:shd w:val="clear" w:color="auto" w:fill="FFFFFF"/>
            <w:vAlign w:val="center"/>
          </w:tcPr>
          <w:p>
            <w:pPr>
              <w:jc w:val="center"/>
              <w:rPr>
                <w:color w:val="auto"/>
                <w:sz w:val="24"/>
              </w:rPr>
            </w:pPr>
            <w:r>
              <w:rPr>
                <w:color w:val="auto"/>
                <w:sz w:val="24"/>
              </w:rPr>
              <w:t>环保投资占总投资比例</w:t>
            </w:r>
          </w:p>
        </w:tc>
        <w:tc>
          <w:tcPr>
            <w:tcW w:w="1405" w:type="dxa"/>
            <w:tcBorders>
              <w:bottom w:val="single" w:color="auto" w:sz="4" w:space="0"/>
              <w:right w:val="single" w:color="auto" w:sz="12" w:space="0"/>
            </w:tcBorders>
            <w:shd w:val="clear" w:color="auto" w:fill="FFFFFF"/>
            <w:vAlign w:val="center"/>
          </w:tcPr>
          <w:p>
            <w:pPr>
              <w:jc w:val="center"/>
              <w:rPr>
                <w:color w:val="auto"/>
                <w:sz w:val="24"/>
              </w:rPr>
            </w:pPr>
            <w:r>
              <w:rPr>
                <w:rFonts w:hint="eastAsia"/>
                <w:color w:val="auto"/>
                <w:sz w:val="24"/>
                <w:lang w:val="en-US" w:eastAsia="zh-CN"/>
              </w:rPr>
              <w:t>10.69</w:t>
            </w: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9" w:type="dxa"/>
            <w:tcBorders>
              <w:left w:val="single" w:color="auto" w:sz="12" w:space="0"/>
              <w:bottom w:val="nil"/>
            </w:tcBorders>
            <w:vAlign w:val="center"/>
          </w:tcPr>
          <w:p>
            <w:pPr>
              <w:jc w:val="center"/>
              <w:rPr>
                <w:color w:val="auto"/>
                <w:sz w:val="24"/>
              </w:rPr>
            </w:pPr>
            <w:r>
              <w:rPr>
                <w:color w:val="auto"/>
                <w:sz w:val="24"/>
              </w:rPr>
              <w:t>评价经费</w:t>
            </w:r>
          </w:p>
          <w:p>
            <w:pPr>
              <w:jc w:val="center"/>
              <w:rPr>
                <w:color w:val="auto"/>
                <w:sz w:val="24"/>
              </w:rPr>
            </w:pPr>
            <w:r>
              <w:rPr>
                <w:color w:val="auto"/>
                <w:sz w:val="24"/>
              </w:rPr>
              <w:t>（万元）</w:t>
            </w:r>
          </w:p>
        </w:tc>
        <w:tc>
          <w:tcPr>
            <w:tcW w:w="1569" w:type="dxa"/>
            <w:gridSpan w:val="2"/>
            <w:tcBorders>
              <w:bottom w:val="nil"/>
            </w:tcBorders>
            <w:vAlign w:val="center"/>
          </w:tcPr>
          <w:p>
            <w:pPr>
              <w:jc w:val="center"/>
              <w:rPr>
                <w:color w:val="auto"/>
                <w:sz w:val="24"/>
              </w:rPr>
            </w:pPr>
            <w:r>
              <w:rPr>
                <w:color w:val="auto"/>
                <w:sz w:val="24"/>
              </w:rPr>
              <w:t>/</w:t>
            </w:r>
          </w:p>
        </w:tc>
        <w:tc>
          <w:tcPr>
            <w:tcW w:w="1289" w:type="dxa"/>
            <w:gridSpan w:val="2"/>
            <w:tcBorders>
              <w:bottom w:val="nil"/>
            </w:tcBorders>
            <w:vAlign w:val="center"/>
          </w:tcPr>
          <w:p>
            <w:pPr>
              <w:jc w:val="center"/>
              <w:rPr>
                <w:color w:val="auto"/>
                <w:sz w:val="24"/>
              </w:rPr>
            </w:pPr>
            <w:r>
              <w:rPr>
                <w:color w:val="auto"/>
                <w:sz w:val="24"/>
              </w:rPr>
              <w:t>预期投</w:t>
            </w:r>
          </w:p>
          <w:p>
            <w:pPr>
              <w:jc w:val="center"/>
              <w:rPr>
                <w:color w:val="auto"/>
                <w:sz w:val="24"/>
              </w:rPr>
            </w:pPr>
            <w:r>
              <w:rPr>
                <w:color w:val="auto"/>
                <w:sz w:val="24"/>
              </w:rPr>
              <w:t>产日期</w:t>
            </w:r>
          </w:p>
        </w:tc>
        <w:tc>
          <w:tcPr>
            <w:tcW w:w="4375" w:type="dxa"/>
            <w:gridSpan w:val="4"/>
            <w:tcBorders>
              <w:bottom w:val="nil"/>
              <w:right w:val="single" w:color="auto" w:sz="12" w:space="0"/>
            </w:tcBorders>
            <w:vAlign w:val="center"/>
          </w:tcPr>
          <w:p>
            <w:pPr>
              <w:jc w:val="center"/>
              <w:rPr>
                <w:color w:val="auto"/>
                <w:sz w:val="24"/>
              </w:rPr>
            </w:pPr>
            <w:r>
              <w:rPr>
                <w:color w:val="auto"/>
                <w:sz w:val="24"/>
              </w:rPr>
              <w:t>2</w:t>
            </w:r>
            <w:r>
              <w:rPr>
                <w:rFonts w:hint="eastAsia"/>
                <w:color w:val="auto"/>
                <w:sz w:val="24"/>
              </w:rPr>
              <w:t>02</w:t>
            </w:r>
            <w:r>
              <w:rPr>
                <w:rFonts w:hint="eastAsia"/>
                <w:color w:val="auto"/>
                <w:sz w:val="24"/>
                <w:lang w:val="en-US" w:eastAsia="zh-CN"/>
              </w:rPr>
              <w:t>1</w:t>
            </w:r>
            <w:r>
              <w:rPr>
                <w:color w:val="auto"/>
                <w:sz w:val="24"/>
              </w:rPr>
              <w:t>年</w:t>
            </w:r>
            <w:r>
              <w:rPr>
                <w:rFonts w:hint="eastAsia"/>
                <w:color w:val="auto"/>
                <w:sz w:val="24"/>
                <w:lang w:val="en-US" w:eastAsia="zh-CN"/>
              </w:rPr>
              <w:t>6</w:t>
            </w:r>
            <w:r>
              <w:rPr>
                <w:rFonts w:hint="eastAsia"/>
                <w:color w:val="auto"/>
                <w:sz w:val="24"/>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8542" w:type="dxa"/>
            <w:gridSpan w:val="9"/>
            <w:tcBorders>
              <w:top w:val="single" w:color="000000" w:sz="4" w:space="0"/>
              <w:left w:val="single" w:color="auto" w:sz="12" w:space="0"/>
              <w:bottom w:val="single" w:color="000000" w:sz="4" w:space="0"/>
              <w:right w:val="single" w:color="auto" w:sz="12" w:space="0"/>
            </w:tcBorders>
          </w:tcPr>
          <w:p>
            <w:pPr>
              <w:rPr>
                <w:b/>
                <w:bCs/>
                <w:color w:val="auto"/>
                <w:sz w:val="24"/>
              </w:rPr>
            </w:pPr>
            <w:r>
              <w:rPr>
                <w:b/>
                <w:bCs/>
                <w:color w:val="auto"/>
                <w:sz w:val="24"/>
              </w:rPr>
              <w:t>原辅材料（包括名称、用量）及主要设施规格、数量（包括锅炉、发电机等）：</w:t>
            </w:r>
          </w:p>
          <w:p>
            <w:pPr>
              <w:spacing w:line="360" w:lineRule="auto"/>
              <w:ind w:firstLine="480" w:firstLineChars="200"/>
              <w:rPr>
                <w:color w:val="auto"/>
                <w:sz w:val="24"/>
                <w:szCs w:val="24"/>
              </w:rPr>
            </w:pPr>
            <w:r>
              <w:rPr>
                <w:color w:val="auto"/>
                <w:sz w:val="24"/>
                <w:szCs w:val="24"/>
              </w:rPr>
              <w:t>原辅材料消耗详见表1-1，主要设备详见表1-2。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8542" w:type="dxa"/>
            <w:gridSpan w:val="9"/>
            <w:tcBorders>
              <w:top w:val="nil"/>
              <w:left w:val="single" w:color="auto" w:sz="12" w:space="0"/>
              <w:right w:val="single" w:color="auto" w:sz="12" w:space="0"/>
            </w:tcBorders>
            <w:vAlign w:val="center"/>
          </w:tcPr>
          <w:p>
            <w:pPr>
              <w:rPr>
                <w:b/>
                <w:bCs/>
                <w:color w:val="auto"/>
                <w:sz w:val="24"/>
              </w:rPr>
            </w:pPr>
            <w:r>
              <w:rPr>
                <w:b/>
                <w:bCs/>
                <w:color w:val="auto"/>
                <w:sz w:val="24"/>
              </w:rPr>
              <w:t>水及能源消耗量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2585" w:type="dxa"/>
            <w:gridSpan w:val="2"/>
            <w:tcBorders>
              <w:left w:val="single" w:color="auto" w:sz="12" w:space="0"/>
            </w:tcBorders>
            <w:vAlign w:val="center"/>
          </w:tcPr>
          <w:p>
            <w:pPr>
              <w:jc w:val="center"/>
              <w:rPr>
                <w:b/>
                <w:color w:val="auto"/>
                <w:sz w:val="24"/>
              </w:rPr>
            </w:pPr>
            <w:r>
              <w:rPr>
                <w:b/>
                <w:color w:val="auto"/>
                <w:sz w:val="24"/>
              </w:rPr>
              <w:t>名称</w:t>
            </w:r>
          </w:p>
        </w:tc>
        <w:tc>
          <w:tcPr>
            <w:tcW w:w="1582" w:type="dxa"/>
            <w:gridSpan w:val="3"/>
            <w:vAlign w:val="center"/>
          </w:tcPr>
          <w:p>
            <w:pPr>
              <w:jc w:val="center"/>
              <w:rPr>
                <w:b/>
                <w:color w:val="auto"/>
                <w:sz w:val="24"/>
              </w:rPr>
            </w:pPr>
            <w:r>
              <w:rPr>
                <w:b/>
                <w:color w:val="auto"/>
                <w:sz w:val="24"/>
              </w:rPr>
              <w:t>消耗量</w:t>
            </w:r>
          </w:p>
        </w:tc>
        <w:tc>
          <w:tcPr>
            <w:tcW w:w="2474" w:type="dxa"/>
            <w:gridSpan w:val="2"/>
            <w:vAlign w:val="center"/>
          </w:tcPr>
          <w:p>
            <w:pPr>
              <w:jc w:val="center"/>
              <w:rPr>
                <w:b/>
                <w:color w:val="auto"/>
                <w:sz w:val="24"/>
              </w:rPr>
            </w:pPr>
            <w:r>
              <w:rPr>
                <w:b/>
                <w:color w:val="auto"/>
                <w:sz w:val="24"/>
              </w:rPr>
              <w:t>名称</w:t>
            </w:r>
          </w:p>
        </w:tc>
        <w:tc>
          <w:tcPr>
            <w:tcW w:w="1901" w:type="dxa"/>
            <w:gridSpan w:val="2"/>
            <w:tcBorders>
              <w:right w:val="single" w:color="auto" w:sz="12" w:space="0"/>
            </w:tcBorders>
            <w:vAlign w:val="center"/>
          </w:tcPr>
          <w:p>
            <w:pPr>
              <w:jc w:val="center"/>
              <w:rPr>
                <w:b/>
                <w:color w:val="auto"/>
                <w:sz w:val="24"/>
              </w:rPr>
            </w:pPr>
            <w:r>
              <w:rPr>
                <w:b/>
                <w:color w:val="auto"/>
                <w:sz w:val="24"/>
              </w:rPr>
              <w:t>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exact"/>
          <w:jc w:val="center"/>
        </w:trPr>
        <w:tc>
          <w:tcPr>
            <w:tcW w:w="2585" w:type="dxa"/>
            <w:gridSpan w:val="2"/>
            <w:tcBorders>
              <w:left w:val="single" w:color="auto" w:sz="12" w:space="0"/>
            </w:tcBorders>
            <w:vAlign w:val="center"/>
          </w:tcPr>
          <w:p>
            <w:pPr>
              <w:jc w:val="center"/>
              <w:rPr>
                <w:color w:val="auto"/>
                <w:sz w:val="24"/>
                <w:highlight w:val="yellow"/>
              </w:rPr>
            </w:pPr>
            <w:r>
              <w:rPr>
                <w:color w:val="auto"/>
                <w:sz w:val="24"/>
              </w:rPr>
              <w:t>水（吨/年）</w:t>
            </w:r>
          </w:p>
        </w:tc>
        <w:tc>
          <w:tcPr>
            <w:tcW w:w="1582" w:type="dxa"/>
            <w:gridSpan w:val="3"/>
            <w:vAlign w:val="center"/>
          </w:tcPr>
          <w:p>
            <w:pPr>
              <w:jc w:val="center"/>
              <w:rPr>
                <w:rFonts w:hint="default" w:eastAsia="宋体"/>
                <w:color w:val="auto"/>
                <w:sz w:val="24"/>
                <w:lang w:val="en-US" w:eastAsia="zh-CN"/>
              </w:rPr>
            </w:pPr>
            <w:r>
              <w:rPr>
                <w:rFonts w:hint="eastAsia"/>
                <w:color w:val="auto"/>
                <w:sz w:val="24"/>
                <w:lang w:val="en-US" w:eastAsia="zh-CN"/>
              </w:rPr>
              <w:t>1088.48</w:t>
            </w:r>
          </w:p>
        </w:tc>
        <w:tc>
          <w:tcPr>
            <w:tcW w:w="2474" w:type="dxa"/>
            <w:gridSpan w:val="2"/>
            <w:vAlign w:val="center"/>
          </w:tcPr>
          <w:p>
            <w:pPr>
              <w:jc w:val="center"/>
              <w:rPr>
                <w:color w:val="auto"/>
                <w:sz w:val="24"/>
              </w:rPr>
            </w:pPr>
            <w:r>
              <w:rPr>
                <w:color w:val="auto"/>
                <w:sz w:val="24"/>
              </w:rPr>
              <w:t>蒸汽（吨/年）</w:t>
            </w:r>
          </w:p>
        </w:tc>
        <w:tc>
          <w:tcPr>
            <w:tcW w:w="1901" w:type="dxa"/>
            <w:gridSpan w:val="2"/>
            <w:tcBorders>
              <w:right w:val="single" w:color="auto" w:sz="12" w:space="0"/>
            </w:tcBorders>
            <w:vAlign w:val="center"/>
          </w:tcPr>
          <w:p>
            <w:pPr>
              <w:jc w:val="center"/>
              <w:rPr>
                <w:color w:val="auto"/>
                <w:sz w:val="24"/>
              </w:rPr>
            </w:pP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 w:hRule="exact"/>
          <w:jc w:val="center"/>
        </w:trPr>
        <w:tc>
          <w:tcPr>
            <w:tcW w:w="2585" w:type="dxa"/>
            <w:gridSpan w:val="2"/>
            <w:tcBorders>
              <w:left w:val="single" w:color="auto" w:sz="12" w:space="0"/>
            </w:tcBorders>
            <w:vAlign w:val="center"/>
          </w:tcPr>
          <w:p>
            <w:pPr>
              <w:jc w:val="center"/>
              <w:rPr>
                <w:color w:val="auto"/>
                <w:sz w:val="24"/>
                <w:highlight w:val="yellow"/>
              </w:rPr>
            </w:pPr>
            <w:r>
              <w:rPr>
                <w:color w:val="auto"/>
                <w:sz w:val="24"/>
              </w:rPr>
              <w:t>电（千瓦时/年）</w:t>
            </w:r>
          </w:p>
        </w:tc>
        <w:tc>
          <w:tcPr>
            <w:tcW w:w="1582" w:type="dxa"/>
            <w:gridSpan w:val="3"/>
            <w:vAlign w:val="center"/>
          </w:tcPr>
          <w:p>
            <w:pPr>
              <w:jc w:val="center"/>
              <w:rPr>
                <w:color w:val="auto"/>
                <w:sz w:val="24"/>
              </w:rPr>
            </w:pPr>
            <w:r>
              <w:rPr>
                <w:rFonts w:hint="eastAsia"/>
                <w:color w:val="auto"/>
                <w:sz w:val="24"/>
              </w:rPr>
              <w:t>10</w:t>
            </w:r>
            <w:r>
              <w:rPr>
                <w:color w:val="auto"/>
                <w:sz w:val="24"/>
              </w:rPr>
              <w:t>万</w:t>
            </w:r>
          </w:p>
        </w:tc>
        <w:tc>
          <w:tcPr>
            <w:tcW w:w="2474" w:type="dxa"/>
            <w:gridSpan w:val="2"/>
            <w:vAlign w:val="center"/>
          </w:tcPr>
          <w:p>
            <w:pPr>
              <w:jc w:val="center"/>
              <w:rPr>
                <w:color w:val="auto"/>
                <w:sz w:val="24"/>
              </w:rPr>
            </w:pPr>
            <w:r>
              <w:rPr>
                <w:color w:val="auto"/>
                <w:sz w:val="24"/>
              </w:rPr>
              <w:t>燃气（标立方米/年）</w:t>
            </w:r>
          </w:p>
        </w:tc>
        <w:tc>
          <w:tcPr>
            <w:tcW w:w="1901" w:type="dxa"/>
            <w:gridSpan w:val="2"/>
            <w:tcBorders>
              <w:right w:val="single" w:color="auto" w:sz="12" w:space="0"/>
            </w:tcBorders>
            <w:vAlign w:val="center"/>
          </w:tcPr>
          <w:p>
            <w:pPr>
              <w:jc w:val="center"/>
              <w:rPr>
                <w:color w:val="auto"/>
                <w:sz w:val="24"/>
              </w:rPr>
            </w:pP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5" w:hRule="exact"/>
          <w:jc w:val="center"/>
        </w:trPr>
        <w:tc>
          <w:tcPr>
            <w:tcW w:w="2585" w:type="dxa"/>
            <w:gridSpan w:val="2"/>
            <w:tcBorders>
              <w:left w:val="single" w:color="auto" w:sz="12" w:space="0"/>
            </w:tcBorders>
            <w:vAlign w:val="center"/>
          </w:tcPr>
          <w:p>
            <w:pPr>
              <w:jc w:val="center"/>
              <w:rPr>
                <w:color w:val="auto"/>
                <w:sz w:val="24"/>
              </w:rPr>
            </w:pPr>
            <w:r>
              <w:rPr>
                <w:color w:val="auto"/>
                <w:sz w:val="24"/>
              </w:rPr>
              <w:t>燃煤（吨/年）</w:t>
            </w:r>
          </w:p>
        </w:tc>
        <w:tc>
          <w:tcPr>
            <w:tcW w:w="1582" w:type="dxa"/>
            <w:gridSpan w:val="3"/>
            <w:vAlign w:val="center"/>
          </w:tcPr>
          <w:p>
            <w:pPr>
              <w:jc w:val="center"/>
              <w:rPr>
                <w:color w:val="auto"/>
                <w:sz w:val="24"/>
              </w:rPr>
            </w:pPr>
            <w:r>
              <w:rPr>
                <w:color w:val="auto"/>
                <w:sz w:val="24"/>
              </w:rPr>
              <w:t>——</w:t>
            </w:r>
          </w:p>
        </w:tc>
        <w:tc>
          <w:tcPr>
            <w:tcW w:w="2474" w:type="dxa"/>
            <w:gridSpan w:val="2"/>
            <w:vAlign w:val="center"/>
          </w:tcPr>
          <w:p>
            <w:pPr>
              <w:jc w:val="center"/>
              <w:rPr>
                <w:color w:val="auto"/>
                <w:sz w:val="24"/>
              </w:rPr>
            </w:pPr>
            <w:r>
              <w:rPr>
                <w:color w:val="auto"/>
                <w:sz w:val="24"/>
              </w:rPr>
              <w:t>生物质燃料（吨/年）</w:t>
            </w:r>
          </w:p>
        </w:tc>
        <w:tc>
          <w:tcPr>
            <w:tcW w:w="1901" w:type="dxa"/>
            <w:gridSpan w:val="2"/>
            <w:tcBorders>
              <w:right w:val="single" w:color="auto" w:sz="12" w:space="0"/>
            </w:tcBorders>
            <w:vAlign w:val="center"/>
          </w:tcPr>
          <w:p>
            <w:pPr>
              <w:jc w:val="center"/>
              <w:rPr>
                <w:color w:val="auto"/>
                <w:sz w:val="24"/>
              </w:rPr>
            </w:pP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42" w:type="dxa"/>
            <w:gridSpan w:val="9"/>
            <w:tcBorders>
              <w:left w:val="single" w:color="auto" w:sz="12" w:space="0"/>
              <w:bottom w:val="single" w:color="auto" w:sz="4" w:space="0"/>
              <w:right w:val="single" w:color="auto" w:sz="12" w:space="0"/>
            </w:tcBorders>
          </w:tcPr>
          <w:p>
            <w:pPr>
              <w:spacing w:line="360" w:lineRule="auto"/>
              <w:rPr>
                <w:b/>
                <w:bCs/>
                <w:color w:val="auto"/>
                <w:sz w:val="24"/>
              </w:rPr>
            </w:pPr>
            <w:r>
              <w:rPr>
                <w:b/>
                <w:bCs/>
                <w:color w:val="auto"/>
                <w:sz w:val="24"/>
              </w:rPr>
              <w:t>废水（工业废水</w:t>
            </w:r>
            <w:r>
              <w:rPr>
                <w:color w:val="auto"/>
                <w:szCs w:val="21"/>
              </w:rPr>
              <w:t>□</w:t>
            </w:r>
            <w:r>
              <w:rPr>
                <w:b/>
                <w:bCs/>
                <w:color w:val="auto"/>
                <w:sz w:val="24"/>
              </w:rPr>
              <w:t>、生活污水</w:t>
            </w:r>
            <w:r>
              <w:rPr>
                <w:color w:val="auto"/>
              </w:rPr>
              <w:sym w:font="Wingdings 2" w:char="F052"/>
            </w:r>
            <w:r>
              <w:rPr>
                <w:b/>
                <w:bCs/>
                <w:color w:val="auto"/>
                <w:sz w:val="24"/>
              </w:rPr>
              <w:t>）排水量及排放去向：</w:t>
            </w:r>
          </w:p>
          <w:p>
            <w:pPr>
              <w:spacing w:line="360" w:lineRule="auto"/>
              <w:ind w:firstLine="480" w:firstLineChars="200"/>
              <w:rPr>
                <w:color w:val="auto"/>
                <w:sz w:val="24"/>
              </w:rPr>
            </w:pPr>
            <w:r>
              <w:rPr>
                <w:color w:val="auto"/>
                <w:sz w:val="24"/>
              </w:rPr>
              <w:t>建设项目厂区实行“雨污分流”制，依托</w:t>
            </w:r>
            <w:r>
              <w:rPr>
                <w:rFonts w:hint="eastAsia"/>
                <w:color w:val="auto"/>
                <w:sz w:val="24"/>
                <w:lang w:eastAsia="zh-CN"/>
              </w:rPr>
              <w:t>常州科荣经编有限公司</w:t>
            </w:r>
            <w:r>
              <w:rPr>
                <w:color w:val="auto"/>
                <w:sz w:val="24"/>
              </w:rPr>
              <w:t>厂区现有雨污管网等。雨水经雨水管网收集后就近排入附近河流</w:t>
            </w:r>
            <w:r>
              <w:rPr>
                <w:rFonts w:hint="eastAsia"/>
                <w:color w:val="auto"/>
                <w:sz w:val="24"/>
              </w:rPr>
              <w:t>城西中心河</w:t>
            </w:r>
            <w:r>
              <w:rPr>
                <w:color w:val="auto"/>
                <w:sz w:val="24"/>
              </w:rPr>
              <w:t>。项目排水</w:t>
            </w:r>
            <w:r>
              <w:rPr>
                <w:rFonts w:hint="eastAsia"/>
                <w:color w:val="auto"/>
                <w:sz w:val="24"/>
              </w:rPr>
              <w:t>为</w:t>
            </w:r>
            <w:r>
              <w:rPr>
                <w:color w:val="auto"/>
                <w:sz w:val="24"/>
              </w:rPr>
              <w:t>生活污水</w:t>
            </w:r>
            <w:r>
              <w:rPr>
                <w:rFonts w:hint="eastAsia"/>
                <w:color w:val="auto"/>
                <w:sz w:val="24"/>
              </w:rPr>
              <w:t>。</w:t>
            </w:r>
            <w:r>
              <w:rPr>
                <w:color w:val="auto"/>
                <w:sz w:val="24"/>
              </w:rPr>
              <w:t>生活污水经收集预处理</w:t>
            </w:r>
            <w:r>
              <w:rPr>
                <w:rFonts w:hint="eastAsia"/>
                <w:color w:val="auto"/>
                <w:sz w:val="24"/>
              </w:rPr>
              <w:t>，</w:t>
            </w:r>
            <w:r>
              <w:rPr>
                <w:color w:val="auto"/>
                <w:sz w:val="24"/>
              </w:rPr>
              <w:t>通过</w:t>
            </w:r>
            <w:r>
              <w:rPr>
                <w:rFonts w:hint="eastAsia"/>
                <w:color w:val="auto"/>
                <w:sz w:val="24"/>
                <w:szCs w:val="24"/>
                <w:lang w:eastAsia="zh-CN"/>
              </w:rPr>
              <w:t>常州科荣经编有限公司</w:t>
            </w:r>
            <w:r>
              <w:rPr>
                <w:color w:val="auto"/>
                <w:sz w:val="24"/>
              </w:rPr>
              <w:t>厂区</w:t>
            </w:r>
            <w:r>
              <w:rPr>
                <w:rFonts w:hint="eastAsia"/>
                <w:color w:val="auto"/>
                <w:sz w:val="24"/>
              </w:rPr>
              <w:t>污水</w:t>
            </w:r>
            <w:r>
              <w:rPr>
                <w:color w:val="auto"/>
                <w:sz w:val="24"/>
              </w:rPr>
              <w:t>总排口排入金坛区第二污水处理厂深度处理，达标后排入尧塘河。</w:t>
            </w:r>
            <w:r>
              <w:rPr>
                <w:rFonts w:hint="eastAsia"/>
                <w:color w:val="auto"/>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atLeast"/>
          <w:jc w:val="center"/>
        </w:trPr>
        <w:tc>
          <w:tcPr>
            <w:tcW w:w="8542" w:type="dxa"/>
            <w:gridSpan w:val="9"/>
            <w:tcBorders>
              <w:left w:val="single" w:color="auto" w:sz="12" w:space="0"/>
              <w:bottom w:val="single" w:color="auto" w:sz="12" w:space="0"/>
              <w:right w:val="single" w:color="auto" w:sz="12" w:space="0"/>
            </w:tcBorders>
          </w:tcPr>
          <w:p>
            <w:pPr>
              <w:spacing w:line="360" w:lineRule="auto"/>
              <w:rPr>
                <w:b/>
                <w:bCs/>
                <w:color w:val="auto"/>
                <w:sz w:val="24"/>
              </w:rPr>
            </w:pPr>
            <w:r>
              <w:rPr>
                <w:b/>
                <w:bCs/>
                <w:color w:val="auto"/>
                <w:sz w:val="24"/>
              </w:rPr>
              <w:t>放射性同位素和伴有电磁辐射的设施的使用情况：</w:t>
            </w:r>
          </w:p>
          <w:p>
            <w:pPr>
              <w:spacing w:line="360" w:lineRule="auto"/>
              <w:ind w:firstLine="480" w:firstLineChars="200"/>
              <w:rPr>
                <w:color w:val="auto"/>
                <w:sz w:val="24"/>
              </w:rPr>
            </w:pPr>
            <w:r>
              <w:rPr>
                <w:color w:val="auto"/>
                <w:sz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9" w:hRule="atLeast"/>
          <w:jc w:val="center"/>
        </w:trPr>
        <w:tc>
          <w:tcPr>
            <w:tcW w:w="8542" w:type="dxa"/>
            <w:gridSpan w:val="9"/>
            <w:tcBorders>
              <w:top w:val="single" w:color="auto" w:sz="12" w:space="0"/>
              <w:left w:val="single" w:color="auto" w:sz="12" w:space="0"/>
              <w:bottom w:val="single" w:color="auto" w:sz="12" w:space="0"/>
              <w:right w:val="single" w:color="auto" w:sz="12" w:space="0"/>
            </w:tcBorders>
          </w:tcPr>
          <w:p>
            <w:pPr>
              <w:spacing w:line="360" w:lineRule="auto"/>
              <w:rPr>
                <w:b/>
                <w:color w:val="auto"/>
                <w:sz w:val="24"/>
              </w:rPr>
            </w:pPr>
            <w:r>
              <w:rPr>
                <w:b/>
                <w:color w:val="auto"/>
                <w:sz w:val="24"/>
              </w:rPr>
              <w:t>原辅材料及主要设备：</w:t>
            </w:r>
          </w:p>
          <w:p>
            <w:pPr>
              <w:spacing w:line="360" w:lineRule="auto"/>
              <w:ind w:firstLine="480" w:firstLineChars="200"/>
              <w:rPr>
                <w:b/>
                <w:color w:val="auto"/>
                <w:sz w:val="24"/>
              </w:rPr>
            </w:pPr>
            <w:r>
              <w:rPr>
                <w:b/>
                <w:color w:val="auto"/>
                <w:sz w:val="24"/>
              </w:rPr>
              <w:t>1、原辅材料</w:t>
            </w:r>
          </w:p>
          <w:p>
            <w:pPr>
              <w:ind w:firstLine="480" w:firstLineChars="200"/>
              <w:rPr>
                <w:color w:val="auto"/>
                <w:sz w:val="24"/>
              </w:rPr>
            </w:pPr>
            <w:r>
              <w:rPr>
                <w:color w:val="auto"/>
                <w:sz w:val="24"/>
              </w:rPr>
              <w:t>建设项目主要原辅材料见表1-1。</w:t>
            </w:r>
          </w:p>
          <w:p>
            <w:pPr>
              <w:pStyle w:val="15"/>
              <w:keepNext/>
              <w:jc w:val="center"/>
              <w:rPr>
                <w:rFonts w:ascii="Times New Roman" w:hAnsi="Times New Roman"/>
                <w:color w:val="auto"/>
                <w:kern w:val="2"/>
                <w:sz w:val="21"/>
                <w:szCs w:val="21"/>
              </w:rPr>
            </w:pPr>
            <w:bookmarkStart w:id="2" w:name="_Ref435018892"/>
            <w:r>
              <w:rPr>
                <w:rFonts w:ascii="Times New Roman" w:hAnsi="Times New Roman"/>
                <w:color w:val="auto"/>
                <w:kern w:val="2"/>
                <w:sz w:val="21"/>
                <w:szCs w:val="21"/>
              </w:rPr>
              <w:t>表</w:t>
            </w:r>
            <w:bookmarkEnd w:id="2"/>
            <w:r>
              <w:rPr>
                <w:rFonts w:ascii="Times New Roman" w:hAnsi="Times New Roman"/>
                <w:color w:val="auto"/>
                <w:kern w:val="2"/>
                <w:sz w:val="21"/>
                <w:szCs w:val="21"/>
              </w:rPr>
              <w:t>1-1  主要原辅材料表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76"/>
              <w:gridCol w:w="1242"/>
              <w:gridCol w:w="1040"/>
              <w:gridCol w:w="846"/>
              <w:gridCol w:w="2272"/>
              <w:gridCol w:w="1035"/>
              <w:gridCol w:w="111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b/>
                      <w:color w:val="auto"/>
                      <w:szCs w:val="21"/>
                    </w:rPr>
                  </w:pPr>
                  <w:r>
                    <w:rPr>
                      <w:b/>
                      <w:color w:val="auto"/>
                      <w:szCs w:val="21"/>
                    </w:rPr>
                    <w:t>序号</w:t>
                  </w:r>
                </w:p>
              </w:tc>
              <w:tc>
                <w:tcPr>
                  <w:tcW w:w="746" w:type="pct"/>
                  <w:vAlign w:val="center"/>
                </w:tcPr>
                <w:p>
                  <w:pPr>
                    <w:jc w:val="center"/>
                    <w:rPr>
                      <w:b/>
                      <w:color w:val="auto"/>
                      <w:szCs w:val="21"/>
                    </w:rPr>
                  </w:pPr>
                  <w:r>
                    <w:rPr>
                      <w:b/>
                      <w:color w:val="auto"/>
                      <w:szCs w:val="21"/>
                    </w:rPr>
                    <w:t>原辅料名称</w:t>
                  </w:r>
                </w:p>
              </w:tc>
              <w:tc>
                <w:tcPr>
                  <w:tcW w:w="624" w:type="pct"/>
                  <w:vAlign w:val="center"/>
                </w:tcPr>
                <w:p>
                  <w:pPr>
                    <w:jc w:val="center"/>
                    <w:rPr>
                      <w:b/>
                      <w:color w:val="auto"/>
                      <w:szCs w:val="21"/>
                    </w:rPr>
                  </w:pPr>
                  <w:r>
                    <w:rPr>
                      <w:b/>
                      <w:color w:val="auto"/>
                      <w:szCs w:val="21"/>
                    </w:rPr>
                    <w:t>年用量</w:t>
                  </w:r>
                </w:p>
              </w:tc>
              <w:tc>
                <w:tcPr>
                  <w:tcW w:w="508" w:type="pct"/>
                  <w:vAlign w:val="center"/>
                </w:tcPr>
                <w:p>
                  <w:pPr>
                    <w:jc w:val="center"/>
                    <w:rPr>
                      <w:b/>
                      <w:color w:val="auto"/>
                      <w:szCs w:val="21"/>
                    </w:rPr>
                  </w:pPr>
                  <w:r>
                    <w:rPr>
                      <w:b/>
                      <w:color w:val="auto"/>
                      <w:szCs w:val="21"/>
                    </w:rPr>
                    <w:t>物料形态</w:t>
                  </w:r>
                </w:p>
              </w:tc>
              <w:tc>
                <w:tcPr>
                  <w:tcW w:w="1364" w:type="pct"/>
                  <w:vAlign w:val="center"/>
                </w:tcPr>
                <w:p>
                  <w:pPr>
                    <w:jc w:val="center"/>
                    <w:rPr>
                      <w:b/>
                      <w:color w:val="auto"/>
                      <w:szCs w:val="21"/>
                    </w:rPr>
                  </w:pPr>
                  <w:r>
                    <w:rPr>
                      <w:b/>
                      <w:color w:val="auto"/>
                      <w:szCs w:val="21"/>
                    </w:rPr>
                    <w:t>主要组分</w:t>
                  </w:r>
                </w:p>
              </w:tc>
              <w:tc>
                <w:tcPr>
                  <w:tcW w:w="621" w:type="pct"/>
                  <w:vAlign w:val="center"/>
                </w:tcPr>
                <w:p>
                  <w:pPr>
                    <w:jc w:val="center"/>
                    <w:rPr>
                      <w:b/>
                      <w:color w:val="auto"/>
                      <w:szCs w:val="21"/>
                    </w:rPr>
                  </w:pPr>
                  <w:r>
                    <w:rPr>
                      <w:b/>
                      <w:color w:val="auto"/>
                      <w:szCs w:val="21"/>
                    </w:rPr>
                    <w:t>规格</w:t>
                  </w:r>
                </w:p>
              </w:tc>
              <w:tc>
                <w:tcPr>
                  <w:tcW w:w="668" w:type="pct"/>
                  <w:vAlign w:val="center"/>
                </w:tcPr>
                <w:p>
                  <w:pPr>
                    <w:jc w:val="center"/>
                    <w:rPr>
                      <w:b/>
                      <w:color w:val="auto"/>
                      <w:szCs w:val="21"/>
                    </w:rPr>
                  </w:pPr>
                  <w:r>
                    <w:rPr>
                      <w:b/>
                      <w:color w:val="auto"/>
                      <w:szCs w:val="21"/>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1" w:hRule="atLeast"/>
                <w:jc w:val="center"/>
              </w:trPr>
              <w:tc>
                <w:tcPr>
                  <w:tcW w:w="466" w:type="pct"/>
                  <w:vAlign w:val="center"/>
                </w:tcPr>
                <w:p>
                  <w:pPr>
                    <w:jc w:val="center"/>
                    <w:rPr>
                      <w:rFonts w:hint="eastAsia" w:eastAsia="宋体"/>
                      <w:color w:val="auto"/>
                      <w:szCs w:val="21"/>
                      <w:lang w:val="en-US" w:eastAsia="zh-CN"/>
                    </w:rPr>
                  </w:pPr>
                  <w:r>
                    <w:rPr>
                      <w:rFonts w:hint="eastAsia"/>
                      <w:color w:val="auto"/>
                      <w:szCs w:val="21"/>
                      <w:lang w:val="en-US" w:eastAsia="zh-CN"/>
                    </w:rPr>
                    <w:t>1</w:t>
                  </w:r>
                </w:p>
              </w:tc>
              <w:tc>
                <w:tcPr>
                  <w:tcW w:w="746" w:type="pct"/>
                  <w:vAlign w:val="center"/>
                </w:tcPr>
                <w:p>
                  <w:pPr>
                    <w:jc w:val="center"/>
                    <w:rPr>
                      <w:rFonts w:hint="eastAsia" w:eastAsia="宋体"/>
                      <w:color w:val="auto"/>
                      <w:szCs w:val="21"/>
                      <w:lang w:eastAsia="zh-CN"/>
                    </w:rPr>
                  </w:pPr>
                  <w:r>
                    <w:rPr>
                      <w:rFonts w:hint="eastAsia"/>
                      <w:color w:val="auto"/>
                      <w:szCs w:val="21"/>
                      <w:lang w:eastAsia="zh-CN"/>
                    </w:rPr>
                    <w:t>半成品金属结构件</w:t>
                  </w:r>
                </w:p>
              </w:tc>
              <w:tc>
                <w:tcPr>
                  <w:tcW w:w="624" w:type="pct"/>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5000个/a</w:t>
                  </w:r>
                </w:p>
              </w:tc>
              <w:tc>
                <w:tcPr>
                  <w:tcW w:w="508" w:type="pct"/>
                  <w:vAlign w:val="center"/>
                </w:tcPr>
                <w:p>
                  <w:pPr>
                    <w:jc w:val="center"/>
                    <w:rPr>
                      <w:rFonts w:hint="eastAsia" w:eastAsia="宋体"/>
                      <w:color w:val="auto"/>
                      <w:szCs w:val="21"/>
                      <w:lang w:eastAsia="zh-CN"/>
                    </w:rPr>
                  </w:pPr>
                  <w:r>
                    <w:rPr>
                      <w:rFonts w:hint="eastAsia"/>
                      <w:color w:val="auto"/>
                      <w:szCs w:val="21"/>
                      <w:lang w:eastAsia="zh-CN"/>
                    </w:rPr>
                    <w:t>固态</w:t>
                  </w:r>
                </w:p>
              </w:tc>
              <w:tc>
                <w:tcPr>
                  <w:tcW w:w="1364" w:type="pct"/>
                  <w:vAlign w:val="center"/>
                </w:tcPr>
                <w:p>
                  <w:pPr>
                    <w:jc w:val="center"/>
                    <w:rPr>
                      <w:rFonts w:hint="eastAsia" w:eastAsia="宋体"/>
                      <w:color w:val="auto"/>
                      <w:szCs w:val="21"/>
                      <w:lang w:eastAsia="zh-CN"/>
                    </w:rPr>
                  </w:pPr>
                  <w:r>
                    <w:rPr>
                      <w:rFonts w:hint="eastAsia"/>
                      <w:color w:val="auto"/>
                      <w:szCs w:val="21"/>
                      <w:lang w:eastAsia="zh-CN"/>
                    </w:rPr>
                    <w:t>钢铁件</w:t>
                  </w:r>
                </w:p>
              </w:tc>
              <w:tc>
                <w:tcPr>
                  <w:tcW w:w="621" w:type="pct"/>
                  <w:vAlign w:val="center"/>
                </w:tcPr>
                <w:p>
                  <w:pPr>
                    <w:jc w:val="center"/>
                    <w:rPr>
                      <w:rFonts w:hint="default"/>
                      <w:color w:val="auto"/>
                      <w:lang w:val="en-US" w:eastAsia="zh-CN"/>
                    </w:rPr>
                  </w:pPr>
                  <w:r>
                    <w:rPr>
                      <w:rFonts w:hint="eastAsia"/>
                      <w:color w:val="auto"/>
                      <w:lang w:val="en-US" w:eastAsia="zh-CN"/>
                    </w:rPr>
                    <w:t>尺寸2m</w:t>
                  </w:r>
                  <w:r>
                    <w:rPr>
                      <w:rFonts w:hint="default"/>
                      <w:color w:val="auto"/>
                      <w:lang w:val="en-US" w:eastAsia="zh-CN"/>
                    </w:rPr>
                    <w:t>×</w:t>
                  </w:r>
                  <w:r>
                    <w:rPr>
                      <w:rFonts w:hint="eastAsia"/>
                      <w:color w:val="auto"/>
                      <w:lang w:val="en-US" w:eastAsia="zh-CN"/>
                    </w:rPr>
                    <w:t>2m</w:t>
                  </w:r>
                  <w:r>
                    <w:rPr>
                      <w:rFonts w:hint="default"/>
                      <w:color w:val="auto"/>
                      <w:lang w:val="en-US" w:eastAsia="zh-CN"/>
                    </w:rPr>
                    <w:t>×</w:t>
                  </w:r>
                  <w:r>
                    <w:rPr>
                      <w:rFonts w:hint="eastAsia"/>
                      <w:color w:val="auto"/>
                      <w:lang w:val="en-US" w:eastAsia="zh-CN"/>
                    </w:rPr>
                    <w:t>1m，约3t/个</w:t>
                  </w:r>
                </w:p>
              </w:tc>
              <w:tc>
                <w:tcPr>
                  <w:tcW w:w="668" w:type="pct"/>
                  <w:vAlign w:val="center"/>
                </w:tcPr>
                <w:p>
                  <w:pPr>
                    <w:jc w:val="center"/>
                    <w:rPr>
                      <w:rFonts w:hint="default" w:eastAsia="宋体"/>
                      <w:color w:val="auto"/>
                      <w:szCs w:val="21"/>
                      <w:lang w:val="en-US" w:eastAsia="zh-CN"/>
                    </w:rPr>
                  </w:pPr>
                  <w:r>
                    <w:rPr>
                      <w:rFonts w:hint="eastAsia"/>
                      <w:color w:val="auto"/>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eastAsia" w:eastAsia="宋体"/>
                      <w:color w:val="auto"/>
                      <w:szCs w:val="21"/>
                      <w:lang w:val="en-US" w:eastAsia="zh-CN"/>
                    </w:rPr>
                  </w:pPr>
                  <w:r>
                    <w:rPr>
                      <w:rFonts w:hint="eastAsia"/>
                      <w:color w:val="auto"/>
                      <w:szCs w:val="21"/>
                      <w:lang w:val="en-US" w:eastAsia="zh-CN"/>
                    </w:rPr>
                    <w:t>2</w:t>
                  </w:r>
                </w:p>
              </w:tc>
              <w:tc>
                <w:tcPr>
                  <w:tcW w:w="746" w:type="pct"/>
                  <w:vAlign w:val="center"/>
                </w:tcPr>
                <w:p>
                  <w:pPr>
                    <w:jc w:val="center"/>
                    <w:rPr>
                      <w:rFonts w:hint="eastAsia" w:eastAsia="宋体"/>
                      <w:color w:val="auto"/>
                      <w:szCs w:val="21"/>
                      <w:lang w:eastAsia="zh-CN"/>
                    </w:rPr>
                  </w:pPr>
                  <w:r>
                    <w:rPr>
                      <w:rFonts w:hint="eastAsia"/>
                      <w:color w:val="auto"/>
                      <w:szCs w:val="21"/>
                      <w:lang w:eastAsia="zh-CN"/>
                    </w:rPr>
                    <w:t>水性底漆</w:t>
                  </w:r>
                </w:p>
              </w:tc>
              <w:tc>
                <w:tcPr>
                  <w:tcW w:w="624" w:type="pct"/>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2.0</w:t>
                  </w:r>
                </w:p>
              </w:tc>
              <w:tc>
                <w:tcPr>
                  <w:tcW w:w="508" w:type="pct"/>
                  <w:vAlign w:val="center"/>
                </w:tcPr>
                <w:p>
                  <w:pPr>
                    <w:jc w:val="center"/>
                    <w:rPr>
                      <w:rFonts w:hint="eastAsia" w:eastAsia="宋体"/>
                      <w:color w:val="auto"/>
                      <w:szCs w:val="21"/>
                      <w:lang w:eastAsia="zh-CN"/>
                    </w:rPr>
                  </w:pPr>
                  <w:r>
                    <w:rPr>
                      <w:rFonts w:hint="eastAsia"/>
                      <w:color w:val="auto"/>
                      <w:szCs w:val="21"/>
                      <w:lang w:eastAsia="zh-CN"/>
                    </w:rPr>
                    <w:t>液态</w:t>
                  </w:r>
                </w:p>
              </w:tc>
              <w:tc>
                <w:tcPr>
                  <w:tcW w:w="1364" w:type="pct"/>
                  <w:vAlign w:val="center"/>
                </w:tcPr>
                <w:p>
                  <w:pPr>
                    <w:jc w:val="both"/>
                    <w:rPr>
                      <w:rFonts w:hint="default" w:eastAsia="宋体"/>
                      <w:color w:val="auto"/>
                      <w:szCs w:val="21"/>
                      <w:lang w:val="en-US" w:eastAsia="zh-CN"/>
                    </w:rPr>
                  </w:pPr>
                  <w:r>
                    <w:rPr>
                      <w:rFonts w:hint="eastAsia"/>
                      <w:color w:val="auto"/>
                      <w:szCs w:val="21"/>
                      <w:lang w:val="en-US" w:eastAsia="zh-CN"/>
                    </w:rPr>
                    <w:t>水性环氧树脂40-50%；改性磷酸锌5-7%;三聚磷酸铝2-4%；二乙二醇丁醚0.2-0.4%；去离子水38.6-52.8%</w:t>
                  </w:r>
                </w:p>
              </w:tc>
              <w:tc>
                <w:tcPr>
                  <w:tcW w:w="621" w:type="pct"/>
                  <w:vAlign w:val="center"/>
                </w:tcPr>
                <w:p>
                  <w:pPr>
                    <w:jc w:val="center"/>
                    <w:rPr>
                      <w:rFonts w:hint="default" w:eastAsia="宋体"/>
                      <w:color w:val="auto"/>
                      <w:szCs w:val="21"/>
                      <w:lang w:val="en-US" w:eastAsia="zh-CN"/>
                    </w:rPr>
                  </w:pPr>
                  <w:r>
                    <w:rPr>
                      <w:rFonts w:hint="eastAsia"/>
                      <w:color w:val="auto"/>
                      <w:szCs w:val="21"/>
                      <w:lang w:val="en-US" w:eastAsia="zh-CN"/>
                    </w:rPr>
                    <w:t>20kg/桶</w:t>
                  </w:r>
                </w:p>
              </w:tc>
              <w:tc>
                <w:tcPr>
                  <w:tcW w:w="668" w:type="pct"/>
                  <w:vAlign w:val="center"/>
                </w:tcPr>
                <w:p>
                  <w:pPr>
                    <w:jc w:val="center"/>
                    <w:rPr>
                      <w:rFonts w:hint="default" w:eastAsia="宋体"/>
                      <w:color w:val="auto"/>
                      <w:szCs w:val="21"/>
                      <w:lang w:val="en-US" w:eastAsia="zh-CN"/>
                    </w:rPr>
                  </w:pPr>
                  <w:r>
                    <w:rPr>
                      <w:rFonts w:hint="eastAsia"/>
                      <w:color w:val="auto"/>
                      <w:szCs w:val="21"/>
                      <w:lang w:eastAsia="zh-CN"/>
                    </w:rPr>
                    <w:t>最大储存量</w:t>
                  </w:r>
                  <w:r>
                    <w:rPr>
                      <w:rFonts w:hint="eastAsia"/>
                      <w:color w:val="auto"/>
                      <w:szCs w:val="21"/>
                      <w:lang w:val="en-US" w:eastAsia="zh-CN"/>
                    </w:rPr>
                    <w:t>0.1t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3</w:t>
                  </w:r>
                </w:p>
              </w:tc>
              <w:tc>
                <w:tcPr>
                  <w:tcW w:w="746" w:type="pct"/>
                  <w:vAlign w:val="center"/>
                </w:tcPr>
                <w:p>
                  <w:pPr>
                    <w:jc w:val="center"/>
                    <w:rPr>
                      <w:rFonts w:hint="eastAsia"/>
                      <w:color w:val="auto"/>
                      <w:szCs w:val="21"/>
                      <w:lang w:eastAsia="zh-CN"/>
                    </w:rPr>
                  </w:pPr>
                  <w:r>
                    <w:rPr>
                      <w:rFonts w:hint="eastAsia"/>
                      <w:color w:val="auto"/>
                      <w:szCs w:val="21"/>
                      <w:lang w:eastAsia="zh-CN"/>
                    </w:rPr>
                    <w:t>水性</w:t>
                  </w:r>
                  <w:r>
                    <w:rPr>
                      <w:rFonts w:hint="eastAsia"/>
                      <w:color w:val="auto"/>
                      <w:szCs w:val="21"/>
                      <w:lang w:val="en-US" w:eastAsia="zh-CN"/>
                    </w:rPr>
                    <w:t>底漆固化剂</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1.0</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液态</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环氧树脂60%、异丙醇2%、助剂2%、去离子水36%</w:t>
                  </w:r>
                </w:p>
              </w:tc>
              <w:tc>
                <w:tcPr>
                  <w:tcW w:w="621" w:type="pct"/>
                  <w:vAlign w:val="center"/>
                </w:tcPr>
                <w:p>
                  <w:pPr>
                    <w:jc w:val="center"/>
                    <w:rPr>
                      <w:rFonts w:hint="eastAsia"/>
                      <w:color w:val="auto"/>
                      <w:szCs w:val="21"/>
                      <w:lang w:val="en-US" w:eastAsia="zh-CN"/>
                    </w:rPr>
                  </w:pPr>
                  <w:r>
                    <w:rPr>
                      <w:rFonts w:hint="eastAsia"/>
                      <w:color w:val="auto"/>
                      <w:szCs w:val="21"/>
                      <w:lang w:val="en-US" w:eastAsia="zh-CN"/>
                    </w:rPr>
                    <w:t>20kg/桶</w:t>
                  </w:r>
                </w:p>
              </w:tc>
              <w:tc>
                <w:tcPr>
                  <w:tcW w:w="668" w:type="pct"/>
                  <w:vAlign w:val="center"/>
                </w:tcPr>
                <w:p>
                  <w:pPr>
                    <w:jc w:val="center"/>
                    <w:rPr>
                      <w:rFonts w:hint="eastAsia"/>
                      <w:color w:val="auto"/>
                      <w:szCs w:val="21"/>
                      <w:lang w:eastAsia="zh-CN"/>
                    </w:rPr>
                  </w:pPr>
                  <w:r>
                    <w:rPr>
                      <w:rFonts w:hint="eastAsia"/>
                      <w:color w:val="auto"/>
                      <w:szCs w:val="21"/>
                      <w:lang w:eastAsia="zh-CN"/>
                    </w:rPr>
                    <w:t>最大储存量</w:t>
                  </w:r>
                  <w:r>
                    <w:rPr>
                      <w:rFonts w:hint="eastAsia"/>
                      <w:color w:val="auto"/>
                      <w:szCs w:val="21"/>
                      <w:lang w:val="en-US" w:eastAsia="zh-CN"/>
                    </w:rPr>
                    <w:t>0.04t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color w:val="auto"/>
                      <w:szCs w:val="21"/>
                      <w:lang w:val="en-US" w:eastAsia="zh-CN"/>
                    </w:rPr>
                  </w:pPr>
                  <w:r>
                    <w:rPr>
                      <w:rFonts w:hint="eastAsia"/>
                      <w:color w:val="auto"/>
                      <w:szCs w:val="21"/>
                      <w:lang w:val="en-US" w:eastAsia="zh-CN"/>
                    </w:rPr>
                    <w:t>4</w:t>
                  </w:r>
                </w:p>
              </w:tc>
              <w:tc>
                <w:tcPr>
                  <w:tcW w:w="74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水性面漆</w:t>
                  </w:r>
                </w:p>
              </w:tc>
              <w:tc>
                <w:tcPr>
                  <w:tcW w:w="624" w:type="pct"/>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1.8</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液态</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水性羟基丙烯酸乳液50-60%；钛白粉20-26%；去离子水10-15%</w:t>
                  </w:r>
                </w:p>
              </w:tc>
              <w:tc>
                <w:tcPr>
                  <w:tcW w:w="621" w:type="pct"/>
                  <w:vAlign w:val="center"/>
                </w:tcPr>
                <w:p>
                  <w:pPr>
                    <w:jc w:val="center"/>
                    <w:rPr>
                      <w:rFonts w:hint="eastAsia"/>
                      <w:color w:val="auto"/>
                      <w:szCs w:val="21"/>
                      <w:lang w:val="en-US" w:eastAsia="zh-CN"/>
                    </w:rPr>
                  </w:pPr>
                  <w:r>
                    <w:rPr>
                      <w:rFonts w:hint="eastAsia"/>
                      <w:color w:val="auto"/>
                      <w:szCs w:val="21"/>
                      <w:lang w:val="en-US" w:eastAsia="zh-CN"/>
                    </w:rPr>
                    <w:t>20kg/桶</w:t>
                  </w:r>
                </w:p>
              </w:tc>
              <w:tc>
                <w:tcPr>
                  <w:tcW w:w="668" w:type="pct"/>
                  <w:vAlign w:val="center"/>
                </w:tcPr>
                <w:p>
                  <w:pPr>
                    <w:jc w:val="center"/>
                    <w:rPr>
                      <w:rFonts w:hint="eastAsia"/>
                      <w:color w:val="auto"/>
                      <w:szCs w:val="21"/>
                      <w:lang w:eastAsia="zh-CN"/>
                    </w:rPr>
                  </w:pPr>
                  <w:r>
                    <w:rPr>
                      <w:rFonts w:hint="eastAsia"/>
                      <w:color w:val="auto"/>
                      <w:szCs w:val="21"/>
                      <w:lang w:eastAsia="zh-CN"/>
                    </w:rPr>
                    <w:t>最大储存量</w:t>
                  </w:r>
                  <w:r>
                    <w:rPr>
                      <w:rFonts w:hint="eastAsia"/>
                      <w:color w:val="auto"/>
                      <w:szCs w:val="21"/>
                      <w:lang w:val="en-US" w:eastAsia="zh-CN"/>
                    </w:rPr>
                    <w:t>0.1t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746" w:type="pct"/>
                  <w:vAlign w:val="center"/>
                </w:tcPr>
                <w:p>
                  <w:pPr>
                    <w:jc w:val="center"/>
                    <w:rPr>
                      <w:rFonts w:hint="default"/>
                      <w:color w:val="auto"/>
                      <w:szCs w:val="21"/>
                      <w:lang w:val="en-US" w:eastAsia="zh-CN"/>
                    </w:rPr>
                  </w:pPr>
                  <w:r>
                    <w:rPr>
                      <w:rFonts w:hint="eastAsia"/>
                      <w:color w:val="auto"/>
                      <w:szCs w:val="21"/>
                      <w:lang w:val="en-US" w:eastAsia="zh-CN"/>
                    </w:rPr>
                    <w:t>水性面漆固化剂</w:t>
                  </w:r>
                </w:p>
              </w:tc>
              <w:tc>
                <w:tcPr>
                  <w:tcW w:w="624" w:type="pct"/>
                  <w:vAlign w:val="center"/>
                </w:tcPr>
                <w:p>
                  <w:pPr>
                    <w:widowControl/>
                    <w:jc w:val="center"/>
                    <w:textAlignment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0.9</w:t>
                  </w:r>
                </w:p>
              </w:tc>
              <w:tc>
                <w:tcPr>
                  <w:tcW w:w="508" w:type="pct"/>
                  <w:vAlign w:val="center"/>
                </w:tcPr>
                <w:p>
                  <w:pPr>
                    <w:jc w:val="center"/>
                    <w:rPr>
                      <w:rFonts w:hint="default"/>
                      <w:color w:val="auto"/>
                      <w:szCs w:val="21"/>
                      <w:lang w:val="en-US" w:eastAsia="zh-CN"/>
                    </w:rPr>
                  </w:pPr>
                  <w:r>
                    <w:rPr>
                      <w:rFonts w:hint="eastAsia"/>
                      <w:color w:val="auto"/>
                      <w:szCs w:val="21"/>
                      <w:lang w:eastAsia="zh-CN"/>
                    </w:rPr>
                    <w:t>液态</w:t>
                  </w:r>
                </w:p>
              </w:tc>
              <w:tc>
                <w:tcPr>
                  <w:tcW w:w="1364"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固化剂50-60%、表面活性剂2--30%、去离子水20%</w:t>
                  </w:r>
                </w:p>
              </w:tc>
              <w:tc>
                <w:tcPr>
                  <w:tcW w:w="621" w:type="pct"/>
                  <w:vAlign w:val="center"/>
                </w:tcPr>
                <w:p>
                  <w:pPr>
                    <w:jc w:val="center"/>
                    <w:rPr>
                      <w:rFonts w:hint="eastAsia"/>
                      <w:color w:val="auto"/>
                      <w:szCs w:val="21"/>
                      <w:lang w:val="en-US" w:eastAsia="zh-CN"/>
                    </w:rPr>
                  </w:pPr>
                  <w:r>
                    <w:rPr>
                      <w:rFonts w:hint="eastAsia"/>
                      <w:color w:val="auto"/>
                      <w:szCs w:val="21"/>
                      <w:lang w:val="en-US" w:eastAsia="zh-CN"/>
                    </w:rPr>
                    <w:t>20kg/桶</w:t>
                  </w:r>
                </w:p>
              </w:tc>
              <w:tc>
                <w:tcPr>
                  <w:tcW w:w="668" w:type="pct"/>
                  <w:vAlign w:val="center"/>
                </w:tcPr>
                <w:p>
                  <w:pPr>
                    <w:jc w:val="center"/>
                    <w:rPr>
                      <w:rFonts w:hint="eastAsia"/>
                      <w:color w:val="auto"/>
                      <w:szCs w:val="21"/>
                      <w:lang w:eastAsia="zh-CN"/>
                    </w:rPr>
                  </w:pPr>
                  <w:r>
                    <w:rPr>
                      <w:rFonts w:hint="eastAsia"/>
                      <w:color w:val="auto"/>
                      <w:szCs w:val="21"/>
                      <w:lang w:eastAsia="zh-CN"/>
                    </w:rPr>
                    <w:t>最大储存量</w:t>
                  </w:r>
                  <w:r>
                    <w:rPr>
                      <w:rFonts w:hint="eastAsia"/>
                      <w:color w:val="auto"/>
                      <w:szCs w:val="21"/>
                      <w:lang w:val="en-US" w:eastAsia="zh-CN"/>
                    </w:rPr>
                    <w:t>0.04t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6</w:t>
                  </w:r>
                </w:p>
              </w:tc>
              <w:tc>
                <w:tcPr>
                  <w:tcW w:w="74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塑粉</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1.4t/a</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固态粉末</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rPr>
                    <w:t>环氧树脂 56%、固化剂4.2%、助剂 2%、填料22%、钛白15%、颜料 0.8%</w:t>
                  </w:r>
                </w:p>
              </w:tc>
              <w:tc>
                <w:tcPr>
                  <w:tcW w:w="621"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25kg/箱</w:t>
                  </w:r>
                </w:p>
              </w:tc>
              <w:tc>
                <w:tcPr>
                  <w:tcW w:w="668"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喷塑工序，</w:t>
                  </w:r>
                  <w:r>
                    <w:rPr>
                      <w:rFonts w:hint="eastAsia"/>
                      <w:color w:val="auto"/>
                      <w:szCs w:val="21"/>
                      <w:lang w:val="en-US" w:eastAsia="zh-CN"/>
                    </w:rPr>
                    <w:t>最大储存量0.125t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7</w:t>
                  </w:r>
                </w:p>
              </w:tc>
              <w:tc>
                <w:tcPr>
                  <w:tcW w:w="74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锌丝</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1.2</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固态</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锌丝</w:t>
                  </w:r>
                </w:p>
              </w:tc>
              <w:tc>
                <w:tcPr>
                  <w:tcW w:w="621" w:type="pct"/>
                  <w:vAlign w:val="center"/>
                </w:tcPr>
                <w:p>
                  <w:pPr>
                    <w:jc w:val="center"/>
                    <w:rPr>
                      <w:rFonts w:hint="eastAsia" w:ascii="Times New Roman" w:hAnsi="Times New Roman" w:eastAsia="宋体" w:cs="Times New Roman"/>
                      <w:color w:val="auto"/>
                      <w:kern w:val="2"/>
                      <w:sz w:val="21"/>
                      <w:szCs w:val="21"/>
                      <w:lang w:val="en-US" w:eastAsia="zh-CN" w:bidi="ar-SA"/>
                    </w:rPr>
                  </w:pPr>
                </w:p>
              </w:tc>
              <w:tc>
                <w:tcPr>
                  <w:tcW w:w="66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喷锌工序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8</w:t>
                  </w:r>
                </w:p>
              </w:tc>
              <w:tc>
                <w:tcPr>
                  <w:tcW w:w="74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钢丸</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1t/a</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固态</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不锈钢</w:t>
                  </w:r>
                </w:p>
              </w:tc>
              <w:tc>
                <w:tcPr>
                  <w:tcW w:w="621"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25kg/袋</w:t>
                  </w:r>
                </w:p>
              </w:tc>
              <w:tc>
                <w:tcPr>
                  <w:tcW w:w="66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抛丸工序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74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铁砂</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固态</w:t>
                  </w:r>
                </w:p>
              </w:tc>
              <w:tc>
                <w:tcPr>
                  <w:tcW w:w="1364" w:type="pct"/>
                  <w:vAlign w:val="center"/>
                </w:tcPr>
                <w:p>
                  <w:pPr>
                    <w:jc w:val="both"/>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 xml:space="preserve">         铁</w:t>
                  </w:r>
                </w:p>
              </w:tc>
              <w:tc>
                <w:tcPr>
                  <w:tcW w:w="621"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25kg/袋</w:t>
                  </w:r>
                </w:p>
              </w:tc>
              <w:tc>
                <w:tcPr>
                  <w:tcW w:w="66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喷砂工序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11</w:t>
                  </w:r>
                </w:p>
              </w:tc>
              <w:tc>
                <w:tcPr>
                  <w:tcW w:w="74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切削液</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2t/a</w:t>
                  </w:r>
                </w:p>
              </w:tc>
              <w:tc>
                <w:tcPr>
                  <w:tcW w:w="508"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eastAsia="zh-CN"/>
                    </w:rPr>
                    <w:t>液态</w:t>
                  </w:r>
                </w:p>
              </w:tc>
              <w:tc>
                <w:tcPr>
                  <w:tcW w:w="13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rPr>
                    <w:t>含基础油、表面活性剂、防锈添加剂、极压添加剂、抗氧化剂、水等</w:t>
                  </w:r>
                </w:p>
              </w:tc>
              <w:tc>
                <w:tcPr>
                  <w:tcW w:w="621"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200</w:t>
                  </w:r>
                  <w:r>
                    <w:rPr>
                      <w:rFonts w:hint="eastAsia"/>
                      <w:color w:val="auto"/>
                      <w:szCs w:val="21"/>
                    </w:rPr>
                    <w:t>kg/桶</w:t>
                  </w:r>
                </w:p>
              </w:tc>
              <w:tc>
                <w:tcPr>
                  <w:tcW w:w="668"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数控加工工序，</w:t>
                  </w:r>
                  <w:r>
                    <w:rPr>
                      <w:rFonts w:hint="eastAsia"/>
                      <w:color w:val="auto"/>
                      <w:szCs w:val="21"/>
                      <w:lang w:val="en-US" w:eastAsia="zh-CN"/>
                    </w:rPr>
                    <w:t>最大储存量0.2t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01"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12</w:t>
                  </w:r>
                </w:p>
              </w:tc>
              <w:tc>
                <w:tcPr>
                  <w:tcW w:w="746"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导轨润滑油</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0.5t/a</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液态</w:t>
                  </w:r>
                </w:p>
              </w:tc>
              <w:tc>
                <w:tcPr>
                  <w:tcW w:w="1364"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矿物油</w:t>
                  </w:r>
                </w:p>
              </w:tc>
              <w:tc>
                <w:tcPr>
                  <w:tcW w:w="621"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200</w:t>
                  </w:r>
                  <w:r>
                    <w:rPr>
                      <w:rFonts w:hint="eastAsia"/>
                      <w:color w:val="auto"/>
                      <w:szCs w:val="21"/>
                    </w:rPr>
                    <w:t>kg/桶</w:t>
                  </w:r>
                </w:p>
              </w:tc>
              <w:tc>
                <w:tcPr>
                  <w:tcW w:w="668"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用于维护设备，</w:t>
                  </w:r>
                  <w:r>
                    <w:rPr>
                      <w:rFonts w:hint="eastAsia"/>
                      <w:color w:val="auto"/>
                      <w:szCs w:val="21"/>
                      <w:lang w:val="en-US" w:eastAsia="zh-CN"/>
                    </w:rPr>
                    <w:t>最大储存量0.2t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26" w:hRule="atLeast"/>
                <w:jc w:val="center"/>
              </w:trPr>
              <w:tc>
                <w:tcPr>
                  <w:tcW w:w="466"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13</w:t>
                  </w:r>
                </w:p>
              </w:tc>
              <w:tc>
                <w:tcPr>
                  <w:tcW w:w="746"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Cs w:val="21"/>
                    </w:rPr>
                    <w:t>抹布、海绵、手套等</w:t>
                  </w:r>
                </w:p>
              </w:tc>
              <w:tc>
                <w:tcPr>
                  <w:tcW w:w="624" w:type="pct"/>
                  <w:vAlign w:val="center"/>
                </w:tcPr>
                <w:p>
                  <w:pPr>
                    <w:jc w:val="center"/>
                    <w:rPr>
                      <w:rFonts w:hint="default" w:ascii="Times New Roman" w:hAnsi="Times New Roman" w:eastAsia="宋体" w:cs="Times New Roman"/>
                      <w:color w:val="auto"/>
                      <w:kern w:val="2"/>
                      <w:sz w:val="21"/>
                      <w:szCs w:val="21"/>
                      <w:lang w:val="en-US" w:eastAsia="zh-CN" w:bidi="ar-SA"/>
                    </w:rPr>
                  </w:pPr>
                  <w:r>
                    <w:rPr>
                      <w:color w:val="auto"/>
                      <w:szCs w:val="21"/>
                    </w:rPr>
                    <w:t>0.01t/a</w:t>
                  </w:r>
                </w:p>
              </w:tc>
              <w:tc>
                <w:tcPr>
                  <w:tcW w:w="508"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Cs w:val="21"/>
                    </w:rPr>
                    <w:t>固态</w:t>
                  </w:r>
                </w:p>
              </w:tc>
              <w:tc>
                <w:tcPr>
                  <w:tcW w:w="1364" w:type="pct"/>
                  <w:vAlign w:val="center"/>
                </w:tcPr>
                <w:p>
                  <w:pPr>
                    <w:jc w:val="center"/>
                    <w:rPr>
                      <w:rFonts w:ascii="Times New Roman" w:hAnsi="Times New Roman" w:eastAsia="宋体" w:cs="Times New Roman"/>
                      <w:color w:val="auto"/>
                      <w:kern w:val="2"/>
                      <w:sz w:val="21"/>
                      <w:szCs w:val="21"/>
                      <w:lang w:val="en-US" w:eastAsia="zh-CN" w:bidi="ar-SA"/>
                    </w:rPr>
                  </w:pPr>
                  <w:r>
                    <w:rPr>
                      <w:color w:val="auto"/>
                      <w:szCs w:val="21"/>
                    </w:rPr>
                    <w:t>/</w:t>
                  </w:r>
                </w:p>
              </w:tc>
              <w:tc>
                <w:tcPr>
                  <w:tcW w:w="621" w:type="pct"/>
                  <w:vAlign w:val="center"/>
                </w:tcPr>
                <w:p>
                  <w:pPr>
                    <w:jc w:val="center"/>
                    <w:rPr>
                      <w:rFonts w:ascii="Times New Roman" w:hAnsi="Times New Roman" w:eastAsia="宋体" w:cs="Times New Roman"/>
                      <w:color w:val="auto"/>
                      <w:kern w:val="2"/>
                      <w:sz w:val="21"/>
                      <w:szCs w:val="21"/>
                      <w:lang w:val="en-US" w:eastAsia="zh-CN" w:bidi="ar-SA"/>
                    </w:rPr>
                  </w:pPr>
                  <w:r>
                    <w:rPr>
                      <w:color w:val="auto"/>
                      <w:szCs w:val="21"/>
                    </w:rPr>
                    <w:t xml:space="preserve"> /</w:t>
                  </w:r>
                </w:p>
              </w:tc>
              <w:tc>
                <w:tcPr>
                  <w:tcW w:w="668"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Cs w:val="21"/>
                    </w:rPr>
                    <w:t>用于设备维护时擦拭</w:t>
                  </w:r>
                </w:p>
              </w:tc>
            </w:tr>
          </w:tbl>
          <w:p>
            <w:pPr>
              <w:rPr>
                <w:rFonts w:hint="default" w:eastAsia="宋体"/>
                <w:b/>
                <w:color w:val="auto"/>
                <w:szCs w:val="21"/>
                <w:lang w:val="en-US" w:eastAsia="zh-CN"/>
              </w:rPr>
            </w:pPr>
            <w:r>
              <w:rPr>
                <w:b/>
                <w:color w:val="auto"/>
                <w:szCs w:val="21"/>
              </w:rPr>
              <w:t>注：根据本项目所用漆检测报告</w:t>
            </w:r>
            <w:r>
              <w:rPr>
                <w:rFonts w:hint="eastAsia"/>
                <w:b/>
                <w:color w:val="auto"/>
                <w:szCs w:val="21"/>
              </w:rPr>
              <w:t>，施工状态下，</w:t>
            </w:r>
            <w:r>
              <w:rPr>
                <w:b/>
                <w:color w:val="auto"/>
                <w:szCs w:val="21"/>
              </w:rPr>
              <w:t>本项目所用</w:t>
            </w:r>
            <w:r>
              <w:rPr>
                <w:rFonts w:hint="eastAsia"/>
                <w:b/>
                <w:color w:val="auto"/>
                <w:szCs w:val="21"/>
              </w:rPr>
              <w:t>水性</w:t>
            </w:r>
            <w:r>
              <w:rPr>
                <w:rFonts w:hint="eastAsia"/>
                <w:b/>
                <w:color w:val="auto"/>
                <w:szCs w:val="21"/>
                <w:lang w:val="en-US" w:eastAsia="zh-CN"/>
              </w:rPr>
              <w:t>漆VOCs含量132</w:t>
            </w:r>
            <w:r>
              <w:rPr>
                <w:rFonts w:hint="eastAsia"/>
                <w:b/>
                <w:color w:val="auto"/>
                <w:szCs w:val="21"/>
              </w:rPr>
              <w:t>g/L</w:t>
            </w:r>
            <w:r>
              <w:rPr>
                <w:rFonts w:hint="eastAsia"/>
                <w:b/>
                <w:color w:val="auto"/>
                <w:szCs w:val="21"/>
                <w:lang w:eastAsia="zh-CN"/>
              </w:rPr>
              <w:t>，</w:t>
            </w:r>
            <w:r>
              <w:rPr>
                <w:b/>
                <w:color w:val="auto"/>
                <w:szCs w:val="21"/>
              </w:rPr>
              <w:t>满足《低挥发性有机化合物含量涂料产品技术要求》（GB/T38597-2020）中表1水性涂料中VOC含量要求，</w:t>
            </w:r>
            <w:r>
              <w:rPr>
                <w:rFonts w:hint="eastAsia"/>
                <w:b/>
                <w:color w:val="auto"/>
                <w:szCs w:val="21"/>
              </w:rPr>
              <w:t>工程机械涂料底</w:t>
            </w:r>
            <w:r>
              <w:rPr>
                <w:b/>
                <w:color w:val="auto"/>
                <w:szCs w:val="21"/>
              </w:rPr>
              <w:t>漆≤2</w:t>
            </w:r>
            <w:r>
              <w:rPr>
                <w:rFonts w:hint="eastAsia"/>
                <w:b/>
                <w:color w:val="auto"/>
                <w:szCs w:val="21"/>
              </w:rPr>
              <w:t>5</w:t>
            </w:r>
            <w:r>
              <w:rPr>
                <w:b/>
                <w:color w:val="auto"/>
                <w:szCs w:val="21"/>
              </w:rPr>
              <w:t>0g/L要求。同时也满足《涂料中挥发性有机物限量》（DB32/T 3500-2019）中表</w:t>
            </w:r>
            <w:r>
              <w:rPr>
                <w:rFonts w:hint="eastAsia"/>
                <w:b/>
                <w:color w:val="auto"/>
                <w:szCs w:val="21"/>
              </w:rPr>
              <w:t>6机械设备</w:t>
            </w:r>
            <w:r>
              <w:rPr>
                <w:b/>
                <w:color w:val="auto"/>
                <w:szCs w:val="21"/>
              </w:rPr>
              <w:t>涂料中VOCs限量要求，底漆≤</w:t>
            </w:r>
            <w:r>
              <w:rPr>
                <w:rFonts w:hint="eastAsia"/>
                <w:b/>
                <w:color w:val="auto"/>
                <w:szCs w:val="21"/>
              </w:rPr>
              <w:t>55</w:t>
            </w:r>
            <w:r>
              <w:rPr>
                <w:b/>
                <w:color w:val="auto"/>
                <w:szCs w:val="21"/>
              </w:rPr>
              <w:t>0g/L要求。</w:t>
            </w:r>
            <w:r>
              <w:rPr>
                <w:rFonts w:hint="eastAsia"/>
                <w:b/>
                <w:color w:val="auto"/>
                <w:szCs w:val="21"/>
                <w:lang w:eastAsia="zh-CN"/>
              </w:rPr>
              <w:t>项目所用漆为低</w:t>
            </w:r>
            <w:r>
              <w:rPr>
                <w:rFonts w:hint="eastAsia"/>
                <w:b/>
                <w:color w:val="auto"/>
                <w:szCs w:val="21"/>
                <w:lang w:val="en-US" w:eastAsia="zh-CN"/>
              </w:rPr>
              <w:t>VOCs含量的水性漆，符合“两减六治三提升”专项行动实施方案规定。</w:t>
            </w:r>
          </w:p>
          <w:p>
            <w:pPr>
              <w:pStyle w:val="15"/>
              <w:keepNext/>
              <w:jc w:val="center"/>
              <w:rPr>
                <w:rFonts w:ascii="Times New Roman" w:hAnsi="Times New Roman"/>
                <w:color w:val="auto"/>
                <w:kern w:val="2"/>
                <w:sz w:val="21"/>
                <w:szCs w:val="21"/>
              </w:rPr>
            </w:pPr>
            <w:r>
              <w:rPr>
                <w:rFonts w:hint="eastAsia" w:ascii="Times New Roman" w:hAnsi="Times New Roman"/>
                <w:color w:val="auto"/>
                <w:kern w:val="2"/>
                <w:sz w:val="21"/>
                <w:szCs w:val="21"/>
              </w:rPr>
              <w:t>表1-2原辅料组分</w:t>
            </w:r>
            <w:r>
              <w:rPr>
                <w:rFonts w:ascii="Times New Roman" w:hAnsi="Times New Roman"/>
                <w:color w:val="auto"/>
                <w:kern w:val="2"/>
                <w:sz w:val="21"/>
                <w:szCs w:val="21"/>
              </w:rPr>
              <w:t>理化性质一览表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1"/>
              <w:gridCol w:w="4171"/>
              <w:gridCol w:w="975"/>
              <w:gridCol w:w="193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45" w:type="pct"/>
                  <w:vAlign w:val="center"/>
                </w:tcPr>
                <w:p>
                  <w:pPr>
                    <w:jc w:val="center"/>
                    <w:rPr>
                      <w:b/>
                      <w:bCs/>
                      <w:color w:val="auto"/>
                      <w:szCs w:val="21"/>
                    </w:rPr>
                  </w:pPr>
                  <w:r>
                    <w:rPr>
                      <w:rFonts w:hint="eastAsia"/>
                      <w:b/>
                      <w:bCs/>
                      <w:color w:val="auto"/>
                      <w:szCs w:val="21"/>
                    </w:rPr>
                    <w:t>组分名称</w:t>
                  </w:r>
                </w:p>
              </w:tc>
              <w:tc>
                <w:tcPr>
                  <w:tcW w:w="2505" w:type="pct"/>
                  <w:vAlign w:val="center"/>
                </w:tcPr>
                <w:p>
                  <w:pPr>
                    <w:jc w:val="center"/>
                    <w:rPr>
                      <w:b/>
                      <w:bCs/>
                      <w:color w:val="auto"/>
                      <w:szCs w:val="21"/>
                    </w:rPr>
                  </w:pPr>
                  <w:r>
                    <w:rPr>
                      <w:b/>
                      <w:bCs/>
                      <w:color w:val="auto"/>
                      <w:szCs w:val="21"/>
                    </w:rPr>
                    <w:t>理化性质</w:t>
                  </w:r>
                </w:p>
              </w:tc>
              <w:tc>
                <w:tcPr>
                  <w:tcW w:w="585" w:type="pct"/>
                  <w:vAlign w:val="center"/>
                </w:tcPr>
                <w:p>
                  <w:pPr>
                    <w:jc w:val="center"/>
                    <w:rPr>
                      <w:rFonts w:hint="eastAsia" w:eastAsia="宋体"/>
                      <w:b/>
                      <w:bCs/>
                      <w:color w:val="auto"/>
                      <w:szCs w:val="21"/>
                      <w:lang w:eastAsia="zh-CN"/>
                    </w:rPr>
                  </w:pPr>
                  <w:r>
                    <w:rPr>
                      <w:rFonts w:hint="eastAsia"/>
                      <w:b/>
                      <w:bCs/>
                      <w:color w:val="auto"/>
                      <w:szCs w:val="21"/>
                      <w:lang w:eastAsia="zh-CN"/>
                    </w:rPr>
                    <w:t>燃烧爆炸性</w:t>
                  </w:r>
                </w:p>
              </w:tc>
              <w:tc>
                <w:tcPr>
                  <w:tcW w:w="1163" w:type="pct"/>
                  <w:vAlign w:val="center"/>
                </w:tcPr>
                <w:p>
                  <w:pPr>
                    <w:jc w:val="center"/>
                    <w:rPr>
                      <w:b/>
                      <w:bCs/>
                      <w:color w:val="auto"/>
                      <w:szCs w:val="21"/>
                    </w:rPr>
                  </w:pPr>
                  <w:r>
                    <w:rPr>
                      <w:b/>
                      <w:bCs/>
                      <w:color w:val="auto"/>
                      <w:szCs w:val="21"/>
                    </w:rPr>
                    <w:t>毒性毒理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5" w:type="pct"/>
                  <w:vAlign w:val="center"/>
                </w:tcPr>
                <w:p>
                  <w:pPr>
                    <w:jc w:val="center"/>
                    <w:rPr>
                      <w:rFonts w:hint="eastAsia"/>
                      <w:b w:val="0"/>
                      <w:bCs w:val="0"/>
                      <w:color w:val="auto"/>
                      <w:szCs w:val="21"/>
                    </w:rPr>
                  </w:pPr>
                  <w:r>
                    <w:rPr>
                      <w:rFonts w:hint="eastAsia"/>
                      <w:b w:val="0"/>
                      <w:bCs w:val="0"/>
                      <w:color w:val="auto"/>
                      <w:szCs w:val="21"/>
                    </w:rPr>
                    <w:t>环氧</w:t>
                  </w:r>
                </w:p>
                <w:p>
                  <w:pPr>
                    <w:jc w:val="center"/>
                    <w:rPr>
                      <w:b/>
                      <w:bCs/>
                      <w:color w:val="auto"/>
                      <w:szCs w:val="21"/>
                    </w:rPr>
                  </w:pPr>
                  <w:r>
                    <w:rPr>
                      <w:rFonts w:hint="eastAsia"/>
                      <w:b w:val="0"/>
                      <w:bCs w:val="0"/>
                      <w:color w:val="auto"/>
                      <w:szCs w:val="21"/>
                    </w:rPr>
                    <w:t>树脂(C</w:t>
                  </w:r>
                  <w:r>
                    <w:rPr>
                      <w:rFonts w:hint="eastAsia"/>
                      <w:b w:val="0"/>
                      <w:bCs w:val="0"/>
                      <w:color w:val="auto"/>
                      <w:szCs w:val="21"/>
                      <w:vertAlign w:val="subscript"/>
                    </w:rPr>
                    <w:t>11</w:t>
                  </w:r>
                  <w:r>
                    <w:rPr>
                      <w:rFonts w:hint="eastAsia"/>
                      <w:b w:val="0"/>
                      <w:bCs w:val="0"/>
                      <w:color w:val="auto"/>
                      <w:szCs w:val="21"/>
                    </w:rPr>
                    <w:t>H</w:t>
                  </w:r>
                  <w:r>
                    <w:rPr>
                      <w:rFonts w:hint="eastAsia"/>
                      <w:b w:val="0"/>
                      <w:bCs w:val="0"/>
                      <w:color w:val="auto"/>
                      <w:szCs w:val="21"/>
                      <w:vertAlign w:val="subscript"/>
                    </w:rPr>
                    <w:t>12</w:t>
                  </w:r>
                  <w:r>
                    <w:rPr>
                      <w:rFonts w:hint="eastAsia"/>
                      <w:b w:val="0"/>
                      <w:bCs w:val="0"/>
                      <w:color w:val="auto"/>
                      <w:szCs w:val="21"/>
                    </w:rPr>
                    <w:t>O</w:t>
                  </w:r>
                  <w:r>
                    <w:rPr>
                      <w:rFonts w:hint="eastAsia"/>
                      <w:b w:val="0"/>
                      <w:bCs w:val="0"/>
                      <w:color w:val="auto"/>
                      <w:szCs w:val="21"/>
                      <w:vertAlign w:val="subscript"/>
                    </w:rPr>
                    <w:t>3</w:t>
                  </w:r>
                  <w:r>
                    <w:rPr>
                      <w:rFonts w:hint="eastAsia"/>
                      <w:b w:val="0"/>
                      <w:bCs w:val="0"/>
                      <w:color w:val="auto"/>
                      <w:szCs w:val="21"/>
                    </w:rPr>
                    <w:t>)n</w:t>
                  </w:r>
                </w:p>
              </w:tc>
              <w:tc>
                <w:tcPr>
                  <w:tcW w:w="2505" w:type="pct"/>
                  <w:vAlign w:val="center"/>
                </w:tcPr>
                <w:p>
                  <w:pPr>
                    <w:tabs>
                      <w:tab w:val="left" w:pos="180"/>
                      <w:tab w:val="left" w:pos="540"/>
                    </w:tabs>
                    <w:rPr>
                      <w:b/>
                      <w:bCs/>
                      <w:color w:val="auto"/>
                      <w:szCs w:val="21"/>
                    </w:rPr>
                  </w:pPr>
                  <w:r>
                    <w:rPr>
                      <w:rFonts w:hint="eastAsia"/>
                      <w:b w:val="0"/>
                      <w:bCs w:val="0"/>
                      <w:color w:val="auto"/>
                      <w:szCs w:val="21"/>
                    </w:rPr>
                    <w:t>环氧树脂是指分子结构中含有两个或两个以上环氧基的高分子化合物。它能与胺、咪唑、酸酐、酚醛树脂等类固化剂进行配合使用，得到的制品具有优良的机械性能、绝缘性能、耐腐蚀性能、粘接性易燃无毒能和低收缩性能。</w:t>
                  </w:r>
                </w:p>
              </w:tc>
              <w:tc>
                <w:tcPr>
                  <w:tcW w:w="585" w:type="pct"/>
                  <w:vAlign w:val="center"/>
                </w:tcPr>
                <w:p>
                  <w:pPr>
                    <w:jc w:val="center"/>
                    <w:rPr>
                      <w:color w:val="auto"/>
                      <w:szCs w:val="21"/>
                    </w:rPr>
                  </w:pPr>
                  <w:r>
                    <w:rPr>
                      <w:rFonts w:ascii="宋体" w:hAnsi="宋体" w:eastAsia="宋体" w:cs="宋体"/>
                      <w:color w:val="auto"/>
                      <w:sz w:val="24"/>
                      <w:szCs w:val="24"/>
                    </w:rPr>
                    <w:t>易燃</w:t>
                  </w:r>
                </w:p>
              </w:tc>
              <w:tc>
                <w:tcPr>
                  <w:tcW w:w="1163" w:type="pct"/>
                  <w:vAlign w:val="center"/>
                </w:tcPr>
                <w:p>
                  <w:pPr>
                    <w:jc w:val="center"/>
                    <w:rPr>
                      <w:rFonts w:hint="eastAsia" w:eastAsia="宋体"/>
                      <w:color w:val="auto"/>
                      <w:szCs w:val="21"/>
                      <w:lang w:val="en-US" w:eastAsia="zh-CN"/>
                    </w:rPr>
                  </w:pPr>
                  <w:r>
                    <w:rPr>
                      <w:rFonts w:hint="eastAsia"/>
                      <w:color w:val="auto"/>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5" w:type="pct"/>
                  <w:vAlign w:val="center"/>
                </w:tcPr>
                <w:p>
                  <w:pPr>
                    <w:jc w:val="center"/>
                    <w:rPr>
                      <w:rFonts w:hint="eastAsia"/>
                      <w:color w:val="auto"/>
                      <w:szCs w:val="21"/>
                    </w:rPr>
                  </w:pPr>
                  <w:r>
                    <w:rPr>
                      <w:rFonts w:hint="eastAsia"/>
                      <w:color w:val="auto"/>
                      <w:szCs w:val="21"/>
                    </w:rPr>
                    <w:t>改性磷酸锌Zn</w:t>
                  </w:r>
                  <w:r>
                    <w:rPr>
                      <w:rFonts w:hint="default"/>
                      <w:color w:val="auto"/>
                      <w:szCs w:val="21"/>
                      <w:vertAlign w:val="subscript"/>
                    </w:rPr>
                    <w:t>3</w:t>
                  </w:r>
                  <w:r>
                    <w:rPr>
                      <w:rFonts w:hint="default"/>
                      <w:color w:val="auto"/>
                      <w:szCs w:val="21"/>
                    </w:rPr>
                    <w:t>(PO</w:t>
                  </w:r>
                  <w:r>
                    <w:rPr>
                      <w:rFonts w:hint="default"/>
                      <w:color w:val="auto"/>
                      <w:szCs w:val="21"/>
                      <w:vertAlign w:val="subscript"/>
                    </w:rPr>
                    <w:t>4</w:t>
                  </w:r>
                  <w:r>
                    <w:rPr>
                      <w:rFonts w:hint="default"/>
                      <w:color w:val="auto"/>
                      <w:szCs w:val="21"/>
                    </w:rPr>
                    <w:t>)2</w:t>
                  </w:r>
                </w:p>
              </w:tc>
              <w:tc>
                <w:tcPr>
                  <w:tcW w:w="2505" w:type="pct"/>
                  <w:vAlign w:val="center"/>
                </w:tcPr>
                <w:p>
                  <w:pPr>
                    <w:tabs>
                      <w:tab w:val="left" w:pos="180"/>
                      <w:tab w:val="left" w:pos="540"/>
                    </w:tabs>
                    <w:rPr>
                      <w:rFonts w:hint="eastAsia" w:eastAsia="宋体"/>
                      <w:b w:val="0"/>
                      <w:bCs w:val="0"/>
                      <w:color w:val="auto"/>
                      <w:szCs w:val="21"/>
                      <w:lang w:val="en-US" w:eastAsia="zh-CN"/>
                    </w:rPr>
                  </w:pPr>
                  <w:r>
                    <w:rPr>
                      <w:rFonts w:hint="eastAsia" w:eastAsia="宋体"/>
                      <w:b w:val="0"/>
                      <w:bCs w:val="0"/>
                      <w:color w:val="auto"/>
                      <w:szCs w:val="21"/>
                      <w:lang w:val="en-US" w:eastAsia="zh-CN"/>
                    </w:rPr>
                    <w:t>无色斜方晶系结晶或白色微晶粉末</w:t>
                  </w:r>
                  <w:r>
                    <w:rPr>
                      <w:rFonts w:hint="eastAsia"/>
                      <w:b w:val="0"/>
                      <w:bCs w:val="0"/>
                      <w:color w:val="auto"/>
                      <w:szCs w:val="21"/>
                      <w:lang w:val="en-US" w:eastAsia="zh-CN"/>
                    </w:rPr>
                    <w:t>， 溶于无机酸、氨水、铵盐溶液；不溶于乙醇；磷酸锌是一种白色无毒的防锈颜料，是防锈腐蚀效果优异的新一代无毒性，无公害的防锈颜料，它能够有效的替代含有重金属铅、铬的传统防锈颜料，是使用效果理想的防锈颜料新品种。磷酸锌在三价铁离子具有很强的缩合能力，这种磷酸锌的根离子与铁阳极反应，可形成以磷酸铁为主体的坚固的保护膜，这种致密的纯化膜不溶于水、硬度高，附着力优异呈现出卓越的防锈性能，由于磷酸锌基因具有很好活性，能与很多金属离子作用生成络合物，因此，具有良好的防锈效果</w:t>
                  </w:r>
                </w:p>
              </w:tc>
              <w:tc>
                <w:tcPr>
                  <w:tcW w:w="585" w:type="pct"/>
                  <w:vAlign w:val="center"/>
                </w:tcPr>
                <w:p>
                  <w:pPr>
                    <w:jc w:val="center"/>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w:t>
                  </w:r>
                </w:p>
              </w:tc>
              <w:tc>
                <w:tcPr>
                  <w:tcW w:w="1163" w:type="pct"/>
                  <w:vAlign w:val="center"/>
                </w:tcPr>
                <w:p>
                  <w:pPr>
                    <w:jc w:val="center"/>
                    <w:rPr>
                      <w:rFonts w:hint="default"/>
                      <w:color w:val="auto"/>
                      <w:szCs w:val="21"/>
                      <w:lang w:val="en-US" w:eastAsia="zh-CN"/>
                    </w:rPr>
                  </w:pPr>
                  <w:r>
                    <w:rPr>
                      <w:rFonts w:hint="eastAsia"/>
                      <w:color w:val="auto"/>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5" w:type="pct"/>
                  <w:vAlign w:val="center"/>
                </w:tcPr>
                <w:p>
                  <w:pPr>
                    <w:jc w:val="center"/>
                    <w:rPr>
                      <w:rFonts w:hint="eastAsia"/>
                      <w:color w:val="auto"/>
                      <w:szCs w:val="21"/>
                      <w:lang w:val="en-US" w:eastAsia="zh-CN"/>
                    </w:rPr>
                  </w:pPr>
                  <w:r>
                    <w:rPr>
                      <w:rFonts w:hint="eastAsia"/>
                      <w:color w:val="auto"/>
                      <w:szCs w:val="21"/>
                      <w:lang w:val="en-US" w:eastAsia="zh-CN"/>
                    </w:rPr>
                    <w:t>二乙二醇丁醚</w:t>
                  </w:r>
                </w:p>
              </w:tc>
              <w:tc>
                <w:tcPr>
                  <w:tcW w:w="2505" w:type="pct"/>
                  <w:vAlign w:val="center"/>
                </w:tcPr>
                <w:p>
                  <w:pPr>
                    <w:jc w:val="center"/>
                    <w:rPr>
                      <w:rFonts w:hint="eastAsia"/>
                      <w:b w:val="0"/>
                      <w:bCs w:val="0"/>
                      <w:color w:val="auto"/>
                      <w:szCs w:val="21"/>
                    </w:rPr>
                  </w:pPr>
                  <w:r>
                    <w:rPr>
                      <w:rFonts w:hint="eastAsia"/>
                      <w:color w:val="auto"/>
                      <w:szCs w:val="21"/>
                    </w:rPr>
                    <w:t>无色易燃液体，具有中等程度醚味。产品用途：用作涂料、印刷油墨、图章用印台油墨、油类、树脂等的溶剂金属洗涤剂、脱漆剂、脱润滑油剂、汽车引擎洗涤剂、干洗溶剂、环氧树脂溶剂、药物萃取剂；用作乳胶漆的稳定剂、飞机涂料的蒸发抑制剂、高温烘烤瓷漆的表面加工等。</w:t>
                  </w:r>
                </w:p>
              </w:tc>
              <w:tc>
                <w:tcPr>
                  <w:tcW w:w="585" w:type="pct"/>
                  <w:vAlign w:val="center"/>
                </w:tcPr>
                <w:p>
                  <w:pPr>
                    <w:pStyle w:val="174"/>
                    <w:spacing w:line="240" w:lineRule="auto"/>
                    <w:jc w:val="center"/>
                    <w:rPr>
                      <w:rFonts w:ascii="宋体" w:hAnsi="宋体" w:eastAsia="宋体" w:cs="宋体"/>
                      <w:color w:val="auto"/>
                      <w:sz w:val="24"/>
                      <w:szCs w:val="24"/>
                    </w:rPr>
                  </w:pPr>
                  <w:r>
                    <w:rPr>
                      <w:rFonts w:hint="eastAsia" w:eastAsia="宋体"/>
                      <w:color w:val="auto"/>
                      <w:spacing w:val="0"/>
                      <w:kern w:val="2"/>
                      <w:szCs w:val="21"/>
                      <w:lang w:eastAsia="zh-CN"/>
                    </w:rPr>
                    <w:t>可燃</w:t>
                  </w:r>
                </w:p>
              </w:tc>
              <w:tc>
                <w:tcPr>
                  <w:tcW w:w="1163" w:type="pct"/>
                  <w:vAlign w:val="center"/>
                </w:tcPr>
                <w:p>
                  <w:pPr>
                    <w:pStyle w:val="174"/>
                    <w:spacing w:line="240" w:lineRule="auto"/>
                    <w:jc w:val="center"/>
                    <w:rPr>
                      <w:rFonts w:hint="eastAsia"/>
                      <w:color w:val="auto"/>
                      <w:szCs w:val="21"/>
                      <w:lang w:val="en-US" w:eastAsia="zh-CN"/>
                    </w:rPr>
                  </w:pPr>
                  <w:r>
                    <w:rPr>
                      <w:rFonts w:hint="eastAsia" w:eastAsia="宋体"/>
                      <w:color w:val="auto"/>
                      <w:spacing w:val="0"/>
                      <w:kern w:val="2"/>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异丙醇</w:t>
                  </w:r>
                </w:p>
              </w:tc>
              <w:tc>
                <w:tcPr>
                  <w:tcW w:w="2505" w:type="pct"/>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rPr>
                    <w:t>一种有机化合物，正丙醇的同分异构体，别名二甲基乙醇、2-丙醇，行业中也作 IPA。无色透明液体，有似乙醇和丙酮混合物的气味。溶于水，也溶于醇、醚、苯、氯仿等多数有机溶剂。异丙醇是重要的化工产品和原料。主要用于制药、化妆品、塑料、香料、涂料等。</w:t>
                  </w:r>
                </w:p>
              </w:tc>
              <w:tc>
                <w:tcPr>
                  <w:tcW w:w="585" w:type="pct"/>
                  <w:vAlign w:val="center"/>
                </w:tcPr>
                <w:p>
                  <w:pPr>
                    <w:jc w:val="center"/>
                    <w:rPr>
                      <w:rFonts w:ascii="Times New Roman" w:hAnsi="Times New Roman" w:eastAsia="宋体" w:cs="Times New Roman"/>
                      <w:color w:val="auto"/>
                      <w:kern w:val="2"/>
                      <w:sz w:val="21"/>
                      <w:szCs w:val="21"/>
                      <w:lang w:val="en-US" w:eastAsia="zh-CN" w:bidi="ar-SA"/>
                    </w:rPr>
                  </w:pPr>
                  <w:r>
                    <w:rPr>
                      <w:rFonts w:ascii="宋体" w:hAnsi="宋体" w:eastAsia="宋体" w:cs="宋体"/>
                      <w:color w:val="auto"/>
                      <w:sz w:val="24"/>
                      <w:szCs w:val="24"/>
                    </w:rPr>
                    <w:t>易燃</w:t>
                  </w:r>
                </w:p>
              </w:tc>
              <w:tc>
                <w:tcPr>
                  <w:tcW w:w="1163" w:type="pct"/>
                  <w:vAlign w:val="center"/>
                </w:tcPr>
                <w:p>
                  <w:pPr>
                    <w:jc w:val="center"/>
                    <w:rPr>
                      <w:rFonts w:hint="eastAsia"/>
                      <w:color w:val="auto"/>
                      <w:szCs w:val="21"/>
                    </w:rPr>
                  </w:pPr>
                  <w:r>
                    <w:rPr>
                      <w:rFonts w:hint="eastAsia"/>
                      <w:color w:val="auto"/>
                      <w:szCs w:val="21"/>
                    </w:rPr>
                    <w:t>急性毒性：口服－</w:t>
                  </w:r>
                </w:p>
                <w:p>
                  <w:pPr>
                    <w:jc w:val="center"/>
                    <w:rPr>
                      <w:rFonts w:hint="eastAsia"/>
                      <w:color w:val="auto"/>
                      <w:szCs w:val="21"/>
                    </w:rPr>
                  </w:pPr>
                  <w:r>
                    <w:rPr>
                      <w:rFonts w:hint="eastAsia"/>
                      <w:color w:val="auto"/>
                      <w:szCs w:val="21"/>
                    </w:rPr>
                    <w:t>大鼠 LD</w:t>
                  </w:r>
                  <w:r>
                    <w:rPr>
                      <w:rFonts w:hint="eastAsia"/>
                      <w:color w:val="auto"/>
                      <w:szCs w:val="21"/>
                      <w:vertAlign w:val="subscript"/>
                    </w:rPr>
                    <w:t>50</w:t>
                  </w:r>
                  <w:r>
                    <w:rPr>
                      <w:rFonts w:hint="eastAsia"/>
                      <w:color w:val="auto"/>
                      <w:szCs w:val="21"/>
                    </w:rPr>
                    <w:t>：</w:t>
                  </w:r>
                </w:p>
                <w:p>
                  <w:pPr>
                    <w:jc w:val="center"/>
                    <w:rPr>
                      <w:rFonts w:hint="eastAsia"/>
                      <w:color w:val="auto"/>
                      <w:szCs w:val="21"/>
                    </w:rPr>
                  </w:pPr>
                  <w:r>
                    <w:rPr>
                      <w:rFonts w:hint="eastAsia"/>
                      <w:color w:val="auto"/>
                      <w:szCs w:val="21"/>
                    </w:rPr>
                    <w:t>5840mg/kg；</w:t>
                  </w:r>
                </w:p>
                <w:p>
                  <w:pPr>
                    <w:jc w:val="center"/>
                    <w:rPr>
                      <w:rFonts w:hint="eastAsia"/>
                      <w:color w:val="auto"/>
                      <w:szCs w:val="21"/>
                    </w:rPr>
                  </w:pPr>
                  <w:r>
                    <w:rPr>
                      <w:rFonts w:hint="eastAsia"/>
                      <w:color w:val="auto"/>
                      <w:szCs w:val="21"/>
                    </w:rPr>
                    <w:t>口服－小鼠LC</w:t>
                  </w:r>
                  <w:r>
                    <w:rPr>
                      <w:rFonts w:hint="eastAsia"/>
                      <w:color w:val="auto"/>
                      <w:szCs w:val="21"/>
                      <w:vertAlign w:val="subscript"/>
                    </w:rPr>
                    <w:t>50</w:t>
                  </w:r>
                  <w:r>
                    <w:rPr>
                      <w:rFonts w:hint="eastAsia"/>
                      <w:color w:val="auto"/>
                      <w:szCs w:val="21"/>
                    </w:rPr>
                    <w:t>：</w:t>
                  </w:r>
                </w:p>
                <w:p>
                  <w:pPr>
                    <w:jc w:val="center"/>
                    <w:rPr>
                      <w:rFonts w:hint="eastAsia"/>
                      <w:color w:val="auto"/>
                      <w:szCs w:val="21"/>
                    </w:rPr>
                  </w:pPr>
                  <w:r>
                    <w:rPr>
                      <w:rFonts w:hint="eastAsia"/>
                      <w:color w:val="auto"/>
                      <w:szCs w:val="21"/>
                    </w:rPr>
                    <w:t>3600mg/kg，</w:t>
                  </w:r>
                </w:p>
                <w:p>
                  <w:pPr>
                    <w:jc w:val="center"/>
                    <w:rPr>
                      <w:rFonts w:hint="eastAsia"/>
                      <w:color w:val="auto"/>
                      <w:szCs w:val="21"/>
                    </w:rPr>
                  </w:pPr>
                  <w:r>
                    <w:rPr>
                      <w:rFonts w:hint="eastAsia"/>
                      <w:color w:val="auto"/>
                      <w:szCs w:val="21"/>
                    </w:rPr>
                    <w:t>家兔经皮LD</w:t>
                  </w:r>
                  <w:r>
                    <w:rPr>
                      <w:rFonts w:hint="eastAsia"/>
                      <w:color w:val="auto"/>
                      <w:szCs w:val="21"/>
                      <w:vertAlign w:val="subscript"/>
                    </w:rPr>
                    <w:t>50</w:t>
                  </w:r>
                  <w:r>
                    <w:rPr>
                      <w:rFonts w:hint="eastAsia"/>
                      <w:color w:val="auto"/>
                      <w:szCs w:val="21"/>
                    </w:rPr>
                    <w:t>为</w:t>
                  </w:r>
                </w:p>
                <w:p>
                  <w:pPr>
                    <w:jc w:val="center"/>
                    <w:rPr>
                      <w:rFonts w:hint="eastAsia"/>
                      <w:color w:val="auto"/>
                      <w:szCs w:val="21"/>
                    </w:rPr>
                  </w:pPr>
                  <w:r>
                    <w:rPr>
                      <w:rFonts w:hint="eastAsia"/>
                      <w:color w:val="auto"/>
                      <w:szCs w:val="21"/>
                    </w:rPr>
                    <w:t>16.4ml/kg。</w:t>
                  </w:r>
                </w:p>
                <w:p>
                  <w:pPr>
                    <w:jc w:val="center"/>
                    <w:rPr>
                      <w:rFonts w:hint="eastAsia"/>
                      <w:color w:val="auto"/>
                      <w:szCs w:val="21"/>
                    </w:rPr>
                  </w:pPr>
                  <w:r>
                    <w:rPr>
                      <w:rFonts w:hint="eastAsia"/>
                      <w:color w:val="auto"/>
                      <w:szCs w:val="21"/>
                    </w:rPr>
                    <w:t>刺激数据：眼睛－</w:t>
                  </w:r>
                </w:p>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兔子：100mg/kg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5" w:type="pct"/>
                  <w:vAlign w:val="center"/>
                </w:tcPr>
                <w:p>
                  <w:pPr>
                    <w:pStyle w:val="21"/>
                    <w:jc w:val="center"/>
                    <w:rPr>
                      <w:rFonts w:hint="eastAsia"/>
                      <w:color w:val="auto"/>
                      <w:szCs w:val="21"/>
                    </w:rPr>
                  </w:pPr>
                  <w:r>
                    <w:rPr>
                      <w:rFonts w:hint="eastAsia"/>
                      <w:color w:val="auto"/>
                      <w:szCs w:val="21"/>
                    </w:rPr>
                    <w:t>丙烯酸树</w:t>
                  </w:r>
                </w:p>
                <w:p>
                  <w:pPr>
                    <w:pStyle w:val="21"/>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脂</w:t>
                  </w:r>
                </w:p>
              </w:tc>
              <w:tc>
                <w:tcPr>
                  <w:tcW w:w="250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丙烯酸树脂（acrylic resin）是丙烯酸、甲基丙烯酸及其衍生物聚合物的总称。丙烯酸树脂涂料就是以(甲基) 丙烯酸酯、苯乙烯为主体，同其他丙烯酸酯共聚所得丙烯酸树脂制得的热塑性或热固性树脂涂料，或丙烯酸辐射涂料。</w:t>
                  </w:r>
                </w:p>
              </w:tc>
              <w:tc>
                <w:tcPr>
                  <w:tcW w:w="5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w:t>
                  </w:r>
                </w:p>
              </w:tc>
              <w:tc>
                <w:tcPr>
                  <w:tcW w:w="116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无毒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745" w:type="pct"/>
                  <w:vAlign w:val="center"/>
                </w:tcPr>
                <w:p>
                  <w:pPr>
                    <w:jc w:val="center"/>
                    <w:rPr>
                      <w:rFonts w:hint="default" w:eastAsia="宋体"/>
                      <w:color w:val="auto"/>
                      <w:szCs w:val="21"/>
                      <w:lang w:val="en-US" w:eastAsia="zh-CN"/>
                    </w:rPr>
                  </w:pPr>
                  <w:r>
                    <w:rPr>
                      <w:rFonts w:hint="eastAsia"/>
                      <w:color w:val="auto"/>
                      <w:szCs w:val="21"/>
                      <w:lang w:val="en-US" w:eastAsia="zh-CN"/>
                    </w:rPr>
                    <w:t>表面活性剂</w:t>
                  </w:r>
                </w:p>
              </w:tc>
              <w:tc>
                <w:tcPr>
                  <w:tcW w:w="2505" w:type="pct"/>
                  <w:vAlign w:val="center"/>
                </w:tcPr>
                <w:p>
                  <w:pPr>
                    <w:widowControl/>
                    <w:jc w:val="center"/>
                    <w:textAlignment w:val="center"/>
                    <w:rPr>
                      <w:rFonts w:ascii="Times New Roman" w:hAnsi="Times New Roman" w:eastAsia="宋体" w:cs="Times New Roman"/>
                      <w:color w:val="auto"/>
                      <w:kern w:val="2"/>
                      <w:sz w:val="21"/>
                      <w:szCs w:val="21"/>
                      <w:lang w:val="en-US" w:eastAsia="zh-CN" w:bidi="ar-SA"/>
                    </w:rPr>
                  </w:pPr>
                  <w:r>
                    <w:rPr>
                      <w:color w:val="auto"/>
                      <w:szCs w:val="21"/>
                    </w:rPr>
                    <w:t>表面活性剂，是指加入少量能使其溶液体系的界面状态发生明显变化的物质。具有固定的亲水亲油基团，在溶液的</w:t>
                  </w:r>
                  <w:r>
                    <w:rPr>
                      <w:rFonts w:hint="default"/>
                      <w:color w:val="auto"/>
                      <w:szCs w:val="21"/>
                    </w:rPr>
                    <w:fldChar w:fldCharType="begin"/>
                  </w:r>
                  <w:r>
                    <w:rPr>
                      <w:rFonts w:hint="default"/>
                      <w:color w:val="auto"/>
                      <w:szCs w:val="21"/>
                    </w:rPr>
                    <w:instrText xml:space="preserve"> HYPERLINK "https://baike.sogou.com/lemma/ShowInnerLink.htm?lemmaId=267094&amp;ss_c=ssc.citiao.link" \t "https://baike.sogou.com/_blank" </w:instrText>
                  </w:r>
                  <w:r>
                    <w:rPr>
                      <w:rFonts w:hint="default"/>
                      <w:color w:val="auto"/>
                      <w:szCs w:val="21"/>
                    </w:rPr>
                    <w:fldChar w:fldCharType="separate"/>
                  </w:r>
                  <w:r>
                    <w:rPr>
                      <w:rFonts w:hint="default"/>
                      <w:color w:val="auto"/>
                      <w:szCs w:val="21"/>
                    </w:rPr>
                    <w:t>表面能</w:t>
                  </w:r>
                  <w:r>
                    <w:rPr>
                      <w:rFonts w:hint="default"/>
                      <w:color w:val="auto"/>
                      <w:szCs w:val="21"/>
                    </w:rPr>
                    <w:fldChar w:fldCharType="end"/>
                  </w:r>
                  <w:r>
                    <w:rPr>
                      <w:rFonts w:hint="default"/>
                      <w:color w:val="auto"/>
                      <w:szCs w:val="21"/>
                    </w:rPr>
                    <w:t>定向排列。表面活性剂的分子结构具有两亲性：一端为</w:t>
                  </w:r>
                  <w:r>
                    <w:rPr>
                      <w:rFonts w:hint="default"/>
                      <w:color w:val="auto"/>
                      <w:szCs w:val="21"/>
                    </w:rPr>
                    <w:fldChar w:fldCharType="begin"/>
                  </w:r>
                  <w:r>
                    <w:rPr>
                      <w:rFonts w:hint="default"/>
                      <w:color w:val="auto"/>
                      <w:szCs w:val="21"/>
                    </w:rPr>
                    <w:instrText xml:space="preserve"> HYPERLINK "https://baike.sogou.com/lemma/ShowInnerLink.htm?lemmaId=7641106&amp;ss_c=ssc.citiao.link" \t "https://baike.sogou.com/_blank" </w:instrText>
                  </w:r>
                  <w:r>
                    <w:rPr>
                      <w:rFonts w:hint="default"/>
                      <w:color w:val="auto"/>
                      <w:szCs w:val="21"/>
                    </w:rPr>
                    <w:fldChar w:fldCharType="separate"/>
                  </w:r>
                  <w:r>
                    <w:rPr>
                      <w:rFonts w:hint="default"/>
                      <w:color w:val="auto"/>
                      <w:szCs w:val="21"/>
                    </w:rPr>
                    <w:t>亲水基团</w:t>
                  </w:r>
                  <w:r>
                    <w:rPr>
                      <w:rFonts w:hint="default"/>
                      <w:color w:val="auto"/>
                      <w:szCs w:val="21"/>
                    </w:rPr>
                    <w:fldChar w:fldCharType="end"/>
                  </w:r>
                  <w:r>
                    <w:rPr>
                      <w:rFonts w:hint="default"/>
                      <w:color w:val="auto"/>
                      <w:szCs w:val="21"/>
                    </w:rPr>
                    <w:t>，另一端为疏水基团；亲水基团常为</w:t>
                  </w:r>
                  <w:r>
                    <w:rPr>
                      <w:rFonts w:hint="default"/>
                      <w:color w:val="auto"/>
                      <w:szCs w:val="21"/>
                    </w:rPr>
                    <w:fldChar w:fldCharType="begin"/>
                  </w:r>
                  <w:r>
                    <w:rPr>
                      <w:rFonts w:hint="default"/>
                      <w:color w:val="auto"/>
                      <w:szCs w:val="21"/>
                    </w:rPr>
                    <w:instrText xml:space="preserve"> HYPERLINK "https://baike.sogou.com/lemma/ShowInnerLink.htm?lemmaId=68630382&amp;ss_c=ssc.citiao.link" \t "https://baike.sogou.com/_blank" </w:instrText>
                  </w:r>
                  <w:r>
                    <w:rPr>
                      <w:rFonts w:hint="default"/>
                      <w:color w:val="auto"/>
                      <w:szCs w:val="21"/>
                    </w:rPr>
                    <w:fldChar w:fldCharType="separate"/>
                  </w:r>
                  <w:r>
                    <w:rPr>
                      <w:rFonts w:hint="default"/>
                      <w:color w:val="auto"/>
                      <w:szCs w:val="21"/>
                    </w:rPr>
                    <w:t>极性基团</w:t>
                  </w:r>
                  <w:r>
                    <w:rPr>
                      <w:rFonts w:hint="default"/>
                      <w:color w:val="auto"/>
                      <w:szCs w:val="21"/>
                    </w:rPr>
                    <w:fldChar w:fldCharType="end"/>
                  </w:r>
                  <w:r>
                    <w:rPr>
                      <w:rFonts w:hint="default"/>
                      <w:color w:val="auto"/>
                      <w:szCs w:val="21"/>
                    </w:rPr>
                    <w:t>，如羧酸、磺酸、硫酸、氨基或胺基及其盐，羟基、酰胺基、</w:t>
                  </w:r>
                  <w:r>
                    <w:rPr>
                      <w:rFonts w:hint="default"/>
                      <w:color w:val="auto"/>
                      <w:szCs w:val="21"/>
                    </w:rPr>
                    <w:fldChar w:fldCharType="begin"/>
                  </w:r>
                  <w:r>
                    <w:rPr>
                      <w:rFonts w:hint="default"/>
                      <w:color w:val="auto"/>
                      <w:szCs w:val="21"/>
                    </w:rPr>
                    <w:instrText xml:space="preserve"> HYPERLINK "https://baike.sogou.com/lemma/ShowInnerLink.htm?lemmaId=3867867&amp;ss_c=ssc.citiao.link" \t "https://baike.sogou.com/_blank" </w:instrText>
                  </w:r>
                  <w:r>
                    <w:rPr>
                      <w:rFonts w:hint="default"/>
                      <w:color w:val="auto"/>
                      <w:szCs w:val="21"/>
                    </w:rPr>
                    <w:fldChar w:fldCharType="separate"/>
                  </w:r>
                  <w:r>
                    <w:rPr>
                      <w:rFonts w:hint="default"/>
                      <w:color w:val="auto"/>
                      <w:szCs w:val="21"/>
                    </w:rPr>
                    <w:t>醚键</w:t>
                  </w:r>
                  <w:r>
                    <w:rPr>
                      <w:rFonts w:hint="default"/>
                      <w:color w:val="auto"/>
                      <w:szCs w:val="21"/>
                    </w:rPr>
                    <w:fldChar w:fldCharType="end"/>
                  </w:r>
                  <w:r>
                    <w:rPr>
                      <w:rFonts w:hint="default"/>
                      <w:color w:val="auto"/>
                      <w:szCs w:val="21"/>
                    </w:rPr>
                    <w:t>等也可作为极性亲水基团；而疏水基团常为非极性烃链，如8个</w:t>
                  </w:r>
                  <w:r>
                    <w:rPr>
                      <w:rFonts w:hint="default"/>
                      <w:color w:val="auto"/>
                      <w:szCs w:val="21"/>
                    </w:rPr>
                    <w:fldChar w:fldCharType="begin"/>
                  </w:r>
                  <w:r>
                    <w:rPr>
                      <w:rFonts w:hint="default"/>
                      <w:color w:val="auto"/>
                      <w:szCs w:val="21"/>
                    </w:rPr>
                    <w:instrText xml:space="preserve"> HYPERLINK "https://baike.sogou.com/lemma/ShowInnerLink.htm?lemmaId=398434&amp;ss_c=ssc.citiao.link" \t "https://baike.sogou.com/_blank" </w:instrText>
                  </w:r>
                  <w:r>
                    <w:rPr>
                      <w:rFonts w:hint="default"/>
                      <w:color w:val="auto"/>
                      <w:szCs w:val="21"/>
                    </w:rPr>
                    <w:fldChar w:fldCharType="separate"/>
                  </w:r>
                  <w:r>
                    <w:rPr>
                      <w:rFonts w:hint="default"/>
                      <w:color w:val="auto"/>
                      <w:szCs w:val="21"/>
                    </w:rPr>
                    <w:t>碳原子</w:t>
                  </w:r>
                  <w:r>
                    <w:rPr>
                      <w:rFonts w:hint="default"/>
                      <w:color w:val="auto"/>
                      <w:szCs w:val="21"/>
                    </w:rPr>
                    <w:fldChar w:fldCharType="end"/>
                  </w:r>
                  <w:r>
                    <w:rPr>
                      <w:rFonts w:hint="default"/>
                      <w:color w:val="auto"/>
                      <w:szCs w:val="21"/>
                    </w:rPr>
                    <w:t>以上烃链。</w:t>
                  </w:r>
                </w:p>
              </w:tc>
              <w:tc>
                <w:tcPr>
                  <w:tcW w:w="585"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无</w:t>
                  </w:r>
                </w:p>
              </w:tc>
              <w:tc>
                <w:tcPr>
                  <w:tcW w:w="1163"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暂无LD50资料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45" w:type="pct"/>
                  <w:vAlign w:val="center"/>
                </w:tcPr>
                <w:p>
                  <w:pPr>
                    <w:jc w:val="center"/>
                    <w:rPr>
                      <w:rFonts w:hint="eastAsia" w:eastAsia="宋体"/>
                      <w:color w:val="auto"/>
                      <w:szCs w:val="21"/>
                      <w:lang w:eastAsia="zh-CN"/>
                    </w:rPr>
                  </w:pPr>
                  <w:r>
                    <w:rPr>
                      <w:rFonts w:hint="eastAsia"/>
                      <w:color w:val="auto"/>
                      <w:szCs w:val="21"/>
                      <w:lang w:eastAsia="zh-CN"/>
                    </w:rPr>
                    <w:t>切削液</w:t>
                  </w:r>
                </w:p>
              </w:tc>
              <w:tc>
                <w:tcPr>
                  <w:tcW w:w="2505" w:type="pct"/>
                  <w:vAlign w:val="center"/>
                </w:tcPr>
                <w:p>
                  <w:pPr>
                    <w:jc w:val="center"/>
                    <w:rPr>
                      <w:rFonts w:hint="eastAsia"/>
                      <w:color w:val="auto"/>
                      <w:szCs w:val="21"/>
                    </w:rPr>
                  </w:pPr>
                  <w:r>
                    <w:rPr>
                      <w:rFonts w:hint="eastAsia"/>
                      <w:color w:val="auto"/>
                      <w:szCs w:val="21"/>
                    </w:rPr>
                    <w:t>外观为浅黄色透明液体，主要成分为基础油、不含氮、磷。具有良好的冷却、清洗、防锈等特点，并且具备无毒、无味、对人体无侵蚀、对环境不污染等特点。</w:t>
                  </w:r>
                </w:p>
              </w:tc>
              <w:tc>
                <w:tcPr>
                  <w:tcW w:w="585" w:type="pct"/>
                  <w:vAlign w:val="center"/>
                </w:tcPr>
                <w:p>
                  <w:pPr>
                    <w:pStyle w:val="174"/>
                    <w:spacing w:line="240" w:lineRule="auto"/>
                    <w:jc w:val="center"/>
                    <w:rPr>
                      <w:rFonts w:hint="default" w:eastAsia="宋体"/>
                      <w:color w:val="auto"/>
                      <w:spacing w:val="0"/>
                      <w:kern w:val="2"/>
                      <w:szCs w:val="21"/>
                      <w:lang w:val="en-US" w:eastAsia="zh-CN"/>
                    </w:rPr>
                  </w:pPr>
                  <w:r>
                    <w:rPr>
                      <w:rFonts w:hint="eastAsia" w:eastAsia="宋体"/>
                      <w:color w:val="auto"/>
                      <w:spacing w:val="0"/>
                      <w:kern w:val="2"/>
                      <w:szCs w:val="21"/>
                      <w:lang w:val="en-US" w:eastAsia="zh-CN"/>
                    </w:rPr>
                    <w:t>/</w:t>
                  </w:r>
                </w:p>
              </w:tc>
              <w:tc>
                <w:tcPr>
                  <w:tcW w:w="1163" w:type="pct"/>
                  <w:vAlign w:val="center"/>
                </w:tcPr>
                <w:p>
                  <w:pPr>
                    <w:pStyle w:val="174"/>
                    <w:spacing w:line="240" w:lineRule="auto"/>
                    <w:jc w:val="center"/>
                    <w:rPr>
                      <w:rFonts w:hint="default" w:eastAsia="宋体"/>
                      <w:color w:val="auto"/>
                      <w:spacing w:val="0"/>
                      <w:kern w:val="2"/>
                      <w:szCs w:val="21"/>
                      <w:lang w:val="en-US" w:eastAsia="zh-CN"/>
                    </w:rPr>
                  </w:pPr>
                  <w:r>
                    <w:rPr>
                      <w:rFonts w:hint="eastAsia" w:eastAsia="宋体"/>
                      <w:color w:val="auto"/>
                      <w:spacing w:val="0"/>
                      <w:kern w:val="2"/>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45" w:type="pct"/>
                  <w:vAlign w:val="center"/>
                </w:tcPr>
                <w:p>
                  <w:pPr>
                    <w:jc w:val="center"/>
                    <w:rPr>
                      <w:rFonts w:hint="eastAsia"/>
                      <w:color w:val="auto"/>
                      <w:szCs w:val="21"/>
                      <w:lang w:eastAsia="zh-CN"/>
                    </w:rPr>
                  </w:pPr>
                  <w:r>
                    <w:rPr>
                      <w:rFonts w:hint="eastAsia"/>
                      <w:color w:val="auto"/>
                      <w:szCs w:val="21"/>
                      <w:lang w:eastAsia="zh-CN"/>
                    </w:rPr>
                    <w:t>机油</w:t>
                  </w:r>
                </w:p>
              </w:tc>
              <w:tc>
                <w:tcPr>
                  <w:tcW w:w="2505" w:type="pct"/>
                  <w:vAlign w:val="center"/>
                </w:tcPr>
                <w:p>
                  <w:pPr>
                    <w:jc w:val="center"/>
                    <w:rPr>
                      <w:rFonts w:hint="eastAsia"/>
                      <w:color w:val="auto"/>
                      <w:szCs w:val="21"/>
                    </w:rPr>
                  </w:pPr>
                  <w:r>
                    <w:rPr>
                      <w:rFonts w:hint="eastAsia"/>
                      <w:color w:val="auto"/>
                      <w:szCs w:val="21"/>
                    </w:rPr>
                    <w:t>外观为淡黄色粘稠液体，自燃点为 300-350℃，沸点为252.8℃。易溶于苯乙醇等多种有机溶剂。相对密度（水=1）：20℃时 0.85g/cm3。</w:t>
                  </w:r>
                </w:p>
              </w:tc>
              <w:tc>
                <w:tcPr>
                  <w:tcW w:w="585" w:type="pct"/>
                  <w:vAlign w:val="center"/>
                </w:tcPr>
                <w:p>
                  <w:pPr>
                    <w:pStyle w:val="174"/>
                    <w:spacing w:line="240" w:lineRule="auto"/>
                    <w:jc w:val="center"/>
                    <w:rPr>
                      <w:rFonts w:hint="eastAsia" w:eastAsia="宋体"/>
                      <w:color w:val="auto"/>
                      <w:spacing w:val="0"/>
                      <w:kern w:val="2"/>
                      <w:szCs w:val="21"/>
                      <w:lang w:val="en-US" w:eastAsia="zh-CN"/>
                    </w:rPr>
                  </w:pPr>
                  <w:r>
                    <w:rPr>
                      <w:rFonts w:ascii="宋体" w:hAnsi="宋体" w:eastAsia="宋体" w:cs="宋体"/>
                      <w:color w:val="auto"/>
                      <w:sz w:val="24"/>
                      <w:szCs w:val="24"/>
                    </w:rPr>
                    <w:t>可燃</w:t>
                  </w:r>
                </w:p>
              </w:tc>
              <w:tc>
                <w:tcPr>
                  <w:tcW w:w="1163" w:type="pct"/>
                  <w:vAlign w:val="center"/>
                </w:tcPr>
                <w:p>
                  <w:pPr>
                    <w:pStyle w:val="174"/>
                    <w:spacing w:line="240" w:lineRule="auto"/>
                    <w:jc w:val="center"/>
                    <w:rPr>
                      <w:rFonts w:hint="eastAsia" w:eastAsia="宋体"/>
                      <w:color w:val="auto"/>
                      <w:spacing w:val="0"/>
                      <w:kern w:val="2"/>
                      <w:szCs w:val="21"/>
                      <w:lang w:val="en-US" w:eastAsia="zh-CN"/>
                    </w:rPr>
                  </w:pPr>
                  <w:r>
                    <w:rPr>
                      <w:rFonts w:hint="eastAsia" w:eastAsia="宋体"/>
                      <w:color w:val="auto"/>
                      <w:spacing w:val="0"/>
                      <w:kern w:val="2"/>
                      <w:szCs w:val="21"/>
                      <w:lang w:val="en-US" w:eastAsia="zh-CN"/>
                    </w:rPr>
                    <w:t>LD50:5500mg/kg(大鼠经口)</w:t>
                  </w:r>
                </w:p>
              </w:tc>
            </w:tr>
          </w:tbl>
          <w:p>
            <w:pPr>
              <w:spacing w:line="360" w:lineRule="auto"/>
              <w:ind w:firstLine="480" w:firstLineChars="200"/>
              <w:rPr>
                <w:b/>
                <w:color w:val="auto"/>
                <w:sz w:val="24"/>
              </w:rPr>
            </w:pPr>
            <w:r>
              <w:rPr>
                <w:b/>
                <w:color w:val="auto"/>
                <w:sz w:val="24"/>
              </w:rPr>
              <w:t>2、主要设备</w:t>
            </w:r>
          </w:p>
          <w:p>
            <w:pPr>
              <w:spacing w:line="360" w:lineRule="auto"/>
              <w:ind w:firstLine="480" w:firstLineChars="200"/>
              <w:rPr>
                <w:color w:val="auto"/>
                <w:sz w:val="24"/>
              </w:rPr>
            </w:pPr>
            <w:r>
              <w:rPr>
                <w:color w:val="auto"/>
                <w:sz w:val="24"/>
              </w:rPr>
              <w:t>建设项目主要设备见下</w:t>
            </w:r>
            <w:r>
              <w:rPr>
                <w:color w:val="auto"/>
                <w:sz w:val="24"/>
              </w:rPr>
              <w:fldChar w:fldCharType="begin"/>
            </w:r>
            <w:r>
              <w:rPr>
                <w:color w:val="auto"/>
                <w:sz w:val="24"/>
              </w:rPr>
              <w:instrText xml:space="preserve"> REF _Ref435019854 \h  \* MERGEFORMAT </w:instrText>
            </w:r>
            <w:r>
              <w:rPr>
                <w:color w:val="auto"/>
                <w:sz w:val="24"/>
              </w:rPr>
              <w:fldChar w:fldCharType="separate"/>
            </w:r>
            <w:r>
              <w:rPr>
                <w:color w:val="auto"/>
                <w:sz w:val="24"/>
              </w:rPr>
              <w:t>表</w:t>
            </w:r>
            <w:r>
              <w:rPr>
                <w:color w:val="auto"/>
                <w:sz w:val="24"/>
              </w:rPr>
              <w:fldChar w:fldCharType="end"/>
            </w:r>
            <w:r>
              <w:rPr>
                <w:color w:val="auto"/>
                <w:sz w:val="24"/>
              </w:rPr>
              <w:t>。</w:t>
            </w:r>
          </w:p>
          <w:p>
            <w:pPr>
              <w:jc w:val="center"/>
              <w:rPr>
                <w:color w:val="auto"/>
                <w:szCs w:val="21"/>
              </w:rPr>
            </w:pPr>
            <w:bookmarkStart w:id="3" w:name="_Ref435019854"/>
            <w:r>
              <w:rPr>
                <w:b/>
                <w:color w:val="auto"/>
                <w:szCs w:val="21"/>
              </w:rPr>
              <w:t>表</w:t>
            </w:r>
            <w:bookmarkEnd w:id="3"/>
            <w:r>
              <w:rPr>
                <w:b/>
                <w:color w:val="auto"/>
                <w:szCs w:val="21"/>
              </w:rPr>
              <w:t>1-</w:t>
            </w:r>
            <w:r>
              <w:rPr>
                <w:rFonts w:hint="eastAsia"/>
                <w:b/>
                <w:color w:val="auto"/>
                <w:szCs w:val="21"/>
              </w:rPr>
              <w:t>3</w:t>
            </w:r>
            <w:r>
              <w:rPr>
                <w:b/>
                <w:color w:val="auto"/>
                <w:szCs w:val="21"/>
              </w:rPr>
              <w:t xml:space="preserve">  项目主要生产设备表</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698"/>
              <w:gridCol w:w="1868"/>
              <w:gridCol w:w="2685"/>
              <w:gridCol w:w="1755"/>
              <w:gridCol w:w="131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vMerge w:val="restart"/>
                  <w:tcBorders>
                    <w:tl2br w:val="nil"/>
                    <w:tr2bl w:val="nil"/>
                  </w:tcBorders>
                  <w:shd w:val="clear" w:color="auto" w:fill="auto"/>
                  <w:noWrap/>
                  <w:vAlign w:val="center"/>
                </w:tcPr>
                <w:p>
                  <w:pPr>
                    <w:pStyle w:val="174"/>
                    <w:spacing w:line="240" w:lineRule="auto"/>
                    <w:jc w:val="center"/>
                    <w:rPr>
                      <w:rFonts w:eastAsia="宋体"/>
                      <w:b/>
                      <w:bCs/>
                      <w:color w:val="auto"/>
                      <w:szCs w:val="21"/>
                    </w:rPr>
                  </w:pPr>
                  <w:r>
                    <w:rPr>
                      <w:rFonts w:eastAsia="宋体"/>
                      <w:b/>
                      <w:bCs/>
                      <w:color w:val="auto"/>
                      <w:szCs w:val="21"/>
                    </w:rPr>
                    <w:t>序号</w:t>
                  </w:r>
                </w:p>
              </w:tc>
              <w:tc>
                <w:tcPr>
                  <w:tcW w:w="1122" w:type="pct"/>
                  <w:vMerge w:val="restart"/>
                  <w:tcBorders>
                    <w:tl2br w:val="nil"/>
                    <w:tr2bl w:val="nil"/>
                  </w:tcBorders>
                  <w:shd w:val="clear" w:color="auto" w:fill="auto"/>
                  <w:vAlign w:val="center"/>
                </w:tcPr>
                <w:p>
                  <w:pPr>
                    <w:pStyle w:val="174"/>
                    <w:spacing w:line="240" w:lineRule="auto"/>
                    <w:jc w:val="center"/>
                    <w:rPr>
                      <w:rFonts w:eastAsia="宋体"/>
                      <w:b/>
                      <w:bCs/>
                      <w:color w:val="auto"/>
                      <w:szCs w:val="21"/>
                    </w:rPr>
                  </w:pPr>
                  <w:r>
                    <w:rPr>
                      <w:rFonts w:eastAsia="宋体"/>
                      <w:b/>
                      <w:bCs/>
                      <w:color w:val="auto"/>
                      <w:szCs w:val="21"/>
                    </w:rPr>
                    <w:t>设备名称</w:t>
                  </w:r>
                </w:p>
              </w:tc>
              <w:tc>
                <w:tcPr>
                  <w:tcW w:w="1613" w:type="pct"/>
                  <w:vMerge w:val="restart"/>
                  <w:tcBorders>
                    <w:tl2br w:val="nil"/>
                    <w:tr2bl w:val="nil"/>
                  </w:tcBorders>
                  <w:shd w:val="clear" w:color="auto" w:fill="auto"/>
                  <w:vAlign w:val="center"/>
                </w:tcPr>
                <w:p>
                  <w:pPr>
                    <w:pStyle w:val="174"/>
                    <w:spacing w:line="240" w:lineRule="auto"/>
                    <w:jc w:val="center"/>
                    <w:rPr>
                      <w:rFonts w:eastAsia="宋体"/>
                      <w:b/>
                      <w:bCs/>
                      <w:color w:val="auto"/>
                      <w:szCs w:val="21"/>
                    </w:rPr>
                  </w:pPr>
                  <w:r>
                    <w:rPr>
                      <w:rFonts w:eastAsia="宋体"/>
                      <w:b/>
                      <w:bCs/>
                      <w:color w:val="auto"/>
                      <w:szCs w:val="21"/>
                    </w:rPr>
                    <w:t>规格型号</w:t>
                  </w:r>
                </w:p>
              </w:tc>
              <w:tc>
                <w:tcPr>
                  <w:tcW w:w="1054" w:type="pct"/>
                  <w:tcBorders>
                    <w:tl2br w:val="nil"/>
                    <w:tr2bl w:val="nil"/>
                  </w:tcBorders>
                  <w:shd w:val="clear" w:color="auto" w:fill="auto"/>
                  <w:noWrap/>
                  <w:vAlign w:val="center"/>
                </w:tcPr>
                <w:p>
                  <w:pPr>
                    <w:pStyle w:val="174"/>
                    <w:spacing w:line="240" w:lineRule="auto"/>
                    <w:jc w:val="center"/>
                    <w:rPr>
                      <w:rFonts w:eastAsia="宋体"/>
                      <w:b/>
                      <w:bCs/>
                      <w:color w:val="auto"/>
                      <w:szCs w:val="21"/>
                    </w:rPr>
                  </w:pPr>
                  <w:r>
                    <w:rPr>
                      <w:rFonts w:eastAsia="宋体"/>
                      <w:b/>
                      <w:bCs/>
                      <w:color w:val="auto"/>
                      <w:szCs w:val="21"/>
                    </w:rPr>
                    <w:t>数量</w:t>
                  </w:r>
                </w:p>
              </w:tc>
              <w:tc>
                <w:tcPr>
                  <w:tcW w:w="791" w:type="pct"/>
                  <w:vMerge w:val="restart"/>
                  <w:tcBorders>
                    <w:tl2br w:val="nil"/>
                    <w:tr2bl w:val="nil"/>
                  </w:tcBorders>
                  <w:shd w:val="clear" w:color="auto" w:fill="auto"/>
                  <w:noWrap/>
                  <w:vAlign w:val="center"/>
                </w:tcPr>
                <w:p>
                  <w:pPr>
                    <w:pStyle w:val="174"/>
                    <w:spacing w:line="240" w:lineRule="auto"/>
                    <w:jc w:val="center"/>
                    <w:rPr>
                      <w:rFonts w:eastAsia="宋体"/>
                      <w:b/>
                      <w:bCs/>
                      <w:color w:val="auto"/>
                      <w:szCs w:val="21"/>
                    </w:rPr>
                  </w:pPr>
                  <w:r>
                    <w:rPr>
                      <w:rFonts w:hint="eastAsia" w:eastAsia="宋体"/>
                      <w:b/>
                      <w:bCs/>
                      <w:color w:val="auto"/>
                      <w:szCs w:val="21"/>
                    </w:rPr>
                    <w:t>用途</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0" w:hRule="atLeast"/>
              </w:trPr>
              <w:tc>
                <w:tcPr>
                  <w:tcW w:w="419" w:type="pct"/>
                  <w:vMerge w:val="continue"/>
                  <w:tcBorders>
                    <w:tl2br w:val="nil"/>
                    <w:tr2bl w:val="nil"/>
                  </w:tcBorders>
                  <w:vAlign w:val="center"/>
                </w:tcPr>
                <w:p>
                  <w:pPr>
                    <w:pStyle w:val="174"/>
                    <w:spacing w:line="240" w:lineRule="auto"/>
                    <w:jc w:val="center"/>
                    <w:rPr>
                      <w:rFonts w:eastAsia="宋体"/>
                      <w:b/>
                      <w:bCs/>
                      <w:color w:val="auto"/>
                      <w:szCs w:val="21"/>
                    </w:rPr>
                  </w:pPr>
                </w:p>
              </w:tc>
              <w:tc>
                <w:tcPr>
                  <w:tcW w:w="1122" w:type="pct"/>
                  <w:vMerge w:val="continue"/>
                  <w:tcBorders>
                    <w:tl2br w:val="nil"/>
                    <w:tr2bl w:val="nil"/>
                  </w:tcBorders>
                  <w:vAlign w:val="center"/>
                </w:tcPr>
                <w:p>
                  <w:pPr>
                    <w:pStyle w:val="174"/>
                    <w:spacing w:line="240" w:lineRule="auto"/>
                    <w:jc w:val="center"/>
                    <w:rPr>
                      <w:rFonts w:eastAsia="宋体"/>
                      <w:b/>
                      <w:bCs/>
                      <w:color w:val="auto"/>
                      <w:szCs w:val="21"/>
                    </w:rPr>
                  </w:pPr>
                </w:p>
              </w:tc>
              <w:tc>
                <w:tcPr>
                  <w:tcW w:w="1613" w:type="pct"/>
                  <w:vMerge w:val="continue"/>
                  <w:tcBorders>
                    <w:tl2br w:val="nil"/>
                    <w:tr2bl w:val="nil"/>
                  </w:tcBorders>
                  <w:vAlign w:val="center"/>
                </w:tcPr>
                <w:p>
                  <w:pPr>
                    <w:pStyle w:val="174"/>
                    <w:spacing w:line="240" w:lineRule="auto"/>
                    <w:jc w:val="center"/>
                    <w:rPr>
                      <w:rFonts w:eastAsia="宋体"/>
                      <w:b/>
                      <w:bCs/>
                      <w:color w:val="auto"/>
                      <w:szCs w:val="21"/>
                    </w:rPr>
                  </w:pPr>
                </w:p>
              </w:tc>
              <w:tc>
                <w:tcPr>
                  <w:tcW w:w="1054" w:type="pct"/>
                  <w:tcBorders>
                    <w:tl2br w:val="nil"/>
                    <w:tr2bl w:val="nil"/>
                  </w:tcBorders>
                  <w:shd w:val="clear" w:color="auto" w:fill="auto"/>
                  <w:vAlign w:val="center"/>
                </w:tcPr>
                <w:p>
                  <w:pPr>
                    <w:pStyle w:val="174"/>
                    <w:spacing w:line="240" w:lineRule="auto"/>
                    <w:jc w:val="center"/>
                    <w:rPr>
                      <w:rFonts w:eastAsia="宋体"/>
                      <w:b/>
                      <w:bCs/>
                      <w:color w:val="auto"/>
                      <w:szCs w:val="21"/>
                    </w:rPr>
                  </w:pPr>
                  <w:r>
                    <w:rPr>
                      <w:rFonts w:eastAsia="宋体"/>
                      <w:b/>
                      <w:bCs/>
                      <w:color w:val="auto"/>
                      <w:szCs w:val="21"/>
                    </w:rPr>
                    <w:t>（台</w:t>
                  </w:r>
                  <w:r>
                    <w:rPr>
                      <w:rFonts w:hint="eastAsia" w:eastAsia="宋体"/>
                      <w:b/>
                      <w:bCs/>
                      <w:color w:val="auto"/>
                      <w:szCs w:val="21"/>
                    </w:rPr>
                    <w:t>/</w:t>
                  </w:r>
                  <w:r>
                    <w:rPr>
                      <w:rFonts w:eastAsia="宋体"/>
                      <w:b/>
                      <w:bCs/>
                      <w:color w:val="auto"/>
                      <w:szCs w:val="21"/>
                    </w:rPr>
                    <w:t>套）</w:t>
                  </w:r>
                </w:p>
              </w:tc>
              <w:tc>
                <w:tcPr>
                  <w:tcW w:w="791" w:type="pct"/>
                  <w:vMerge w:val="continue"/>
                  <w:tcBorders>
                    <w:tl2br w:val="nil"/>
                    <w:tr2bl w:val="nil"/>
                  </w:tcBorders>
                  <w:shd w:val="clear" w:color="auto" w:fill="auto"/>
                  <w:vAlign w:val="center"/>
                </w:tcPr>
                <w:p>
                  <w:pPr>
                    <w:pStyle w:val="174"/>
                    <w:spacing w:line="240" w:lineRule="auto"/>
                    <w:jc w:val="center"/>
                    <w:rPr>
                      <w:rFonts w:eastAsia="宋体"/>
                      <w:b/>
                      <w:bCs/>
                      <w:color w:val="auto"/>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19" w:type="pct"/>
                  <w:tcBorders>
                    <w:tl2br w:val="nil"/>
                    <w:tr2bl w:val="nil"/>
                  </w:tcBorders>
                  <w:shd w:val="clear" w:color="auto" w:fill="auto"/>
                  <w:noWrap/>
                  <w:vAlign w:val="center"/>
                </w:tcPr>
                <w:p>
                  <w:pPr>
                    <w:pStyle w:val="174"/>
                    <w:spacing w:line="240" w:lineRule="auto"/>
                    <w:jc w:val="center"/>
                    <w:rPr>
                      <w:rFonts w:hint="eastAsia" w:eastAsia="宋体"/>
                      <w:color w:val="auto"/>
                      <w:szCs w:val="21"/>
                      <w:lang w:val="en-US" w:eastAsia="zh-CN"/>
                    </w:rPr>
                  </w:pPr>
                  <w:r>
                    <w:rPr>
                      <w:rFonts w:hint="eastAsia" w:eastAsia="宋体"/>
                      <w:color w:val="auto"/>
                      <w:szCs w:val="21"/>
                      <w:lang w:val="en-US" w:eastAsia="zh-CN"/>
                    </w:rPr>
                    <w:t>1</w:t>
                  </w:r>
                </w:p>
              </w:tc>
              <w:tc>
                <w:tcPr>
                  <w:tcW w:w="1122" w:type="pct"/>
                  <w:tcBorders>
                    <w:tl2br w:val="nil"/>
                    <w:tr2bl w:val="nil"/>
                  </w:tcBorders>
                  <w:shd w:val="clear" w:color="auto" w:fill="auto"/>
                  <w:vAlign w:val="center"/>
                </w:tcPr>
                <w:p>
                  <w:pPr>
                    <w:widowControl/>
                    <w:jc w:val="center"/>
                    <w:textAlignment w:val="center"/>
                    <w:rPr>
                      <w:rFonts w:hint="eastAsia" w:eastAsia="宋体"/>
                      <w:color w:val="auto"/>
                      <w:szCs w:val="21"/>
                      <w:lang w:eastAsia="zh-CN"/>
                    </w:rPr>
                  </w:pPr>
                  <w:r>
                    <w:rPr>
                      <w:rFonts w:hint="eastAsia"/>
                      <w:color w:val="auto"/>
                      <w:szCs w:val="21"/>
                      <w:lang w:eastAsia="zh-CN"/>
                    </w:rPr>
                    <w:t>数控龙门镗铣床</w:t>
                  </w:r>
                </w:p>
              </w:tc>
              <w:tc>
                <w:tcPr>
                  <w:tcW w:w="1613" w:type="pct"/>
                  <w:tcBorders>
                    <w:tl2br w:val="nil"/>
                    <w:tr2bl w:val="nil"/>
                  </w:tcBorders>
                  <w:shd w:val="clear" w:color="auto" w:fill="auto"/>
                  <w:vAlign w:val="center"/>
                </w:tcPr>
                <w:p>
                  <w:pPr>
                    <w:widowControl/>
                    <w:jc w:val="center"/>
                    <w:textAlignment w:val="center"/>
                    <w:rPr>
                      <w:rFonts w:hint="eastAsia"/>
                      <w:color w:val="auto"/>
                      <w:szCs w:val="21"/>
                      <w:lang w:val="en-US" w:eastAsia="zh-CN"/>
                    </w:rPr>
                  </w:pPr>
                  <w:r>
                    <w:rPr>
                      <w:rFonts w:hint="eastAsia"/>
                      <w:color w:val="auto"/>
                      <w:szCs w:val="21"/>
                      <w:lang w:val="en-US" w:eastAsia="zh-CN"/>
                    </w:rPr>
                    <w:t>2m*4m/2m*6m/3m*8m</w:t>
                  </w:r>
                </w:p>
              </w:tc>
              <w:tc>
                <w:tcPr>
                  <w:tcW w:w="1054" w:type="pct"/>
                  <w:tcBorders>
                    <w:tl2br w:val="nil"/>
                    <w:tr2bl w:val="nil"/>
                  </w:tcBorders>
                  <w:shd w:val="clear" w:color="auto" w:fill="auto"/>
                  <w:vAlign w:val="center"/>
                </w:tcPr>
                <w:p>
                  <w:pPr>
                    <w:widowControl/>
                    <w:jc w:val="center"/>
                    <w:textAlignment w:val="center"/>
                    <w:rPr>
                      <w:rFonts w:hint="default"/>
                      <w:color w:val="auto"/>
                      <w:szCs w:val="21"/>
                      <w:lang w:val="en-US" w:eastAsia="zh-CN"/>
                    </w:rPr>
                  </w:pPr>
                  <w:r>
                    <w:rPr>
                      <w:rFonts w:hint="eastAsia"/>
                      <w:color w:val="auto"/>
                      <w:szCs w:val="21"/>
                      <w:lang w:val="en-US" w:eastAsia="zh-CN"/>
                    </w:rPr>
                    <w:t>3</w:t>
                  </w:r>
                </w:p>
              </w:tc>
              <w:tc>
                <w:tcPr>
                  <w:tcW w:w="791" w:type="pct"/>
                  <w:tcBorders>
                    <w:tl2br w:val="nil"/>
                    <w:tr2bl w:val="nil"/>
                  </w:tcBorders>
                  <w:shd w:val="clear" w:color="auto" w:fill="auto"/>
                  <w:vAlign w:val="center"/>
                </w:tcPr>
                <w:p>
                  <w:pPr>
                    <w:widowControl/>
                    <w:jc w:val="center"/>
                    <w:textAlignment w:val="center"/>
                    <w:rPr>
                      <w:color w:val="auto"/>
                      <w:szCs w:val="21"/>
                    </w:rPr>
                  </w:pPr>
                  <w:r>
                    <w:rPr>
                      <w:rFonts w:ascii="宋体" w:hAnsi="宋体" w:eastAsia="宋体" w:cs="宋体"/>
                      <w:color w:val="auto"/>
                      <w:sz w:val="24"/>
                      <w:szCs w:val="24"/>
                    </w:rPr>
                    <w:t>镗铣</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2</w:t>
                  </w:r>
                </w:p>
              </w:tc>
              <w:tc>
                <w:tcPr>
                  <w:tcW w:w="1122" w:type="pct"/>
                  <w:tcBorders>
                    <w:tl2br w:val="nil"/>
                    <w:tr2bl w:val="nil"/>
                  </w:tcBorders>
                  <w:shd w:val="clear" w:color="auto" w:fill="auto"/>
                  <w:vAlign w:val="center"/>
                </w:tcPr>
                <w:p>
                  <w:pPr>
                    <w:widowControl/>
                    <w:jc w:val="center"/>
                    <w:textAlignment w:val="center"/>
                    <w:rPr>
                      <w:rFonts w:hint="eastAsia"/>
                      <w:color w:val="auto"/>
                      <w:szCs w:val="21"/>
                      <w:lang w:eastAsia="zh-CN"/>
                    </w:rPr>
                  </w:pPr>
                  <w:r>
                    <w:rPr>
                      <w:rFonts w:hint="eastAsia"/>
                      <w:color w:val="auto"/>
                      <w:szCs w:val="21"/>
                      <w:lang w:eastAsia="zh-CN"/>
                    </w:rPr>
                    <w:t>摇臂钻</w:t>
                  </w:r>
                </w:p>
              </w:tc>
              <w:tc>
                <w:tcPr>
                  <w:tcW w:w="1613" w:type="pct"/>
                  <w:tcBorders>
                    <w:tl2br w:val="nil"/>
                    <w:tr2bl w:val="nil"/>
                  </w:tcBorders>
                  <w:shd w:val="clear" w:color="auto" w:fill="auto"/>
                  <w:vAlign w:val="center"/>
                </w:tcPr>
                <w:p>
                  <w:pPr>
                    <w:widowControl/>
                    <w:jc w:val="center"/>
                    <w:textAlignment w:val="center"/>
                    <w:rPr>
                      <w:rFonts w:hint="eastAsia"/>
                      <w:color w:val="auto"/>
                      <w:szCs w:val="21"/>
                      <w:lang w:val="en-US" w:eastAsia="zh-CN"/>
                    </w:rPr>
                  </w:pPr>
                  <w:r>
                    <w:rPr>
                      <w:rFonts w:hint="eastAsia"/>
                      <w:color w:val="auto"/>
                      <w:szCs w:val="21"/>
                      <w:lang w:val="en-US" w:eastAsia="zh-CN"/>
                    </w:rPr>
                    <w:t>3050</w:t>
                  </w:r>
                </w:p>
              </w:tc>
              <w:tc>
                <w:tcPr>
                  <w:tcW w:w="1054" w:type="pct"/>
                  <w:tcBorders>
                    <w:tl2br w:val="nil"/>
                    <w:tr2bl w:val="nil"/>
                  </w:tcBorders>
                  <w:shd w:val="clear" w:color="auto" w:fill="auto"/>
                  <w:vAlign w:val="center"/>
                </w:tcPr>
                <w:p>
                  <w:pPr>
                    <w:widowControl/>
                    <w:jc w:val="center"/>
                    <w:textAlignment w:val="center"/>
                    <w:rPr>
                      <w:rFonts w:hint="eastAsia"/>
                      <w:color w:val="auto"/>
                      <w:szCs w:val="21"/>
                      <w:lang w:val="en-US" w:eastAsia="zh-CN"/>
                    </w:rPr>
                  </w:pPr>
                  <w:r>
                    <w:rPr>
                      <w:rFonts w:hint="eastAsia"/>
                      <w:color w:val="auto"/>
                      <w:szCs w:val="21"/>
                      <w:lang w:val="en-US" w:eastAsia="zh-CN"/>
                    </w:rPr>
                    <w:t>2</w:t>
                  </w:r>
                </w:p>
              </w:tc>
              <w:tc>
                <w:tcPr>
                  <w:tcW w:w="791" w:type="pct"/>
                  <w:tcBorders>
                    <w:tl2br w:val="nil"/>
                    <w:tr2bl w:val="nil"/>
                  </w:tcBorders>
                  <w:shd w:val="clear" w:color="auto" w:fill="auto"/>
                  <w:vAlign w:val="center"/>
                </w:tcPr>
                <w:p>
                  <w:pPr>
                    <w:widowControl/>
                    <w:jc w:val="center"/>
                    <w:textAlignment w:val="center"/>
                    <w:rPr>
                      <w:rFonts w:hint="eastAsia" w:eastAsia="宋体"/>
                      <w:color w:val="auto"/>
                      <w:szCs w:val="21"/>
                      <w:lang w:eastAsia="zh-CN"/>
                    </w:rPr>
                  </w:pPr>
                  <w:r>
                    <w:rPr>
                      <w:rFonts w:hint="eastAsia"/>
                      <w:color w:val="auto"/>
                      <w:szCs w:val="21"/>
                      <w:lang w:eastAsia="zh-CN"/>
                    </w:rPr>
                    <w:t>打孔</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3</w:t>
                  </w:r>
                </w:p>
              </w:tc>
              <w:tc>
                <w:tcPr>
                  <w:tcW w:w="1122" w:type="pct"/>
                  <w:tcBorders>
                    <w:tl2br w:val="nil"/>
                    <w:tr2bl w:val="nil"/>
                  </w:tcBorders>
                  <w:shd w:val="clear" w:color="auto" w:fill="auto"/>
                  <w:vAlign w:val="center"/>
                </w:tcPr>
                <w:p>
                  <w:pPr>
                    <w:widowControl/>
                    <w:jc w:val="center"/>
                    <w:textAlignment w:val="center"/>
                    <w:rPr>
                      <w:rFonts w:hint="default" w:eastAsia="宋体"/>
                      <w:color w:val="auto"/>
                      <w:szCs w:val="21"/>
                      <w:lang w:val="en-US" w:eastAsia="zh-CN"/>
                    </w:rPr>
                  </w:pPr>
                  <w:r>
                    <w:rPr>
                      <w:rFonts w:hint="eastAsia"/>
                      <w:color w:val="auto"/>
                      <w:szCs w:val="21"/>
                      <w:lang w:eastAsia="zh-CN"/>
                    </w:rPr>
                    <w:t>喷砂</w:t>
                  </w:r>
                  <w:r>
                    <w:rPr>
                      <w:rFonts w:hint="eastAsia"/>
                      <w:color w:val="auto"/>
                      <w:szCs w:val="21"/>
                      <w:lang w:val="en-US" w:eastAsia="zh-CN"/>
                    </w:rPr>
                    <w:t>室</w:t>
                  </w:r>
                </w:p>
              </w:tc>
              <w:tc>
                <w:tcPr>
                  <w:tcW w:w="1613" w:type="pct"/>
                  <w:tcBorders>
                    <w:tl2br w:val="nil"/>
                    <w:tr2bl w:val="nil"/>
                  </w:tcBorders>
                  <w:shd w:val="clear" w:color="auto" w:fill="auto"/>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12m*7.5m*3m，内配1台喷砂机</w:t>
                  </w:r>
                </w:p>
              </w:tc>
              <w:tc>
                <w:tcPr>
                  <w:tcW w:w="1054" w:type="pct"/>
                  <w:tcBorders>
                    <w:tl2br w:val="nil"/>
                    <w:tr2bl w:val="nil"/>
                  </w:tcBorders>
                  <w:shd w:val="clear" w:color="auto" w:fill="auto"/>
                  <w:vAlign w:val="center"/>
                </w:tcPr>
                <w:p>
                  <w:pPr>
                    <w:widowControl/>
                    <w:jc w:val="center"/>
                    <w:textAlignment w:val="center"/>
                    <w:rPr>
                      <w:rFonts w:hint="eastAsia" w:eastAsia="宋体"/>
                      <w:color w:val="auto"/>
                      <w:kern w:val="0"/>
                      <w:szCs w:val="21"/>
                      <w:lang w:val="en-US" w:eastAsia="zh-CN"/>
                    </w:rPr>
                  </w:pPr>
                  <w:r>
                    <w:rPr>
                      <w:rFonts w:hint="eastAsia"/>
                      <w:color w:val="auto"/>
                      <w:kern w:val="0"/>
                      <w:szCs w:val="21"/>
                      <w:lang w:val="en-US" w:eastAsia="zh-CN"/>
                    </w:rPr>
                    <w:t>1</w:t>
                  </w:r>
                </w:p>
              </w:tc>
              <w:tc>
                <w:tcPr>
                  <w:tcW w:w="791" w:type="pct"/>
                  <w:tcBorders>
                    <w:tl2br w:val="nil"/>
                    <w:tr2bl w:val="nil"/>
                  </w:tcBorders>
                  <w:shd w:val="clear" w:color="auto" w:fill="auto"/>
                  <w:vAlign w:val="center"/>
                </w:tcPr>
                <w:p>
                  <w:pPr>
                    <w:widowControl/>
                    <w:jc w:val="center"/>
                    <w:textAlignment w:val="center"/>
                    <w:rPr>
                      <w:rFonts w:hint="eastAsia" w:eastAsia="宋体"/>
                      <w:color w:val="auto"/>
                      <w:kern w:val="0"/>
                      <w:szCs w:val="21"/>
                      <w:lang w:val="en-US" w:eastAsia="zh-CN"/>
                    </w:rPr>
                  </w:pPr>
                  <w:r>
                    <w:rPr>
                      <w:rFonts w:hint="eastAsia"/>
                      <w:color w:val="auto"/>
                      <w:kern w:val="0"/>
                      <w:szCs w:val="21"/>
                      <w:lang w:val="en-US" w:eastAsia="zh-CN"/>
                    </w:rPr>
                    <w:t>喷砂</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4</w:t>
                  </w:r>
                </w:p>
              </w:tc>
              <w:tc>
                <w:tcPr>
                  <w:tcW w:w="1122"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抛丸室</w:t>
                  </w:r>
                </w:p>
              </w:tc>
              <w:tc>
                <w:tcPr>
                  <w:tcW w:w="1613" w:type="pct"/>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12m*7.5m*3m，内配1台抛丸机</w:t>
                  </w:r>
                  <w:r>
                    <w:rPr>
                      <w:rFonts w:hint="eastAsia"/>
                      <w:color w:val="auto"/>
                      <w:szCs w:val="21"/>
                    </w:rPr>
                    <w:t>HP119-8</w:t>
                  </w:r>
                </w:p>
              </w:tc>
              <w:tc>
                <w:tcPr>
                  <w:tcW w:w="1054"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1</w:t>
                  </w:r>
                </w:p>
              </w:tc>
              <w:tc>
                <w:tcPr>
                  <w:tcW w:w="791" w:type="pct"/>
                  <w:tcBorders>
                    <w:tl2br w:val="nil"/>
                    <w:tr2bl w:val="nil"/>
                  </w:tcBorders>
                  <w:shd w:val="clear" w:color="auto" w:fill="auto"/>
                  <w:vAlign w:val="center"/>
                </w:tcPr>
                <w:p>
                  <w:pPr>
                    <w:widowControl/>
                    <w:jc w:val="center"/>
                    <w:textAlignment w:val="center"/>
                    <w:rPr>
                      <w:rFonts w:hint="eastAsia" w:eastAsia="宋体"/>
                      <w:color w:val="auto"/>
                      <w:kern w:val="0"/>
                      <w:szCs w:val="21"/>
                      <w:lang w:val="en-US" w:eastAsia="zh-CN"/>
                    </w:rPr>
                  </w:pPr>
                  <w:r>
                    <w:rPr>
                      <w:rFonts w:hint="eastAsia"/>
                      <w:color w:val="auto"/>
                      <w:kern w:val="0"/>
                      <w:szCs w:val="21"/>
                      <w:lang w:val="en-US" w:eastAsia="zh-CN"/>
                    </w:rPr>
                    <w:t>抛丸</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5</w:t>
                  </w:r>
                </w:p>
              </w:tc>
              <w:tc>
                <w:tcPr>
                  <w:tcW w:w="1122"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喷锌室</w:t>
                  </w:r>
                </w:p>
              </w:tc>
              <w:tc>
                <w:tcPr>
                  <w:tcW w:w="1613" w:type="pct"/>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12m*7.5m*3m，内配1台手提式喷丝机</w:t>
                  </w:r>
                </w:p>
              </w:tc>
              <w:tc>
                <w:tcPr>
                  <w:tcW w:w="1054"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1</w:t>
                  </w:r>
                </w:p>
              </w:tc>
              <w:tc>
                <w:tcPr>
                  <w:tcW w:w="791" w:type="pc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kern w:val="0"/>
                      <w:sz w:val="21"/>
                      <w:szCs w:val="21"/>
                      <w:lang w:val="en-US" w:eastAsia="zh-CN" w:bidi="ar-SA"/>
                    </w:rPr>
                    <w:t>喷锌</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default"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6</w:t>
                  </w:r>
                </w:p>
              </w:tc>
              <w:tc>
                <w:tcPr>
                  <w:tcW w:w="1122"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移动式喷漆房</w:t>
                  </w:r>
                </w:p>
              </w:tc>
              <w:tc>
                <w:tcPr>
                  <w:tcW w:w="1613" w:type="pct"/>
                  <w:tcBorders>
                    <w:tl2br w:val="nil"/>
                    <w:tr2bl w:val="nil"/>
                  </w:tcBorders>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13m*7.5m*3m/8m*7.6m*3m，内各配两把喷枪</w:t>
                  </w:r>
                </w:p>
              </w:tc>
              <w:tc>
                <w:tcPr>
                  <w:tcW w:w="1054" w:type="pc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0"/>
                      <w:sz w:val="21"/>
                      <w:szCs w:val="21"/>
                      <w:lang w:val="en-US" w:eastAsia="zh-CN" w:bidi="ar-SA"/>
                    </w:rPr>
                  </w:pPr>
                  <w:r>
                    <w:rPr>
                      <w:rFonts w:hint="default"/>
                      <w:color w:val="auto"/>
                      <w:kern w:val="0"/>
                      <w:szCs w:val="21"/>
                      <w:lang w:val="en-US" w:eastAsia="zh-CN"/>
                    </w:rPr>
                    <w:t>2</w:t>
                  </w:r>
                </w:p>
              </w:tc>
              <w:tc>
                <w:tcPr>
                  <w:tcW w:w="791" w:type="pc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kern w:val="0"/>
                      <w:sz w:val="21"/>
                      <w:szCs w:val="21"/>
                      <w:lang w:val="en-US" w:eastAsia="zh-CN" w:bidi="ar-SA"/>
                    </w:rPr>
                    <w:t>喷漆</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7</w:t>
                  </w:r>
                </w:p>
              </w:tc>
              <w:tc>
                <w:tcPr>
                  <w:tcW w:w="1122" w:type="pc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干式喷漆柜组</w:t>
                  </w:r>
                </w:p>
              </w:tc>
              <w:tc>
                <w:tcPr>
                  <w:tcW w:w="1613" w:type="pct"/>
                  <w:tcBorders>
                    <w:tl2br w:val="nil"/>
                    <w:tr2bl w:val="nil"/>
                  </w:tcBorders>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3</w:t>
                  </w:r>
                  <w:r>
                    <w:rPr>
                      <w:rFonts w:hint="eastAsia"/>
                      <w:color w:val="auto"/>
                      <w:szCs w:val="21"/>
                    </w:rPr>
                    <w:t>m*</w:t>
                  </w:r>
                  <w:r>
                    <w:rPr>
                      <w:rFonts w:hint="eastAsia"/>
                      <w:color w:val="auto"/>
                      <w:szCs w:val="21"/>
                      <w:lang w:val="en-US" w:eastAsia="zh-CN"/>
                    </w:rPr>
                    <w:t>1</w:t>
                  </w:r>
                  <w:r>
                    <w:rPr>
                      <w:rFonts w:hint="eastAsia"/>
                      <w:color w:val="auto"/>
                      <w:szCs w:val="21"/>
                    </w:rPr>
                    <w:t>m*</w:t>
                  </w:r>
                  <w:r>
                    <w:rPr>
                      <w:rFonts w:hint="eastAsia"/>
                      <w:color w:val="auto"/>
                      <w:szCs w:val="21"/>
                      <w:lang w:val="en-US" w:eastAsia="zh-CN"/>
                    </w:rPr>
                    <w:t>2.3</w:t>
                  </w:r>
                  <w:r>
                    <w:rPr>
                      <w:rFonts w:hint="eastAsia"/>
                      <w:color w:val="auto"/>
                      <w:szCs w:val="21"/>
                    </w:rPr>
                    <w:t>m</w:t>
                  </w:r>
                </w:p>
              </w:tc>
              <w:tc>
                <w:tcPr>
                  <w:tcW w:w="1054"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0"/>
                      <w:sz w:val="21"/>
                      <w:szCs w:val="28"/>
                      <w:lang w:val="en-US" w:eastAsia="zh-CN" w:bidi="ar-SA"/>
                    </w:rPr>
                  </w:pPr>
                  <w:r>
                    <w:rPr>
                      <w:rFonts w:hint="eastAsia"/>
                      <w:color w:val="auto"/>
                      <w:kern w:val="0"/>
                      <w:szCs w:val="28"/>
                      <w:lang w:val="en-US" w:eastAsia="zh-CN"/>
                    </w:rPr>
                    <w:t>2</w:t>
                  </w:r>
                </w:p>
              </w:tc>
              <w:tc>
                <w:tcPr>
                  <w:tcW w:w="791" w:type="pct"/>
                  <w:vMerge w:val="restar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0"/>
                      <w:sz w:val="21"/>
                      <w:szCs w:val="28"/>
                      <w:lang w:val="en-US" w:eastAsia="zh-CN" w:bidi="ar-SA"/>
                    </w:rPr>
                  </w:pPr>
                  <w:r>
                    <w:rPr>
                      <w:rFonts w:hint="eastAsia" w:cs="Times New Roman"/>
                      <w:color w:val="auto"/>
                      <w:kern w:val="0"/>
                      <w:sz w:val="21"/>
                      <w:szCs w:val="28"/>
                      <w:lang w:val="en-US" w:eastAsia="zh-CN" w:bidi="ar-SA"/>
                    </w:rPr>
                    <w:t>废气处理设备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8</w:t>
                  </w:r>
                </w:p>
              </w:tc>
              <w:tc>
                <w:tcPr>
                  <w:tcW w:w="1122"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二级活性炭吸附箱</w:t>
                  </w:r>
                </w:p>
              </w:tc>
              <w:tc>
                <w:tcPr>
                  <w:tcW w:w="1613" w:type="pct"/>
                  <w:tcBorders>
                    <w:tl2br w:val="nil"/>
                    <w:tr2bl w:val="nil"/>
                  </w:tcBorders>
                  <w:shd w:val="clear" w:color="auto" w:fill="auto"/>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w:t>
                  </w:r>
                </w:p>
              </w:tc>
              <w:tc>
                <w:tcPr>
                  <w:tcW w:w="1054"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0"/>
                      <w:sz w:val="21"/>
                      <w:szCs w:val="28"/>
                      <w:lang w:val="en-US" w:eastAsia="zh-CN" w:bidi="ar-SA"/>
                    </w:rPr>
                  </w:pPr>
                  <w:r>
                    <w:rPr>
                      <w:rFonts w:hint="eastAsia" w:cs="Times New Roman"/>
                      <w:color w:val="auto"/>
                      <w:kern w:val="0"/>
                      <w:sz w:val="21"/>
                      <w:szCs w:val="28"/>
                      <w:lang w:val="en-US" w:eastAsia="zh-CN" w:bidi="ar-SA"/>
                    </w:rPr>
                    <w:t>2</w:t>
                  </w:r>
                </w:p>
              </w:tc>
              <w:tc>
                <w:tcPr>
                  <w:tcW w:w="791" w:type="pct"/>
                  <w:vMerge w:val="continue"/>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auto"/>
                      <w:kern w:val="0"/>
                      <w:sz w:val="21"/>
                      <w:szCs w:val="2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eastAsia" w:ascii="Times New Roman" w:hAnsi="Times New Roman" w:eastAsia="宋体" w:cs="Times New Roman"/>
                      <w:color w:val="auto"/>
                      <w:spacing w:val="-10"/>
                      <w:kern w:val="0"/>
                      <w:sz w:val="21"/>
                      <w:szCs w:val="21"/>
                      <w:lang w:val="en-US" w:eastAsia="zh-CN" w:bidi="ar-SA"/>
                    </w:rPr>
                  </w:pPr>
                  <w:r>
                    <w:rPr>
                      <w:rFonts w:hint="eastAsia" w:eastAsia="宋体" w:cs="Times New Roman"/>
                      <w:color w:val="auto"/>
                      <w:spacing w:val="-10"/>
                      <w:kern w:val="0"/>
                      <w:sz w:val="21"/>
                      <w:szCs w:val="21"/>
                      <w:lang w:val="en-US" w:eastAsia="zh-CN" w:bidi="ar-SA"/>
                    </w:rPr>
                    <w:t>9</w:t>
                  </w:r>
                </w:p>
              </w:tc>
              <w:tc>
                <w:tcPr>
                  <w:tcW w:w="1122"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脉冲布袋除尘器</w:t>
                  </w:r>
                </w:p>
              </w:tc>
              <w:tc>
                <w:tcPr>
                  <w:tcW w:w="1613" w:type="pct"/>
                  <w:tcBorders>
                    <w:tl2br w:val="nil"/>
                    <w:tr2bl w:val="nil"/>
                  </w:tcBorders>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w:t>
                  </w:r>
                </w:p>
              </w:tc>
              <w:tc>
                <w:tcPr>
                  <w:tcW w:w="1054" w:type="pct"/>
                  <w:tcBorders>
                    <w:tl2br w:val="nil"/>
                    <w:tr2bl w:val="nil"/>
                  </w:tcBorders>
                  <w:shd w:val="clear" w:color="auto" w:fill="auto"/>
                  <w:vAlign w:val="center"/>
                </w:tcPr>
                <w:p>
                  <w:pPr>
                    <w:widowControl/>
                    <w:jc w:val="center"/>
                    <w:textAlignment w:val="center"/>
                    <w:rPr>
                      <w:rFonts w:hint="eastAsia" w:ascii="Times New Roman" w:hAnsi="Times New Roman" w:eastAsia="宋体" w:cs="Times New Roman"/>
                      <w:color w:val="auto"/>
                      <w:kern w:val="0"/>
                      <w:sz w:val="21"/>
                      <w:szCs w:val="28"/>
                      <w:lang w:val="en-US" w:eastAsia="zh-CN" w:bidi="ar-SA"/>
                    </w:rPr>
                  </w:pPr>
                  <w:r>
                    <w:rPr>
                      <w:rFonts w:hint="eastAsia" w:cs="Times New Roman"/>
                      <w:color w:val="auto"/>
                      <w:kern w:val="0"/>
                      <w:sz w:val="21"/>
                      <w:szCs w:val="28"/>
                      <w:lang w:val="en-US" w:eastAsia="zh-CN" w:bidi="ar-SA"/>
                    </w:rPr>
                    <w:t>1</w:t>
                  </w:r>
                </w:p>
              </w:tc>
              <w:tc>
                <w:tcPr>
                  <w:tcW w:w="791" w:type="pct"/>
                  <w:vMerge w:val="continue"/>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auto"/>
                      <w:kern w:val="0"/>
                      <w:sz w:val="21"/>
                      <w:szCs w:val="2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19" w:type="pct"/>
                  <w:tcBorders>
                    <w:tl2br w:val="nil"/>
                    <w:tr2bl w:val="nil"/>
                  </w:tcBorders>
                  <w:shd w:val="clear" w:color="auto" w:fill="auto"/>
                  <w:noWrap/>
                  <w:vAlign w:val="center"/>
                </w:tcPr>
                <w:p>
                  <w:pPr>
                    <w:pStyle w:val="174"/>
                    <w:spacing w:line="240" w:lineRule="auto"/>
                    <w:jc w:val="center"/>
                    <w:rPr>
                      <w:rFonts w:hint="default" w:ascii="Times New Roman" w:hAnsi="Times New Roman" w:eastAsia="宋体" w:cs="Times New Roman"/>
                      <w:color w:val="auto"/>
                      <w:spacing w:val="-10"/>
                      <w:kern w:val="0"/>
                      <w:sz w:val="21"/>
                      <w:szCs w:val="21"/>
                      <w:lang w:val="en-US" w:eastAsia="zh-CN" w:bidi="ar-SA"/>
                    </w:rPr>
                  </w:pPr>
                  <w:r>
                    <w:rPr>
                      <w:rFonts w:hint="eastAsia" w:eastAsia="宋体"/>
                      <w:color w:val="auto"/>
                      <w:szCs w:val="21"/>
                      <w:lang w:val="en-US" w:eastAsia="zh-CN"/>
                    </w:rPr>
                    <w:t>11</w:t>
                  </w:r>
                </w:p>
              </w:tc>
              <w:tc>
                <w:tcPr>
                  <w:tcW w:w="1122" w:type="pct"/>
                  <w:tcBorders>
                    <w:tl2br w:val="nil"/>
                    <w:tr2bl w:val="nil"/>
                  </w:tcBorders>
                  <w:shd w:val="clear" w:color="auto" w:fill="auto"/>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空压机组</w:t>
                  </w:r>
                </w:p>
              </w:tc>
              <w:tc>
                <w:tcPr>
                  <w:tcW w:w="1613" w:type="pct"/>
                  <w:tcBorders>
                    <w:tl2br w:val="nil"/>
                    <w:tr2bl w:val="nil"/>
                  </w:tcBorders>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10m</w:t>
                  </w:r>
                  <w:r>
                    <w:rPr>
                      <w:rFonts w:hint="eastAsia"/>
                      <w:color w:val="auto"/>
                      <w:szCs w:val="21"/>
                      <w:vertAlign w:val="superscript"/>
                      <w:lang w:val="en-US" w:eastAsia="zh-CN"/>
                    </w:rPr>
                    <w:t>3</w:t>
                  </w:r>
                  <w:r>
                    <w:rPr>
                      <w:rFonts w:hint="eastAsia"/>
                      <w:color w:val="auto"/>
                      <w:szCs w:val="21"/>
                      <w:lang w:val="en-US" w:eastAsia="zh-CN"/>
                    </w:rPr>
                    <w:t xml:space="preserve"> /min</w:t>
                  </w:r>
                </w:p>
              </w:tc>
              <w:tc>
                <w:tcPr>
                  <w:tcW w:w="1054" w:type="pct"/>
                  <w:tcBorders>
                    <w:tl2br w:val="nil"/>
                    <w:tr2bl w:val="nil"/>
                  </w:tcBorders>
                  <w:shd w:val="clear" w:color="auto" w:fill="auto"/>
                  <w:vAlign w:val="center"/>
                </w:tcPr>
                <w:p>
                  <w:pPr>
                    <w:widowControl/>
                    <w:jc w:val="center"/>
                    <w:textAlignment w:val="center"/>
                    <w:rPr>
                      <w:rFonts w:hint="default" w:ascii="Times New Roman" w:hAnsi="Times New Roman" w:eastAsia="宋体" w:cs="Times New Roman"/>
                      <w:color w:val="auto"/>
                      <w:kern w:val="0"/>
                      <w:sz w:val="21"/>
                      <w:szCs w:val="28"/>
                      <w:lang w:val="en-US" w:eastAsia="zh-CN" w:bidi="ar-SA"/>
                    </w:rPr>
                  </w:pPr>
                  <w:r>
                    <w:rPr>
                      <w:rFonts w:hint="eastAsia"/>
                      <w:color w:val="auto"/>
                      <w:kern w:val="0"/>
                      <w:szCs w:val="28"/>
                      <w:lang w:val="en-US" w:eastAsia="zh-CN"/>
                    </w:rPr>
                    <w:t>2</w:t>
                  </w:r>
                </w:p>
              </w:tc>
              <w:tc>
                <w:tcPr>
                  <w:tcW w:w="791" w:type="pct"/>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auto"/>
                      <w:kern w:val="0"/>
                      <w:sz w:val="21"/>
                      <w:szCs w:val="28"/>
                      <w:lang w:val="en-US" w:eastAsia="zh-CN" w:bidi="ar-SA"/>
                    </w:rPr>
                  </w:pPr>
                  <w:r>
                    <w:rPr>
                      <w:rFonts w:hint="eastAsia" w:cs="Times New Roman"/>
                      <w:color w:val="auto"/>
                      <w:kern w:val="0"/>
                      <w:sz w:val="21"/>
                      <w:szCs w:val="28"/>
                      <w:lang w:val="en-US" w:eastAsia="zh-CN" w:bidi="ar-SA"/>
                    </w:rPr>
                    <w:t>提供压缩空气</w:t>
                  </w:r>
                </w:p>
              </w:tc>
            </w:tr>
          </w:tbl>
          <w:p>
            <w:pPr>
              <w:spacing w:line="360" w:lineRule="auto"/>
              <w:rPr>
                <w:b/>
                <w:bCs/>
                <w:color w:val="auto"/>
                <w:sz w:val="24"/>
                <w:szCs w:val="22"/>
              </w:rPr>
            </w:pPr>
            <w:r>
              <w:rPr>
                <w:b/>
                <w:bCs/>
                <w:color w:val="auto"/>
                <w:sz w:val="24"/>
                <w:szCs w:val="22"/>
              </w:rPr>
              <w:t>工程内容及规模（不够时可附另页）：</w:t>
            </w:r>
          </w:p>
          <w:p>
            <w:pPr>
              <w:spacing w:line="360" w:lineRule="auto"/>
              <w:ind w:firstLine="480" w:firstLineChars="200"/>
              <w:rPr>
                <w:b/>
                <w:color w:val="auto"/>
                <w:sz w:val="24"/>
                <w:szCs w:val="22"/>
              </w:rPr>
            </w:pPr>
            <w:r>
              <w:rPr>
                <w:b/>
                <w:color w:val="auto"/>
                <w:sz w:val="24"/>
                <w:szCs w:val="22"/>
              </w:rPr>
              <w:t>1、项目概况</w:t>
            </w:r>
          </w:p>
          <w:p>
            <w:pPr>
              <w:spacing w:line="360" w:lineRule="auto"/>
              <w:ind w:firstLine="480" w:firstLineChars="200"/>
              <w:rPr>
                <w:color w:val="auto"/>
                <w:sz w:val="24"/>
                <w:szCs w:val="24"/>
              </w:rPr>
            </w:pPr>
            <w:r>
              <w:rPr>
                <w:rFonts w:hint="eastAsia"/>
                <w:color w:val="auto"/>
                <w:kern w:val="0"/>
                <w:sz w:val="24"/>
                <w:szCs w:val="24"/>
                <w:lang w:eastAsia="zh-CN"/>
              </w:rPr>
              <w:t xml:space="preserve"> 常州旻昱智能科技有限公司</w:t>
            </w:r>
            <w:r>
              <w:rPr>
                <w:rFonts w:hint="eastAsia"/>
                <w:color w:val="auto"/>
                <w:kern w:val="0"/>
                <w:sz w:val="24"/>
                <w:szCs w:val="24"/>
              </w:rPr>
              <w:t>成立于201</w:t>
            </w:r>
            <w:r>
              <w:rPr>
                <w:rFonts w:hint="eastAsia"/>
                <w:color w:val="auto"/>
                <w:kern w:val="0"/>
                <w:sz w:val="24"/>
                <w:szCs w:val="24"/>
                <w:lang w:val="en-US" w:eastAsia="zh-CN"/>
              </w:rPr>
              <w:t>9</w:t>
            </w:r>
            <w:r>
              <w:rPr>
                <w:rFonts w:hint="eastAsia"/>
                <w:color w:val="auto"/>
                <w:kern w:val="0"/>
                <w:sz w:val="24"/>
                <w:szCs w:val="24"/>
              </w:rPr>
              <w:t>年</w:t>
            </w:r>
            <w:r>
              <w:rPr>
                <w:rFonts w:hint="eastAsia"/>
                <w:color w:val="auto"/>
                <w:kern w:val="0"/>
                <w:sz w:val="24"/>
                <w:szCs w:val="24"/>
                <w:lang w:val="en-US" w:eastAsia="zh-CN"/>
              </w:rPr>
              <w:t>06</w:t>
            </w:r>
            <w:r>
              <w:rPr>
                <w:rFonts w:hint="eastAsia"/>
                <w:color w:val="auto"/>
                <w:kern w:val="0"/>
                <w:sz w:val="24"/>
                <w:szCs w:val="24"/>
              </w:rPr>
              <w:t>月1</w:t>
            </w:r>
            <w:r>
              <w:rPr>
                <w:rFonts w:hint="eastAsia"/>
                <w:color w:val="auto"/>
                <w:kern w:val="0"/>
                <w:sz w:val="24"/>
                <w:szCs w:val="24"/>
                <w:lang w:val="en-US" w:eastAsia="zh-CN"/>
              </w:rPr>
              <w:t>4</w:t>
            </w:r>
            <w:r>
              <w:rPr>
                <w:rFonts w:hint="eastAsia"/>
                <w:color w:val="auto"/>
                <w:kern w:val="0"/>
                <w:sz w:val="24"/>
                <w:szCs w:val="24"/>
              </w:rPr>
              <w:t>日，</w:t>
            </w:r>
            <w:r>
              <w:rPr>
                <w:rFonts w:hint="eastAsia"/>
                <w:color w:val="auto"/>
                <w:sz w:val="24"/>
                <w:szCs w:val="24"/>
              </w:rPr>
              <w:t>统一社会信用代码为91320413MA1YJJ312U，公司注册地址为常州市金坛区</w:t>
            </w:r>
            <w:r>
              <w:rPr>
                <w:rFonts w:hint="eastAsia"/>
                <w:color w:val="auto"/>
                <w:sz w:val="24"/>
                <w:szCs w:val="24"/>
                <w:lang w:eastAsia="zh-CN"/>
              </w:rPr>
              <w:t>龙湖路</w:t>
            </w:r>
            <w:r>
              <w:rPr>
                <w:rFonts w:hint="eastAsia"/>
                <w:color w:val="auto"/>
                <w:sz w:val="24"/>
                <w:szCs w:val="24"/>
                <w:lang w:val="en-US" w:eastAsia="zh-CN"/>
              </w:rPr>
              <w:t>2</w:t>
            </w:r>
            <w:r>
              <w:rPr>
                <w:rFonts w:hint="eastAsia"/>
                <w:color w:val="auto"/>
                <w:sz w:val="24"/>
                <w:szCs w:val="24"/>
              </w:rPr>
              <w:t>号，主要经营范围为：智能化设备、机电设备、电线电缆、电子控制组件、遥控遥测设备、电器控制系统、电源、仪器仪表的研发、生产、加工和销售:电机及零配件、机械设备及其零配件、五金交电的销售。(依法须经批准的项目， 经相关部门批准后方可开展经营活动)一般项目</w:t>
            </w:r>
            <w:r>
              <w:rPr>
                <w:rFonts w:hint="eastAsia"/>
                <w:color w:val="auto"/>
                <w:sz w:val="24"/>
                <w:szCs w:val="24"/>
                <w:lang w:eastAsia="zh-CN"/>
              </w:rPr>
              <w:t>：</w:t>
            </w:r>
            <w:r>
              <w:rPr>
                <w:rFonts w:hint="eastAsia"/>
                <w:color w:val="auto"/>
                <w:sz w:val="24"/>
                <w:szCs w:val="24"/>
              </w:rPr>
              <w:t>喷涂加工，金属表面处理及热处理加工，金属加工机械制造;机械零件、零部件加工，产业用纺织制成品销售</w:t>
            </w:r>
            <w:r>
              <w:rPr>
                <w:rFonts w:hint="eastAsia"/>
                <w:color w:val="auto"/>
                <w:sz w:val="24"/>
                <w:szCs w:val="24"/>
                <w:lang w:eastAsia="zh-CN"/>
              </w:rPr>
              <w:t>：</w:t>
            </w:r>
            <w:r>
              <w:rPr>
                <w:rFonts w:hint="eastAsia"/>
                <w:color w:val="auto"/>
                <w:sz w:val="24"/>
                <w:szCs w:val="24"/>
              </w:rPr>
              <w:t>产业用纺织制成品制造:家用纺织制成品制造;塑料制品制造(除依法须经批准的项目外，凭营业执照依法自主开展经营</w:t>
            </w:r>
            <w:r>
              <w:rPr>
                <w:rFonts w:hint="eastAsia"/>
                <w:color w:val="auto"/>
                <w:sz w:val="24"/>
                <w:szCs w:val="24"/>
                <w:lang w:eastAsia="zh-CN"/>
              </w:rPr>
              <w:t>活动</w:t>
            </w:r>
            <w:r>
              <w:rPr>
                <w:rFonts w:hint="eastAsia"/>
                <w:color w:val="auto"/>
                <w:sz w:val="24"/>
                <w:szCs w:val="24"/>
              </w:rPr>
              <w:t>)。</w:t>
            </w:r>
          </w:p>
          <w:p>
            <w:pPr>
              <w:spacing w:line="360" w:lineRule="auto"/>
              <w:ind w:firstLine="480" w:firstLineChars="200"/>
              <w:rPr>
                <w:rFonts w:hint="eastAsia"/>
                <w:color w:val="auto"/>
                <w:sz w:val="24"/>
                <w:szCs w:val="24"/>
              </w:rPr>
            </w:pPr>
            <w:r>
              <w:rPr>
                <w:rFonts w:hint="eastAsia"/>
                <w:color w:val="auto"/>
                <w:sz w:val="24"/>
                <w:szCs w:val="24"/>
                <w:lang w:val="en-US" w:eastAsia="zh-CN"/>
              </w:rPr>
              <w:t>顺应市场发展的潮流</w:t>
            </w:r>
            <w:r>
              <w:rPr>
                <w:rFonts w:hint="eastAsia"/>
                <w:color w:val="auto"/>
                <w:sz w:val="24"/>
                <w:szCs w:val="24"/>
              </w:rPr>
              <w:t>，</w:t>
            </w:r>
            <w:r>
              <w:rPr>
                <w:rFonts w:hint="eastAsia"/>
                <w:color w:val="auto"/>
                <w:sz w:val="24"/>
                <w:szCs w:val="24"/>
                <w:lang w:eastAsia="zh-CN"/>
              </w:rPr>
              <w:t>常州旻昱智能科技有限公司</w:t>
            </w:r>
            <w:r>
              <w:rPr>
                <w:rFonts w:hint="eastAsia"/>
                <w:color w:val="auto"/>
                <w:sz w:val="24"/>
                <w:szCs w:val="24"/>
              </w:rPr>
              <w:t>计划投资</w:t>
            </w:r>
            <w:r>
              <w:rPr>
                <w:rFonts w:hint="eastAsia"/>
                <w:color w:val="auto"/>
                <w:sz w:val="24"/>
                <w:szCs w:val="24"/>
                <w:lang w:val="en-US" w:eastAsia="zh-CN"/>
              </w:rPr>
              <w:t>350</w:t>
            </w:r>
            <w:r>
              <w:rPr>
                <w:rFonts w:hint="eastAsia"/>
                <w:color w:val="auto"/>
                <w:sz w:val="24"/>
                <w:szCs w:val="24"/>
              </w:rPr>
              <w:t>万，购置</w:t>
            </w:r>
            <w:r>
              <w:rPr>
                <w:rFonts w:hint="eastAsia"/>
                <w:color w:val="auto"/>
                <w:sz w:val="24"/>
                <w:szCs w:val="24"/>
                <w:lang w:eastAsia="zh-CN"/>
              </w:rPr>
              <w:t>数控龙门镗铣床</w:t>
            </w:r>
            <w:r>
              <w:rPr>
                <w:rFonts w:hint="eastAsia"/>
                <w:color w:val="auto"/>
                <w:sz w:val="24"/>
                <w:szCs w:val="24"/>
              </w:rPr>
              <w:t>、</w:t>
            </w:r>
            <w:r>
              <w:rPr>
                <w:rFonts w:hint="eastAsia"/>
                <w:color w:val="auto"/>
                <w:sz w:val="24"/>
                <w:szCs w:val="24"/>
                <w:lang w:eastAsia="zh-CN"/>
              </w:rPr>
              <w:t>摇臂钻</w:t>
            </w:r>
            <w:r>
              <w:rPr>
                <w:rFonts w:hint="eastAsia"/>
                <w:color w:val="auto"/>
                <w:sz w:val="24"/>
                <w:szCs w:val="24"/>
              </w:rPr>
              <w:t>、</w:t>
            </w:r>
            <w:r>
              <w:rPr>
                <w:rFonts w:hint="eastAsia"/>
                <w:color w:val="auto"/>
                <w:sz w:val="24"/>
                <w:szCs w:val="24"/>
                <w:lang w:eastAsia="zh-CN"/>
              </w:rPr>
              <w:t>喷砂机</w:t>
            </w:r>
            <w:r>
              <w:rPr>
                <w:rFonts w:hint="eastAsia"/>
                <w:color w:val="auto"/>
                <w:sz w:val="24"/>
                <w:szCs w:val="24"/>
              </w:rPr>
              <w:t>、</w:t>
            </w:r>
            <w:r>
              <w:rPr>
                <w:rFonts w:hint="eastAsia"/>
                <w:color w:val="auto"/>
                <w:sz w:val="24"/>
                <w:szCs w:val="24"/>
                <w:lang w:val="en-US" w:eastAsia="zh-CN"/>
              </w:rPr>
              <w:t>抛丸机、喷漆房</w:t>
            </w:r>
            <w:r>
              <w:rPr>
                <w:rFonts w:hint="eastAsia"/>
                <w:color w:val="auto"/>
                <w:sz w:val="24"/>
                <w:szCs w:val="24"/>
                <w:lang w:eastAsia="zh-CN"/>
              </w:rPr>
              <w:t>等</w:t>
            </w:r>
            <w:r>
              <w:rPr>
                <w:rFonts w:hint="eastAsia"/>
                <w:color w:val="auto"/>
                <w:sz w:val="24"/>
                <w:szCs w:val="24"/>
              </w:rPr>
              <w:t>生产设备，租赁江苏</w:t>
            </w:r>
            <w:r>
              <w:rPr>
                <w:rFonts w:hint="eastAsia"/>
                <w:color w:val="auto"/>
                <w:sz w:val="24"/>
                <w:szCs w:val="24"/>
                <w:lang w:eastAsia="zh-CN"/>
              </w:rPr>
              <w:t>常州科荣经编有限公司</w:t>
            </w:r>
            <w:r>
              <w:rPr>
                <w:rFonts w:hint="eastAsia"/>
                <w:color w:val="auto"/>
                <w:sz w:val="24"/>
                <w:szCs w:val="24"/>
              </w:rPr>
              <w:t>的闲置厂房（建筑面积：2500m</w:t>
            </w:r>
            <w:r>
              <w:rPr>
                <w:rFonts w:hint="eastAsia"/>
                <w:color w:val="auto"/>
                <w:sz w:val="24"/>
                <w:szCs w:val="24"/>
                <w:vertAlign w:val="superscript"/>
              </w:rPr>
              <w:t>2</w:t>
            </w:r>
            <w:r>
              <w:rPr>
                <w:rFonts w:hint="eastAsia"/>
                <w:color w:val="auto"/>
                <w:sz w:val="24"/>
                <w:szCs w:val="24"/>
              </w:rPr>
              <w:t>）用于“年产5000件机械零部件项目”的生产活动。项目建成投产后，可年产5000件机械零部件。</w:t>
            </w:r>
          </w:p>
          <w:p>
            <w:pPr>
              <w:spacing w:line="360" w:lineRule="auto"/>
              <w:ind w:firstLine="480" w:firstLineChars="200"/>
              <w:rPr>
                <w:color w:val="auto"/>
                <w:sz w:val="24"/>
                <w:szCs w:val="24"/>
              </w:rPr>
            </w:pPr>
            <w:r>
              <w:rPr>
                <w:color w:val="auto"/>
                <w:sz w:val="24"/>
                <w:szCs w:val="24"/>
              </w:rPr>
              <w:t>本项目已于20</w:t>
            </w:r>
            <w:r>
              <w:rPr>
                <w:rFonts w:hint="eastAsia"/>
                <w:color w:val="auto"/>
                <w:sz w:val="24"/>
                <w:szCs w:val="24"/>
              </w:rPr>
              <w:t>20</w:t>
            </w:r>
            <w:r>
              <w:rPr>
                <w:color w:val="auto"/>
                <w:sz w:val="24"/>
                <w:szCs w:val="24"/>
              </w:rPr>
              <w:t>年</w:t>
            </w:r>
            <w:r>
              <w:rPr>
                <w:rFonts w:hint="eastAsia"/>
                <w:color w:val="auto"/>
                <w:sz w:val="24"/>
                <w:szCs w:val="24"/>
              </w:rPr>
              <w:t>9月1</w:t>
            </w:r>
            <w:r>
              <w:rPr>
                <w:rFonts w:hint="eastAsia"/>
                <w:color w:val="auto"/>
                <w:sz w:val="24"/>
                <w:szCs w:val="24"/>
                <w:lang w:val="en-US" w:eastAsia="zh-CN"/>
              </w:rPr>
              <w:t>4</w:t>
            </w:r>
            <w:r>
              <w:rPr>
                <w:color w:val="auto"/>
                <w:sz w:val="24"/>
                <w:szCs w:val="24"/>
              </w:rPr>
              <w:t>日取得</w:t>
            </w:r>
            <w:r>
              <w:rPr>
                <w:rFonts w:hint="eastAsia"/>
                <w:color w:val="auto"/>
                <w:sz w:val="24"/>
                <w:lang w:val="en-US" w:eastAsia="zh-CN"/>
              </w:rPr>
              <w:t>江苏省金坛经济开发区科技经贸局关于</w:t>
            </w:r>
            <w:r>
              <w:rPr>
                <w:color w:val="auto"/>
                <w:sz w:val="24"/>
                <w:szCs w:val="24"/>
              </w:rPr>
              <w:t>《</w:t>
            </w:r>
            <w:r>
              <w:rPr>
                <w:rFonts w:hint="eastAsia"/>
                <w:color w:val="auto"/>
                <w:sz w:val="24"/>
                <w:szCs w:val="24"/>
                <w:lang w:eastAsia="zh-CN"/>
              </w:rPr>
              <w:t>年产5000件机械零部件项目</w:t>
            </w:r>
            <w:r>
              <w:rPr>
                <w:color w:val="auto"/>
                <w:sz w:val="24"/>
                <w:szCs w:val="24"/>
              </w:rPr>
              <w:t>》(</w:t>
            </w:r>
            <w:r>
              <w:rPr>
                <w:rFonts w:hint="eastAsia"/>
                <w:color w:val="auto"/>
                <w:sz w:val="24"/>
              </w:rPr>
              <w:t>坛</w:t>
            </w:r>
            <w:r>
              <w:rPr>
                <w:rFonts w:hint="eastAsia"/>
                <w:color w:val="auto"/>
                <w:sz w:val="24"/>
                <w:lang w:val="en-US" w:eastAsia="zh-CN"/>
              </w:rPr>
              <w:t>开科经备字</w:t>
            </w:r>
            <w:r>
              <w:rPr>
                <w:color w:val="auto"/>
                <w:sz w:val="24"/>
              </w:rPr>
              <w:t>[20</w:t>
            </w:r>
            <w:r>
              <w:rPr>
                <w:rFonts w:hint="eastAsia"/>
                <w:color w:val="auto"/>
                <w:sz w:val="24"/>
              </w:rPr>
              <w:t>20</w:t>
            </w:r>
            <w:r>
              <w:rPr>
                <w:color w:val="auto"/>
                <w:sz w:val="24"/>
              </w:rPr>
              <w:t>]</w:t>
            </w:r>
            <w:r>
              <w:rPr>
                <w:rFonts w:hint="eastAsia"/>
                <w:color w:val="auto"/>
                <w:sz w:val="24"/>
              </w:rPr>
              <w:t>2</w:t>
            </w:r>
            <w:r>
              <w:rPr>
                <w:rFonts w:hint="eastAsia"/>
                <w:color w:val="auto"/>
                <w:sz w:val="24"/>
                <w:lang w:val="en-US" w:eastAsia="zh-CN"/>
              </w:rPr>
              <w:t>1</w:t>
            </w:r>
            <w:r>
              <w:rPr>
                <w:rFonts w:hint="eastAsia"/>
                <w:color w:val="auto"/>
                <w:sz w:val="24"/>
              </w:rPr>
              <w:t>2</w:t>
            </w:r>
            <w:r>
              <w:rPr>
                <w:color w:val="auto"/>
                <w:sz w:val="24"/>
              </w:rPr>
              <w:t>号</w:t>
            </w:r>
            <w:r>
              <w:rPr>
                <w:color w:val="auto"/>
                <w:sz w:val="24"/>
                <w:szCs w:val="24"/>
              </w:rPr>
              <w:t>)，项目编号为</w:t>
            </w:r>
            <w:r>
              <w:rPr>
                <w:rFonts w:hint="eastAsia"/>
                <w:color w:val="auto"/>
                <w:sz w:val="24"/>
                <w:szCs w:val="24"/>
              </w:rPr>
              <w:t>2020-320</w:t>
            </w:r>
            <w:r>
              <w:rPr>
                <w:rFonts w:hint="eastAsia"/>
                <w:color w:val="auto"/>
                <w:sz w:val="24"/>
                <w:szCs w:val="24"/>
                <w:lang w:val="en-US" w:eastAsia="zh-CN"/>
              </w:rPr>
              <w:t>458</w:t>
            </w:r>
            <w:r>
              <w:rPr>
                <w:rFonts w:hint="eastAsia"/>
                <w:color w:val="auto"/>
                <w:sz w:val="24"/>
                <w:szCs w:val="24"/>
              </w:rPr>
              <w:t>-</w:t>
            </w:r>
            <w:r>
              <w:rPr>
                <w:rFonts w:hint="eastAsia"/>
                <w:color w:val="auto"/>
                <w:sz w:val="24"/>
                <w:szCs w:val="24"/>
                <w:lang w:val="en-US" w:eastAsia="zh-CN"/>
              </w:rPr>
              <w:t>34</w:t>
            </w:r>
            <w:r>
              <w:rPr>
                <w:rFonts w:hint="eastAsia"/>
                <w:color w:val="auto"/>
                <w:sz w:val="24"/>
                <w:szCs w:val="24"/>
              </w:rPr>
              <w:t>-03-5</w:t>
            </w:r>
            <w:r>
              <w:rPr>
                <w:rFonts w:hint="eastAsia"/>
                <w:color w:val="auto"/>
                <w:sz w:val="24"/>
                <w:szCs w:val="24"/>
                <w:lang w:val="en-US" w:eastAsia="zh-CN"/>
              </w:rPr>
              <w:t>61370</w:t>
            </w:r>
            <w:r>
              <w:rPr>
                <w:color w:val="auto"/>
                <w:sz w:val="24"/>
                <w:szCs w:val="24"/>
              </w:rPr>
              <w:t>。</w:t>
            </w:r>
          </w:p>
          <w:p>
            <w:pPr>
              <w:spacing w:line="360" w:lineRule="auto"/>
              <w:ind w:firstLine="480" w:firstLineChars="200"/>
              <w:rPr>
                <w:color w:val="auto"/>
                <w:sz w:val="24"/>
                <w:szCs w:val="24"/>
              </w:rPr>
            </w:pPr>
            <w:r>
              <w:rPr>
                <w:color w:val="auto"/>
                <w:sz w:val="24"/>
                <w:szCs w:val="24"/>
              </w:rPr>
              <w:t>遵照《中华人民共和国环境保护法》、《中华人民共和国环境影响评价法》，对照《建设项目环境影响评价分类管理名录》，本项目属于</w:t>
            </w:r>
            <w:r>
              <w:rPr>
                <w:rFonts w:hint="eastAsia"/>
                <w:color w:val="auto"/>
                <w:sz w:val="24"/>
                <w:szCs w:val="24"/>
              </w:rPr>
              <w:t>“</w:t>
            </w:r>
            <w:r>
              <w:rPr>
                <w:rFonts w:hint="eastAsia"/>
                <w:color w:val="auto"/>
                <w:sz w:val="24"/>
                <w:szCs w:val="24"/>
                <w:lang w:val="en-US" w:eastAsia="zh-CN"/>
              </w:rPr>
              <w:t>二</w:t>
            </w:r>
            <w:r>
              <w:rPr>
                <w:rFonts w:hint="eastAsia"/>
                <w:color w:val="auto"/>
                <w:sz w:val="24"/>
                <w:szCs w:val="24"/>
              </w:rPr>
              <w:t>十二</w:t>
            </w:r>
            <w:r>
              <w:rPr>
                <w:rFonts w:hint="eastAsia"/>
                <w:color w:val="auto"/>
                <w:sz w:val="24"/>
                <w:szCs w:val="24"/>
                <w:lang w:val="en-US" w:eastAsia="zh-CN"/>
              </w:rPr>
              <w:t xml:space="preserve"> 金属制品业-67</w:t>
            </w:r>
            <w:r>
              <w:rPr>
                <w:rFonts w:hint="eastAsia"/>
                <w:color w:val="auto"/>
                <w:sz w:val="24"/>
                <w:szCs w:val="24"/>
              </w:rPr>
              <w:t xml:space="preserve"> </w:t>
            </w:r>
            <w:r>
              <w:rPr>
                <w:rFonts w:hint="eastAsia"/>
                <w:color w:val="auto"/>
                <w:sz w:val="24"/>
                <w:szCs w:val="24"/>
                <w:lang w:val="en-US" w:eastAsia="zh-CN"/>
              </w:rPr>
              <w:t>金属制品加工制造-其他（仅切割组装除外）</w:t>
            </w:r>
            <w:r>
              <w:rPr>
                <w:rFonts w:hint="eastAsia"/>
                <w:color w:val="auto"/>
                <w:sz w:val="24"/>
                <w:szCs w:val="24"/>
              </w:rPr>
              <w:t>”类</w:t>
            </w:r>
            <w:r>
              <w:rPr>
                <w:color w:val="auto"/>
                <w:sz w:val="24"/>
                <w:szCs w:val="24"/>
              </w:rPr>
              <w:t>，应编制环境影响报告表。为此，</w:t>
            </w:r>
            <w:r>
              <w:rPr>
                <w:rFonts w:hint="eastAsia"/>
                <w:color w:val="auto"/>
                <w:kern w:val="0"/>
                <w:sz w:val="24"/>
                <w:szCs w:val="24"/>
                <w:lang w:eastAsia="zh-CN"/>
              </w:rPr>
              <w:t>常州旻昱智能科技有限公司</w:t>
            </w:r>
            <w:r>
              <w:rPr>
                <w:color w:val="auto"/>
                <w:sz w:val="24"/>
                <w:szCs w:val="24"/>
              </w:rPr>
              <w:t>委托</w:t>
            </w:r>
            <w:r>
              <w:rPr>
                <w:rFonts w:hint="eastAsia"/>
                <w:color w:val="auto"/>
                <w:sz w:val="24"/>
                <w:szCs w:val="24"/>
              </w:rPr>
              <w:t>南京昊晟环保科技有限公司</w:t>
            </w:r>
            <w:r>
              <w:rPr>
                <w:color w:val="auto"/>
                <w:sz w:val="24"/>
                <w:szCs w:val="24"/>
              </w:rPr>
              <w:t>承担本项目的环境影响报告表的编制工作。我单位接受委托后，认真研究了该项目的有关资料，在踏勘现场的自然环境状况，调查、收集有关建设项目资料的基础上，根据项目所在区域的环境特征、结合工程污染特性等因素，编制了本项目环境影响报告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b/>
                <w:color w:val="auto"/>
                <w:kern w:val="0"/>
                <w:sz w:val="24"/>
                <w:szCs w:val="22"/>
              </w:rPr>
            </w:pPr>
            <w:r>
              <w:rPr>
                <w:b/>
                <w:color w:val="auto"/>
                <w:kern w:val="0"/>
                <w:sz w:val="24"/>
                <w:szCs w:val="22"/>
              </w:rPr>
              <w:t>2、工程内容及生产规模</w:t>
            </w:r>
          </w:p>
          <w:p>
            <w:pPr>
              <w:spacing w:line="360" w:lineRule="auto"/>
              <w:ind w:firstLine="360" w:firstLineChars="150"/>
              <w:rPr>
                <w:color w:val="auto"/>
                <w:sz w:val="24"/>
                <w:szCs w:val="22"/>
              </w:rPr>
            </w:pPr>
            <w:r>
              <w:rPr>
                <w:color w:val="auto"/>
                <w:sz w:val="24"/>
                <w:szCs w:val="22"/>
              </w:rPr>
              <w:t>本项目产品方案见下表。</w:t>
            </w:r>
          </w:p>
          <w:p>
            <w:pPr>
              <w:ind w:firstLine="315" w:firstLineChars="150"/>
              <w:jc w:val="center"/>
              <w:rPr>
                <w:b/>
                <w:color w:val="auto"/>
                <w:szCs w:val="21"/>
              </w:rPr>
            </w:pPr>
            <w:r>
              <w:rPr>
                <w:b/>
                <w:color w:val="auto"/>
                <w:szCs w:val="21"/>
              </w:rPr>
              <w:t>表1-</w:t>
            </w:r>
            <w:r>
              <w:rPr>
                <w:rFonts w:hint="eastAsia"/>
                <w:b/>
                <w:color w:val="auto"/>
                <w:szCs w:val="21"/>
              </w:rPr>
              <w:t>4</w:t>
            </w:r>
            <w:r>
              <w:rPr>
                <w:b/>
                <w:color w:val="auto"/>
                <w:szCs w:val="21"/>
              </w:rPr>
              <w:t xml:space="preserve">  项目产品方案一览表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387"/>
              <w:gridCol w:w="2055"/>
              <w:gridCol w:w="1940"/>
              <w:gridCol w:w="19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3" w:hRule="atLeast"/>
                <w:jc w:val="center"/>
              </w:trPr>
              <w:tc>
                <w:tcPr>
                  <w:tcW w:w="1433" w:type="pct"/>
                  <w:vAlign w:val="center"/>
                </w:tcPr>
                <w:p>
                  <w:pPr>
                    <w:jc w:val="center"/>
                    <w:rPr>
                      <w:b/>
                      <w:color w:val="auto"/>
                    </w:rPr>
                  </w:pPr>
                  <w:r>
                    <w:rPr>
                      <w:b/>
                      <w:color w:val="auto"/>
                    </w:rPr>
                    <w:t>产品名称</w:t>
                  </w:r>
                </w:p>
              </w:tc>
              <w:tc>
                <w:tcPr>
                  <w:tcW w:w="1234" w:type="pct"/>
                  <w:vAlign w:val="center"/>
                </w:tcPr>
                <w:p>
                  <w:pPr>
                    <w:jc w:val="center"/>
                    <w:rPr>
                      <w:b/>
                      <w:color w:val="auto"/>
                      <w:szCs w:val="21"/>
                    </w:rPr>
                  </w:pPr>
                  <w:r>
                    <w:rPr>
                      <w:b/>
                      <w:color w:val="auto"/>
                      <w:szCs w:val="21"/>
                    </w:rPr>
                    <w:t>设计能力</w:t>
                  </w:r>
                </w:p>
              </w:tc>
              <w:tc>
                <w:tcPr>
                  <w:tcW w:w="1165" w:type="pct"/>
                  <w:vAlign w:val="center"/>
                </w:tcPr>
                <w:p>
                  <w:pPr>
                    <w:jc w:val="center"/>
                    <w:rPr>
                      <w:rFonts w:hint="eastAsia" w:eastAsia="宋体"/>
                      <w:b/>
                      <w:color w:val="auto"/>
                      <w:szCs w:val="21"/>
                      <w:lang w:val="en-US" w:eastAsia="zh-CN"/>
                    </w:rPr>
                  </w:pPr>
                  <w:r>
                    <w:rPr>
                      <w:rFonts w:hint="eastAsia"/>
                      <w:b/>
                      <w:color w:val="auto"/>
                      <w:szCs w:val="21"/>
                      <w:lang w:val="en-US" w:eastAsia="zh-CN"/>
                    </w:rPr>
                    <w:t>规格</w:t>
                  </w:r>
                </w:p>
              </w:tc>
              <w:tc>
                <w:tcPr>
                  <w:tcW w:w="1165" w:type="pct"/>
                  <w:vAlign w:val="center"/>
                </w:tcPr>
                <w:p>
                  <w:pPr>
                    <w:jc w:val="center"/>
                    <w:rPr>
                      <w:b/>
                      <w:color w:val="auto"/>
                      <w:szCs w:val="21"/>
                    </w:rPr>
                  </w:pPr>
                  <w:r>
                    <w:rPr>
                      <w:b/>
                      <w:color w:val="auto"/>
                      <w:szCs w:val="21"/>
                    </w:rPr>
                    <w:t>年运行时数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433" w:type="pct"/>
                  <w:vAlign w:val="center"/>
                </w:tcPr>
                <w:p>
                  <w:pPr>
                    <w:widowControl/>
                    <w:jc w:val="center"/>
                    <w:textAlignment w:val="center"/>
                    <w:rPr>
                      <w:b/>
                      <w:color w:val="auto"/>
                      <w:szCs w:val="21"/>
                    </w:rPr>
                  </w:pPr>
                  <w:r>
                    <w:rPr>
                      <w:rFonts w:hint="eastAsia"/>
                      <w:bCs/>
                      <w:color w:val="auto"/>
                      <w:szCs w:val="21"/>
                    </w:rPr>
                    <w:t>金属结构件</w:t>
                  </w:r>
                </w:p>
              </w:tc>
              <w:tc>
                <w:tcPr>
                  <w:tcW w:w="1234" w:type="pct"/>
                  <w:vAlign w:val="center"/>
                </w:tcPr>
                <w:p>
                  <w:pPr>
                    <w:widowControl/>
                    <w:jc w:val="center"/>
                    <w:textAlignment w:val="center"/>
                    <w:rPr>
                      <w:rFonts w:hint="default" w:eastAsia="宋体"/>
                      <w:color w:val="auto"/>
                      <w:szCs w:val="22"/>
                      <w:lang w:val="en-US" w:eastAsia="zh-CN"/>
                    </w:rPr>
                  </w:pPr>
                  <w:r>
                    <w:rPr>
                      <w:rFonts w:hint="eastAsia"/>
                      <w:color w:val="auto"/>
                      <w:szCs w:val="22"/>
                      <w:lang w:val="en-US" w:eastAsia="zh-CN"/>
                    </w:rPr>
                    <w:t>5000个/a</w:t>
                  </w:r>
                </w:p>
              </w:tc>
              <w:tc>
                <w:tcPr>
                  <w:tcW w:w="1165" w:type="pct"/>
                  <w:vAlign w:val="center"/>
                </w:tcPr>
                <w:p>
                  <w:pPr>
                    <w:widowControl/>
                    <w:jc w:val="center"/>
                    <w:textAlignment w:val="center"/>
                    <w:rPr>
                      <w:rFonts w:hint="default" w:eastAsia="宋体"/>
                      <w:color w:val="auto"/>
                      <w:lang w:val="en-US" w:eastAsia="zh-CN"/>
                    </w:rPr>
                  </w:pPr>
                  <w:r>
                    <w:rPr>
                      <w:rFonts w:hint="eastAsia"/>
                      <w:color w:val="auto"/>
                      <w:lang w:val="en-US" w:eastAsia="zh-CN"/>
                    </w:rPr>
                    <w:t>2m</w:t>
                  </w:r>
                  <w:r>
                    <w:rPr>
                      <w:rFonts w:hint="default"/>
                      <w:color w:val="auto"/>
                      <w:lang w:val="en-US" w:eastAsia="zh-CN"/>
                    </w:rPr>
                    <w:t>×</w:t>
                  </w:r>
                  <w:r>
                    <w:rPr>
                      <w:rFonts w:hint="eastAsia"/>
                      <w:color w:val="auto"/>
                      <w:lang w:val="en-US" w:eastAsia="zh-CN"/>
                    </w:rPr>
                    <w:t>2m</w:t>
                  </w:r>
                  <w:r>
                    <w:rPr>
                      <w:rFonts w:hint="default"/>
                      <w:color w:val="auto"/>
                      <w:lang w:val="en-US" w:eastAsia="zh-CN"/>
                    </w:rPr>
                    <w:t>×</w:t>
                  </w:r>
                  <w:r>
                    <w:rPr>
                      <w:rFonts w:hint="eastAsia"/>
                      <w:color w:val="auto"/>
                      <w:lang w:val="en-US" w:eastAsia="zh-CN"/>
                    </w:rPr>
                    <w:t>1m</w:t>
                  </w:r>
                </w:p>
              </w:tc>
              <w:tc>
                <w:tcPr>
                  <w:tcW w:w="1165" w:type="pct"/>
                  <w:vAlign w:val="center"/>
                </w:tcPr>
                <w:p>
                  <w:pPr>
                    <w:widowControl/>
                    <w:jc w:val="center"/>
                    <w:textAlignment w:val="center"/>
                    <w:rPr>
                      <w:color w:val="auto"/>
                    </w:rPr>
                  </w:pPr>
                  <w:r>
                    <w:rPr>
                      <w:rFonts w:hint="eastAsia"/>
                      <w:color w:val="auto"/>
                    </w:rPr>
                    <w:t>3000h</w:t>
                  </w:r>
                </w:p>
              </w:tc>
            </w:tr>
          </w:tbl>
          <w:p>
            <w:pPr>
              <w:spacing w:line="360" w:lineRule="auto"/>
              <w:ind w:firstLine="360" w:firstLineChars="150"/>
              <w:rPr>
                <w:b/>
                <w:bCs/>
                <w:color w:val="auto"/>
                <w:sz w:val="24"/>
              </w:rPr>
            </w:pPr>
            <w:r>
              <w:rPr>
                <w:color w:val="auto"/>
                <w:sz w:val="24"/>
                <w:szCs w:val="22"/>
              </w:rPr>
              <w:t>本项目主要工程包括生产</w:t>
            </w:r>
            <w:r>
              <w:rPr>
                <w:rFonts w:hint="eastAsia"/>
                <w:color w:val="auto"/>
                <w:sz w:val="24"/>
                <w:szCs w:val="22"/>
              </w:rPr>
              <w:t>区</w:t>
            </w:r>
            <w:r>
              <w:rPr>
                <w:color w:val="auto"/>
                <w:sz w:val="24"/>
                <w:szCs w:val="22"/>
              </w:rPr>
              <w:t>和办公区等，具体建设内容详见下表。</w:t>
            </w:r>
          </w:p>
          <w:p>
            <w:pPr>
              <w:jc w:val="center"/>
              <w:rPr>
                <w:b/>
                <w:color w:val="auto"/>
                <w:szCs w:val="21"/>
              </w:rPr>
            </w:pPr>
            <w:r>
              <w:rPr>
                <w:b/>
                <w:color w:val="auto"/>
                <w:szCs w:val="21"/>
              </w:rPr>
              <w:t>表1-</w:t>
            </w:r>
            <w:r>
              <w:rPr>
                <w:rFonts w:hint="eastAsia"/>
                <w:b/>
                <w:color w:val="auto"/>
                <w:szCs w:val="21"/>
              </w:rPr>
              <w:t>5</w:t>
            </w:r>
            <w:r>
              <w:rPr>
                <w:b/>
                <w:color w:val="auto"/>
                <w:szCs w:val="21"/>
              </w:rPr>
              <w:t xml:space="preserve">  项目主要工程建设内容</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51" w:type="dxa"/>
                <w:bottom w:w="0" w:type="dxa"/>
                <w:right w:w="51" w:type="dxa"/>
              </w:tblCellMar>
            </w:tblPr>
            <w:tblGrid>
              <w:gridCol w:w="707"/>
              <w:gridCol w:w="576"/>
              <w:gridCol w:w="113"/>
              <w:gridCol w:w="1201"/>
              <w:gridCol w:w="2508"/>
              <w:gridCol w:w="2205"/>
              <w:gridCol w:w="100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Align w:val="center"/>
                </w:tcPr>
                <w:p>
                  <w:pPr>
                    <w:adjustRightInd w:val="0"/>
                    <w:snapToGrid w:val="0"/>
                    <w:jc w:val="center"/>
                    <w:rPr>
                      <w:b/>
                      <w:color w:val="auto"/>
                      <w:szCs w:val="21"/>
                    </w:rPr>
                  </w:pPr>
                  <w:r>
                    <w:rPr>
                      <w:b/>
                      <w:color w:val="auto"/>
                      <w:szCs w:val="21"/>
                    </w:rPr>
                    <w:t>项目工程</w:t>
                  </w:r>
                </w:p>
              </w:tc>
              <w:tc>
                <w:tcPr>
                  <w:tcW w:w="1890" w:type="dxa"/>
                  <w:gridSpan w:val="3"/>
                  <w:vAlign w:val="center"/>
                </w:tcPr>
                <w:p>
                  <w:pPr>
                    <w:adjustRightInd w:val="0"/>
                    <w:snapToGrid w:val="0"/>
                    <w:jc w:val="center"/>
                    <w:rPr>
                      <w:b/>
                      <w:color w:val="auto"/>
                      <w:szCs w:val="21"/>
                    </w:rPr>
                  </w:pPr>
                  <w:r>
                    <w:rPr>
                      <w:rFonts w:hint="eastAsia"/>
                      <w:b/>
                      <w:color w:val="auto"/>
                      <w:szCs w:val="21"/>
                    </w:rPr>
                    <w:t>工程</w:t>
                  </w:r>
                  <w:r>
                    <w:rPr>
                      <w:b/>
                      <w:color w:val="auto"/>
                      <w:szCs w:val="21"/>
                    </w:rPr>
                    <w:t>名称</w:t>
                  </w:r>
                </w:p>
              </w:tc>
              <w:tc>
                <w:tcPr>
                  <w:tcW w:w="2508" w:type="dxa"/>
                  <w:vAlign w:val="center"/>
                </w:tcPr>
                <w:p>
                  <w:pPr>
                    <w:adjustRightInd w:val="0"/>
                    <w:snapToGrid w:val="0"/>
                    <w:jc w:val="center"/>
                    <w:rPr>
                      <w:b/>
                      <w:color w:val="auto"/>
                      <w:szCs w:val="21"/>
                    </w:rPr>
                  </w:pPr>
                  <w:r>
                    <w:rPr>
                      <w:rFonts w:hint="eastAsia"/>
                      <w:b/>
                      <w:color w:val="auto"/>
                      <w:szCs w:val="21"/>
                    </w:rPr>
                    <w:t>工程内容</w:t>
                  </w:r>
                </w:p>
              </w:tc>
              <w:tc>
                <w:tcPr>
                  <w:tcW w:w="2205" w:type="dxa"/>
                  <w:vAlign w:val="center"/>
                </w:tcPr>
                <w:p>
                  <w:pPr>
                    <w:adjustRightInd w:val="0"/>
                    <w:snapToGrid w:val="0"/>
                    <w:jc w:val="center"/>
                    <w:rPr>
                      <w:b/>
                      <w:color w:val="auto"/>
                      <w:szCs w:val="21"/>
                    </w:rPr>
                  </w:pPr>
                  <w:r>
                    <w:rPr>
                      <w:rFonts w:hint="eastAsia"/>
                      <w:b/>
                      <w:color w:val="auto"/>
                      <w:szCs w:val="21"/>
                    </w:rPr>
                    <w:t>工程规模</w:t>
                  </w:r>
                </w:p>
              </w:tc>
              <w:tc>
                <w:tcPr>
                  <w:tcW w:w="1002" w:type="dxa"/>
                  <w:vAlign w:val="center"/>
                </w:tcPr>
                <w:p>
                  <w:pPr>
                    <w:snapToGrid w:val="0"/>
                    <w:spacing w:line="320" w:lineRule="exact"/>
                    <w:jc w:val="center"/>
                    <w:rPr>
                      <w:b/>
                      <w:bCs/>
                      <w:color w:val="auto"/>
                      <w:szCs w:val="21"/>
                    </w:rPr>
                  </w:pPr>
                  <w:r>
                    <w:rPr>
                      <w:b/>
                      <w:bCs/>
                      <w:color w:val="auto"/>
                      <w:szCs w:val="21"/>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475" w:hRule="atLeast"/>
                <w:jc w:val="center"/>
              </w:trPr>
              <w:tc>
                <w:tcPr>
                  <w:tcW w:w="707" w:type="dxa"/>
                  <w:vMerge w:val="restart"/>
                  <w:vAlign w:val="center"/>
                </w:tcPr>
                <w:p>
                  <w:pPr>
                    <w:adjustRightInd w:val="0"/>
                    <w:snapToGrid w:val="0"/>
                    <w:jc w:val="center"/>
                    <w:rPr>
                      <w:color w:val="auto"/>
                      <w:szCs w:val="21"/>
                    </w:rPr>
                  </w:pPr>
                  <w:r>
                    <w:rPr>
                      <w:color w:val="auto"/>
                      <w:szCs w:val="21"/>
                    </w:rPr>
                    <w:t>主体工程</w:t>
                  </w:r>
                </w:p>
              </w:tc>
              <w:tc>
                <w:tcPr>
                  <w:tcW w:w="576" w:type="dxa"/>
                  <w:vMerge w:val="restar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生产厂房</w:t>
                  </w:r>
                </w:p>
              </w:tc>
              <w:tc>
                <w:tcPr>
                  <w:tcW w:w="1314" w:type="dxa"/>
                  <w:gridSpan w:val="2"/>
                  <w:vAlign w:val="center"/>
                </w:tcPr>
                <w:p>
                  <w:pPr>
                    <w:adjustRightInd w:val="0"/>
                    <w:snapToGrid w:val="0"/>
                    <w:jc w:val="center"/>
                    <w:rPr>
                      <w:rFonts w:hint="eastAsia" w:eastAsia="宋体"/>
                      <w:color w:val="auto"/>
                      <w:szCs w:val="21"/>
                      <w:lang w:eastAsia="zh-CN"/>
                    </w:rPr>
                  </w:pPr>
                  <w:r>
                    <w:rPr>
                      <w:rFonts w:hint="eastAsia"/>
                      <w:color w:val="auto"/>
                      <w:szCs w:val="21"/>
                      <w:lang w:eastAsia="zh-CN"/>
                    </w:rPr>
                    <w:t>生产车间</w:t>
                  </w:r>
                </w:p>
              </w:tc>
              <w:tc>
                <w:tcPr>
                  <w:tcW w:w="2508" w:type="dxa"/>
                  <w:vAlign w:val="center"/>
                </w:tcPr>
                <w:p>
                  <w:pPr>
                    <w:adjustRightInd w:val="0"/>
                    <w:snapToGrid w:val="0"/>
                    <w:jc w:val="center"/>
                    <w:rPr>
                      <w:rFonts w:hint="default" w:eastAsia="宋体"/>
                      <w:color w:val="auto"/>
                      <w:szCs w:val="21"/>
                      <w:lang w:val="en-US" w:eastAsia="zh-CN"/>
                    </w:rPr>
                  </w:pPr>
                  <w:r>
                    <w:rPr>
                      <w:rFonts w:hint="eastAsia"/>
                      <w:color w:val="auto"/>
                      <w:szCs w:val="21"/>
                      <w:lang w:eastAsia="zh-CN"/>
                    </w:rPr>
                    <w:t>布置数控龙门镗铣床、摇臂钻、喷砂机、角磨机等生产设备，年产</w:t>
                  </w:r>
                  <w:r>
                    <w:rPr>
                      <w:rFonts w:hint="eastAsia"/>
                      <w:color w:val="auto"/>
                      <w:szCs w:val="21"/>
                      <w:lang w:val="en-US" w:eastAsia="zh-CN"/>
                    </w:rPr>
                    <w:t>5000件机械零部件</w:t>
                  </w:r>
                </w:p>
              </w:tc>
              <w:tc>
                <w:tcPr>
                  <w:tcW w:w="2205" w:type="dxa"/>
                  <w:vAlign w:val="center"/>
                </w:tcPr>
                <w:p>
                  <w:pPr>
                    <w:adjustRightInd w:val="0"/>
                    <w:snapToGrid w:val="0"/>
                    <w:jc w:val="center"/>
                    <w:rPr>
                      <w:rFonts w:hint="default" w:eastAsia="宋体"/>
                      <w:color w:val="auto"/>
                      <w:lang w:val="en-US" w:eastAsia="zh-CN"/>
                    </w:rPr>
                  </w:pPr>
                  <w:r>
                    <w:rPr>
                      <w:rFonts w:hint="eastAsia"/>
                      <w:color w:val="auto"/>
                      <w:lang w:eastAsia="zh-CN"/>
                    </w:rPr>
                    <w:t>占地面积</w:t>
                  </w:r>
                  <w:r>
                    <w:rPr>
                      <w:rFonts w:hint="eastAsia"/>
                      <w:color w:val="auto"/>
                      <w:lang w:val="en-US" w:eastAsia="zh-CN"/>
                    </w:rPr>
                    <w:t>2500m</w:t>
                  </w:r>
                  <w:r>
                    <w:rPr>
                      <w:rFonts w:hint="eastAsia"/>
                      <w:color w:val="auto"/>
                      <w:vertAlign w:val="superscript"/>
                      <w:lang w:val="en-US" w:eastAsia="zh-CN"/>
                    </w:rPr>
                    <w:t>2</w:t>
                  </w:r>
                </w:p>
              </w:tc>
              <w:tc>
                <w:tcPr>
                  <w:tcW w:w="1002" w:type="dxa"/>
                  <w:vAlign w:val="center"/>
                </w:tcPr>
                <w:p>
                  <w:pPr>
                    <w:snapToGrid w:val="0"/>
                    <w:spacing w:line="320" w:lineRule="exact"/>
                    <w:jc w:val="center"/>
                    <w:rPr>
                      <w:rFonts w:hint="eastAsia" w:eastAsia="宋体"/>
                      <w:color w:val="auto"/>
                      <w:szCs w:val="21"/>
                      <w:lang w:eastAsia="zh-CN"/>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continue"/>
                  <w:vAlign w:val="center"/>
                </w:tcPr>
                <w:p>
                  <w:pPr>
                    <w:adjustRightInd w:val="0"/>
                    <w:snapToGrid w:val="0"/>
                    <w:jc w:val="center"/>
                    <w:rPr>
                      <w:color w:val="auto"/>
                      <w:szCs w:val="21"/>
                    </w:rPr>
                  </w:pPr>
                </w:p>
              </w:tc>
              <w:tc>
                <w:tcPr>
                  <w:tcW w:w="576" w:type="dxa"/>
                  <w:vMerge w:val="continue"/>
                  <w:vAlign w:val="center"/>
                </w:tcPr>
                <w:p>
                  <w:pPr>
                    <w:adjustRightInd w:val="0"/>
                    <w:snapToGrid w:val="0"/>
                    <w:jc w:val="center"/>
                    <w:rPr>
                      <w:color w:val="auto"/>
                      <w:szCs w:val="21"/>
                    </w:rPr>
                  </w:pPr>
                </w:p>
              </w:tc>
              <w:tc>
                <w:tcPr>
                  <w:tcW w:w="1314" w:type="dxa"/>
                  <w:gridSpan w:val="2"/>
                  <w:vAlign w:val="center"/>
                </w:tcPr>
                <w:p>
                  <w:pPr>
                    <w:adjustRightInd w:val="0"/>
                    <w:snapToGrid w:val="0"/>
                    <w:jc w:val="center"/>
                    <w:rPr>
                      <w:rFonts w:hint="eastAsia" w:eastAsia="宋体"/>
                      <w:color w:val="auto"/>
                      <w:szCs w:val="21"/>
                      <w:lang w:eastAsia="zh-CN"/>
                    </w:rPr>
                  </w:pPr>
                  <w:r>
                    <w:rPr>
                      <w:rFonts w:hint="eastAsia"/>
                      <w:color w:val="auto"/>
                      <w:szCs w:val="21"/>
                      <w:lang w:eastAsia="zh-CN"/>
                    </w:rPr>
                    <w:t>移动式干式喷漆房</w:t>
                  </w:r>
                </w:p>
              </w:tc>
              <w:tc>
                <w:tcPr>
                  <w:tcW w:w="2508"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2个，年喷涂2800件机械零部件</w:t>
                  </w:r>
                </w:p>
              </w:tc>
              <w:tc>
                <w:tcPr>
                  <w:tcW w:w="2205" w:type="dxa"/>
                  <w:vAlign w:val="center"/>
                </w:tcPr>
                <w:p>
                  <w:pPr>
                    <w:adjustRightInd w:val="0"/>
                    <w:snapToGrid w:val="0"/>
                    <w:jc w:val="center"/>
                    <w:rPr>
                      <w:rFonts w:hint="default" w:eastAsia="宋体"/>
                      <w:color w:val="auto"/>
                      <w:lang w:val="en-US" w:eastAsia="zh-CN"/>
                    </w:rPr>
                  </w:pPr>
                  <w:r>
                    <w:rPr>
                      <w:rFonts w:hint="eastAsia"/>
                      <w:color w:val="auto"/>
                      <w:lang w:eastAsia="zh-CN"/>
                    </w:rPr>
                    <w:t>位于生产</w:t>
                  </w:r>
                  <w:r>
                    <w:rPr>
                      <w:rFonts w:hint="eastAsia"/>
                      <w:color w:val="auto"/>
                      <w:lang w:val="en-US" w:eastAsia="zh-CN"/>
                    </w:rPr>
                    <w:t>车间</w:t>
                  </w:r>
                  <w:r>
                    <w:rPr>
                      <w:rFonts w:hint="eastAsia"/>
                      <w:color w:val="auto"/>
                      <w:lang w:eastAsia="zh-CN"/>
                    </w:rPr>
                    <w:t>内，占地面积</w:t>
                  </w:r>
                  <w:r>
                    <w:rPr>
                      <w:rFonts w:hint="eastAsia"/>
                      <w:color w:val="auto"/>
                      <w:lang w:val="en-US" w:eastAsia="zh-CN"/>
                    </w:rPr>
                    <w:t>158.3m</w:t>
                  </w:r>
                  <w:r>
                    <w:rPr>
                      <w:rFonts w:hint="eastAsia"/>
                      <w:color w:val="auto"/>
                      <w:vertAlign w:val="superscript"/>
                      <w:lang w:val="en-US" w:eastAsia="zh-CN"/>
                    </w:rPr>
                    <w:t>2</w:t>
                  </w:r>
                </w:p>
              </w:tc>
              <w:tc>
                <w:tcPr>
                  <w:tcW w:w="1002" w:type="dxa"/>
                  <w:vAlign w:val="center"/>
                </w:tcPr>
                <w:p>
                  <w:pPr>
                    <w:snapToGrid w:val="0"/>
                    <w:spacing w:line="320" w:lineRule="exact"/>
                    <w:jc w:val="center"/>
                    <w:rPr>
                      <w:color w:val="auto"/>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continue"/>
                  <w:vAlign w:val="center"/>
                </w:tcPr>
                <w:p>
                  <w:pPr>
                    <w:adjustRightInd w:val="0"/>
                    <w:snapToGrid w:val="0"/>
                    <w:jc w:val="center"/>
                    <w:rPr>
                      <w:color w:val="auto"/>
                      <w:szCs w:val="21"/>
                    </w:rPr>
                  </w:pPr>
                </w:p>
              </w:tc>
              <w:tc>
                <w:tcPr>
                  <w:tcW w:w="576" w:type="dxa"/>
                  <w:vMerge w:val="continue"/>
                  <w:vAlign w:val="center"/>
                </w:tcPr>
                <w:p>
                  <w:pPr>
                    <w:adjustRightInd w:val="0"/>
                    <w:snapToGrid w:val="0"/>
                    <w:jc w:val="center"/>
                    <w:rPr>
                      <w:color w:val="auto"/>
                      <w:szCs w:val="21"/>
                    </w:rPr>
                  </w:pPr>
                </w:p>
              </w:tc>
              <w:tc>
                <w:tcPr>
                  <w:tcW w:w="1314" w:type="dxa"/>
                  <w:gridSpan w:val="2"/>
                  <w:vAlign w:val="center"/>
                </w:tcPr>
                <w:p>
                  <w:pPr>
                    <w:adjustRightInd w:val="0"/>
                    <w:snapToGrid w:val="0"/>
                    <w:jc w:val="center"/>
                    <w:rPr>
                      <w:rFonts w:hint="default"/>
                      <w:color w:val="auto"/>
                      <w:szCs w:val="21"/>
                      <w:lang w:val="en-US" w:eastAsia="zh-CN"/>
                    </w:rPr>
                  </w:pPr>
                  <w:r>
                    <w:rPr>
                      <w:rFonts w:hint="eastAsia"/>
                      <w:color w:val="auto"/>
                      <w:szCs w:val="21"/>
                      <w:lang w:val="en-US" w:eastAsia="zh-CN"/>
                    </w:rPr>
                    <w:t>喷锌室</w:t>
                  </w:r>
                </w:p>
              </w:tc>
              <w:tc>
                <w:tcPr>
                  <w:tcW w:w="2508" w:type="dxa"/>
                  <w:vAlign w:val="center"/>
                </w:tcPr>
                <w:p>
                  <w:pPr>
                    <w:adjustRightInd w:val="0"/>
                    <w:snapToGrid w:val="0"/>
                    <w:jc w:val="center"/>
                    <w:rPr>
                      <w:rFonts w:hint="default"/>
                      <w:color w:val="auto"/>
                      <w:szCs w:val="21"/>
                      <w:lang w:val="en-US" w:eastAsia="zh-CN"/>
                    </w:rPr>
                  </w:pPr>
                  <w:r>
                    <w:rPr>
                      <w:rFonts w:hint="eastAsia"/>
                      <w:color w:val="auto"/>
                      <w:szCs w:val="21"/>
                      <w:lang w:val="en-US" w:eastAsia="zh-CN"/>
                    </w:rPr>
                    <w:t>1个，年喷涂500个机械零部件</w:t>
                  </w:r>
                </w:p>
              </w:tc>
              <w:tc>
                <w:tcPr>
                  <w:tcW w:w="2205" w:type="dxa"/>
                  <w:vAlign w:val="center"/>
                </w:tcPr>
                <w:p>
                  <w:pPr>
                    <w:adjustRightInd w:val="0"/>
                    <w:snapToGrid w:val="0"/>
                    <w:jc w:val="center"/>
                    <w:rPr>
                      <w:rFonts w:hint="eastAsia"/>
                      <w:color w:val="auto"/>
                      <w:lang w:eastAsia="zh-CN"/>
                    </w:rPr>
                  </w:pPr>
                  <w:r>
                    <w:rPr>
                      <w:rFonts w:hint="eastAsia"/>
                      <w:color w:val="auto"/>
                      <w:lang w:eastAsia="zh-CN"/>
                    </w:rPr>
                    <w:t>位于生产</w:t>
                  </w:r>
                  <w:r>
                    <w:rPr>
                      <w:rFonts w:hint="eastAsia"/>
                      <w:color w:val="auto"/>
                      <w:lang w:val="en-US" w:eastAsia="zh-CN"/>
                    </w:rPr>
                    <w:t>车间</w:t>
                  </w:r>
                  <w:r>
                    <w:rPr>
                      <w:rFonts w:hint="eastAsia"/>
                      <w:color w:val="auto"/>
                      <w:lang w:eastAsia="zh-CN"/>
                    </w:rPr>
                    <w:t>内，占地面积</w:t>
                  </w:r>
                  <w:r>
                    <w:rPr>
                      <w:rFonts w:hint="eastAsia"/>
                      <w:color w:val="auto"/>
                      <w:lang w:val="en-US" w:eastAsia="zh-CN"/>
                    </w:rPr>
                    <w:t>20m</w:t>
                  </w:r>
                  <w:r>
                    <w:rPr>
                      <w:rFonts w:hint="eastAsia"/>
                      <w:color w:val="auto"/>
                      <w:vertAlign w:val="superscript"/>
                      <w:lang w:val="en-US" w:eastAsia="zh-CN"/>
                    </w:rPr>
                    <w:t>2</w:t>
                  </w:r>
                </w:p>
              </w:tc>
              <w:tc>
                <w:tcPr>
                  <w:tcW w:w="1002" w:type="dxa"/>
                  <w:vAlign w:val="center"/>
                </w:tcPr>
                <w:p>
                  <w:pPr>
                    <w:snapToGrid w:val="0"/>
                    <w:spacing w:line="320" w:lineRule="exact"/>
                    <w:jc w:val="center"/>
                    <w:rPr>
                      <w:rFonts w:hint="eastAsia"/>
                      <w:color w:val="auto"/>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continue"/>
                  <w:vAlign w:val="center"/>
                </w:tcPr>
                <w:p>
                  <w:pPr>
                    <w:adjustRightInd w:val="0"/>
                    <w:snapToGrid w:val="0"/>
                    <w:jc w:val="center"/>
                    <w:rPr>
                      <w:color w:val="auto"/>
                      <w:szCs w:val="21"/>
                    </w:rPr>
                  </w:pPr>
                </w:p>
              </w:tc>
              <w:tc>
                <w:tcPr>
                  <w:tcW w:w="576" w:type="dxa"/>
                  <w:vMerge w:val="continue"/>
                  <w:vAlign w:val="center"/>
                </w:tcPr>
                <w:p>
                  <w:pPr>
                    <w:adjustRightInd w:val="0"/>
                    <w:snapToGrid w:val="0"/>
                    <w:jc w:val="center"/>
                    <w:rPr>
                      <w:color w:val="auto"/>
                      <w:szCs w:val="21"/>
                    </w:rPr>
                  </w:pPr>
                </w:p>
              </w:tc>
              <w:tc>
                <w:tcPr>
                  <w:tcW w:w="1314" w:type="dxa"/>
                  <w:gridSpan w:val="2"/>
                  <w:vAlign w:val="center"/>
                </w:tcPr>
                <w:p>
                  <w:pPr>
                    <w:adjustRightInd w:val="0"/>
                    <w:snapToGrid w:val="0"/>
                    <w:jc w:val="center"/>
                    <w:rPr>
                      <w:rFonts w:hint="eastAsia"/>
                      <w:color w:val="auto"/>
                      <w:szCs w:val="21"/>
                      <w:lang w:eastAsia="zh-CN"/>
                    </w:rPr>
                  </w:pPr>
                  <w:r>
                    <w:rPr>
                      <w:rFonts w:hint="eastAsia"/>
                      <w:color w:val="auto"/>
                      <w:szCs w:val="21"/>
                      <w:lang w:eastAsia="zh-CN"/>
                    </w:rPr>
                    <w:t>移动式喷塑房</w:t>
                  </w:r>
                </w:p>
              </w:tc>
              <w:tc>
                <w:tcPr>
                  <w:tcW w:w="2508" w:type="dxa"/>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1个，年喷涂1700件机械零部件</w:t>
                  </w:r>
                </w:p>
              </w:tc>
              <w:tc>
                <w:tcPr>
                  <w:tcW w:w="2205" w:type="dxa"/>
                  <w:vAlign w:val="center"/>
                </w:tcPr>
                <w:p>
                  <w:pPr>
                    <w:adjustRightInd w:val="0"/>
                    <w:snapToGrid w:val="0"/>
                    <w:jc w:val="center"/>
                    <w:rPr>
                      <w:rFonts w:hint="default"/>
                      <w:color w:val="auto"/>
                      <w:lang w:val="en-US"/>
                    </w:rPr>
                  </w:pPr>
                  <w:r>
                    <w:rPr>
                      <w:rFonts w:hint="eastAsia"/>
                      <w:color w:val="auto"/>
                      <w:lang w:eastAsia="zh-CN"/>
                    </w:rPr>
                    <w:t>位于生产</w:t>
                  </w:r>
                  <w:r>
                    <w:rPr>
                      <w:rFonts w:hint="eastAsia"/>
                      <w:color w:val="auto"/>
                      <w:lang w:val="en-US" w:eastAsia="zh-CN"/>
                    </w:rPr>
                    <w:t>车间</w:t>
                  </w:r>
                  <w:r>
                    <w:rPr>
                      <w:rFonts w:hint="eastAsia"/>
                      <w:color w:val="auto"/>
                      <w:lang w:eastAsia="zh-CN"/>
                    </w:rPr>
                    <w:t>内，占地面积</w:t>
                  </w:r>
                  <w:r>
                    <w:rPr>
                      <w:rFonts w:hint="eastAsia"/>
                      <w:color w:val="auto"/>
                      <w:lang w:val="en-US" w:eastAsia="zh-CN"/>
                    </w:rPr>
                    <w:t>50m</w:t>
                  </w:r>
                  <w:r>
                    <w:rPr>
                      <w:rFonts w:hint="eastAsia"/>
                      <w:color w:val="auto"/>
                      <w:vertAlign w:val="superscript"/>
                      <w:lang w:val="en-US" w:eastAsia="zh-CN"/>
                    </w:rPr>
                    <w:t>2</w:t>
                  </w:r>
                </w:p>
              </w:tc>
              <w:tc>
                <w:tcPr>
                  <w:tcW w:w="1002" w:type="dxa"/>
                  <w:vAlign w:val="center"/>
                </w:tcPr>
                <w:p>
                  <w:pPr>
                    <w:snapToGrid w:val="0"/>
                    <w:spacing w:line="320" w:lineRule="exact"/>
                    <w:jc w:val="center"/>
                    <w:rPr>
                      <w:color w:val="auto"/>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69" w:hRule="atLeast"/>
                <w:jc w:val="center"/>
              </w:trPr>
              <w:tc>
                <w:tcPr>
                  <w:tcW w:w="707" w:type="dxa"/>
                  <w:vMerge w:val="restart"/>
                  <w:vAlign w:val="center"/>
                </w:tcPr>
                <w:p>
                  <w:pPr>
                    <w:adjustRightInd w:val="0"/>
                    <w:snapToGrid w:val="0"/>
                    <w:jc w:val="center"/>
                    <w:rPr>
                      <w:color w:val="auto"/>
                      <w:szCs w:val="21"/>
                    </w:rPr>
                  </w:pPr>
                  <w:r>
                    <w:rPr>
                      <w:rFonts w:hint="eastAsia"/>
                      <w:color w:val="auto"/>
                      <w:szCs w:val="21"/>
                    </w:rPr>
                    <w:t>辅助工程</w:t>
                  </w:r>
                </w:p>
              </w:tc>
              <w:tc>
                <w:tcPr>
                  <w:tcW w:w="1890" w:type="dxa"/>
                  <w:gridSpan w:val="3"/>
                  <w:vAlign w:val="center"/>
                </w:tcPr>
                <w:p>
                  <w:pPr>
                    <w:adjustRightInd w:val="0"/>
                    <w:snapToGrid w:val="0"/>
                    <w:jc w:val="center"/>
                    <w:rPr>
                      <w:rFonts w:hint="eastAsia" w:eastAsia="宋体"/>
                      <w:color w:val="auto"/>
                      <w:szCs w:val="21"/>
                      <w:lang w:eastAsia="zh-CN"/>
                    </w:rPr>
                  </w:pPr>
                  <w:r>
                    <w:rPr>
                      <w:rFonts w:hint="eastAsia"/>
                      <w:color w:val="auto"/>
                      <w:szCs w:val="21"/>
                    </w:rPr>
                    <w:t>办公</w:t>
                  </w:r>
                  <w:r>
                    <w:rPr>
                      <w:rFonts w:hint="eastAsia"/>
                      <w:color w:val="auto"/>
                      <w:szCs w:val="21"/>
                      <w:lang w:eastAsia="zh-CN"/>
                    </w:rPr>
                    <w:t>区</w:t>
                  </w:r>
                </w:p>
              </w:tc>
              <w:tc>
                <w:tcPr>
                  <w:tcW w:w="2508" w:type="dxa"/>
                  <w:vAlign w:val="center"/>
                </w:tcPr>
                <w:p>
                  <w:pPr>
                    <w:adjustRightInd w:val="0"/>
                    <w:snapToGrid w:val="0"/>
                    <w:jc w:val="center"/>
                    <w:rPr>
                      <w:color w:val="auto"/>
                      <w:szCs w:val="21"/>
                    </w:rPr>
                  </w:pPr>
                  <w:r>
                    <w:rPr>
                      <w:rFonts w:hint="eastAsia"/>
                      <w:color w:val="auto"/>
                      <w:szCs w:val="21"/>
                    </w:rPr>
                    <w:t>用于办公、行政</w:t>
                  </w:r>
                  <w:r>
                    <w:rPr>
                      <w:rFonts w:hint="eastAsia"/>
                      <w:color w:val="auto"/>
                      <w:szCs w:val="21"/>
                      <w:lang w:eastAsia="zh-CN"/>
                    </w:rPr>
                    <w:t>、会客</w:t>
                  </w:r>
                  <w:r>
                    <w:rPr>
                      <w:rFonts w:hint="eastAsia"/>
                      <w:color w:val="auto"/>
                      <w:szCs w:val="21"/>
                    </w:rPr>
                    <w:t>等</w:t>
                  </w:r>
                </w:p>
              </w:tc>
              <w:tc>
                <w:tcPr>
                  <w:tcW w:w="2205" w:type="dxa"/>
                  <w:vAlign w:val="center"/>
                </w:tcPr>
                <w:p>
                  <w:pPr>
                    <w:adjustRightInd w:val="0"/>
                    <w:snapToGrid w:val="0"/>
                    <w:jc w:val="center"/>
                    <w:rPr>
                      <w:color w:val="auto"/>
                      <w:szCs w:val="21"/>
                    </w:rPr>
                  </w:pPr>
                  <w:r>
                    <w:rPr>
                      <w:rFonts w:hint="eastAsia"/>
                      <w:color w:val="auto"/>
                      <w:lang w:eastAsia="zh-CN"/>
                    </w:rPr>
                    <w:t>位于生产</w:t>
                  </w:r>
                  <w:r>
                    <w:rPr>
                      <w:rFonts w:hint="eastAsia"/>
                      <w:color w:val="auto"/>
                      <w:lang w:val="en-US" w:eastAsia="zh-CN"/>
                    </w:rPr>
                    <w:t>车间</w:t>
                  </w:r>
                  <w:r>
                    <w:rPr>
                      <w:rFonts w:hint="eastAsia"/>
                      <w:color w:val="auto"/>
                      <w:lang w:eastAsia="zh-CN"/>
                    </w:rPr>
                    <w:t>内，</w:t>
                  </w:r>
                  <w:r>
                    <w:rPr>
                      <w:rFonts w:hint="eastAsia"/>
                      <w:color w:val="auto"/>
                      <w:szCs w:val="21"/>
                      <w:lang w:eastAsia="zh-CN"/>
                    </w:rPr>
                    <w:t>建筑占地</w:t>
                  </w:r>
                  <w:r>
                    <w:rPr>
                      <w:rFonts w:hint="eastAsia"/>
                      <w:color w:val="auto"/>
                      <w:szCs w:val="21"/>
                    </w:rPr>
                    <w:t>面积约</w:t>
                  </w:r>
                  <w:r>
                    <w:rPr>
                      <w:rFonts w:hint="eastAsia"/>
                      <w:color w:val="auto"/>
                      <w:szCs w:val="21"/>
                      <w:lang w:val="en-US" w:eastAsia="zh-CN"/>
                    </w:rPr>
                    <w:t>75</w:t>
                  </w:r>
                  <w:r>
                    <w:rPr>
                      <w:rFonts w:hint="eastAsia"/>
                      <w:color w:val="auto"/>
                      <w:szCs w:val="21"/>
                    </w:rPr>
                    <w:t>m</w:t>
                  </w:r>
                  <w:r>
                    <w:rPr>
                      <w:rFonts w:hint="eastAsia"/>
                      <w:color w:val="auto"/>
                      <w:szCs w:val="21"/>
                      <w:vertAlign w:val="superscript"/>
                    </w:rPr>
                    <w:t>2</w:t>
                  </w:r>
                </w:p>
              </w:tc>
              <w:tc>
                <w:tcPr>
                  <w:tcW w:w="1002" w:type="dxa"/>
                  <w:vAlign w:val="center"/>
                </w:tcPr>
                <w:p>
                  <w:pPr>
                    <w:adjustRightInd w:val="0"/>
                    <w:snapToGrid w:val="0"/>
                    <w:jc w:val="center"/>
                    <w:rPr>
                      <w:rFonts w:hint="eastAsia" w:eastAsia="宋体"/>
                      <w:color w:val="auto"/>
                      <w:szCs w:val="21"/>
                      <w:lang w:val="en-US" w:eastAsia="zh-CN"/>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69" w:hRule="atLeast"/>
                <w:jc w:val="center"/>
              </w:trPr>
              <w:tc>
                <w:tcPr>
                  <w:tcW w:w="707" w:type="dxa"/>
                  <w:vMerge w:val="continue"/>
                  <w:vAlign w:val="center"/>
                </w:tcPr>
                <w:p>
                  <w:pPr>
                    <w:adjustRightInd w:val="0"/>
                    <w:snapToGrid w:val="0"/>
                    <w:jc w:val="center"/>
                    <w:rPr>
                      <w:color w:val="auto"/>
                      <w:szCs w:val="21"/>
                    </w:rPr>
                  </w:pPr>
                </w:p>
              </w:tc>
              <w:tc>
                <w:tcPr>
                  <w:tcW w:w="1890" w:type="dxa"/>
                  <w:gridSpan w:val="3"/>
                  <w:vAlign w:val="center"/>
                </w:tcPr>
                <w:p>
                  <w:pPr>
                    <w:adjustRightInd w:val="0"/>
                    <w:snapToGrid w:val="0"/>
                    <w:jc w:val="center"/>
                    <w:rPr>
                      <w:color w:val="auto"/>
                      <w:szCs w:val="21"/>
                    </w:rPr>
                  </w:pPr>
                  <w:r>
                    <w:rPr>
                      <w:rFonts w:ascii="宋体" w:hAnsi="宋体" w:eastAsia="宋体" w:cs="宋体"/>
                      <w:color w:val="auto"/>
                      <w:sz w:val="24"/>
                      <w:szCs w:val="24"/>
                    </w:rPr>
                    <w:t>恒温车间</w:t>
                  </w:r>
                </w:p>
              </w:tc>
              <w:tc>
                <w:tcPr>
                  <w:tcW w:w="2508" w:type="dxa"/>
                  <w:vAlign w:val="center"/>
                </w:tcPr>
                <w:p>
                  <w:pPr>
                    <w:adjustRightInd w:val="0"/>
                    <w:snapToGrid w:val="0"/>
                    <w:jc w:val="center"/>
                    <w:rPr>
                      <w:color w:val="auto"/>
                      <w:szCs w:val="21"/>
                    </w:rPr>
                  </w:pPr>
                  <w:r>
                    <w:rPr>
                      <w:rFonts w:ascii="宋体" w:hAnsi="宋体" w:eastAsia="宋体" w:cs="宋体"/>
                      <w:color w:val="auto"/>
                      <w:sz w:val="24"/>
                      <w:szCs w:val="24"/>
                    </w:rPr>
                    <w:t>用于测量检验</w:t>
                  </w:r>
                </w:p>
              </w:tc>
              <w:tc>
                <w:tcPr>
                  <w:tcW w:w="2205" w:type="dxa"/>
                  <w:vAlign w:val="center"/>
                </w:tcPr>
                <w:p>
                  <w:pPr>
                    <w:adjustRightInd w:val="0"/>
                    <w:snapToGrid w:val="0"/>
                    <w:jc w:val="center"/>
                    <w:rPr>
                      <w:color w:val="auto"/>
                      <w:szCs w:val="21"/>
                    </w:rPr>
                  </w:pPr>
                  <w:r>
                    <w:rPr>
                      <w:rFonts w:hint="eastAsia"/>
                      <w:color w:val="auto"/>
                      <w:lang w:eastAsia="zh-CN"/>
                    </w:rPr>
                    <w:t>位于生产</w:t>
                  </w:r>
                  <w:r>
                    <w:rPr>
                      <w:rFonts w:hint="eastAsia"/>
                      <w:color w:val="auto"/>
                      <w:lang w:val="en-US" w:eastAsia="zh-CN"/>
                    </w:rPr>
                    <w:t>车间</w:t>
                  </w:r>
                  <w:r>
                    <w:rPr>
                      <w:rFonts w:hint="eastAsia"/>
                      <w:color w:val="auto"/>
                      <w:lang w:eastAsia="zh-CN"/>
                    </w:rPr>
                    <w:t>内</w:t>
                  </w:r>
                  <w:r>
                    <w:rPr>
                      <w:rFonts w:hint="eastAsia"/>
                      <w:color w:val="auto"/>
                      <w:szCs w:val="21"/>
                    </w:rPr>
                    <w:t>，建筑面积约为</w:t>
                  </w:r>
                  <w:r>
                    <w:rPr>
                      <w:rFonts w:hint="eastAsia"/>
                      <w:color w:val="auto"/>
                      <w:szCs w:val="21"/>
                      <w:lang w:val="en-US" w:eastAsia="zh-CN"/>
                    </w:rPr>
                    <w:t>80</w:t>
                  </w:r>
                  <w:r>
                    <w:rPr>
                      <w:rFonts w:hint="eastAsia"/>
                      <w:color w:val="auto"/>
                      <w:szCs w:val="21"/>
                    </w:rPr>
                    <w:t>m</w:t>
                  </w:r>
                  <w:r>
                    <w:rPr>
                      <w:rFonts w:hint="eastAsia"/>
                      <w:color w:val="auto"/>
                      <w:szCs w:val="21"/>
                      <w:vertAlign w:val="superscript"/>
                    </w:rPr>
                    <w:t>2</w:t>
                  </w:r>
                </w:p>
              </w:tc>
              <w:tc>
                <w:tcPr>
                  <w:tcW w:w="1002" w:type="dxa"/>
                  <w:vAlign w:val="center"/>
                </w:tcPr>
                <w:p>
                  <w:pPr>
                    <w:adjustRightInd w:val="0"/>
                    <w:snapToGrid w:val="0"/>
                    <w:jc w:val="center"/>
                    <w:rPr>
                      <w:color w:val="auto"/>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1" w:hRule="atLeast"/>
                <w:jc w:val="center"/>
              </w:trPr>
              <w:tc>
                <w:tcPr>
                  <w:tcW w:w="707" w:type="dxa"/>
                  <w:vMerge w:val="restart"/>
                  <w:vAlign w:val="center"/>
                </w:tcPr>
                <w:p>
                  <w:pPr>
                    <w:snapToGrid w:val="0"/>
                    <w:spacing w:line="320" w:lineRule="exact"/>
                    <w:jc w:val="center"/>
                    <w:rPr>
                      <w:color w:val="auto"/>
                      <w:szCs w:val="21"/>
                    </w:rPr>
                  </w:pPr>
                  <w:r>
                    <w:rPr>
                      <w:color w:val="auto"/>
                      <w:szCs w:val="21"/>
                    </w:rPr>
                    <w:t>储运工程</w:t>
                  </w:r>
                </w:p>
              </w:tc>
              <w:tc>
                <w:tcPr>
                  <w:tcW w:w="1890" w:type="dxa"/>
                  <w:gridSpan w:val="3"/>
                  <w:vAlign w:val="center"/>
                </w:tcPr>
                <w:p>
                  <w:pPr>
                    <w:snapToGrid w:val="0"/>
                    <w:spacing w:line="320" w:lineRule="exact"/>
                    <w:jc w:val="center"/>
                    <w:rPr>
                      <w:rFonts w:hint="eastAsia" w:eastAsia="宋体"/>
                      <w:color w:val="auto"/>
                      <w:szCs w:val="21"/>
                      <w:lang w:eastAsia="zh-CN"/>
                    </w:rPr>
                  </w:pPr>
                  <w:r>
                    <w:rPr>
                      <w:color w:val="auto"/>
                      <w:szCs w:val="21"/>
                    </w:rPr>
                    <w:t>原料</w:t>
                  </w:r>
                  <w:r>
                    <w:rPr>
                      <w:rFonts w:hint="eastAsia"/>
                      <w:color w:val="auto"/>
                      <w:szCs w:val="21"/>
                      <w:lang w:eastAsia="zh-CN"/>
                    </w:rPr>
                    <w:t>区</w:t>
                  </w:r>
                </w:p>
              </w:tc>
              <w:tc>
                <w:tcPr>
                  <w:tcW w:w="2508" w:type="dxa"/>
                  <w:vAlign w:val="center"/>
                </w:tcPr>
                <w:p>
                  <w:pPr>
                    <w:spacing w:line="320" w:lineRule="exact"/>
                    <w:jc w:val="center"/>
                    <w:textAlignment w:val="baseline"/>
                    <w:rPr>
                      <w:rFonts w:hint="eastAsia" w:eastAsia="宋体"/>
                      <w:color w:val="auto"/>
                      <w:spacing w:val="-2"/>
                      <w:kern w:val="28"/>
                      <w:szCs w:val="21"/>
                      <w:lang w:eastAsia="zh-CN"/>
                    </w:rPr>
                  </w:pPr>
                  <w:r>
                    <w:rPr>
                      <w:rFonts w:hint="eastAsia"/>
                      <w:color w:val="auto"/>
                      <w:spacing w:val="-2"/>
                      <w:kern w:val="28"/>
                      <w:szCs w:val="21"/>
                      <w:lang w:eastAsia="zh-CN"/>
                    </w:rPr>
                    <w:t>用于原料储存</w:t>
                  </w:r>
                </w:p>
              </w:tc>
              <w:tc>
                <w:tcPr>
                  <w:tcW w:w="2205" w:type="dxa"/>
                  <w:vAlign w:val="center"/>
                </w:tcPr>
                <w:p>
                  <w:pPr>
                    <w:spacing w:line="320" w:lineRule="exact"/>
                    <w:jc w:val="center"/>
                    <w:textAlignment w:val="baseline"/>
                    <w:rPr>
                      <w:color w:val="auto"/>
                      <w:spacing w:val="-2"/>
                      <w:kern w:val="28"/>
                      <w:szCs w:val="21"/>
                    </w:rPr>
                  </w:pPr>
                  <w:r>
                    <w:rPr>
                      <w:rFonts w:hint="eastAsia"/>
                      <w:color w:val="auto"/>
                      <w:lang w:eastAsia="zh-CN"/>
                    </w:rPr>
                    <w:t>位于生产</w:t>
                  </w:r>
                  <w:r>
                    <w:rPr>
                      <w:rFonts w:hint="eastAsia"/>
                      <w:color w:val="auto"/>
                      <w:lang w:val="en-US" w:eastAsia="zh-CN"/>
                    </w:rPr>
                    <w:t>车间</w:t>
                  </w:r>
                  <w:r>
                    <w:rPr>
                      <w:rFonts w:hint="eastAsia"/>
                      <w:color w:val="auto"/>
                      <w:lang w:eastAsia="zh-CN"/>
                    </w:rPr>
                    <w:t>内</w:t>
                  </w:r>
                  <w:r>
                    <w:rPr>
                      <w:rFonts w:hint="eastAsia"/>
                      <w:color w:val="auto"/>
                      <w:szCs w:val="21"/>
                    </w:rPr>
                    <w:t>，</w:t>
                  </w:r>
                  <w:r>
                    <w:rPr>
                      <w:rFonts w:hint="eastAsia"/>
                      <w:color w:val="auto"/>
                      <w:spacing w:val="-2"/>
                      <w:kern w:val="28"/>
                      <w:szCs w:val="21"/>
                      <w:lang w:eastAsia="zh-CN"/>
                    </w:rPr>
                    <w:t>占地</w:t>
                  </w:r>
                  <w:r>
                    <w:rPr>
                      <w:color w:val="auto"/>
                      <w:spacing w:val="-2"/>
                      <w:kern w:val="28"/>
                      <w:szCs w:val="21"/>
                    </w:rPr>
                    <w:t>面积</w:t>
                  </w:r>
                  <w:r>
                    <w:rPr>
                      <w:rFonts w:hint="eastAsia"/>
                      <w:color w:val="auto"/>
                      <w:spacing w:val="-2"/>
                      <w:kern w:val="28"/>
                      <w:szCs w:val="21"/>
                    </w:rPr>
                    <w:t>约240</w:t>
                  </w:r>
                  <w:r>
                    <w:rPr>
                      <w:color w:val="auto"/>
                      <w:spacing w:val="-2"/>
                      <w:kern w:val="28"/>
                      <w:szCs w:val="21"/>
                    </w:rPr>
                    <w:t>m</w:t>
                  </w:r>
                  <w:r>
                    <w:rPr>
                      <w:color w:val="auto"/>
                      <w:spacing w:val="-2"/>
                      <w:kern w:val="28"/>
                      <w:szCs w:val="21"/>
                      <w:vertAlign w:val="superscript"/>
                    </w:rPr>
                    <w:t>2</w:t>
                  </w:r>
                </w:p>
              </w:tc>
              <w:tc>
                <w:tcPr>
                  <w:tcW w:w="1002" w:type="dxa"/>
                  <w:vAlign w:val="center"/>
                </w:tcPr>
                <w:p>
                  <w:pPr>
                    <w:spacing w:line="320" w:lineRule="exact"/>
                    <w:jc w:val="center"/>
                    <w:textAlignment w:val="baseline"/>
                    <w:rPr>
                      <w:color w:val="auto"/>
                      <w:spacing w:val="-2"/>
                      <w:kern w:val="28"/>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81" w:hRule="atLeast"/>
                <w:jc w:val="center"/>
              </w:trPr>
              <w:tc>
                <w:tcPr>
                  <w:tcW w:w="707" w:type="dxa"/>
                  <w:vMerge w:val="continue"/>
                  <w:vAlign w:val="center"/>
                </w:tcPr>
                <w:p>
                  <w:pPr>
                    <w:snapToGrid w:val="0"/>
                    <w:spacing w:line="320" w:lineRule="exact"/>
                    <w:jc w:val="center"/>
                    <w:rPr>
                      <w:color w:val="auto"/>
                      <w:szCs w:val="21"/>
                    </w:rPr>
                  </w:pPr>
                </w:p>
              </w:tc>
              <w:tc>
                <w:tcPr>
                  <w:tcW w:w="1890" w:type="dxa"/>
                  <w:gridSpan w:val="3"/>
                  <w:vAlign w:val="center"/>
                </w:tcPr>
                <w:p>
                  <w:pPr>
                    <w:spacing w:line="320" w:lineRule="exact"/>
                    <w:jc w:val="center"/>
                    <w:textAlignment w:val="baseline"/>
                    <w:rPr>
                      <w:rFonts w:hint="default"/>
                      <w:color w:val="auto"/>
                      <w:szCs w:val="21"/>
                      <w:lang w:val="en-US" w:eastAsia="zh-CN"/>
                    </w:rPr>
                  </w:pPr>
                  <w:r>
                    <w:rPr>
                      <w:rFonts w:hint="eastAsia"/>
                      <w:color w:val="auto"/>
                      <w:szCs w:val="21"/>
                      <w:lang w:val="en-US" w:eastAsia="zh-CN"/>
                    </w:rPr>
                    <w:t>危化品仓库</w:t>
                  </w:r>
                </w:p>
              </w:tc>
              <w:tc>
                <w:tcPr>
                  <w:tcW w:w="2508" w:type="dxa"/>
                  <w:vAlign w:val="center"/>
                </w:tcPr>
                <w:p>
                  <w:pPr>
                    <w:spacing w:line="320" w:lineRule="exact"/>
                    <w:jc w:val="center"/>
                    <w:textAlignment w:val="baseline"/>
                    <w:rPr>
                      <w:rFonts w:hint="eastAsia" w:eastAsia="宋体"/>
                      <w:color w:val="auto"/>
                      <w:szCs w:val="21"/>
                      <w:lang w:val="en-US" w:eastAsia="zh-CN"/>
                    </w:rPr>
                  </w:pPr>
                  <w:r>
                    <w:rPr>
                      <w:rFonts w:hint="eastAsia"/>
                      <w:color w:val="auto"/>
                      <w:szCs w:val="21"/>
                    </w:rPr>
                    <w:t>用于</w:t>
                  </w:r>
                  <w:r>
                    <w:rPr>
                      <w:rFonts w:hint="eastAsia"/>
                      <w:color w:val="auto"/>
                      <w:szCs w:val="21"/>
                      <w:lang w:eastAsia="zh-CN"/>
                    </w:rPr>
                    <w:t>水性漆、固化剂、切削液、导轨润滑油等储存</w:t>
                  </w:r>
                </w:p>
              </w:tc>
              <w:tc>
                <w:tcPr>
                  <w:tcW w:w="2205" w:type="dxa"/>
                  <w:vAlign w:val="center"/>
                </w:tcPr>
                <w:p>
                  <w:pPr>
                    <w:spacing w:line="320" w:lineRule="exact"/>
                    <w:jc w:val="center"/>
                    <w:textAlignment w:val="baseline"/>
                    <w:rPr>
                      <w:rFonts w:hint="eastAsia"/>
                      <w:color w:val="auto"/>
                      <w:szCs w:val="21"/>
                    </w:rPr>
                  </w:pPr>
                  <w:r>
                    <w:rPr>
                      <w:rFonts w:hint="eastAsia"/>
                      <w:color w:val="auto"/>
                      <w:szCs w:val="21"/>
                    </w:rPr>
                    <w:t>位于生产车间内，</w:t>
                  </w:r>
                  <w:r>
                    <w:rPr>
                      <w:rFonts w:hint="eastAsia"/>
                      <w:color w:val="auto"/>
                      <w:szCs w:val="21"/>
                      <w:lang w:eastAsia="zh-CN"/>
                    </w:rPr>
                    <w:t>占地</w:t>
                  </w:r>
                  <w:r>
                    <w:rPr>
                      <w:rFonts w:hint="eastAsia"/>
                      <w:color w:val="auto"/>
                      <w:szCs w:val="21"/>
                    </w:rPr>
                    <w:t>面积约</w:t>
                  </w:r>
                  <w:r>
                    <w:rPr>
                      <w:rFonts w:hint="eastAsia"/>
                      <w:color w:val="auto"/>
                      <w:szCs w:val="21"/>
                      <w:lang w:val="en-US" w:eastAsia="zh-CN"/>
                    </w:rPr>
                    <w:t>50</w:t>
                  </w:r>
                  <w:r>
                    <w:rPr>
                      <w:rFonts w:hint="eastAsia"/>
                      <w:color w:val="auto"/>
                      <w:szCs w:val="21"/>
                    </w:rPr>
                    <w:t>m</w:t>
                  </w:r>
                  <w:r>
                    <w:rPr>
                      <w:rFonts w:hint="eastAsia"/>
                      <w:color w:val="auto"/>
                      <w:szCs w:val="21"/>
                      <w:vertAlign w:val="superscript"/>
                    </w:rPr>
                    <w:t>2</w:t>
                  </w:r>
                </w:p>
              </w:tc>
              <w:tc>
                <w:tcPr>
                  <w:tcW w:w="1002" w:type="dxa"/>
                  <w:vAlign w:val="center"/>
                </w:tcPr>
                <w:p>
                  <w:pPr>
                    <w:spacing w:line="320" w:lineRule="exact"/>
                    <w:jc w:val="center"/>
                    <w:textAlignment w:val="baseline"/>
                    <w:rPr>
                      <w:rFonts w:hint="eastAsia"/>
                      <w:color w:val="auto"/>
                      <w:szCs w:val="21"/>
                    </w:rPr>
                  </w:pPr>
                  <w:r>
                    <w:rPr>
                      <w:rFonts w:hint="eastAsia"/>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90" w:hRule="atLeast"/>
                <w:jc w:val="center"/>
              </w:trPr>
              <w:tc>
                <w:tcPr>
                  <w:tcW w:w="707" w:type="dxa"/>
                  <w:vMerge w:val="continue"/>
                  <w:vAlign w:val="center"/>
                </w:tcPr>
                <w:p>
                  <w:pPr>
                    <w:snapToGrid w:val="0"/>
                    <w:spacing w:line="320" w:lineRule="exact"/>
                    <w:jc w:val="center"/>
                    <w:rPr>
                      <w:color w:val="auto"/>
                      <w:szCs w:val="21"/>
                    </w:rPr>
                  </w:pPr>
                </w:p>
              </w:tc>
              <w:tc>
                <w:tcPr>
                  <w:tcW w:w="1890" w:type="dxa"/>
                  <w:gridSpan w:val="3"/>
                  <w:vAlign w:val="center"/>
                </w:tcPr>
                <w:p>
                  <w:pPr>
                    <w:snapToGrid w:val="0"/>
                    <w:spacing w:line="320" w:lineRule="exact"/>
                    <w:jc w:val="center"/>
                    <w:rPr>
                      <w:rFonts w:hint="eastAsia" w:eastAsia="宋体"/>
                      <w:color w:val="auto"/>
                      <w:szCs w:val="21"/>
                      <w:lang w:eastAsia="zh-CN"/>
                    </w:rPr>
                  </w:pPr>
                  <w:r>
                    <w:rPr>
                      <w:color w:val="auto"/>
                      <w:szCs w:val="21"/>
                    </w:rPr>
                    <w:t>成品</w:t>
                  </w:r>
                  <w:r>
                    <w:rPr>
                      <w:rFonts w:hint="eastAsia"/>
                      <w:color w:val="auto"/>
                      <w:szCs w:val="21"/>
                      <w:lang w:eastAsia="zh-CN"/>
                    </w:rPr>
                    <w:t>区</w:t>
                  </w:r>
                </w:p>
              </w:tc>
              <w:tc>
                <w:tcPr>
                  <w:tcW w:w="2508" w:type="dxa"/>
                  <w:vAlign w:val="center"/>
                </w:tcPr>
                <w:p>
                  <w:pPr>
                    <w:spacing w:line="320" w:lineRule="exact"/>
                    <w:jc w:val="center"/>
                    <w:rPr>
                      <w:color w:val="auto"/>
                      <w:spacing w:val="-2"/>
                      <w:kern w:val="28"/>
                      <w:szCs w:val="21"/>
                    </w:rPr>
                  </w:pPr>
                  <w:r>
                    <w:rPr>
                      <w:rFonts w:hint="eastAsia"/>
                      <w:color w:val="auto"/>
                      <w:szCs w:val="21"/>
                    </w:rPr>
                    <w:t>用于成品</w:t>
                  </w:r>
                  <w:r>
                    <w:rPr>
                      <w:color w:val="auto"/>
                      <w:szCs w:val="21"/>
                    </w:rPr>
                    <w:t>储存</w:t>
                  </w:r>
                </w:p>
              </w:tc>
              <w:tc>
                <w:tcPr>
                  <w:tcW w:w="2205" w:type="dxa"/>
                  <w:vAlign w:val="center"/>
                </w:tcPr>
                <w:p>
                  <w:pPr>
                    <w:spacing w:line="320" w:lineRule="exact"/>
                    <w:jc w:val="center"/>
                    <w:rPr>
                      <w:color w:val="auto"/>
                      <w:spacing w:val="-2"/>
                      <w:kern w:val="28"/>
                      <w:szCs w:val="21"/>
                    </w:rPr>
                  </w:pPr>
                  <w:r>
                    <w:rPr>
                      <w:rFonts w:hint="eastAsia"/>
                      <w:color w:val="auto"/>
                      <w:szCs w:val="21"/>
                    </w:rPr>
                    <w:t>位于生产车间内，</w:t>
                  </w:r>
                  <w:r>
                    <w:rPr>
                      <w:rFonts w:hint="eastAsia"/>
                      <w:color w:val="auto"/>
                      <w:spacing w:val="-2"/>
                      <w:kern w:val="28"/>
                      <w:szCs w:val="21"/>
                      <w:lang w:eastAsia="zh-CN"/>
                    </w:rPr>
                    <w:t>占地</w:t>
                  </w:r>
                  <w:r>
                    <w:rPr>
                      <w:color w:val="auto"/>
                      <w:spacing w:val="-2"/>
                      <w:kern w:val="28"/>
                      <w:szCs w:val="21"/>
                    </w:rPr>
                    <w:t>面积</w:t>
                  </w:r>
                  <w:r>
                    <w:rPr>
                      <w:rFonts w:hint="eastAsia"/>
                      <w:color w:val="auto"/>
                      <w:spacing w:val="-2"/>
                      <w:kern w:val="28"/>
                      <w:szCs w:val="21"/>
                    </w:rPr>
                    <w:t>约</w:t>
                  </w:r>
                  <w:r>
                    <w:rPr>
                      <w:rFonts w:hint="eastAsia"/>
                      <w:color w:val="auto"/>
                      <w:spacing w:val="-2"/>
                      <w:kern w:val="28"/>
                      <w:szCs w:val="21"/>
                      <w:lang w:val="en-US" w:eastAsia="zh-CN"/>
                    </w:rPr>
                    <w:t>250</w:t>
                  </w:r>
                  <w:r>
                    <w:rPr>
                      <w:color w:val="auto"/>
                      <w:spacing w:val="-2"/>
                      <w:kern w:val="28"/>
                      <w:szCs w:val="21"/>
                    </w:rPr>
                    <w:t>m</w:t>
                  </w:r>
                  <w:r>
                    <w:rPr>
                      <w:color w:val="auto"/>
                      <w:spacing w:val="-2"/>
                      <w:kern w:val="28"/>
                      <w:szCs w:val="21"/>
                      <w:vertAlign w:val="superscript"/>
                    </w:rPr>
                    <w:t>2</w:t>
                  </w:r>
                </w:p>
              </w:tc>
              <w:tc>
                <w:tcPr>
                  <w:tcW w:w="1002" w:type="dxa"/>
                  <w:vAlign w:val="center"/>
                </w:tcPr>
                <w:p>
                  <w:pPr>
                    <w:spacing w:line="320" w:lineRule="exact"/>
                    <w:jc w:val="center"/>
                    <w:textAlignment w:val="baseline"/>
                    <w:rPr>
                      <w:color w:val="auto"/>
                      <w:spacing w:val="-2"/>
                      <w:kern w:val="28"/>
                      <w:szCs w:val="21"/>
                    </w:rPr>
                  </w:pPr>
                  <w:r>
                    <w:rPr>
                      <w:rFonts w:hint="eastAsia"/>
                      <w:bCs/>
                      <w:color w:val="auto"/>
                      <w:szCs w:val="21"/>
                    </w:rPr>
                    <w:t>依托现有厂房</w:t>
                  </w:r>
                  <w:r>
                    <w:rPr>
                      <w:rFonts w:hint="eastAsia"/>
                      <w:color w:val="auto"/>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restart"/>
                  <w:vAlign w:val="center"/>
                </w:tcPr>
                <w:p>
                  <w:pPr>
                    <w:snapToGrid w:val="0"/>
                    <w:spacing w:line="320" w:lineRule="exact"/>
                    <w:jc w:val="center"/>
                    <w:rPr>
                      <w:color w:val="auto"/>
                      <w:szCs w:val="21"/>
                    </w:rPr>
                  </w:pPr>
                  <w:r>
                    <w:rPr>
                      <w:color w:val="auto"/>
                      <w:szCs w:val="21"/>
                    </w:rPr>
                    <w:t>公用工程</w:t>
                  </w:r>
                </w:p>
              </w:tc>
              <w:tc>
                <w:tcPr>
                  <w:tcW w:w="1890" w:type="dxa"/>
                  <w:gridSpan w:val="3"/>
                  <w:vAlign w:val="center"/>
                </w:tcPr>
                <w:p>
                  <w:pPr>
                    <w:overflowPunct w:val="0"/>
                    <w:spacing w:line="320" w:lineRule="exact"/>
                    <w:jc w:val="center"/>
                    <w:rPr>
                      <w:bCs/>
                      <w:color w:val="auto"/>
                      <w:szCs w:val="21"/>
                    </w:rPr>
                  </w:pPr>
                  <w:r>
                    <w:rPr>
                      <w:bCs/>
                      <w:color w:val="auto"/>
                      <w:szCs w:val="21"/>
                    </w:rPr>
                    <w:t>供水系统</w:t>
                  </w:r>
                </w:p>
              </w:tc>
              <w:tc>
                <w:tcPr>
                  <w:tcW w:w="2508" w:type="dxa"/>
                  <w:vAlign w:val="center"/>
                </w:tcPr>
                <w:p>
                  <w:pPr>
                    <w:overflowPunct w:val="0"/>
                    <w:spacing w:line="320" w:lineRule="exact"/>
                    <w:jc w:val="center"/>
                    <w:rPr>
                      <w:bCs/>
                      <w:color w:val="auto"/>
                      <w:szCs w:val="21"/>
                    </w:rPr>
                  </w:pPr>
                  <w:r>
                    <w:rPr>
                      <w:bCs/>
                      <w:color w:val="auto"/>
                      <w:szCs w:val="21"/>
                    </w:rPr>
                    <w:t>区域给水管网供水</w:t>
                  </w:r>
                </w:p>
              </w:tc>
              <w:tc>
                <w:tcPr>
                  <w:tcW w:w="2205" w:type="dxa"/>
                  <w:vAlign w:val="center"/>
                </w:tcPr>
                <w:p>
                  <w:pPr>
                    <w:overflowPunct w:val="0"/>
                    <w:spacing w:line="320" w:lineRule="exact"/>
                    <w:jc w:val="center"/>
                    <w:rPr>
                      <w:bCs/>
                      <w:color w:val="auto"/>
                      <w:szCs w:val="21"/>
                    </w:rPr>
                  </w:pPr>
                  <w:r>
                    <w:rPr>
                      <w:rFonts w:hint="eastAsia"/>
                      <w:color w:val="auto"/>
                      <w:szCs w:val="21"/>
                    </w:rPr>
                    <w:t>供水量</w:t>
                  </w:r>
                  <w:r>
                    <w:rPr>
                      <w:rFonts w:hint="eastAsia"/>
                      <w:color w:val="auto"/>
                      <w:szCs w:val="21"/>
                      <w:lang w:val="en-US" w:eastAsia="zh-CN"/>
                    </w:rPr>
                    <w:t>1088.48</w:t>
                  </w:r>
                  <w:r>
                    <w:rPr>
                      <w:color w:val="auto"/>
                      <w:szCs w:val="21"/>
                    </w:rPr>
                    <w:t>m</w:t>
                  </w:r>
                  <w:r>
                    <w:rPr>
                      <w:color w:val="auto"/>
                      <w:szCs w:val="21"/>
                      <w:vertAlign w:val="superscript"/>
                    </w:rPr>
                    <w:t>3</w:t>
                  </w:r>
                  <w:r>
                    <w:rPr>
                      <w:color w:val="auto"/>
                      <w:szCs w:val="21"/>
                    </w:rPr>
                    <w:t>/a</w:t>
                  </w:r>
                </w:p>
              </w:tc>
              <w:tc>
                <w:tcPr>
                  <w:tcW w:w="1002" w:type="dxa"/>
                  <w:vAlign w:val="center"/>
                </w:tcPr>
                <w:p>
                  <w:pPr>
                    <w:spacing w:line="320" w:lineRule="exact"/>
                    <w:jc w:val="center"/>
                    <w:textAlignment w:val="baseline"/>
                    <w:rPr>
                      <w:color w:val="auto"/>
                      <w:spacing w:val="-2"/>
                      <w:kern w:val="28"/>
                      <w:szCs w:val="21"/>
                    </w:rPr>
                  </w:pPr>
                  <w:r>
                    <w:rPr>
                      <w:color w:val="auto"/>
                      <w:spacing w:val="-2"/>
                      <w:kern w:val="28"/>
                      <w:szCs w:val="21"/>
                    </w:rPr>
                    <w:t>依托厂区现有供水管网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63" w:hRule="atLeast"/>
                <w:jc w:val="center"/>
              </w:trPr>
              <w:tc>
                <w:tcPr>
                  <w:tcW w:w="707" w:type="dxa"/>
                  <w:vMerge w:val="continue"/>
                  <w:vAlign w:val="center"/>
                </w:tcPr>
                <w:p>
                  <w:pPr>
                    <w:snapToGrid w:val="0"/>
                    <w:spacing w:line="320" w:lineRule="exact"/>
                    <w:jc w:val="center"/>
                    <w:rPr>
                      <w:color w:val="auto"/>
                      <w:szCs w:val="21"/>
                    </w:rPr>
                  </w:pPr>
                </w:p>
              </w:tc>
              <w:tc>
                <w:tcPr>
                  <w:tcW w:w="1890" w:type="dxa"/>
                  <w:gridSpan w:val="3"/>
                  <w:vAlign w:val="center"/>
                </w:tcPr>
                <w:p>
                  <w:pPr>
                    <w:overflowPunct w:val="0"/>
                    <w:spacing w:line="320" w:lineRule="exact"/>
                    <w:jc w:val="center"/>
                    <w:rPr>
                      <w:bCs/>
                      <w:color w:val="auto"/>
                      <w:szCs w:val="21"/>
                    </w:rPr>
                  </w:pPr>
                  <w:r>
                    <w:rPr>
                      <w:bCs/>
                      <w:color w:val="auto"/>
                      <w:szCs w:val="21"/>
                    </w:rPr>
                    <w:t>排水系统</w:t>
                  </w:r>
                </w:p>
              </w:tc>
              <w:tc>
                <w:tcPr>
                  <w:tcW w:w="2508" w:type="dxa"/>
                  <w:vAlign w:val="center"/>
                </w:tcPr>
                <w:p>
                  <w:pPr>
                    <w:overflowPunct w:val="0"/>
                    <w:spacing w:line="320" w:lineRule="exact"/>
                    <w:jc w:val="center"/>
                    <w:rPr>
                      <w:bCs/>
                      <w:color w:val="auto"/>
                      <w:szCs w:val="21"/>
                    </w:rPr>
                  </w:pPr>
                  <w:r>
                    <w:rPr>
                      <w:rFonts w:hint="eastAsia"/>
                      <w:color w:val="auto"/>
                      <w:szCs w:val="21"/>
                    </w:rPr>
                    <w:t>雨污分流，雨水通过雨水管网排入附近河流城西中心河；生活污水收集后经市政污水管网排入开发区污水管网进金坛区第二污水处理厂深度处理，尾水排入尧塘河</w:t>
                  </w:r>
                </w:p>
              </w:tc>
              <w:tc>
                <w:tcPr>
                  <w:tcW w:w="2205" w:type="dxa"/>
                  <w:vAlign w:val="center"/>
                </w:tcPr>
                <w:p>
                  <w:pPr>
                    <w:overflowPunct w:val="0"/>
                    <w:spacing w:line="320" w:lineRule="exact"/>
                    <w:jc w:val="center"/>
                    <w:rPr>
                      <w:bCs/>
                      <w:color w:val="auto"/>
                      <w:szCs w:val="21"/>
                    </w:rPr>
                  </w:pPr>
                  <w:r>
                    <w:rPr>
                      <w:rFonts w:hint="eastAsia"/>
                      <w:color w:val="auto"/>
                      <w:szCs w:val="21"/>
                    </w:rPr>
                    <w:t>生活污水量</w:t>
                  </w:r>
                  <w:r>
                    <w:rPr>
                      <w:rFonts w:hint="eastAsia"/>
                      <w:color w:val="auto"/>
                      <w:szCs w:val="21"/>
                      <w:lang w:val="en-US" w:eastAsia="zh-CN"/>
                    </w:rPr>
                    <w:t>120</w:t>
                  </w:r>
                  <w:r>
                    <w:rPr>
                      <w:color w:val="auto"/>
                      <w:szCs w:val="21"/>
                    </w:rPr>
                    <w:t>m</w:t>
                  </w:r>
                  <w:r>
                    <w:rPr>
                      <w:color w:val="auto"/>
                      <w:szCs w:val="21"/>
                      <w:vertAlign w:val="superscript"/>
                    </w:rPr>
                    <w:t>3</w:t>
                  </w:r>
                  <w:r>
                    <w:rPr>
                      <w:color w:val="auto"/>
                      <w:szCs w:val="21"/>
                    </w:rPr>
                    <w:t>/a</w:t>
                  </w:r>
                </w:p>
              </w:tc>
              <w:tc>
                <w:tcPr>
                  <w:tcW w:w="1002" w:type="dxa"/>
                  <w:vAlign w:val="center"/>
                </w:tcPr>
                <w:p>
                  <w:pPr>
                    <w:spacing w:line="320" w:lineRule="exact"/>
                    <w:jc w:val="center"/>
                    <w:textAlignment w:val="baseline"/>
                    <w:rPr>
                      <w:color w:val="auto"/>
                      <w:spacing w:val="-2"/>
                      <w:kern w:val="28"/>
                      <w:szCs w:val="21"/>
                    </w:rPr>
                  </w:pPr>
                  <w:r>
                    <w:rPr>
                      <w:rFonts w:hint="eastAsia"/>
                      <w:color w:val="auto"/>
                      <w:spacing w:val="-2"/>
                      <w:kern w:val="28"/>
                      <w:szCs w:val="21"/>
                    </w:rPr>
                    <w:t>依托现有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90" w:hRule="atLeast"/>
                <w:jc w:val="center"/>
              </w:trPr>
              <w:tc>
                <w:tcPr>
                  <w:tcW w:w="707" w:type="dxa"/>
                  <w:vMerge w:val="continue"/>
                  <w:vAlign w:val="center"/>
                </w:tcPr>
                <w:p>
                  <w:pPr>
                    <w:snapToGrid w:val="0"/>
                    <w:spacing w:line="320" w:lineRule="exact"/>
                    <w:jc w:val="center"/>
                    <w:rPr>
                      <w:color w:val="auto"/>
                      <w:szCs w:val="21"/>
                    </w:rPr>
                  </w:pPr>
                </w:p>
              </w:tc>
              <w:tc>
                <w:tcPr>
                  <w:tcW w:w="1890" w:type="dxa"/>
                  <w:gridSpan w:val="3"/>
                  <w:vAlign w:val="center"/>
                </w:tcPr>
                <w:p>
                  <w:pPr>
                    <w:overflowPunct w:val="0"/>
                    <w:spacing w:line="320" w:lineRule="exact"/>
                    <w:jc w:val="center"/>
                    <w:rPr>
                      <w:bCs/>
                      <w:color w:val="auto"/>
                      <w:szCs w:val="21"/>
                    </w:rPr>
                  </w:pPr>
                  <w:r>
                    <w:rPr>
                      <w:bCs/>
                      <w:color w:val="auto"/>
                      <w:szCs w:val="21"/>
                    </w:rPr>
                    <w:t>供电系统</w:t>
                  </w:r>
                </w:p>
              </w:tc>
              <w:tc>
                <w:tcPr>
                  <w:tcW w:w="2508" w:type="dxa"/>
                  <w:vAlign w:val="center"/>
                </w:tcPr>
                <w:p>
                  <w:pPr>
                    <w:overflowPunct w:val="0"/>
                    <w:spacing w:line="320" w:lineRule="exact"/>
                    <w:jc w:val="center"/>
                    <w:rPr>
                      <w:bCs/>
                      <w:color w:val="auto"/>
                      <w:szCs w:val="21"/>
                    </w:rPr>
                  </w:pPr>
                  <w:r>
                    <w:rPr>
                      <w:rFonts w:hint="eastAsia"/>
                      <w:color w:val="auto"/>
                      <w:szCs w:val="21"/>
                    </w:rPr>
                    <w:t>市政供电</w:t>
                  </w:r>
                </w:p>
              </w:tc>
              <w:tc>
                <w:tcPr>
                  <w:tcW w:w="2205" w:type="dxa"/>
                  <w:vAlign w:val="center"/>
                </w:tcPr>
                <w:p>
                  <w:pPr>
                    <w:overflowPunct w:val="0"/>
                    <w:spacing w:line="320" w:lineRule="exact"/>
                    <w:jc w:val="center"/>
                    <w:rPr>
                      <w:bCs/>
                      <w:color w:val="auto"/>
                      <w:szCs w:val="21"/>
                    </w:rPr>
                  </w:pPr>
                  <w:r>
                    <w:rPr>
                      <w:rFonts w:hint="eastAsia"/>
                      <w:color w:val="auto"/>
                      <w:szCs w:val="21"/>
                    </w:rPr>
                    <w:t>10</w:t>
                  </w:r>
                  <w:r>
                    <w:rPr>
                      <w:color w:val="auto"/>
                      <w:szCs w:val="21"/>
                    </w:rPr>
                    <w:t>万kWh/a</w:t>
                  </w:r>
                </w:p>
              </w:tc>
              <w:tc>
                <w:tcPr>
                  <w:tcW w:w="1002" w:type="dxa"/>
                  <w:vAlign w:val="center"/>
                </w:tcPr>
                <w:p>
                  <w:pPr>
                    <w:spacing w:line="320" w:lineRule="exact"/>
                    <w:jc w:val="center"/>
                    <w:textAlignment w:val="baseline"/>
                    <w:rPr>
                      <w:color w:val="auto"/>
                      <w:spacing w:val="-2"/>
                      <w:kern w:val="28"/>
                      <w:szCs w:val="21"/>
                    </w:rPr>
                  </w:pPr>
                  <w:r>
                    <w:rPr>
                      <w:color w:val="auto"/>
                      <w:spacing w:val="-2"/>
                      <w:kern w:val="28"/>
                      <w:szCs w:val="21"/>
                    </w:rPr>
                    <w:t>依托厂区内现有供电管网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23" w:hRule="atLeast"/>
                <w:jc w:val="center"/>
              </w:trPr>
              <w:tc>
                <w:tcPr>
                  <w:tcW w:w="707" w:type="dxa"/>
                  <w:vMerge w:val="restart"/>
                  <w:vAlign w:val="center"/>
                </w:tcPr>
                <w:p>
                  <w:pPr>
                    <w:snapToGrid w:val="0"/>
                    <w:spacing w:line="320" w:lineRule="exact"/>
                    <w:jc w:val="center"/>
                    <w:rPr>
                      <w:color w:val="auto"/>
                      <w:szCs w:val="21"/>
                    </w:rPr>
                  </w:pPr>
                  <w:r>
                    <w:rPr>
                      <w:color w:val="auto"/>
                      <w:szCs w:val="21"/>
                    </w:rPr>
                    <w:t>环保工程</w:t>
                  </w:r>
                </w:p>
              </w:tc>
              <w:tc>
                <w:tcPr>
                  <w:tcW w:w="689" w:type="dxa"/>
                  <w:gridSpan w:val="2"/>
                  <w:vMerge w:val="restart"/>
                  <w:vAlign w:val="center"/>
                </w:tcPr>
                <w:p>
                  <w:pPr>
                    <w:snapToGrid w:val="0"/>
                    <w:spacing w:line="320" w:lineRule="exact"/>
                    <w:jc w:val="center"/>
                    <w:rPr>
                      <w:color w:val="auto"/>
                      <w:szCs w:val="21"/>
                    </w:rPr>
                  </w:pPr>
                  <w:r>
                    <w:rPr>
                      <w:rFonts w:hint="eastAsia"/>
                      <w:color w:val="auto"/>
                      <w:szCs w:val="21"/>
                    </w:rPr>
                    <w:t>废气</w:t>
                  </w:r>
                </w:p>
              </w:tc>
              <w:tc>
                <w:tcPr>
                  <w:tcW w:w="1201" w:type="dxa"/>
                  <w:vAlign w:val="center"/>
                </w:tcPr>
                <w:p>
                  <w:pPr>
                    <w:adjustRightInd w:val="0"/>
                    <w:snapToGrid w:val="0"/>
                    <w:jc w:val="center"/>
                    <w:rPr>
                      <w:rFonts w:hint="eastAsia"/>
                      <w:color w:val="auto"/>
                      <w:szCs w:val="21"/>
                      <w:lang w:eastAsia="zh-CN"/>
                    </w:rPr>
                  </w:pPr>
                  <w:r>
                    <w:rPr>
                      <w:rFonts w:hint="eastAsia"/>
                      <w:color w:val="auto"/>
                      <w:szCs w:val="21"/>
                      <w:lang w:eastAsia="zh-CN"/>
                    </w:rPr>
                    <w:t>抛丸粉尘、喷砂粉尘</w:t>
                  </w:r>
                </w:p>
              </w:tc>
              <w:tc>
                <w:tcPr>
                  <w:tcW w:w="4713" w:type="dxa"/>
                  <w:gridSpan w:val="2"/>
                  <w:vAlign w:val="center"/>
                </w:tcPr>
                <w:p>
                  <w:pPr>
                    <w:spacing w:line="320" w:lineRule="exact"/>
                    <w:jc w:val="center"/>
                    <w:textAlignment w:val="baseline"/>
                    <w:rPr>
                      <w:rFonts w:hint="eastAsia"/>
                      <w:color w:val="auto"/>
                      <w:lang w:eastAsia="zh-CN"/>
                    </w:rPr>
                  </w:pPr>
                  <w:r>
                    <w:rPr>
                      <w:rFonts w:hint="eastAsia"/>
                      <w:color w:val="auto"/>
                      <w:szCs w:val="21"/>
                      <w:lang w:eastAsia="zh-CN"/>
                    </w:rPr>
                    <w:t>抛丸粉尘、喷砂粉尘经自带的</w:t>
                  </w:r>
                  <w:r>
                    <w:rPr>
                      <w:rFonts w:hint="eastAsia"/>
                      <w:color w:val="auto"/>
                      <w:lang w:val="en-US" w:eastAsia="zh-CN"/>
                    </w:rPr>
                    <w:t>布袋除尘器（TA001、TA002）处理后通过15m排气筒DA001高空排放</w:t>
                  </w:r>
                </w:p>
              </w:tc>
              <w:tc>
                <w:tcPr>
                  <w:tcW w:w="1002" w:type="dxa"/>
                  <w:vAlign w:val="center"/>
                </w:tcPr>
                <w:p>
                  <w:pPr>
                    <w:spacing w:line="320" w:lineRule="exact"/>
                    <w:jc w:val="center"/>
                    <w:textAlignment w:val="baseline"/>
                    <w:rPr>
                      <w:color w:val="auto"/>
                      <w:spacing w:val="-2"/>
                      <w:kern w:val="28"/>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23" w:hRule="atLeast"/>
                <w:jc w:val="center"/>
              </w:trPr>
              <w:tc>
                <w:tcPr>
                  <w:tcW w:w="707" w:type="dxa"/>
                  <w:vMerge w:val="continue"/>
                  <w:vAlign w:val="center"/>
                </w:tcPr>
                <w:p>
                  <w:pPr>
                    <w:snapToGrid w:val="0"/>
                    <w:spacing w:line="320" w:lineRule="exact"/>
                    <w:jc w:val="center"/>
                    <w:rPr>
                      <w:color w:val="auto"/>
                      <w:szCs w:val="21"/>
                    </w:rPr>
                  </w:pPr>
                </w:p>
              </w:tc>
              <w:tc>
                <w:tcPr>
                  <w:tcW w:w="689" w:type="dxa"/>
                  <w:gridSpan w:val="2"/>
                  <w:vMerge w:val="continue"/>
                  <w:vAlign w:val="center"/>
                </w:tcPr>
                <w:p>
                  <w:pPr>
                    <w:snapToGrid w:val="0"/>
                    <w:spacing w:line="320" w:lineRule="exact"/>
                    <w:jc w:val="center"/>
                    <w:rPr>
                      <w:color w:val="auto"/>
                      <w:szCs w:val="21"/>
                    </w:rPr>
                  </w:pPr>
                </w:p>
              </w:tc>
              <w:tc>
                <w:tcPr>
                  <w:tcW w:w="1201" w:type="dxa"/>
                  <w:vAlign w:val="center"/>
                </w:tcPr>
                <w:p>
                  <w:pPr>
                    <w:spacing w:line="320" w:lineRule="exact"/>
                    <w:jc w:val="center"/>
                    <w:textAlignment w:val="baseline"/>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喷塑粉尘</w:t>
                  </w:r>
                </w:p>
              </w:tc>
              <w:tc>
                <w:tcPr>
                  <w:tcW w:w="4713" w:type="dxa"/>
                  <w:gridSpan w:val="2"/>
                  <w:vMerge w:val="restart"/>
                  <w:vAlign w:val="center"/>
                </w:tcPr>
                <w:p>
                  <w:pPr>
                    <w:spacing w:line="320" w:lineRule="exact"/>
                    <w:jc w:val="center"/>
                    <w:textAlignment w:val="baseline"/>
                    <w:rPr>
                      <w:rFonts w:hint="default" w:ascii="Times New Roman" w:hAnsi="Times New Roman" w:eastAsia="宋体" w:cs="Times New Roman"/>
                      <w:color w:val="auto"/>
                      <w:kern w:val="2"/>
                      <w:sz w:val="21"/>
                      <w:szCs w:val="21"/>
                      <w:lang w:val="en-US" w:eastAsia="zh-CN" w:bidi="ar-SA"/>
                    </w:rPr>
                  </w:pPr>
                  <w:r>
                    <w:rPr>
                      <w:rFonts w:hint="eastAsia"/>
                      <w:color w:val="auto"/>
                      <w:lang w:eastAsia="zh-CN"/>
                    </w:rPr>
                    <w:t>喷塑产生的粉尘经自带的旋风回收装置</w:t>
                  </w:r>
                  <w:r>
                    <w:rPr>
                      <w:rFonts w:hint="eastAsia"/>
                      <w:color w:val="auto"/>
                      <w:lang w:val="en-US" w:eastAsia="zh-CN"/>
                    </w:rPr>
                    <w:t>（TA003）</w:t>
                  </w:r>
                  <w:r>
                    <w:rPr>
                      <w:rFonts w:hint="eastAsia"/>
                      <w:color w:val="auto"/>
                      <w:lang w:eastAsia="zh-CN"/>
                    </w:rPr>
                    <w:t>处理后再收集</w:t>
                  </w:r>
                  <w:r>
                    <w:rPr>
                      <w:rFonts w:hint="eastAsia"/>
                      <w:color w:val="auto"/>
                      <w:lang w:val="en-US" w:eastAsia="zh-CN"/>
                    </w:rPr>
                    <w:t>处理后，与经二级活性炭吸附装置（TA004）处理的固化废气通过15m排气筒DA002高空排放</w:t>
                  </w:r>
                </w:p>
              </w:tc>
              <w:tc>
                <w:tcPr>
                  <w:tcW w:w="1002" w:type="dxa"/>
                  <w:vMerge w:val="restart"/>
                  <w:vAlign w:val="center"/>
                </w:tcPr>
                <w:p>
                  <w:pPr>
                    <w:spacing w:line="320" w:lineRule="exact"/>
                    <w:jc w:val="center"/>
                    <w:textAlignment w:val="baseline"/>
                    <w:rPr>
                      <w:color w:val="auto"/>
                      <w:spacing w:val="-2"/>
                      <w:kern w:val="28"/>
                      <w:szCs w:val="21"/>
                    </w:rPr>
                  </w:pPr>
                  <w:r>
                    <w:rPr>
                      <w:color w:val="auto"/>
                      <w:spacing w:val="-2"/>
                      <w:kern w:val="28"/>
                      <w:szCs w:val="21"/>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23" w:hRule="atLeast"/>
                <w:jc w:val="center"/>
              </w:trPr>
              <w:tc>
                <w:tcPr>
                  <w:tcW w:w="707" w:type="dxa"/>
                  <w:vMerge w:val="continue"/>
                  <w:vAlign w:val="center"/>
                </w:tcPr>
                <w:p>
                  <w:pPr>
                    <w:spacing w:line="320" w:lineRule="exact"/>
                    <w:jc w:val="center"/>
                    <w:textAlignment w:val="baseline"/>
                    <w:rPr>
                      <w:color w:val="auto"/>
                    </w:rPr>
                  </w:pPr>
                </w:p>
              </w:tc>
              <w:tc>
                <w:tcPr>
                  <w:tcW w:w="689" w:type="dxa"/>
                  <w:gridSpan w:val="2"/>
                  <w:vMerge w:val="continue"/>
                  <w:vAlign w:val="center"/>
                </w:tcPr>
                <w:p>
                  <w:pPr>
                    <w:spacing w:line="320" w:lineRule="exact"/>
                    <w:jc w:val="center"/>
                    <w:textAlignment w:val="baseline"/>
                    <w:rPr>
                      <w:rFonts w:hint="eastAsia"/>
                      <w:color w:val="auto"/>
                      <w:szCs w:val="21"/>
                    </w:rPr>
                  </w:pPr>
                </w:p>
              </w:tc>
              <w:tc>
                <w:tcPr>
                  <w:tcW w:w="1201" w:type="dxa"/>
                  <w:vAlign w:val="center"/>
                </w:tcPr>
                <w:p>
                  <w:pPr>
                    <w:spacing w:line="320" w:lineRule="exact"/>
                    <w:jc w:val="center"/>
                    <w:textAlignment w:val="baseline"/>
                    <w:rPr>
                      <w:rFonts w:hint="default" w:eastAsia="宋体"/>
                      <w:color w:val="auto"/>
                      <w:szCs w:val="21"/>
                      <w:lang w:val="en-US" w:eastAsia="zh-CN"/>
                    </w:rPr>
                  </w:pPr>
                  <w:r>
                    <w:rPr>
                      <w:rFonts w:hint="eastAsia"/>
                      <w:color w:val="auto"/>
                      <w:szCs w:val="21"/>
                      <w:lang w:val="en-US" w:eastAsia="zh-CN"/>
                    </w:rPr>
                    <w:t>固化废气</w:t>
                  </w:r>
                </w:p>
              </w:tc>
              <w:tc>
                <w:tcPr>
                  <w:tcW w:w="4713" w:type="dxa"/>
                  <w:gridSpan w:val="2"/>
                  <w:vMerge w:val="continue"/>
                  <w:vAlign w:val="center"/>
                </w:tcPr>
                <w:p>
                  <w:pPr>
                    <w:spacing w:line="320" w:lineRule="exact"/>
                    <w:jc w:val="center"/>
                    <w:textAlignment w:val="baseline"/>
                    <w:rPr>
                      <w:rFonts w:hint="eastAsia"/>
                      <w:color w:val="auto"/>
                      <w:szCs w:val="21"/>
                    </w:rPr>
                  </w:pPr>
                </w:p>
              </w:tc>
              <w:tc>
                <w:tcPr>
                  <w:tcW w:w="1002" w:type="dxa"/>
                  <w:vMerge w:val="continue"/>
                  <w:vAlign w:val="center"/>
                </w:tcPr>
                <w:p>
                  <w:pPr>
                    <w:spacing w:line="320" w:lineRule="exact"/>
                    <w:jc w:val="center"/>
                    <w:textAlignment w:val="baseline"/>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23" w:hRule="atLeast"/>
                <w:jc w:val="center"/>
              </w:trPr>
              <w:tc>
                <w:tcPr>
                  <w:tcW w:w="707" w:type="dxa"/>
                  <w:vMerge w:val="continue"/>
                  <w:vAlign w:val="center"/>
                </w:tcPr>
                <w:p>
                  <w:pPr>
                    <w:spacing w:line="320" w:lineRule="exact"/>
                    <w:jc w:val="center"/>
                    <w:textAlignment w:val="baseline"/>
                    <w:rPr>
                      <w:color w:val="auto"/>
                    </w:rPr>
                  </w:pPr>
                </w:p>
              </w:tc>
              <w:tc>
                <w:tcPr>
                  <w:tcW w:w="689" w:type="dxa"/>
                  <w:gridSpan w:val="2"/>
                  <w:vMerge w:val="continue"/>
                  <w:vAlign w:val="center"/>
                </w:tcPr>
                <w:p>
                  <w:pPr>
                    <w:spacing w:line="320" w:lineRule="exact"/>
                    <w:jc w:val="center"/>
                    <w:textAlignment w:val="baseline"/>
                    <w:rPr>
                      <w:rFonts w:hint="eastAsia"/>
                      <w:color w:val="auto"/>
                      <w:szCs w:val="21"/>
                    </w:rPr>
                  </w:pPr>
                </w:p>
              </w:tc>
              <w:tc>
                <w:tcPr>
                  <w:tcW w:w="1201" w:type="dxa"/>
                  <w:vAlign w:val="center"/>
                </w:tcPr>
                <w:p>
                  <w:pPr>
                    <w:spacing w:line="320" w:lineRule="exact"/>
                    <w:jc w:val="center"/>
                    <w:textAlignment w:val="baseline"/>
                    <w:rPr>
                      <w:rFonts w:hint="default"/>
                      <w:color w:val="auto"/>
                      <w:szCs w:val="21"/>
                      <w:lang w:val="en-US" w:eastAsia="zh-CN"/>
                    </w:rPr>
                  </w:pPr>
                  <w:r>
                    <w:rPr>
                      <w:rFonts w:hint="eastAsia"/>
                      <w:color w:val="auto"/>
                      <w:szCs w:val="21"/>
                      <w:lang w:val="en-US" w:eastAsia="zh-CN"/>
                    </w:rPr>
                    <w:t>喷锌废气</w:t>
                  </w:r>
                </w:p>
              </w:tc>
              <w:tc>
                <w:tcPr>
                  <w:tcW w:w="4713" w:type="dxa"/>
                  <w:gridSpan w:val="2"/>
                  <w:vMerge w:val="restart"/>
                  <w:vAlign w:val="center"/>
                </w:tcPr>
                <w:p>
                  <w:pPr>
                    <w:spacing w:line="320" w:lineRule="exact"/>
                    <w:jc w:val="center"/>
                    <w:textAlignment w:val="baseline"/>
                    <w:rPr>
                      <w:rFonts w:hint="default"/>
                      <w:color w:val="auto"/>
                      <w:lang w:val="en-US" w:eastAsia="zh-CN"/>
                    </w:rPr>
                  </w:pPr>
                  <w:r>
                    <w:rPr>
                      <w:rFonts w:hint="eastAsia"/>
                      <w:color w:val="auto"/>
                      <w:lang w:val="en-US" w:eastAsia="zh-CN"/>
                    </w:rPr>
                    <w:t>喷锌产生的颗粒物经布袋除尘器（TA005）处理后，</w:t>
                  </w:r>
                </w:p>
                <w:p>
                  <w:pPr>
                    <w:spacing w:line="320" w:lineRule="exact"/>
                    <w:jc w:val="center"/>
                    <w:textAlignment w:val="baseline"/>
                    <w:rPr>
                      <w:rFonts w:hint="eastAsia" w:ascii="Times New Roman" w:hAnsi="Times New Roman" w:eastAsia="宋体" w:cs="Times New Roman"/>
                      <w:color w:val="auto"/>
                      <w:kern w:val="2"/>
                      <w:sz w:val="21"/>
                      <w:lang w:val="en-US" w:eastAsia="zh-CN" w:bidi="ar-SA"/>
                    </w:rPr>
                  </w:pPr>
                  <w:r>
                    <w:rPr>
                      <w:rFonts w:hint="eastAsia"/>
                      <w:color w:val="auto"/>
                      <w:lang w:eastAsia="zh-CN"/>
                    </w:rPr>
                    <w:t>喷漆产生的漆雾颗粒和有机废气经</w:t>
                  </w:r>
                  <w:r>
                    <w:rPr>
                      <w:rFonts w:hint="eastAsia"/>
                      <w:color w:val="auto"/>
                      <w:lang w:val="en-US" w:eastAsia="zh-CN"/>
                    </w:rPr>
                    <w:t>1套干式喷漆柜</w:t>
                  </w:r>
                  <w:r>
                    <w:rPr>
                      <w:rFonts w:hint="eastAsia"/>
                      <w:color w:val="auto"/>
                      <w:lang w:eastAsia="zh-CN"/>
                    </w:rPr>
                    <w:t>（</w:t>
                  </w:r>
                  <w:r>
                    <w:rPr>
                      <w:rFonts w:hint="eastAsia"/>
                      <w:color w:val="auto"/>
                      <w:lang w:val="en-US" w:eastAsia="zh-CN"/>
                    </w:rPr>
                    <w:t>TA006</w:t>
                  </w:r>
                  <w:r>
                    <w:rPr>
                      <w:rFonts w:hint="eastAsia"/>
                      <w:color w:val="auto"/>
                      <w:lang w:eastAsia="zh-CN"/>
                    </w:rPr>
                    <w:t>）</w:t>
                  </w:r>
                  <w:r>
                    <w:rPr>
                      <w:rFonts w:hint="eastAsia"/>
                      <w:color w:val="auto"/>
                      <w:lang w:val="en-US" w:eastAsia="zh-CN"/>
                    </w:rPr>
                    <w:t>+二级活性炭吸附装置（TA007）处理后经15m排气筒DA003高空排放</w:t>
                  </w:r>
                </w:p>
              </w:tc>
              <w:tc>
                <w:tcPr>
                  <w:tcW w:w="1002" w:type="dxa"/>
                  <w:vMerge w:val="continue"/>
                  <w:vAlign w:val="center"/>
                </w:tcPr>
                <w:p>
                  <w:pPr>
                    <w:spacing w:line="320" w:lineRule="exact"/>
                    <w:jc w:val="center"/>
                    <w:textAlignment w:val="baseline"/>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823" w:hRule="atLeast"/>
                <w:jc w:val="center"/>
              </w:trPr>
              <w:tc>
                <w:tcPr>
                  <w:tcW w:w="707" w:type="dxa"/>
                  <w:vMerge w:val="continue"/>
                  <w:vAlign w:val="center"/>
                </w:tcPr>
                <w:p>
                  <w:pPr>
                    <w:spacing w:line="320" w:lineRule="exact"/>
                    <w:jc w:val="center"/>
                    <w:textAlignment w:val="baseline"/>
                    <w:rPr>
                      <w:color w:val="auto"/>
                    </w:rPr>
                  </w:pPr>
                </w:p>
              </w:tc>
              <w:tc>
                <w:tcPr>
                  <w:tcW w:w="689" w:type="dxa"/>
                  <w:gridSpan w:val="2"/>
                  <w:vMerge w:val="continue"/>
                  <w:vAlign w:val="center"/>
                </w:tcPr>
                <w:p>
                  <w:pPr>
                    <w:spacing w:line="320" w:lineRule="exact"/>
                    <w:jc w:val="center"/>
                    <w:textAlignment w:val="baseline"/>
                    <w:rPr>
                      <w:rFonts w:hint="eastAsia"/>
                      <w:color w:val="auto"/>
                      <w:szCs w:val="21"/>
                    </w:rPr>
                  </w:pPr>
                </w:p>
              </w:tc>
              <w:tc>
                <w:tcPr>
                  <w:tcW w:w="1201" w:type="dxa"/>
                  <w:vAlign w:val="center"/>
                </w:tcPr>
                <w:p>
                  <w:pPr>
                    <w:spacing w:line="320" w:lineRule="exact"/>
                    <w:jc w:val="center"/>
                    <w:textAlignment w:val="baseline"/>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喷漆废气</w:t>
                  </w:r>
                </w:p>
              </w:tc>
              <w:tc>
                <w:tcPr>
                  <w:tcW w:w="4713" w:type="dxa"/>
                  <w:gridSpan w:val="2"/>
                  <w:vMerge w:val="continue"/>
                  <w:vAlign w:val="center"/>
                </w:tcPr>
                <w:p>
                  <w:pPr>
                    <w:spacing w:line="320" w:lineRule="exact"/>
                    <w:jc w:val="center"/>
                    <w:textAlignment w:val="baseline"/>
                    <w:rPr>
                      <w:rFonts w:hint="eastAsia" w:ascii="Times New Roman" w:hAnsi="Times New Roman" w:eastAsia="宋体" w:cs="Times New Roman"/>
                      <w:color w:val="auto"/>
                      <w:kern w:val="2"/>
                      <w:sz w:val="21"/>
                      <w:lang w:val="en-US" w:eastAsia="zh-CN" w:bidi="ar-SA"/>
                    </w:rPr>
                  </w:pPr>
                </w:p>
              </w:tc>
              <w:tc>
                <w:tcPr>
                  <w:tcW w:w="1002" w:type="dxa"/>
                  <w:vMerge w:val="continue"/>
                  <w:vAlign w:val="center"/>
                </w:tcPr>
                <w:p>
                  <w:pPr>
                    <w:spacing w:line="320" w:lineRule="exact"/>
                    <w:jc w:val="center"/>
                    <w:textAlignment w:val="baseline"/>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90" w:hRule="atLeast"/>
                <w:jc w:val="center"/>
              </w:trPr>
              <w:tc>
                <w:tcPr>
                  <w:tcW w:w="707" w:type="dxa"/>
                  <w:vMerge w:val="continue"/>
                  <w:vAlign w:val="center"/>
                </w:tcPr>
                <w:p>
                  <w:pPr>
                    <w:snapToGrid w:val="0"/>
                    <w:spacing w:line="320" w:lineRule="exact"/>
                    <w:jc w:val="center"/>
                    <w:rPr>
                      <w:color w:val="auto"/>
                      <w:szCs w:val="21"/>
                    </w:rPr>
                  </w:pPr>
                </w:p>
              </w:tc>
              <w:tc>
                <w:tcPr>
                  <w:tcW w:w="1890" w:type="dxa"/>
                  <w:gridSpan w:val="3"/>
                  <w:vAlign w:val="center"/>
                </w:tcPr>
                <w:p>
                  <w:pPr>
                    <w:snapToGrid w:val="0"/>
                    <w:spacing w:line="320" w:lineRule="exact"/>
                    <w:jc w:val="center"/>
                    <w:rPr>
                      <w:color w:val="auto"/>
                      <w:szCs w:val="21"/>
                    </w:rPr>
                  </w:pPr>
                  <w:r>
                    <w:rPr>
                      <w:color w:val="auto"/>
                      <w:szCs w:val="21"/>
                    </w:rPr>
                    <w:t>噪声控制</w:t>
                  </w:r>
                </w:p>
              </w:tc>
              <w:tc>
                <w:tcPr>
                  <w:tcW w:w="2508" w:type="dxa"/>
                  <w:vAlign w:val="center"/>
                </w:tcPr>
                <w:p>
                  <w:pPr>
                    <w:spacing w:line="320" w:lineRule="exact"/>
                    <w:jc w:val="center"/>
                    <w:textAlignment w:val="baseline"/>
                    <w:rPr>
                      <w:color w:val="auto"/>
                      <w:szCs w:val="21"/>
                    </w:rPr>
                  </w:pPr>
                  <w:r>
                    <w:rPr>
                      <w:color w:val="auto"/>
                      <w:szCs w:val="21"/>
                    </w:rPr>
                    <w:t>减震、隔声等降噪措施</w:t>
                  </w:r>
                </w:p>
              </w:tc>
              <w:tc>
                <w:tcPr>
                  <w:tcW w:w="2205" w:type="dxa"/>
                  <w:vAlign w:val="center"/>
                </w:tcPr>
                <w:p>
                  <w:pPr>
                    <w:spacing w:line="320" w:lineRule="exact"/>
                    <w:jc w:val="center"/>
                    <w:textAlignment w:val="baseline"/>
                    <w:rPr>
                      <w:color w:val="auto"/>
                      <w:spacing w:val="-2"/>
                      <w:kern w:val="28"/>
                      <w:szCs w:val="21"/>
                    </w:rPr>
                  </w:pPr>
                  <w:r>
                    <w:rPr>
                      <w:rFonts w:hint="eastAsia"/>
                      <w:color w:val="auto"/>
                      <w:szCs w:val="21"/>
                    </w:rPr>
                    <w:t>降噪约15-30</w:t>
                  </w:r>
                  <w:r>
                    <w:rPr>
                      <w:color w:val="auto"/>
                      <w:szCs w:val="21"/>
                    </w:rPr>
                    <w:t>dB（A）</w:t>
                  </w:r>
                  <w:r>
                    <w:rPr>
                      <w:rFonts w:hint="eastAsia"/>
                      <w:color w:val="auto"/>
                      <w:szCs w:val="21"/>
                    </w:rPr>
                    <w:t>，厂界外达标排放</w:t>
                  </w:r>
                </w:p>
              </w:tc>
              <w:tc>
                <w:tcPr>
                  <w:tcW w:w="1002" w:type="dxa"/>
                  <w:vAlign w:val="center"/>
                </w:tcPr>
                <w:p>
                  <w:pPr>
                    <w:spacing w:line="320" w:lineRule="exact"/>
                    <w:jc w:val="center"/>
                    <w:textAlignment w:val="baseline"/>
                    <w:rPr>
                      <w:color w:val="auto"/>
                      <w:spacing w:val="-2"/>
                      <w:kern w:val="28"/>
                      <w:szCs w:val="21"/>
                    </w:rPr>
                  </w:pPr>
                  <w:r>
                    <w:rPr>
                      <w:color w:val="auto"/>
                      <w:spacing w:val="-2"/>
                      <w:kern w:val="28"/>
                      <w:szCs w:val="21"/>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537" w:hRule="atLeast"/>
                <w:jc w:val="center"/>
              </w:trPr>
              <w:tc>
                <w:tcPr>
                  <w:tcW w:w="707" w:type="dxa"/>
                  <w:vMerge w:val="continue"/>
                  <w:vAlign w:val="center"/>
                </w:tcPr>
                <w:p>
                  <w:pPr>
                    <w:snapToGrid w:val="0"/>
                    <w:spacing w:line="320" w:lineRule="exact"/>
                    <w:jc w:val="center"/>
                    <w:rPr>
                      <w:color w:val="auto"/>
                      <w:szCs w:val="21"/>
                    </w:rPr>
                  </w:pPr>
                </w:p>
              </w:tc>
              <w:tc>
                <w:tcPr>
                  <w:tcW w:w="689" w:type="dxa"/>
                  <w:gridSpan w:val="2"/>
                  <w:vMerge w:val="restart"/>
                  <w:vAlign w:val="center"/>
                </w:tcPr>
                <w:p>
                  <w:pPr>
                    <w:adjustRightInd w:val="0"/>
                    <w:snapToGrid w:val="0"/>
                    <w:jc w:val="center"/>
                    <w:rPr>
                      <w:color w:val="auto"/>
                      <w:szCs w:val="21"/>
                    </w:rPr>
                  </w:pPr>
                  <w:r>
                    <w:rPr>
                      <w:color w:val="auto"/>
                      <w:szCs w:val="21"/>
                    </w:rPr>
                    <w:t>废水处理</w:t>
                  </w:r>
                </w:p>
              </w:tc>
              <w:tc>
                <w:tcPr>
                  <w:tcW w:w="5914" w:type="dxa"/>
                  <w:gridSpan w:val="3"/>
                  <w:vAlign w:val="center"/>
                </w:tcPr>
                <w:p>
                  <w:pPr>
                    <w:adjustRightInd w:val="0"/>
                    <w:snapToGrid w:val="0"/>
                    <w:jc w:val="center"/>
                    <w:rPr>
                      <w:color w:val="auto"/>
                    </w:rPr>
                  </w:pPr>
                  <w:r>
                    <w:rPr>
                      <w:rFonts w:hint="eastAsia"/>
                      <w:color w:val="auto"/>
                      <w:lang w:val="en-US" w:eastAsia="zh-CN"/>
                    </w:rPr>
                    <w:t>生产工序中清洗用水经隔油+气浮一体设备（16t）处理后循环使用，不外排；</w:t>
                  </w:r>
                </w:p>
              </w:tc>
              <w:tc>
                <w:tcPr>
                  <w:tcW w:w="1002" w:type="dxa"/>
                  <w:vAlign w:val="center"/>
                </w:tcPr>
                <w:p>
                  <w:pPr>
                    <w:spacing w:line="320" w:lineRule="exact"/>
                    <w:jc w:val="center"/>
                    <w:textAlignment w:val="baseline"/>
                    <w:rPr>
                      <w:rFonts w:hint="eastAsia" w:eastAsia="宋体"/>
                      <w:color w:val="auto"/>
                      <w:spacing w:val="-2"/>
                      <w:kern w:val="28"/>
                      <w:szCs w:val="21"/>
                      <w:lang w:val="en-US" w:eastAsia="zh-CN"/>
                    </w:rPr>
                  </w:pPr>
                  <w:r>
                    <w:rPr>
                      <w:rFonts w:hint="eastAsia"/>
                      <w:color w:val="auto"/>
                      <w:spacing w:val="-2"/>
                      <w:kern w:val="28"/>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537" w:hRule="atLeast"/>
                <w:jc w:val="center"/>
              </w:trPr>
              <w:tc>
                <w:tcPr>
                  <w:tcW w:w="707" w:type="dxa"/>
                  <w:vMerge w:val="continue"/>
                  <w:vAlign w:val="center"/>
                </w:tcPr>
                <w:p>
                  <w:pPr>
                    <w:spacing w:line="320" w:lineRule="exact"/>
                    <w:jc w:val="center"/>
                    <w:textAlignment w:val="baseline"/>
                    <w:rPr>
                      <w:color w:val="auto"/>
                    </w:rPr>
                  </w:pPr>
                </w:p>
              </w:tc>
              <w:tc>
                <w:tcPr>
                  <w:tcW w:w="689" w:type="dxa"/>
                  <w:gridSpan w:val="2"/>
                  <w:vMerge w:val="continue"/>
                  <w:vAlign w:val="center"/>
                </w:tcPr>
                <w:p>
                  <w:pPr>
                    <w:spacing w:line="320" w:lineRule="exact"/>
                    <w:jc w:val="center"/>
                    <w:textAlignment w:val="baseline"/>
                    <w:rPr>
                      <w:color w:val="auto"/>
                    </w:rPr>
                  </w:pPr>
                </w:p>
              </w:tc>
              <w:tc>
                <w:tcPr>
                  <w:tcW w:w="5914" w:type="dxa"/>
                  <w:gridSpan w:val="3"/>
                  <w:vAlign w:val="center"/>
                </w:tcPr>
                <w:p>
                  <w:pPr>
                    <w:spacing w:line="320" w:lineRule="exact"/>
                    <w:jc w:val="center"/>
                    <w:textAlignment w:val="baseline"/>
                    <w:rPr>
                      <w:rFonts w:hint="eastAsia"/>
                      <w:color w:val="auto"/>
                    </w:rPr>
                  </w:pPr>
                  <w:r>
                    <w:rPr>
                      <w:rFonts w:hint="eastAsia"/>
                      <w:color w:val="auto"/>
                    </w:rPr>
                    <w:t>生活污水经接管市政污水管网排入金坛区第二污水处理厂深度处理</w:t>
                  </w:r>
                </w:p>
              </w:tc>
              <w:tc>
                <w:tcPr>
                  <w:tcW w:w="1002" w:type="dxa"/>
                  <w:vAlign w:val="center"/>
                </w:tcPr>
                <w:p>
                  <w:pPr>
                    <w:spacing w:line="320" w:lineRule="exact"/>
                    <w:jc w:val="center"/>
                    <w:textAlignment w:val="baseline"/>
                    <w:rPr>
                      <w:rFonts w:hint="eastAsia"/>
                      <w:color w:val="auto"/>
                    </w:rPr>
                  </w:pPr>
                  <w:r>
                    <w:rPr>
                      <w:color w:val="auto"/>
                      <w:spacing w:val="-2"/>
                      <w:kern w:val="28"/>
                      <w:szCs w:val="21"/>
                    </w:rPr>
                    <w:t>依托厂区现有污水管网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continue"/>
                  <w:vAlign w:val="center"/>
                </w:tcPr>
                <w:p>
                  <w:pPr>
                    <w:snapToGrid w:val="0"/>
                    <w:spacing w:line="320" w:lineRule="exact"/>
                    <w:jc w:val="center"/>
                    <w:rPr>
                      <w:color w:val="auto"/>
                      <w:szCs w:val="21"/>
                    </w:rPr>
                  </w:pPr>
                </w:p>
              </w:tc>
              <w:tc>
                <w:tcPr>
                  <w:tcW w:w="689" w:type="dxa"/>
                  <w:gridSpan w:val="2"/>
                  <w:vMerge w:val="restart"/>
                  <w:vAlign w:val="center"/>
                </w:tcPr>
                <w:p>
                  <w:pPr>
                    <w:adjustRightInd w:val="0"/>
                    <w:snapToGrid w:val="0"/>
                    <w:jc w:val="center"/>
                    <w:rPr>
                      <w:color w:val="auto"/>
                      <w:szCs w:val="21"/>
                    </w:rPr>
                  </w:pPr>
                  <w:r>
                    <w:rPr>
                      <w:color w:val="auto"/>
                      <w:szCs w:val="21"/>
                    </w:rPr>
                    <w:t>固废堆场</w:t>
                  </w:r>
                </w:p>
              </w:tc>
              <w:tc>
                <w:tcPr>
                  <w:tcW w:w="3709" w:type="dxa"/>
                  <w:gridSpan w:val="2"/>
                  <w:vAlign w:val="center"/>
                </w:tcPr>
                <w:p>
                  <w:pPr>
                    <w:adjustRightInd w:val="0"/>
                    <w:snapToGrid w:val="0"/>
                    <w:jc w:val="center"/>
                    <w:rPr>
                      <w:color w:val="auto"/>
                      <w:szCs w:val="21"/>
                    </w:rPr>
                  </w:pPr>
                  <w:r>
                    <w:rPr>
                      <w:rFonts w:hint="eastAsia"/>
                      <w:color w:val="auto"/>
                      <w:szCs w:val="21"/>
                    </w:rPr>
                    <w:t>一般固废仓库位于生产车间内，一般固废仓库</w:t>
                  </w:r>
                  <w:r>
                    <w:rPr>
                      <w:rFonts w:hint="eastAsia"/>
                      <w:color w:val="auto"/>
                      <w:szCs w:val="21"/>
                      <w:lang w:val="en-US" w:eastAsia="zh-CN"/>
                    </w:rPr>
                    <w:t>20</w:t>
                  </w:r>
                  <w:r>
                    <w:rPr>
                      <w:color w:val="auto"/>
                      <w:szCs w:val="21"/>
                    </w:rPr>
                    <w:t>m</w:t>
                  </w:r>
                  <w:r>
                    <w:rPr>
                      <w:color w:val="auto"/>
                      <w:szCs w:val="21"/>
                      <w:vertAlign w:val="superscript"/>
                    </w:rPr>
                    <w:t>2</w:t>
                  </w:r>
                </w:p>
              </w:tc>
              <w:tc>
                <w:tcPr>
                  <w:tcW w:w="2205" w:type="dxa"/>
                  <w:vMerge w:val="restart"/>
                  <w:vAlign w:val="center"/>
                </w:tcPr>
                <w:p>
                  <w:pPr>
                    <w:adjustRightInd w:val="0"/>
                    <w:snapToGrid w:val="0"/>
                    <w:jc w:val="center"/>
                    <w:rPr>
                      <w:color w:val="auto"/>
                      <w:szCs w:val="21"/>
                    </w:rPr>
                  </w:pPr>
                  <w:r>
                    <w:rPr>
                      <w:rFonts w:hint="eastAsia"/>
                      <w:color w:val="auto"/>
                      <w:szCs w:val="21"/>
                    </w:rPr>
                    <w:t>固废</w:t>
                  </w:r>
                  <w:r>
                    <w:rPr>
                      <w:color w:val="auto"/>
                      <w:szCs w:val="21"/>
                    </w:rPr>
                    <w:t>分类收集、分类堆放</w:t>
                  </w:r>
                  <w:r>
                    <w:rPr>
                      <w:rFonts w:hint="eastAsia"/>
                      <w:color w:val="auto"/>
                      <w:szCs w:val="21"/>
                    </w:rPr>
                    <w:t>，分类处理</w:t>
                  </w:r>
                </w:p>
              </w:tc>
              <w:tc>
                <w:tcPr>
                  <w:tcW w:w="1002" w:type="dxa"/>
                  <w:vMerge w:val="restart"/>
                  <w:vAlign w:val="center"/>
                </w:tcPr>
                <w:p>
                  <w:pPr>
                    <w:spacing w:line="320" w:lineRule="exact"/>
                    <w:jc w:val="center"/>
                    <w:textAlignment w:val="baseline"/>
                    <w:rPr>
                      <w:color w:val="auto"/>
                      <w:spacing w:val="-2"/>
                      <w:kern w:val="28"/>
                      <w:szCs w:val="21"/>
                    </w:rPr>
                  </w:pPr>
                  <w:r>
                    <w:rPr>
                      <w:rFonts w:hint="eastAsia"/>
                      <w:color w:val="auto"/>
                      <w:spacing w:val="-2"/>
                      <w:kern w:val="28"/>
                      <w:szCs w:val="21"/>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Merge w:val="continue"/>
                  <w:vAlign w:val="center"/>
                </w:tcPr>
                <w:p>
                  <w:pPr>
                    <w:snapToGrid w:val="0"/>
                    <w:spacing w:line="320" w:lineRule="exact"/>
                    <w:jc w:val="center"/>
                    <w:rPr>
                      <w:color w:val="auto"/>
                      <w:szCs w:val="21"/>
                    </w:rPr>
                  </w:pPr>
                </w:p>
              </w:tc>
              <w:tc>
                <w:tcPr>
                  <w:tcW w:w="689" w:type="dxa"/>
                  <w:gridSpan w:val="2"/>
                  <w:vMerge w:val="continue"/>
                  <w:vAlign w:val="center"/>
                </w:tcPr>
                <w:p>
                  <w:pPr>
                    <w:adjustRightInd w:val="0"/>
                    <w:snapToGrid w:val="0"/>
                    <w:jc w:val="center"/>
                    <w:rPr>
                      <w:color w:val="auto"/>
                      <w:szCs w:val="21"/>
                    </w:rPr>
                  </w:pPr>
                </w:p>
              </w:tc>
              <w:tc>
                <w:tcPr>
                  <w:tcW w:w="3709" w:type="dxa"/>
                  <w:gridSpan w:val="2"/>
                  <w:vAlign w:val="center"/>
                </w:tcPr>
                <w:p>
                  <w:pPr>
                    <w:adjustRightInd w:val="0"/>
                    <w:snapToGrid w:val="0"/>
                    <w:jc w:val="center"/>
                    <w:rPr>
                      <w:color w:val="auto"/>
                      <w:szCs w:val="21"/>
                    </w:rPr>
                  </w:pPr>
                  <w:r>
                    <w:rPr>
                      <w:rFonts w:hint="eastAsia"/>
                      <w:color w:val="auto"/>
                      <w:szCs w:val="21"/>
                    </w:rPr>
                    <w:t>危废仓库位于生产车间内，危废仓库</w:t>
                  </w:r>
                  <w:r>
                    <w:rPr>
                      <w:rFonts w:hint="eastAsia"/>
                      <w:color w:val="auto"/>
                      <w:szCs w:val="21"/>
                      <w:lang w:val="en-US" w:eastAsia="zh-CN"/>
                    </w:rPr>
                    <w:t>20</w:t>
                  </w:r>
                  <w:r>
                    <w:rPr>
                      <w:color w:val="auto"/>
                      <w:szCs w:val="21"/>
                    </w:rPr>
                    <w:t>m</w:t>
                  </w:r>
                  <w:r>
                    <w:rPr>
                      <w:color w:val="auto"/>
                      <w:szCs w:val="21"/>
                      <w:vertAlign w:val="superscript"/>
                    </w:rPr>
                    <w:t>2</w:t>
                  </w:r>
                </w:p>
              </w:tc>
              <w:tc>
                <w:tcPr>
                  <w:tcW w:w="2205" w:type="dxa"/>
                  <w:vMerge w:val="continue"/>
                  <w:vAlign w:val="center"/>
                </w:tcPr>
                <w:p>
                  <w:pPr>
                    <w:adjustRightInd w:val="0"/>
                    <w:snapToGrid w:val="0"/>
                    <w:jc w:val="center"/>
                    <w:rPr>
                      <w:color w:val="auto"/>
                      <w:szCs w:val="21"/>
                    </w:rPr>
                  </w:pPr>
                </w:p>
              </w:tc>
              <w:tc>
                <w:tcPr>
                  <w:tcW w:w="1002" w:type="dxa"/>
                  <w:vMerge w:val="continue"/>
                  <w:vAlign w:val="center"/>
                </w:tcPr>
                <w:p>
                  <w:pPr>
                    <w:spacing w:line="320" w:lineRule="exact"/>
                    <w:jc w:val="center"/>
                    <w:textAlignment w:val="baseline"/>
                    <w:rPr>
                      <w:color w:val="auto"/>
                      <w:spacing w:val="-2"/>
                      <w:kern w:val="28"/>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1" w:type="dxa"/>
                  <w:bottom w:w="0" w:type="dxa"/>
                  <w:right w:w="51" w:type="dxa"/>
                </w:tblCellMar>
              </w:tblPrEx>
              <w:trPr>
                <w:trHeight w:val="340" w:hRule="atLeast"/>
                <w:jc w:val="center"/>
              </w:trPr>
              <w:tc>
                <w:tcPr>
                  <w:tcW w:w="707" w:type="dxa"/>
                  <w:vAlign w:val="center"/>
                </w:tcPr>
                <w:p>
                  <w:pPr>
                    <w:snapToGrid w:val="0"/>
                    <w:spacing w:line="320" w:lineRule="exact"/>
                    <w:jc w:val="center"/>
                    <w:rPr>
                      <w:rFonts w:hint="default" w:eastAsia="宋体"/>
                      <w:color w:val="auto"/>
                      <w:szCs w:val="21"/>
                      <w:lang w:val="en-US" w:eastAsia="zh-CN"/>
                    </w:rPr>
                  </w:pPr>
                  <w:r>
                    <w:rPr>
                      <w:rFonts w:hint="eastAsia"/>
                      <w:color w:val="auto"/>
                      <w:szCs w:val="21"/>
                      <w:lang w:val="en-US" w:eastAsia="zh-CN"/>
                    </w:rPr>
                    <w:t>其他工程</w:t>
                  </w:r>
                </w:p>
              </w:tc>
              <w:tc>
                <w:tcPr>
                  <w:tcW w:w="6603" w:type="dxa"/>
                  <w:gridSpan w:val="5"/>
                  <w:vAlign w:val="center"/>
                </w:tcPr>
                <w:p>
                  <w:pPr>
                    <w:adjustRightInd w:val="0"/>
                    <w:snapToGrid w:val="0"/>
                    <w:jc w:val="center"/>
                    <w:rPr>
                      <w:rFonts w:hint="eastAsia" w:eastAsia="宋体"/>
                      <w:color w:val="auto"/>
                      <w:szCs w:val="21"/>
                      <w:lang w:eastAsia="zh-CN"/>
                    </w:rPr>
                  </w:pPr>
                  <w:r>
                    <w:rPr>
                      <w:rFonts w:hint="eastAsia"/>
                      <w:color w:val="auto"/>
                      <w:szCs w:val="21"/>
                    </w:rPr>
                    <w:t>事故应急储罐40m</w:t>
                  </w:r>
                  <w:r>
                    <w:rPr>
                      <w:rFonts w:hint="eastAsia"/>
                      <w:color w:val="auto"/>
                      <w:szCs w:val="21"/>
                      <w:vertAlign w:val="superscript"/>
                      <w:lang w:val="en-US" w:eastAsia="zh-CN"/>
                    </w:rPr>
                    <w:t>3</w:t>
                  </w:r>
                </w:p>
              </w:tc>
              <w:tc>
                <w:tcPr>
                  <w:tcW w:w="1002" w:type="dxa"/>
                  <w:vAlign w:val="center"/>
                </w:tcPr>
                <w:p>
                  <w:pPr>
                    <w:spacing w:line="320" w:lineRule="exact"/>
                    <w:jc w:val="center"/>
                    <w:textAlignment w:val="baseline"/>
                    <w:rPr>
                      <w:color w:val="auto"/>
                      <w:spacing w:val="-2"/>
                      <w:kern w:val="28"/>
                      <w:szCs w:val="21"/>
                    </w:rPr>
                  </w:pPr>
                  <w:r>
                    <w:rPr>
                      <w:rFonts w:hint="eastAsia"/>
                      <w:color w:val="auto"/>
                      <w:spacing w:val="-2"/>
                      <w:kern w:val="28"/>
                      <w:szCs w:val="21"/>
                    </w:rPr>
                    <w:t>新建</w:t>
                  </w:r>
                </w:p>
              </w:tc>
            </w:tr>
          </w:tbl>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b/>
                <w:color w:val="auto"/>
                <w:sz w:val="24"/>
              </w:rPr>
            </w:pPr>
            <w:r>
              <w:rPr>
                <w:b/>
                <w:color w:val="auto"/>
                <w:sz w:val="24"/>
              </w:rPr>
              <w:t>3、厂区平面布置及周边环境概况</w:t>
            </w:r>
          </w:p>
          <w:p>
            <w:pPr>
              <w:pStyle w:val="235"/>
              <w:keepNext w:val="0"/>
              <w:keepLines w:val="0"/>
              <w:pageBreakBefore w:val="0"/>
              <w:widowControl/>
              <w:kinsoku/>
              <w:wordWrap/>
              <w:overflowPunct/>
              <w:topLinePunct w:val="0"/>
              <w:autoSpaceDE/>
              <w:autoSpaceDN/>
              <w:bidi w:val="0"/>
              <w:adjustRightInd/>
              <w:snapToGrid/>
              <w:ind w:firstLine="482"/>
              <w:jc w:val="both"/>
              <w:textAlignment w:val="auto"/>
              <w:rPr>
                <w:b/>
                <w:color w:val="auto"/>
              </w:rPr>
            </w:pPr>
            <w:r>
              <w:rPr>
                <w:b/>
                <w:color w:val="auto"/>
              </w:rPr>
              <w:t>项目厂区平面布置概况：</w:t>
            </w:r>
          </w:p>
          <w:p>
            <w:pPr>
              <w:pStyle w:val="235"/>
              <w:jc w:val="both"/>
              <w:rPr>
                <w:color w:val="auto"/>
                <w:kern w:val="2"/>
              </w:rPr>
            </w:pPr>
            <w:r>
              <w:rPr>
                <w:color w:val="auto"/>
                <w:kern w:val="2"/>
              </w:rPr>
              <w:t>本项目位于江苏省</w:t>
            </w:r>
            <w:r>
              <w:rPr>
                <w:rFonts w:hint="eastAsia"/>
                <w:color w:val="auto"/>
                <w:kern w:val="2"/>
              </w:rPr>
              <w:t>常州市金坛区</w:t>
            </w:r>
            <w:r>
              <w:rPr>
                <w:rFonts w:hint="eastAsia"/>
                <w:color w:val="auto"/>
                <w:kern w:val="2"/>
                <w:lang w:eastAsia="zh-CN"/>
              </w:rPr>
              <w:t>龙湖路</w:t>
            </w:r>
            <w:r>
              <w:rPr>
                <w:rFonts w:hint="eastAsia"/>
                <w:color w:val="auto"/>
                <w:kern w:val="2"/>
              </w:rPr>
              <w:t>2号</w:t>
            </w:r>
            <w:r>
              <w:rPr>
                <w:color w:val="auto"/>
                <w:kern w:val="2"/>
              </w:rPr>
              <w:t>，系租赁</w:t>
            </w:r>
            <w:r>
              <w:rPr>
                <w:rFonts w:hint="eastAsia"/>
                <w:color w:val="auto"/>
                <w:lang w:eastAsia="zh-CN"/>
              </w:rPr>
              <w:t>常州科荣经编有限公司</w:t>
            </w:r>
            <w:r>
              <w:rPr>
                <w:color w:val="auto"/>
                <w:kern w:val="2"/>
              </w:rPr>
              <w:t>闲置</w:t>
            </w:r>
            <w:r>
              <w:rPr>
                <w:rFonts w:hint="eastAsia"/>
                <w:color w:val="auto"/>
                <w:kern w:val="2"/>
              </w:rPr>
              <w:t>生产</w:t>
            </w:r>
            <w:r>
              <w:rPr>
                <w:color w:val="auto"/>
                <w:kern w:val="2"/>
              </w:rPr>
              <w:t>厂房</w:t>
            </w:r>
            <w:r>
              <w:rPr>
                <w:rFonts w:hint="eastAsia"/>
                <w:color w:val="auto"/>
                <w:kern w:val="2"/>
              </w:rPr>
              <w:t>，共</w:t>
            </w:r>
            <w:r>
              <w:rPr>
                <w:rFonts w:hint="eastAsia"/>
                <w:color w:val="auto"/>
                <w:kern w:val="2"/>
                <w:lang w:val="en-US" w:eastAsia="zh-CN"/>
              </w:rPr>
              <w:t>1</w:t>
            </w:r>
            <w:r>
              <w:rPr>
                <w:rFonts w:hint="eastAsia"/>
                <w:color w:val="auto"/>
                <w:kern w:val="2"/>
              </w:rPr>
              <w:t>层，建筑面积约为2500m</w:t>
            </w:r>
            <w:r>
              <w:rPr>
                <w:rFonts w:hint="eastAsia"/>
                <w:color w:val="auto"/>
                <w:kern w:val="2"/>
                <w:vertAlign w:val="superscript"/>
              </w:rPr>
              <w:t>2</w:t>
            </w:r>
            <w:r>
              <w:rPr>
                <w:rFonts w:hint="eastAsia"/>
                <w:color w:val="auto"/>
                <w:kern w:val="2"/>
              </w:rPr>
              <w:t>。</w:t>
            </w:r>
          </w:p>
          <w:p>
            <w:pPr>
              <w:pStyle w:val="235"/>
              <w:jc w:val="both"/>
              <w:rPr>
                <w:color w:val="auto"/>
                <w:kern w:val="2"/>
              </w:rPr>
            </w:pPr>
            <w:r>
              <w:rPr>
                <w:rFonts w:hint="eastAsia"/>
                <w:color w:val="auto"/>
                <w:kern w:val="2"/>
              </w:rPr>
              <w:t>其中，生产厂房的一层和二层设置为生产车间，一层为车间一，二层为车间二。车间一主要用于切纸、印刷、上光、模切等工序，印刷机、上光机布置在车间北侧，裱纸机布置在上光机南侧，模切机布置在车间东南侧，切纸机布置在车间西侧。车间二主要用于压平、打孔、人工装订、糊盒等工序。</w:t>
            </w:r>
          </w:p>
          <w:p>
            <w:pPr>
              <w:pStyle w:val="235"/>
              <w:jc w:val="both"/>
              <w:rPr>
                <w:color w:val="auto"/>
              </w:rPr>
            </w:pPr>
            <w:r>
              <w:rPr>
                <w:rFonts w:hint="eastAsia"/>
                <w:color w:val="auto"/>
                <w:kern w:val="2"/>
              </w:rPr>
              <w:t>本项目设置一般固废仓库一座（</w:t>
            </w:r>
            <w:r>
              <w:rPr>
                <w:rFonts w:hint="eastAsia"/>
                <w:color w:val="auto"/>
                <w:kern w:val="2"/>
                <w:lang w:val="en-US" w:eastAsia="zh-CN"/>
              </w:rPr>
              <w:t>20</w:t>
            </w:r>
            <w:r>
              <w:rPr>
                <w:rFonts w:hint="eastAsia"/>
                <w:color w:val="auto"/>
                <w:kern w:val="2"/>
              </w:rPr>
              <w:t>m</w:t>
            </w:r>
            <w:r>
              <w:rPr>
                <w:rFonts w:hint="eastAsia"/>
                <w:color w:val="auto"/>
                <w:kern w:val="2"/>
                <w:vertAlign w:val="superscript"/>
              </w:rPr>
              <w:t>3</w:t>
            </w:r>
            <w:r>
              <w:rPr>
                <w:rFonts w:hint="eastAsia"/>
                <w:color w:val="auto"/>
                <w:kern w:val="2"/>
              </w:rPr>
              <w:t>）和危废仓库一座（</w:t>
            </w:r>
            <w:r>
              <w:rPr>
                <w:rFonts w:hint="eastAsia"/>
                <w:color w:val="auto"/>
                <w:kern w:val="2"/>
                <w:lang w:val="en-US" w:eastAsia="zh-CN"/>
              </w:rPr>
              <w:t>20</w:t>
            </w:r>
            <w:r>
              <w:rPr>
                <w:rFonts w:hint="eastAsia"/>
                <w:color w:val="auto"/>
                <w:kern w:val="2"/>
              </w:rPr>
              <w:t>m</w:t>
            </w:r>
            <w:r>
              <w:rPr>
                <w:rFonts w:hint="eastAsia"/>
                <w:color w:val="auto"/>
                <w:kern w:val="2"/>
                <w:vertAlign w:val="superscript"/>
              </w:rPr>
              <w:t>3</w:t>
            </w:r>
            <w:r>
              <w:rPr>
                <w:rFonts w:hint="eastAsia"/>
                <w:color w:val="auto"/>
                <w:kern w:val="2"/>
              </w:rPr>
              <w:t>），其中位于一般固废仓库位于车间一西侧，危废仓库位于车间一西南侧。</w:t>
            </w:r>
          </w:p>
          <w:p>
            <w:pPr>
              <w:pStyle w:val="235"/>
              <w:rPr>
                <w:color w:val="auto"/>
              </w:rPr>
            </w:pPr>
            <w:r>
              <w:rPr>
                <w:color w:val="auto"/>
              </w:rPr>
              <w:t>项目平面布置图详见附图</w:t>
            </w:r>
            <w:r>
              <w:rPr>
                <w:rFonts w:hint="eastAsia"/>
                <w:color w:val="auto"/>
              </w:rPr>
              <w:t>3</w:t>
            </w:r>
            <w:r>
              <w:rPr>
                <w:color w:val="auto"/>
              </w:rPr>
              <w:t>。</w:t>
            </w:r>
          </w:p>
          <w:p>
            <w:pPr>
              <w:spacing w:line="360" w:lineRule="auto"/>
              <w:ind w:left="-42" w:firstLine="520" w:firstLineChars="217"/>
              <w:rPr>
                <w:b/>
                <w:color w:val="auto"/>
                <w:sz w:val="24"/>
              </w:rPr>
            </w:pPr>
            <w:r>
              <w:rPr>
                <w:b/>
                <w:color w:val="auto"/>
                <w:sz w:val="24"/>
              </w:rPr>
              <w:t>项目周边环境概况：</w:t>
            </w:r>
          </w:p>
          <w:p>
            <w:pPr>
              <w:spacing w:line="360" w:lineRule="auto"/>
              <w:ind w:left="-42" w:firstLine="520" w:firstLineChars="217"/>
              <w:rPr>
                <w:color w:val="auto"/>
                <w:sz w:val="24"/>
                <w:szCs w:val="24"/>
              </w:rPr>
            </w:pPr>
            <w:r>
              <w:rPr>
                <w:rFonts w:hint="eastAsia"/>
                <w:color w:val="auto"/>
                <w:sz w:val="24"/>
                <w:szCs w:val="24"/>
              </w:rPr>
              <w:t>本项目位于常州市金坛区</w:t>
            </w:r>
            <w:r>
              <w:rPr>
                <w:rFonts w:hint="eastAsia"/>
                <w:color w:val="auto"/>
                <w:sz w:val="24"/>
                <w:szCs w:val="24"/>
                <w:lang w:eastAsia="zh-CN"/>
              </w:rPr>
              <w:t>龙湖路</w:t>
            </w:r>
            <w:r>
              <w:rPr>
                <w:rFonts w:hint="eastAsia"/>
                <w:color w:val="auto"/>
                <w:sz w:val="24"/>
                <w:szCs w:val="24"/>
              </w:rPr>
              <w:t>2号。项目东侧为</w:t>
            </w:r>
            <w:r>
              <w:rPr>
                <w:rFonts w:hint="eastAsia"/>
                <w:color w:val="auto"/>
                <w:sz w:val="24"/>
                <w:szCs w:val="24"/>
                <w:lang w:eastAsia="zh-CN"/>
              </w:rPr>
              <w:t>龙湖</w:t>
            </w:r>
            <w:r>
              <w:rPr>
                <w:rFonts w:hint="eastAsia"/>
                <w:color w:val="auto"/>
                <w:sz w:val="24"/>
                <w:szCs w:val="24"/>
              </w:rPr>
              <w:t>路</w:t>
            </w:r>
            <w:r>
              <w:rPr>
                <w:rFonts w:hint="eastAsia"/>
                <w:color w:val="auto"/>
                <w:sz w:val="24"/>
                <w:szCs w:val="24"/>
                <w:lang w:eastAsia="zh-CN"/>
              </w:rPr>
              <w:t>，隔路为爱派尔智能科技有限公司</w:t>
            </w:r>
            <w:r>
              <w:rPr>
                <w:rFonts w:hint="eastAsia"/>
                <w:color w:val="auto"/>
                <w:sz w:val="24"/>
                <w:szCs w:val="24"/>
              </w:rPr>
              <w:t>；</w:t>
            </w:r>
            <w:r>
              <w:rPr>
                <w:color w:val="auto"/>
                <w:sz w:val="24"/>
                <w:szCs w:val="24"/>
              </w:rPr>
              <w:t>南侧为</w:t>
            </w:r>
            <w:r>
              <w:rPr>
                <w:rFonts w:hint="eastAsia"/>
                <w:color w:val="auto"/>
                <w:sz w:val="24"/>
                <w:szCs w:val="24"/>
              </w:rPr>
              <w:t>江苏傲罡动力科技有限公司</w:t>
            </w:r>
            <w:r>
              <w:rPr>
                <w:color w:val="auto"/>
                <w:sz w:val="24"/>
                <w:szCs w:val="24"/>
              </w:rPr>
              <w:t>；西侧为</w:t>
            </w:r>
            <w:r>
              <w:rPr>
                <w:rFonts w:hint="eastAsia"/>
                <w:color w:val="auto"/>
                <w:sz w:val="24"/>
                <w:szCs w:val="24"/>
              </w:rPr>
              <w:t>为江苏金坛第一建筑安装工程有限公司</w:t>
            </w:r>
            <w:r>
              <w:rPr>
                <w:color w:val="auto"/>
                <w:sz w:val="24"/>
                <w:szCs w:val="24"/>
              </w:rPr>
              <w:t>；北侧为</w:t>
            </w:r>
            <w:r>
              <w:rPr>
                <w:rFonts w:hint="eastAsia"/>
                <w:color w:val="auto"/>
                <w:sz w:val="24"/>
                <w:szCs w:val="24"/>
              </w:rPr>
              <w:t>常州科荣经编有限公司。</w:t>
            </w:r>
          </w:p>
          <w:p>
            <w:pPr>
              <w:spacing w:line="360" w:lineRule="auto"/>
              <w:ind w:left="-42" w:firstLine="520" w:firstLineChars="217"/>
              <w:rPr>
                <w:color w:val="auto"/>
                <w:sz w:val="24"/>
                <w:szCs w:val="24"/>
              </w:rPr>
            </w:pPr>
            <w:r>
              <w:rPr>
                <w:color w:val="auto"/>
                <w:sz w:val="24"/>
                <w:szCs w:val="24"/>
              </w:rPr>
              <w:t>项目周围概况详见附图</w:t>
            </w:r>
            <w:r>
              <w:rPr>
                <w:rFonts w:hint="eastAsia"/>
                <w:color w:val="auto"/>
                <w:sz w:val="24"/>
                <w:szCs w:val="24"/>
              </w:rPr>
              <w:t>2</w:t>
            </w:r>
            <w:r>
              <w:rPr>
                <w:color w:val="auto"/>
                <w:sz w:val="24"/>
                <w:szCs w:val="24"/>
              </w:rPr>
              <w:t>。</w:t>
            </w:r>
          </w:p>
          <w:p>
            <w:pPr>
              <w:spacing w:line="360" w:lineRule="auto"/>
              <w:ind w:left="-42" w:firstLine="520" w:firstLineChars="217"/>
              <w:rPr>
                <w:b/>
                <w:color w:val="auto"/>
                <w:sz w:val="24"/>
                <w:szCs w:val="22"/>
              </w:rPr>
            </w:pPr>
            <w:r>
              <w:rPr>
                <w:b/>
                <w:color w:val="auto"/>
                <w:sz w:val="24"/>
                <w:szCs w:val="22"/>
              </w:rPr>
              <w:t>4、公用及辅助工程</w:t>
            </w:r>
          </w:p>
          <w:p>
            <w:pPr>
              <w:spacing w:line="360" w:lineRule="auto"/>
              <w:ind w:left="-42" w:firstLine="520" w:firstLineChars="217"/>
              <w:rPr>
                <w:color w:val="auto"/>
                <w:kern w:val="0"/>
                <w:sz w:val="24"/>
                <w:szCs w:val="22"/>
              </w:rPr>
            </w:pPr>
            <w:r>
              <w:rPr>
                <w:color w:val="auto"/>
                <w:kern w:val="0"/>
                <w:sz w:val="24"/>
                <w:szCs w:val="22"/>
              </w:rPr>
              <w:t>（1）给水</w:t>
            </w:r>
          </w:p>
          <w:p>
            <w:pPr>
              <w:spacing w:line="360" w:lineRule="auto"/>
              <w:ind w:left="-42" w:firstLine="520" w:firstLineChars="217"/>
              <w:rPr>
                <w:color w:val="auto"/>
                <w:sz w:val="24"/>
                <w:szCs w:val="24"/>
              </w:rPr>
            </w:pPr>
            <w:r>
              <w:rPr>
                <w:rFonts w:hint="eastAsia"/>
                <w:color w:val="auto"/>
                <w:sz w:val="24"/>
                <w:szCs w:val="24"/>
              </w:rPr>
              <w:t>厂区依托</w:t>
            </w:r>
            <w:r>
              <w:rPr>
                <w:rFonts w:hint="eastAsia"/>
                <w:color w:val="auto"/>
                <w:sz w:val="24"/>
                <w:szCs w:val="24"/>
                <w:lang w:eastAsia="zh-CN"/>
              </w:rPr>
              <w:t>常州科荣经编有限公司</w:t>
            </w:r>
            <w:r>
              <w:rPr>
                <w:color w:val="auto"/>
                <w:sz w:val="24"/>
                <w:szCs w:val="24"/>
              </w:rPr>
              <w:t>现有</w:t>
            </w:r>
            <w:r>
              <w:rPr>
                <w:rFonts w:hint="eastAsia"/>
                <w:color w:val="auto"/>
                <w:sz w:val="24"/>
                <w:szCs w:val="24"/>
              </w:rPr>
              <w:t>供</w:t>
            </w:r>
            <w:r>
              <w:rPr>
                <w:color w:val="auto"/>
                <w:sz w:val="24"/>
                <w:szCs w:val="24"/>
              </w:rPr>
              <w:t>水管网，年用新鲜水量</w:t>
            </w:r>
            <w:r>
              <w:rPr>
                <w:rFonts w:hint="eastAsia"/>
                <w:color w:val="auto"/>
                <w:sz w:val="24"/>
                <w:szCs w:val="24"/>
                <w:lang w:val="en-US" w:eastAsia="zh-CN"/>
              </w:rPr>
              <w:t xml:space="preserve"> 1088.48</w:t>
            </w:r>
            <w:r>
              <w:rPr>
                <w:color w:val="auto"/>
                <w:sz w:val="24"/>
                <w:szCs w:val="24"/>
              </w:rPr>
              <w:t>m</w:t>
            </w:r>
            <w:r>
              <w:rPr>
                <w:color w:val="auto"/>
                <w:sz w:val="24"/>
                <w:szCs w:val="24"/>
                <w:vertAlign w:val="superscript"/>
              </w:rPr>
              <w:t>3</w:t>
            </w:r>
            <w:r>
              <w:rPr>
                <w:color w:val="auto"/>
                <w:sz w:val="24"/>
                <w:szCs w:val="24"/>
              </w:rPr>
              <w:t>/a，由区域给水管网接入厂区。</w:t>
            </w:r>
          </w:p>
          <w:p>
            <w:pPr>
              <w:spacing w:line="360" w:lineRule="auto"/>
              <w:ind w:left="-42" w:firstLine="520" w:firstLineChars="217"/>
              <w:rPr>
                <w:color w:val="auto"/>
                <w:kern w:val="0"/>
                <w:sz w:val="24"/>
                <w:szCs w:val="22"/>
              </w:rPr>
            </w:pPr>
            <w:r>
              <w:rPr>
                <w:color w:val="auto"/>
                <w:kern w:val="0"/>
                <w:sz w:val="24"/>
                <w:szCs w:val="22"/>
              </w:rPr>
              <w:t>（2）排水</w:t>
            </w:r>
          </w:p>
          <w:p>
            <w:pPr>
              <w:spacing w:line="360" w:lineRule="auto"/>
              <w:ind w:left="-42" w:firstLine="520" w:firstLineChars="217"/>
              <w:rPr>
                <w:color w:val="auto"/>
                <w:kern w:val="0"/>
                <w:sz w:val="24"/>
                <w:szCs w:val="22"/>
              </w:rPr>
            </w:pPr>
            <w:r>
              <w:rPr>
                <w:color w:val="auto"/>
                <w:sz w:val="24"/>
                <w:szCs w:val="24"/>
              </w:rPr>
              <w:t>本项目雨污分流，雨水依托</w:t>
            </w:r>
            <w:r>
              <w:rPr>
                <w:rFonts w:hint="eastAsia"/>
                <w:color w:val="auto"/>
                <w:sz w:val="24"/>
                <w:szCs w:val="24"/>
                <w:lang w:eastAsia="zh-CN"/>
              </w:rPr>
              <w:t>常州科荣经编有限公司</w:t>
            </w:r>
            <w:r>
              <w:rPr>
                <w:color w:val="auto"/>
                <w:sz w:val="24"/>
                <w:szCs w:val="24"/>
              </w:rPr>
              <w:t>厂区雨水管网排入就近河流</w:t>
            </w:r>
            <w:r>
              <w:rPr>
                <w:rFonts w:hint="eastAsia"/>
                <w:color w:val="auto"/>
                <w:sz w:val="24"/>
                <w:szCs w:val="24"/>
              </w:rPr>
              <w:t>；</w:t>
            </w:r>
            <w:r>
              <w:rPr>
                <w:color w:val="auto"/>
                <w:sz w:val="24"/>
                <w:szCs w:val="24"/>
              </w:rPr>
              <w:t>生活污水排放量</w:t>
            </w:r>
            <w:r>
              <w:rPr>
                <w:rFonts w:hint="eastAsia"/>
                <w:color w:val="auto"/>
                <w:sz w:val="24"/>
                <w:szCs w:val="24"/>
              </w:rPr>
              <w:t>约</w:t>
            </w:r>
            <w:r>
              <w:rPr>
                <w:color w:val="auto"/>
                <w:sz w:val="24"/>
                <w:szCs w:val="24"/>
              </w:rPr>
              <w:t>为</w:t>
            </w:r>
            <w:r>
              <w:rPr>
                <w:rFonts w:hint="eastAsia"/>
                <w:color w:val="auto"/>
                <w:sz w:val="24"/>
                <w:szCs w:val="24"/>
                <w:lang w:val="en-US" w:eastAsia="zh-CN"/>
              </w:rPr>
              <w:t>120</w:t>
            </w:r>
            <w:r>
              <w:rPr>
                <w:color w:val="auto"/>
                <w:sz w:val="24"/>
                <w:szCs w:val="24"/>
              </w:rPr>
              <w:t>m</w:t>
            </w:r>
            <w:r>
              <w:rPr>
                <w:color w:val="auto"/>
                <w:sz w:val="24"/>
                <w:szCs w:val="24"/>
                <w:vertAlign w:val="superscript"/>
              </w:rPr>
              <w:t>3</w:t>
            </w:r>
            <w:r>
              <w:rPr>
                <w:color w:val="auto"/>
                <w:sz w:val="24"/>
                <w:szCs w:val="24"/>
              </w:rPr>
              <w:t>/a，依托</w:t>
            </w:r>
            <w:r>
              <w:rPr>
                <w:rFonts w:hint="eastAsia"/>
                <w:color w:val="auto"/>
                <w:sz w:val="24"/>
                <w:szCs w:val="24"/>
                <w:lang w:eastAsia="zh-CN"/>
              </w:rPr>
              <w:t>常州科荣经编有限公司</w:t>
            </w:r>
            <w:r>
              <w:rPr>
                <w:color w:val="auto"/>
                <w:sz w:val="24"/>
                <w:szCs w:val="24"/>
              </w:rPr>
              <w:t>现有污水管网，生活污水通过</w:t>
            </w:r>
            <w:r>
              <w:rPr>
                <w:rFonts w:hint="eastAsia"/>
                <w:color w:val="auto"/>
                <w:sz w:val="24"/>
                <w:szCs w:val="24"/>
                <w:lang w:eastAsia="zh-CN"/>
              </w:rPr>
              <w:t>常州科荣经编有限公司</w:t>
            </w:r>
            <w:r>
              <w:rPr>
                <w:rFonts w:hint="eastAsia"/>
                <w:color w:val="auto"/>
                <w:sz w:val="24"/>
                <w:szCs w:val="24"/>
              </w:rPr>
              <w:t>污水</w:t>
            </w:r>
            <w:r>
              <w:rPr>
                <w:color w:val="auto"/>
                <w:sz w:val="24"/>
                <w:szCs w:val="24"/>
              </w:rPr>
              <w:t>总排口排入开发区污水管网，最终汇入金坛区第二污水处理厂集中处理，达标排入尧塘河</w:t>
            </w:r>
            <w:r>
              <w:rPr>
                <w:color w:val="auto"/>
                <w:kern w:val="0"/>
                <w:sz w:val="24"/>
                <w:szCs w:val="22"/>
              </w:rPr>
              <w:t>。</w:t>
            </w:r>
          </w:p>
          <w:p>
            <w:pPr>
              <w:spacing w:line="360" w:lineRule="auto"/>
              <w:ind w:left="-42" w:firstLine="520" w:firstLineChars="217"/>
              <w:rPr>
                <w:color w:val="auto"/>
                <w:kern w:val="0"/>
                <w:sz w:val="24"/>
                <w:szCs w:val="22"/>
              </w:rPr>
            </w:pPr>
            <w:r>
              <w:rPr>
                <w:color w:val="auto"/>
                <w:kern w:val="0"/>
                <w:sz w:val="24"/>
                <w:szCs w:val="22"/>
              </w:rPr>
              <w:t>（3）供电</w:t>
            </w:r>
          </w:p>
          <w:p>
            <w:pPr>
              <w:spacing w:line="360" w:lineRule="auto"/>
              <w:ind w:left="-42" w:firstLine="520" w:firstLineChars="217"/>
              <w:rPr>
                <w:color w:val="auto"/>
                <w:sz w:val="24"/>
                <w:szCs w:val="24"/>
              </w:rPr>
            </w:pPr>
            <w:r>
              <w:rPr>
                <w:color w:val="auto"/>
                <w:sz w:val="24"/>
                <w:szCs w:val="24"/>
              </w:rPr>
              <w:t>项目年用电量为</w:t>
            </w:r>
            <w:r>
              <w:rPr>
                <w:rFonts w:hint="eastAsia"/>
                <w:color w:val="auto"/>
                <w:sz w:val="24"/>
                <w:szCs w:val="24"/>
              </w:rPr>
              <w:t>10</w:t>
            </w:r>
            <w:r>
              <w:rPr>
                <w:color w:val="auto"/>
                <w:sz w:val="24"/>
                <w:szCs w:val="24"/>
              </w:rPr>
              <w:t>万kWh，由区域供电站提供。</w:t>
            </w:r>
          </w:p>
          <w:p>
            <w:pPr>
              <w:spacing w:line="360" w:lineRule="auto"/>
              <w:ind w:left="-42" w:firstLine="520" w:firstLineChars="217"/>
              <w:rPr>
                <w:color w:val="auto"/>
                <w:kern w:val="0"/>
                <w:sz w:val="24"/>
                <w:szCs w:val="22"/>
              </w:rPr>
            </w:pPr>
            <w:r>
              <w:rPr>
                <w:color w:val="auto"/>
                <w:kern w:val="0"/>
                <w:sz w:val="24"/>
                <w:szCs w:val="22"/>
              </w:rPr>
              <w:t>（4）储运工程</w:t>
            </w:r>
          </w:p>
          <w:p>
            <w:pPr>
              <w:spacing w:line="360" w:lineRule="auto"/>
              <w:ind w:firstLine="480" w:firstLineChars="200"/>
              <w:rPr>
                <w:color w:val="auto"/>
                <w:sz w:val="24"/>
                <w:szCs w:val="24"/>
              </w:rPr>
            </w:pPr>
            <w:r>
              <w:rPr>
                <w:color w:val="auto"/>
                <w:sz w:val="24"/>
                <w:szCs w:val="24"/>
              </w:rPr>
              <w:t>运输：厂外运输由原材料厂家配置汽车运输，不足部分由社会运输协作解决；厂内原料和成品由人工运送；运输量满足生产需求。</w:t>
            </w:r>
          </w:p>
          <w:p>
            <w:pPr>
              <w:spacing w:line="360" w:lineRule="auto"/>
              <w:ind w:firstLine="480" w:firstLineChars="200"/>
              <w:rPr>
                <w:color w:val="auto"/>
                <w:sz w:val="24"/>
                <w:szCs w:val="24"/>
              </w:rPr>
            </w:pPr>
            <w:r>
              <w:rPr>
                <w:color w:val="auto"/>
                <w:sz w:val="24"/>
                <w:szCs w:val="24"/>
              </w:rPr>
              <w:t>储存：本项目设有</w:t>
            </w:r>
            <w:r>
              <w:rPr>
                <w:rFonts w:hint="eastAsia"/>
                <w:color w:val="auto"/>
                <w:sz w:val="24"/>
                <w:szCs w:val="24"/>
                <w:lang w:eastAsia="zh-CN"/>
              </w:rPr>
              <w:t>危化品仓库、原料仓库</w:t>
            </w:r>
            <w:r>
              <w:rPr>
                <w:color w:val="auto"/>
                <w:sz w:val="24"/>
                <w:szCs w:val="24"/>
              </w:rPr>
              <w:t>和成品</w:t>
            </w:r>
            <w:r>
              <w:rPr>
                <w:rFonts w:hint="eastAsia"/>
                <w:color w:val="auto"/>
                <w:sz w:val="24"/>
                <w:szCs w:val="24"/>
                <w:lang w:eastAsia="zh-CN"/>
              </w:rPr>
              <w:t>仓库</w:t>
            </w:r>
            <w:r>
              <w:rPr>
                <w:color w:val="auto"/>
                <w:sz w:val="24"/>
                <w:szCs w:val="24"/>
              </w:rPr>
              <w:t>，用于存放原辅材料及加工后的成品</w:t>
            </w:r>
            <w:r>
              <w:rPr>
                <w:rFonts w:hint="eastAsia"/>
                <w:color w:val="auto"/>
                <w:sz w:val="24"/>
                <w:szCs w:val="24"/>
              </w:rPr>
              <w:t>，</w:t>
            </w:r>
            <w:r>
              <w:rPr>
                <w:color w:val="auto"/>
                <w:sz w:val="24"/>
                <w:szCs w:val="24"/>
              </w:rPr>
              <w:t>均位于生产车间内。</w:t>
            </w:r>
          </w:p>
          <w:p>
            <w:pPr>
              <w:spacing w:line="360" w:lineRule="auto"/>
              <w:ind w:firstLine="352" w:firstLineChars="147"/>
              <w:rPr>
                <w:color w:val="auto"/>
                <w:sz w:val="24"/>
                <w:szCs w:val="24"/>
              </w:rPr>
            </w:pPr>
            <w:r>
              <w:rPr>
                <w:b/>
                <w:bCs/>
                <w:color w:val="auto"/>
                <w:sz w:val="24"/>
              </w:rPr>
              <w:t xml:space="preserve"> </w:t>
            </w:r>
            <w:r>
              <w:rPr>
                <w:bCs/>
                <w:color w:val="auto"/>
                <w:sz w:val="24"/>
              </w:rPr>
              <w:t>（6）</w:t>
            </w:r>
            <w:r>
              <w:rPr>
                <w:color w:val="auto"/>
                <w:sz w:val="24"/>
                <w:szCs w:val="24"/>
              </w:rPr>
              <w:t>环保工程</w:t>
            </w:r>
          </w:p>
          <w:p>
            <w:pPr>
              <w:autoSpaceDE w:val="0"/>
              <w:autoSpaceDN w:val="0"/>
              <w:adjustRightInd w:val="0"/>
              <w:spacing w:line="360" w:lineRule="auto"/>
              <w:ind w:firstLine="480" w:firstLineChars="200"/>
              <w:rPr>
                <w:rFonts w:hint="default" w:eastAsia="宋体"/>
                <w:b w:val="0"/>
                <w:bCs w:val="0"/>
                <w:color w:val="auto"/>
                <w:sz w:val="24"/>
                <w:szCs w:val="22"/>
                <w:lang w:val="en-US" w:eastAsia="zh-CN"/>
              </w:rPr>
            </w:pPr>
            <w:r>
              <w:rPr>
                <w:color w:val="auto"/>
                <w:sz w:val="24"/>
                <w:szCs w:val="24"/>
              </w:rPr>
              <w:t>废气治理：</w:t>
            </w:r>
            <w:r>
              <w:rPr>
                <w:rFonts w:hint="eastAsia"/>
                <w:color w:val="auto"/>
                <w:sz w:val="24"/>
                <w:szCs w:val="24"/>
                <w:lang w:val="en-US" w:eastAsia="zh-CN"/>
              </w:rPr>
              <w:t>本项目</w:t>
            </w:r>
            <w:r>
              <w:rPr>
                <w:rFonts w:hint="eastAsia"/>
                <w:b w:val="0"/>
                <w:bCs w:val="0"/>
                <w:color w:val="auto"/>
                <w:sz w:val="24"/>
                <w:szCs w:val="22"/>
                <w:lang w:val="en-US" w:eastAsia="zh-CN"/>
              </w:rPr>
              <w:t>加工粉尘经各自带的引风装置和布袋除尘器处理后经15m排气筒DA001高空排放；喷塑工序产生的颗粒物经</w:t>
            </w:r>
            <w:r>
              <w:rPr>
                <w:rFonts w:hint="eastAsia"/>
                <w:color w:val="auto"/>
                <w:sz w:val="24"/>
                <w:szCs w:val="22"/>
              </w:rPr>
              <w:t>带滤简除尘设施处理后</w:t>
            </w:r>
            <w:r>
              <w:rPr>
                <w:rFonts w:hint="eastAsia"/>
                <w:color w:val="auto"/>
                <w:sz w:val="24"/>
                <w:szCs w:val="22"/>
                <w:lang w:eastAsia="zh-CN"/>
              </w:rPr>
              <w:t>，</w:t>
            </w:r>
            <w:r>
              <w:rPr>
                <w:rFonts w:hint="eastAsia"/>
                <w:color w:val="auto"/>
                <w:sz w:val="24"/>
                <w:szCs w:val="22"/>
                <w:lang w:val="en-US" w:eastAsia="zh-CN"/>
              </w:rPr>
              <w:t>与经二级活性炭吸附装置处理的固化废气非甲烷总烃经15m高排气筒DA002排放；喷锌废气经布袋除尘器处理后，喷漆房废气经干式喷漆柜+二级活性炭吸附装置处理后，共同通过15m高排气筒DA003高空排放。</w:t>
            </w:r>
          </w:p>
          <w:p>
            <w:pPr>
              <w:spacing w:line="360" w:lineRule="auto"/>
              <w:ind w:firstLine="480" w:firstLineChars="200"/>
              <w:rPr>
                <w:color w:val="auto"/>
                <w:sz w:val="24"/>
                <w:szCs w:val="24"/>
              </w:rPr>
            </w:pPr>
            <w:r>
              <w:rPr>
                <w:color w:val="auto"/>
                <w:sz w:val="24"/>
                <w:szCs w:val="24"/>
              </w:rPr>
              <w:t>废水治理：</w:t>
            </w:r>
            <w:r>
              <w:rPr>
                <w:rFonts w:hint="eastAsia"/>
                <w:color w:val="auto"/>
                <w:sz w:val="24"/>
                <w:szCs w:val="24"/>
              </w:rPr>
              <w:t>生产工序中清洗用水经隔油+气浮一体设备（16t）处理后循环使用，不外排</w:t>
            </w:r>
            <w:r>
              <w:rPr>
                <w:rFonts w:hint="eastAsia"/>
                <w:color w:val="auto"/>
                <w:sz w:val="24"/>
                <w:szCs w:val="24"/>
                <w:lang w:eastAsia="zh-CN"/>
              </w:rPr>
              <w:t>；</w:t>
            </w:r>
            <w:r>
              <w:rPr>
                <w:rFonts w:hint="eastAsia"/>
                <w:color w:val="auto"/>
                <w:sz w:val="24"/>
                <w:szCs w:val="24"/>
              </w:rPr>
              <w:t>本项目</w:t>
            </w:r>
            <w:r>
              <w:rPr>
                <w:color w:val="auto"/>
                <w:sz w:val="24"/>
                <w:szCs w:val="24"/>
              </w:rPr>
              <w:t>生活污水</w:t>
            </w:r>
            <w:r>
              <w:rPr>
                <w:rFonts w:hint="eastAsia"/>
                <w:color w:val="auto"/>
                <w:sz w:val="24"/>
                <w:szCs w:val="24"/>
              </w:rPr>
              <w:t>经接管</w:t>
            </w:r>
            <w:r>
              <w:rPr>
                <w:color w:val="auto"/>
                <w:sz w:val="24"/>
                <w:szCs w:val="24"/>
              </w:rPr>
              <w:t>开发区污水管网纳入金坛</w:t>
            </w:r>
            <w:r>
              <w:rPr>
                <w:rFonts w:hint="eastAsia"/>
                <w:color w:val="auto"/>
                <w:sz w:val="24"/>
                <w:szCs w:val="24"/>
              </w:rPr>
              <w:t>区</w:t>
            </w:r>
            <w:r>
              <w:rPr>
                <w:color w:val="auto"/>
                <w:sz w:val="24"/>
                <w:szCs w:val="24"/>
              </w:rPr>
              <w:t>第二污水处理厂集中处理，达标后排入尧塘河。</w:t>
            </w:r>
          </w:p>
          <w:p>
            <w:pPr>
              <w:spacing w:line="360" w:lineRule="auto"/>
              <w:ind w:firstLine="480" w:firstLineChars="200"/>
              <w:rPr>
                <w:color w:val="auto"/>
                <w:sz w:val="24"/>
                <w:szCs w:val="24"/>
              </w:rPr>
            </w:pPr>
            <w:r>
              <w:rPr>
                <w:rFonts w:hint="eastAsia"/>
                <w:color w:val="auto"/>
                <w:sz w:val="24"/>
                <w:szCs w:val="24"/>
              </w:rPr>
              <w:t>2021年1月1日前，污水处理厂尾水水质执行《城镇污水处理厂污染物排放标准》（GB18918-2002）中一级A标准和《太湖地区城镇污水处理厂及重点工业行业主要水污染物排放限值》（DB32/1072-2007）中表2标准。2021年1月1日后，污水处理厂尾水水质执行《城镇污水处理厂污染物排放标准》（GB18918-2002）中一级 A 标准和《太湖地区城镇污水处理厂及重点工业行业主要水污染物排放限值》（DB32/1072-2018）中表2标准</w:t>
            </w:r>
            <w:r>
              <w:rPr>
                <w:color w:val="auto"/>
                <w:sz w:val="24"/>
                <w:szCs w:val="24"/>
              </w:rPr>
              <w:t>。</w:t>
            </w:r>
          </w:p>
          <w:p>
            <w:pPr>
              <w:spacing w:line="360" w:lineRule="auto"/>
              <w:ind w:firstLine="480" w:firstLineChars="200"/>
              <w:rPr>
                <w:color w:val="auto"/>
                <w:sz w:val="24"/>
                <w:szCs w:val="24"/>
              </w:rPr>
            </w:pPr>
            <w:r>
              <w:rPr>
                <w:color w:val="auto"/>
                <w:sz w:val="24"/>
                <w:szCs w:val="24"/>
              </w:rPr>
              <w:t>噪声治理：</w:t>
            </w:r>
            <w:r>
              <w:rPr>
                <w:rFonts w:hint="eastAsia"/>
                <w:color w:val="auto"/>
                <w:sz w:val="24"/>
                <w:szCs w:val="24"/>
              </w:rPr>
              <w:t>生产设备合理布局，</w:t>
            </w:r>
            <w:r>
              <w:rPr>
                <w:color w:val="auto"/>
                <w:sz w:val="24"/>
                <w:szCs w:val="24"/>
              </w:rPr>
              <w:t>尽量采用低噪声设备，对高噪声设备采取</w:t>
            </w:r>
            <w:r>
              <w:rPr>
                <w:rFonts w:hint="eastAsia"/>
                <w:color w:val="auto"/>
                <w:sz w:val="24"/>
                <w:szCs w:val="24"/>
              </w:rPr>
              <w:t>布置于厂区中间、</w:t>
            </w:r>
            <w:r>
              <w:rPr>
                <w:color w:val="auto"/>
                <w:sz w:val="24"/>
                <w:szCs w:val="24"/>
              </w:rPr>
              <w:t>基础减振</w:t>
            </w:r>
            <w:r>
              <w:rPr>
                <w:rFonts w:hint="eastAsia"/>
                <w:color w:val="auto"/>
                <w:sz w:val="24"/>
                <w:szCs w:val="24"/>
              </w:rPr>
              <w:t>等</w:t>
            </w:r>
            <w:r>
              <w:rPr>
                <w:color w:val="auto"/>
                <w:sz w:val="24"/>
                <w:szCs w:val="24"/>
              </w:rPr>
              <w:t>隔声措施，厂界噪声</w:t>
            </w:r>
            <w:r>
              <w:rPr>
                <w:rFonts w:hint="eastAsia"/>
                <w:color w:val="auto"/>
                <w:sz w:val="24"/>
                <w:szCs w:val="24"/>
              </w:rPr>
              <w:t>排放可</w:t>
            </w:r>
            <w:r>
              <w:rPr>
                <w:color w:val="auto"/>
                <w:sz w:val="24"/>
                <w:szCs w:val="24"/>
              </w:rPr>
              <w:t>满足</w:t>
            </w:r>
            <w:r>
              <w:rPr>
                <w:color w:val="auto"/>
                <w:spacing w:val="-6"/>
                <w:sz w:val="24"/>
              </w:rPr>
              <w:t>《工业企业厂界环境噪声排放标准》（GB12348-2008）表1中</w:t>
            </w:r>
            <w:r>
              <w:rPr>
                <w:rFonts w:hint="eastAsia"/>
                <w:color w:val="auto"/>
                <w:spacing w:val="-6"/>
                <w:sz w:val="24"/>
                <w:lang w:val="en-US" w:eastAsia="zh-CN"/>
              </w:rPr>
              <w:t>2</w:t>
            </w:r>
            <w:r>
              <w:rPr>
                <w:color w:val="auto"/>
                <w:spacing w:val="-6"/>
                <w:sz w:val="24"/>
              </w:rPr>
              <w:t>类区</w:t>
            </w:r>
            <w:r>
              <w:rPr>
                <w:rFonts w:hint="eastAsia"/>
                <w:color w:val="auto"/>
                <w:spacing w:val="-6"/>
                <w:sz w:val="24"/>
              </w:rPr>
              <w:t>限值。</w:t>
            </w:r>
          </w:p>
          <w:p>
            <w:pPr>
              <w:spacing w:line="360" w:lineRule="auto"/>
              <w:ind w:firstLine="480" w:firstLineChars="200"/>
              <w:rPr>
                <w:color w:val="auto"/>
                <w:sz w:val="24"/>
                <w:szCs w:val="24"/>
                <w:vertAlign w:val="superscript"/>
              </w:rPr>
            </w:pPr>
            <w:r>
              <w:rPr>
                <w:color w:val="auto"/>
                <w:sz w:val="24"/>
                <w:szCs w:val="24"/>
              </w:rPr>
              <w:t>固废治理：</w:t>
            </w:r>
            <w:r>
              <w:rPr>
                <w:rFonts w:hint="eastAsia"/>
                <w:color w:val="auto"/>
                <w:sz w:val="24"/>
                <w:szCs w:val="24"/>
              </w:rPr>
              <w:t>本项目一般固废包装材料、废边角料经收集后售卖；危险废物经分类收集暂存，委托有资质单位定期处置，生活垃圾委托环卫部门清运。本项目车间内设置一般固废仓库和危废仓库，</w:t>
            </w:r>
            <w:r>
              <w:rPr>
                <w:color w:val="auto"/>
                <w:sz w:val="24"/>
                <w:szCs w:val="24"/>
              </w:rPr>
              <w:t>一般固废仓库建筑面积为</w:t>
            </w:r>
            <w:r>
              <w:rPr>
                <w:rFonts w:hint="eastAsia"/>
                <w:color w:val="auto"/>
                <w:sz w:val="24"/>
                <w:szCs w:val="24"/>
                <w:lang w:val="en-US" w:eastAsia="zh-CN"/>
              </w:rPr>
              <w:t>20</w:t>
            </w:r>
            <w:r>
              <w:rPr>
                <w:color w:val="auto"/>
                <w:sz w:val="24"/>
                <w:szCs w:val="24"/>
              </w:rPr>
              <w:t>m</w:t>
            </w:r>
            <w:r>
              <w:rPr>
                <w:color w:val="auto"/>
                <w:sz w:val="24"/>
                <w:szCs w:val="24"/>
                <w:vertAlign w:val="superscript"/>
              </w:rPr>
              <w:t>2</w:t>
            </w:r>
            <w:r>
              <w:rPr>
                <w:rFonts w:hint="eastAsia"/>
                <w:color w:val="auto"/>
                <w:sz w:val="24"/>
                <w:szCs w:val="24"/>
              </w:rPr>
              <w:t>，危险废物仓库</w:t>
            </w:r>
            <w:r>
              <w:rPr>
                <w:rFonts w:hint="eastAsia"/>
                <w:color w:val="auto"/>
                <w:sz w:val="24"/>
                <w:szCs w:val="24"/>
                <w:lang w:val="en-US" w:eastAsia="zh-CN"/>
              </w:rPr>
              <w:t>20</w:t>
            </w:r>
            <w:r>
              <w:rPr>
                <w:rFonts w:hint="eastAsia"/>
                <w:color w:val="auto"/>
                <w:sz w:val="24"/>
                <w:szCs w:val="24"/>
              </w:rPr>
              <w:t>m</w:t>
            </w:r>
            <w:r>
              <w:rPr>
                <w:rFonts w:hint="eastAsia"/>
                <w:color w:val="auto"/>
                <w:sz w:val="24"/>
                <w:szCs w:val="24"/>
                <w:vertAlign w:val="superscript"/>
              </w:rPr>
              <w:t>2</w:t>
            </w:r>
            <w:r>
              <w:rPr>
                <w:rFonts w:hint="eastAsia"/>
                <w:color w:val="auto"/>
                <w:sz w:val="24"/>
                <w:szCs w:val="24"/>
              </w:rPr>
              <w:t>。</w:t>
            </w:r>
          </w:p>
          <w:p>
            <w:pPr>
              <w:spacing w:line="360" w:lineRule="auto"/>
              <w:ind w:left="-4" w:leftChars="-2" w:firstLine="480" w:firstLineChars="200"/>
              <w:rPr>
                <w:b/>
                <w:color w:val="auto"/>
                <w:sz w:val="24"/>
                <w:szCs w:val="24"/>
              </w:rPr>
            </w:pPr>
            <w:r>
              <w:rPr>
                <w:rFonts w:hint="eastAsia"/>
                <w:b/>
                <w:color w:val="auto"/>
                <w:sz w:val="24"/>
                <w:szCs w:val="24"/>
              </w:rPr>
              <w:t>5</w:t>
            </w:r>
            <w:r>
              <w:rPr>
                <w:b/>
                <w:color w:val="auto"/>
                <w:sz w:val="24"/>
                <w:szCs w:val="24"/>
              </w:rPr>
              <w:t>、职工人数及工作制度</w:t>
            </w:r>
          </w:p>
          <w:p>
            <w:pPr>
              <w:spacing w:line="360" w:lineRule="auto"/>
              <w:ind w:firstLine="480" w:firstLineChars="200"/>
              <w:rPr>
                <w:color w:val="auto"/>
                <w:sz w:val="24"/>
                <w:szCs w:val="24"/>
              </w:rPr>
            </w:pPr>
            <w:r>
              <w:rPr>
                <w:color w:val="auto"/>
                <w:sz w:val="24"/>
                <w:szCs w:val="24"/>
              </w:rPr>
              <w:t>职工人数：本项目劳动定员</w:t>
            </w:r>
            <w:r>
              <w:rPr>
                <w:rFonts w:hint="eastAsia"/>
                <w:color w:val="auto"/>
                <w:sz w:val="24"/>
                <w:szCs w:val="24"/>
                <w:lang w:val="en-US" w:eastAsia="zh-CN"/>
              </w:rPr>
              <w:t>10</w:t>
            </w:r>
            <w:r>
              <w:rPr>
                <w:color w:val="auto"/>
                <w:sz w:val="24"/>
                <w:szCs w:val="24"/>
              </w:rPr>
              <w:t>人，厂内</w:t>
            </w:r>
            <w:r>
              <w:rPr>
                <w:rFonts w:hint="eastAsia"/>
                <w:color w:val="auto"/>
                <w:sz w:val="24"/>
                <w:szCs w:val="24"/>
              </w:rPr>
              <w:t>不提供食宿</w:t>
            </w:r>
            <w:r>
              <w:rPr>
                <w:color w:val="auto"/>
                <w:sz w:val="24"/>
                <w:szCs w:val="24"/>
              </w:rPr>
              <w:t>。</w:t>
            </w:r>
          </w:p>
          <w:p>
            <w:pPr>
              <w:spacing w:line="360" w:lineRule="auto"/>
              <w:ind w:firstLine="480" w:firstLineChars="200"/>
              <w:rPr>
                <w:color w:val="auto"/>
                <w:sz w:val="24"/>
                <w:szCs w:val="24"/>
              </w:rPr>
            </w:pPr>
            <w:r>
              <w:rPr>
                <w:color w:val="auto"/>
                <w:sz w:val="24"/>
                <w:szCs w:val="24"/>
              </w:rPr>
              <w:t>工作制度：项目年生产时间为</w:t>
            </w:r>
            <w:r>
              <w:rPr>
                <w:rFonts w:hint="eastAsia"/>
                <w:color w:val="auto"/>
                <w:sz w:val="24"/>
                <w:szCs w:val="24"/>
              </w:rPr>
              <w:t>300</w:t>
            </w:r>
            <w:r>
              <w:rPr>
                <w:color w:val="auto"/>
                <w:sz w:val="24"/>
                <w:szCs w:val="24"/>
              </w:rPr>
              <w:t>天</w:t>
            </w:r>
            <w:r>
              <w:rPr>
                <w:rFonts w:hint="eastAsia"/>
                <w:color w:val="auto"/>
                <w:sz w:val="24"/>
                <w:szCs w:val="24"/>
              </w:rPr>
              <w:t>，单</w:t>
            </w:r>
            <w:r>
              <w:rPr>
                <w:color w:val="auto"/>
                <w:sz w:val="24"/>
                <w:szCs w:val="24"/>
              </w:rPr>
              <w:t>班制，每班</w:t>
            </w:r>
            <w:r>
              <w:rPr>
                <w:rFonts w:hint="eastAsia"/>
                <w:color w:val="auto"/>
                <w:sz w:val="24"/>
                <w:szCs w:val="24"/>
                <w:lang w:val="en-US" w:eastAsia="zh-CN"/>
              </w:rPr>
              <w:t>8</w:t>
            </w:r>
            <w:r>
              <w:rPr>
                <w:color w:val="auto"/>
                <w:sz w:val="24"/>
                <w:szCs w:val="24"/>
              </w:rPr>
              <w:t>小时制。</w:t>
            </w:r>
          </w:p>
          <w:p>
            <w:pPr>
              <w:spacing w:line="360" w:lineRule="auto"/>
              <w:ind w:firstLine="480" w:firstLineChars="200"/>
              <w:rPr>
                <w:b/>
                <w:color w:val="auto"/>
                <w:kern w:val="0"/>
                <w:sz w:val="24"/>
                <w:szCs w:val="22"/>
              </w:rPr>
            </w:pPr>
            <w:r>
              <w:rPr>
                <w:rFonts w:hint="eastAsia"/>
                <w:b/>
                <w:color w:val="auto"/>
                <w:kern w:val="0"/>
                <w:sz w:val="24"/>
                <w:szCs w:val="22"/>
              </w:rPr>
              <w:t>6</w:t>
            </w:r>
            <w:r>
              <w:rPr>
                <w:b/>
                <w:color w:val="auto"/>
                <w:kern w:val="0"/>
                <w:sz w:val="24"/>
                <w:szCs w:val="22"/>
              </w:rPr>
              <w:t>、与产业政策相符性</w:t>
            </w:r>
          </w:p>
          <w:p>
            <w:pPr>
              <w:spacing w:line="360" w:lineRule="auto"/>
              <w:ind w:firstLine="480" w:firstLineChars="200"/>
              <w:rPr>
                <w:color w:val="auto"/>
                <w:sz w:val="24"/>
              </w:rPr>
            </w:pPr>
            <w:r>
              <w:rPr>
                <w:color w:val="auto"/>
                <w:sz w:val="24"/>
              </w:rPr>
              <w:t>本项目</w:t>
            </w:r>
            <w:r>
              <w:rPr>
                <w:rFonts w:hint="eastAsia"/>
                <w:color w:val="auto"/>
                <w:sz w:val="24"/>
              </w:rPr>
              <w:t>属于</w:t>
            </w:r>
            <w:r>
              <w:rPr>
                <w:rFonts w:hint="eastAsia"/>
                <w:color w:val="auto"/>
                <w:sz w:val="24"/>
                <w:szCs w:val="24"/>
              </w:rPr>
              <w:t>“二十二 金属制品业-67 金属制品加工制造 -其他（仅切割组装除外）”</w:t>
            </w:r>
            <w:r>
              <w:rPr>
                <w:rFonts w:hint="eastAsia"/>
                <w:color w:val="auto"/>
                <w:sz w:val="24"/>
              </w:rPr>
              <w:t>类</w:t>
            </w:r>
            <w:r>
              <w:rPr>
                <w:rFonts w:hint="eastAsia"/>
                <w:color w:val="auto"/>
                <w:sz w:val="24"/>
                <w:szCs w:val="24"/>
              </w:rPr>
              <w:t>，</w:t>
            </w:r>
            <w:r>
              <w:rPr>
                <w:snapToGrid w:val="0"/>
                <w:color w:val="auto"/>
                <w:sz w:val="24"/>
              </w:rPr>
              <w:t>根据《产业结构调整指导目录（20</w:t>
            </w:r>
            <w:r>
              <w:rPr>
                <w:rFonts w:hint="eastAsia"/>
                <w:snapToGrid w:val="0"/>
                <w:color w:val="auto"/>
                <w:sz w:val="24"/>
              </w:rPr>
              <w:t>19年本）</w:t>
            </w:r>
            <w:r>
              <w:rPr>
                <w:snapToGrid w:val="0"/>
                <w:color w:val="auto"/>
                <w:sz w:val="24"/>
              </w:rPr>
              <w:t>》，本项目不属于</w:t>
            </w:r>
            <w:r>
              <w:rPr>
                <w:color w:val="auto"/>
                <w:sz w:val="24"/>
              </w:rPr>
              <w:t>其限制类或淘汰类项目，属于允许建设项目，因此，本项目的建设符合国家产业政策要求。</w:t>
            </w:r>
          </w:p>
          <w:p>
            <w:pPr>
              <w:spacing w:line="360" w:lineRule="auto"/>
              <w:ind w:firstLine="480" w:firstLineChars="200"/>
              <w:rPr>
                <w:color w:val="auto"/>
                <w:sz w:val="24"/>
              </w:rPr>
            </w:pPr>
            <w:r>
              <w:rPr>
                <w:color w:val="auto"/>
                <w:sz w:val="24"/>
              </w:rPr>
              <w:t>根据《市场准入负面清单》（201</w:t>
            </w:r>
            <w:r>
              <w:rPr>
                <w:rFonts w:hint="eastAsia"/>
                <w:color w:val="auto"/>
                <w:sz w:val="24"/>
                <w:lang w:val="en-US" w:eastAsia="zh-CN"/>
              </w:rPr>
              <w:t>9</w:t>
            </w:r>
            <w:r>
              <w:rPr>
                <w:color w:val="auto"/>
                <w:sz w:val="24"/>
              </w:rPr>
              <w:t>版），本项目不属于“禁止准入类”。</w:t>
            </w:r>
          </w:p>
          <w:p>
            <w:pPr>
              <w:spacing w:line="360" w:lineRule="auto"/>
              <w:ind w:firstLine="480" w:firstLineChars="200"/>
              <w:rPr>
                <w:color w:val="auto"/>
                <w:sz w:val="24"/>
              </w:rPr>
            </w:pPr>
            <w:r>
              <w:rPr>
                <w:color w:val="auto"/>
                <w:sz w:val="24"/>
              </w:rPr>
              <w:t>综上，本项目的建设符合相关产业政策要求。</w:t>
            </w:r>
          </w:p>
          <w:p>
            <w:pPr>
              <w:spacing w:line="360" w:lineRule="auto"/>
              <w:ind w:firstLine="480" w:firstLineChars="200"/>
              <w:rPr>
                <w:color w:val="auto"/>
                <w:sz w:val="24"/>
                <w:szCs w:val="24"/>
              </w:rPr>
            </w:pPr>
            <w:r>
              <w:rPr>
                <w:color w:val="auto"/>
                <w:sz w:val="24"/>
                <w:szCs w:val="24"/>
              </w:rPr>
              <w:t>建设项目已于20</w:t>
            </w:r>
            <w:r>
              <w:rPr>
                <w:rFonts w:hint="eastAsia"/>
                <w:color w:val="auto"/>
                <w:sz w:val="24"/>
                <w:szCs w:val="24"/>
              </w:rPr>
              <w:t>20</w:t>
            </w:r>
            <w:r>
              <w:rPr>
                <w:color w:val="auto"/>
                <w:sz w:val="24"/>
                <w:szCs w:val="24"/>
              </w:rPr>
              <w:t>年</w:t>
            </w:r>
            <w:r>
              <w:rPr>
                <w:rFonts w:hint="eastAsia"/>
                <w:color w:val="auto"/>
                <w:sz w:val="24"/>
                <w:szCs w:val="24"/>
              </w:rPr>
              <w:t>9</w:t>
            </w:r>
            <w:r>
              <w:rPr>
                <w:color w:val="auto"/>
                <w:sz w:val="24"/>
                <w:szCs w:val="24"/>
              </w:rPr>
              <w:t>月</w:t>
            </w:r>
            <w:r>
              <w:rPr>
                <w:rFonts w:hint="eastAsia"/>
                <w:color w:val="auto"/>
                <w:sz w:val="24"/>
                <w:szCs w:val="24"/>
                <w:lang w:val="en-US" w:eastAsia="zh-CN"/>
              </w:rPr>
              <w:t>24</w:t>
            </w:r>
            <w:r>
              <w:rPr>
                <w:color w:val="auto"/>
                <w:sz w:val="24"/>
                <w:szCs w:val="24"/>
              </w:rPr>
              <w:t>日通过</w:t>
            </w:r>
            <w:r>
              <w:rPr>
                <w:rFonts w:hint="eastAsia"/>
                <w:color w:val="auto"/>
                <w:sz w:val="24"/>
                <w:lang w:eastAsia="zh-CN"/>
              </w:rPr>
              <w:t>江苏省金坛经济开发区科技经贸局</w:t>
            </w:r>
            <w:r>
              <w:rPr>
                <w:color w:val="auto"/>
                <w:sz w:val="24"/>
              </w:rPr>
              <w:t>备案，并准予开展有关工作</w:t>
            </w:r>
            <w:r>
              <w:rPr>
                <w:color w:val="auto"/>
                <w:sz w:val="24"/>
                <w:szCs w:val="24"/>
              </w:rPr>
              <w:t>。</w:t>
            </w:r>
          </w:p>
          <w:p>
            <w:pPr>
              <w:tabs>
                <w:tab w:val="left" w:pos="960"/>
              </w:tabs>
              <w:spacing w:line="360" w:lineRule="auto"/>
              <w:ind w:firstLine="464" w:firstLineChars="200"/>
              <w:rPr>
                <w:b/>
                <w:bCs/>
                <w:color w:val="auto"/>
                <w:spacing w:val="-4"/>
                <w:sz w:val="24"/>
              </w:rPr>
            </w:pPr>
            <w:r>
              <w:rPr>
                <w:rFonts w:hint="eastAsia"/>
                <w:b/>
                <w:bCs/>
                <w:color w:val="auto"/>
                <w:spacing w:val="-4"/>
                <w:sz w:val="24"/>
                <w:lang w:val="en-US" w:eastAsia="zh-CN"/>
              </w:rPr>
              <w:t>7</w:t>
            </w:r>
            <w:r>
              <w:rPr>
                <w:b/>
                <w:bCs/>
                <w:color w:val="auto"/>
                <w:spacing w:val="-4"/>
                <w:sz w:val="24"/>
              </w:rPr>
              <w:t>、</w:t>
            </w:r>
            <w:r>
              <w:rPr>
                <w:rFonts w:hint="eastAsia"/>
                <w:b/>
                <w:color w:val="auto"/>
                <w:kern w:val="0"/>
                <w:sz w:val="24"/>
                <w:szCs w:val="22"/>
              </w:rPr>
              <w:t>规划选址相符性分析</w:t>
            </w:r>
          </w:p>
          <w:p>
            <w:pPr>
              <w:spacing w:line="360" w:lineRule="auto"/>
              <w:ind w:left="-4" w:leftChars="-2" w:firstLine="480" w:firstLineChars="200"/>
              <w:rPr>
                <w:rFonts w:hint="eastAsia"/>
                <w:color w:val="auto"/>
                <w:sz w:val="24"/>
                <w:szCs w:val="24"/>
              </w:rPr>
            </w:pPr>
            <w:r>
              <w:rPr>
                <w:rFonts w:hint="eastAsia"/>
                <w:color w:val="auto"/>
                <w:sz w:val="24"/>
                <w:szCs w:val="24"/>
              </w:rPr>
              <w:t>本项目厂区位于常州市金坛区</w:t>
            </w:r>
            <w:r>
              <w:rPr>
                <w:rFonts w:hint="eastAsia"/>
                <w:color w:val="auto"/>
                <w:sz w:val="24"/>
                <w:szCs w:val="24"/>
                <w:lang w:eastAsia="zh-CN"/>
              </w:rPr>
              <w:t>龙湖路</w:t>
            </w:r>
            <w:r>
              <w:rPr>
                <w:rFonts w:hint="eastAsia"/>
                <w:color w:val="auto"/>
                <w:sz w:val="24"/>
                <w:szCs w:val="24"/>
              </w:rPr>
              <w:t>2号，根据建设单位提供的房产证可知，项目所在地用途为工业用地。项目不属于《限制用地项目目录（2012年本）》、《禁止用地项目目录（2012年本）》、《江苏省限制用地项目目录（2013年本）》及《江苏省禁止用地项目目录（2013年本）》中的限制和禁止用地项目，且项目周边范围内无矿床、文物古迹和军事设施达到环保准入、投入强度、消防安全等相关规定，因此，本项目选址合理。</w:t>
            </w:r>
          </w:p>
          <w:p>
            <w:pPr>
              <w:spacing w:line="360" w:lineRule="auto"/>
              <w:ind w:left="-4" w:leftChars="-2" w:firstLine="480" w:firstLineChars="200"/>
              <w:rPr>
                <w:rFonts w:hint="eastAsia"/>
                <w:color w:val="auto"/>
                <w:sz w:val="24"/>
                <w:szCs w:val="24"/>
              </w:rPr>
            </w:pPr>
            <w:r>
              <w:rPr>
                <w:rFonts w:hint="eastAsia"/>
                <w:color w:val="auto"/>
                <w:sz w:val="24"/>
                <w:szCs w:val="24"/>
              </w:rPr>
              <w:t>根据《金坛经济开发区发展规划环境影响报告书》中土地利用规划图，本项目所在地为二类工业用地，与用地规划相符。</w:t>
            </w:r>
          </w:p>
          <w:p>
            <w:pPr>
              <w:spacing w:line="360" w:lineRule="auto"/>
              <w:ind w:left="-4" w:leftChars="-2" w:firstLine="480" w:firstLineChars="200"/>
              <w:rPr>
                <w:rFonts w:hint="eastAsia"/>
                <w:b/>
                <w:color w:val="auto"/>
                <w:sz w:val="24"/>
                <w:szCs w:val="24"/>
              </w:rPr>
            </w:pPr>
            <w:r>
              <w:rPr>
                <w:rFonts w:hint="eastAsia"/>
                <w:color w:val="auto"/>
                <w:sz w:val="24"/>
                <w:szCs w:val="24"/>
              </w:rPr>
              <w:t>综上，本项目符合国家、地方产业政策，符合相关环保法规，项目选址符合区域总体规划。</w:t>
            </w:r>
          </w:p>
          <w:p>
            <w:pPr>
              <w:spacing w:line="360" w:lineRule="auto"/>
              <w:ind w:firstLine="480" w:firstLineChars="200"/>
              <w:rPr>
                <w:b/>
                <w:color w:val="auto"/>
                <w:sz w:val="24"/>
              </w:rPr>
            </w:pPr>
            <w:r>
              <w:rPr>
                <w:rFonts w:hint="eastAsia"/>
                <w:b/>
                <w:color w:val="auto"/>
                <w:sz w:val="24"/>
              </w:rPr>
              <w:t>9</w:t>
            </w:r>
            <w:r>
              <w:rPr>
                <w:b/>
                <w:color w:val="auto"/>
                <w:sz w:val="24"/>
              </w:rPr>
              <w:t>、</w:t>
            </w:r>
            <w:r>
              <w:rPr>
                <w:rFonts w:hint="eastAsia"/>
                <w:b/>
                <w:color w:val="auto"/>
                <w:sz w:val="24"/>
              </w:rPr>
              <w:t>与园区规划及规划环评审查意见相符性分析</w:t>
            </w:r>
            <w:r>
              <w:rPr>
                <w:b/>
                <w:color w:val="auto"/>
                <w:sz w:val="24"/>
              </w:rPr>
              <w:t>：</w:t>
            </w:r>
          </w:p>
          <w:p>
            <w:pPr>
              <w:spacing w:line="360" w:lineRule="auto"/>
              <w:ind w:firstLine="480" w:firstLineChars="200"/>
              <w:rPr>
                <w:color w:val="auto"/>
                <w:sz w:val="24"/>
                <w:szCs w:val="28"/>
              </w:rPr>
            </w:pPr>
            <w:r>
              <w:rPr>
                <w:color w:val="auto"/>
                <w:sz w:val="24"/>
                <w:szCs w:val="28"/>
              </w:rPr>
              <w:t>金坛经济开发区是于1993年经江苏省人民政府批准设立的13个省级开发区之一，位于金坛区东侧，区位优越，交通便捷。首期开发面积为4.8km</w:t>
            </w:r>
            <w:r>
              <w:rPr>
                <w:color w:val="auto"/>
                <w:sz w:val="24"/>
                <w:szCs w:val="28"/>
                <w:vertAlign w:val="superscript"/>
              </w:rPr>
              <w:t>2</w:t>
            </w:r>
            <w:r>
              <w:rPr>
                <w:color w:val="auto"/>
                <w:sz w:val="24"/>
                <w:szCs w:val="28"/>
              </w:rPr>
              <w:t>。</w:t>
            </w:r>
          </w:p>
          <w:p>
            <w:pPr>
              <w:spacing w:line="360" w:lineRule="auto"/>
              <w:ind w:firstLine="480"/>
              <w:rPr>
                <w:color w:val="auto"/>
                <w:sz w:val="24"/>
                <w:szCs w:val="28"/>
              </w:rPr>
            </w:pPr>
            <w:r>
              <w:rPr>
                <w:color w:val="auto"/>
                <w:sz w:val="24"/>
                <w:szCs w:val="28"/>
              </w:rPr>
              <w:t>2002年，江苏省城市规划设计研究院对开发区东部拟开发用地编制了《金坛经济开发区分区规划》，面积47.8km</w:t>
            </w:r>
            <w:r>
              <w:rPr>
                <w:color w:val="auto"/>
                <w:sz w:val="24"/>
                <w:szCs w:val="28"/>
                <w:vertAlign w:val="superscript"/>
              </w:rPr>
              <w:t>2</w:t>
            </w:r>
            <w:r>
              <w:rPr>
                <w:color w:val="auto"/>
                <w:sz w:val="24"/>
                <w:szCs w:val="28"/>
              </w:rPr>
              <w:t>；2006年，江苏省环境科学研究院对47.8 km</w:t>
            </w:r>
            <w:r>
              <w:rPr>
                <w:color w:val="auto"/>
                <w:sz w:val="24"/>
                <w:szCs w:val="28"/>
                <w:vertAlign w:val="superscript"/>
              </w:rPr>
              <w:t>2</w:t>
            </w:r>
            <w:r>
              <w:rPr>
                <w:color w:val="auto"/>
                <w:sz w:val="24"/>
                <w:szCs w:val="28"/>
              </w:rPr>
              <w:t>的开发范围进行环境影响评价工作，编制形成了《金坛经济开发区区域环境影响报告书》，并于同年获得省环保厅《关于对金坛经济开发区区域环境影响报告书的批复》（苏环管〔2006〕142号）。</w:t>
            </w:r>
          </w:p>
          <w:p>
            <w:pPr>
              <w:spacing w:line="360" w:lineRule="auto"/>
              <w:ind w:firstLine="480"/>
              <w:rPr>
                <w:color w:val="auto"/>
                <w:sz w:val="24"/>
                <w:szCs w:val="28"/>
              </w:rPr>
            </w:pPr>
            <w:r>
              <w:rPr>
                <w:color w:val="auto"/>
                <w:sz w:val="24"/>
                <w:szCs w:val="28"/>
              </w:rPr>
              <w:t>2013年，金坛经济开发区管委会委托江苏常环环境科技有限公司对金坛经济开发区（上一轮环评及批复范围47.8 km</w:t>
            </w:r>
            <w:r>
              <w:rPr>
                <w:color w:val="auto"/>
                <w:sz w:val="24"/>
                <w:szCs w:val="28"/>
                <w:vertAlign w:val="superscript"/>
              </w:rPr>
              <w:t>2</w:t>
            </w:r>
            <w:r>
              <w:rPr>
                <w:color w:val="auto"/>
                <w:sz w:val="24"/>
                <w:szCs w:val="28"/>
              </w:rPr>
              <w:t>）进行环境影响跟踪评价工作，编制形成了《金坛经济开发区规划环境影响跟踪评价报告书》，并报江苏省环保厅，完成了专家技术咨询及行政审查。</w:t>
            </w:r>
          </w:p>
          <w:p>
            <w:pPr>
              <w:spacing w:line="360" w:lineRule="auto"/>
              <w:ind w:left="-4" w:leftChars="-2" w:firstLine="480" w:firstLineChars="200"/>
              <w:rPr>
                <w:b/>
                <w:color w:val="auto"/>
                <w:sz w:val="24"/>
                <w:szCs w:val="24"/>
              </w:rPr>
            </w:pPr>
            <w:r>
              <w:rPr>
                <w:color w:val="auto"/>
                <w:sz w:val="24"/>
                <w:szCs w:val="28"/>
              </w:rPr>
              <w:t>2014年，因金坛经济开发区发展需要及规划调整的要求，同时为解决金坛经济开发区现存的环境问题，并充分预防和减轻规划实施过程中可能的不利环境影响，根据《中华人民共和国环境影响评价法》、《规划环境影响评价技术导则（试行）》（HJ/T130-2003）和《规划环境影响评价条例》（中华人民共和国国务院令第559号）等法规文件的要求，金坛经济开发区管理委员会委托江苏常环环境科技有限公司编制完成《金坛经济开发区发展规划环境影响报告书》，并于2015 年5月25日取得了省环保厅审查意见，文号为“苏环审【2015】52号”。</w:t>
            </w:r>
          </w:p>
          <w:p>
            <w:pPr>
              <w:spacing w:line="360" w:lineRule="auto"/>
              <w:ind w:firstLine="480"/>
              <w:rPr>
                <w:color w:val="auto"/>
                <w:sz w:val="24"/>
                <w:szCs w:val="28"/>
              </w:rPr>
            </w:pPr>
            <w:r>
              <w:rPr>
                <w:color w:val="auto"/>
                <w:sz w:val="24"/>
                <w:szCs w:val="28"/>
              </w:rPr>
              <w:t>本项目与金坛经济开发区发展规划环境影响评价审查意见相符性见下表：</w:t>
            </w:r>
          </w:p>
          <w:p>
            <w:pPr>
              <w:pStyle w:val="22"/>
              <w:snapToGrid/>
              <w:spacing w:before="0" w:line="240" w:lineRule="auto"/>
              <w:ind w:firstLine="0"/>
              <w:jc w:val="center"/>
              <w:rPr>
                <w:b/>
                <w:color w:val="auto"/>
                <w:sz w:val="21"/>
                <w:szCs w:val="21"/>
              </w:rPr>
            </w:pPr>
          </w:p>
          <w:p>
            <w:pPr>
              <w:pStyle w:val="22"/>
              <w:snapToGrid/>
              <w:spacing w:before="0" w:line="240" w:lineRule="auto"/>
              <w:ind w:firstLine="0"/>
              <w:jc w:val="center"/>
              <w:rPr>
                <w:b/>
                <w:color w:val="auto"/>
                <w:sz w:val="21"/>
                <w:szCs w:val="21"/>
              </w:rPr>
            </w:pPr>
            <w:r>
              <w:rPr>
                <w:b/>
                <w:color w:val="auto"/>
                <w:sz w:val="21"/>
                <w:szCs w:val="21"/>
              </w:rPr>
              <w:t>表1-</w:t>
            </w:r>
            <w:r>
              <w:rPr>
                <w:rFonts w:hint="eastAsia"/>
                <w:b/>
                <w:color w:val="auto"/>
                <w:sz w:val="21"/>
                <w:szCs w:val="21"/>
              </w:rPr>
              <w:t>7</w:t>
            </w:r>
            <w:r>
              <w:rPr>
                <w:b/>
                <w:color w:val="auto"/>
                <w:sz w:val="21"/>
                <w:szCs w:val="21"/>
              </w:rPr>
              <w:t>本项目与规划环评审查意见相符性分析一览表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10"/>
              <w:gridCol w:w="2816"/>
              <w:gridCol w:w="3765"/>
              <w:gridCol w:w="10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0" w:type="dxa"/>
                  <w:vAlign w:val="center"/>
                </w:tcPr>
                <w:p>
                  <w:pPr>
                    <w:jc w:val="center"/>
                    <w:rPr>
                      <w:b/>
                      <w:color w:val="auto"/>
                      <w:szCs w:val="21"/>
                    </w:rPr>
                  </w:pPr>
                  <w:r>
                    <w:rPr>
                      <w:b/>
                      <w:color w:val="auto"/>
                      <w:szCs w:val="21"/>
                    </w:rPr>
                    <w:t>序号</w:t>
                  </w:r>
                </w:p>
              </w:tc>
              <w:tc>
                <w:tcPr>
                  <w:tcW w:w="2816" w:type="dxa"/>
                  <w:vAlign w:val="center"/>
                </w:tcPr>
                <w:p>
                  <w:pPr>
                    <w:jc w:val="center"/>
                    <w:rPr>
                      <w:b/>
                      <w:color w:val="auto"/>
                      <w:szCs w:val="21"/>
                    </w:rPr>
                  </w:pPr>
                  <w:r>
                    <w:rPr>
                      <w:rFonts w:hint="eastAsia"/>
                      <w:b/>
                      <w:bCs w:val="0"/>
                      <w:color w:val="auto"/>
                      <w:szCs w:val="21"/>
                      <w:lang w:eastAsia="zh-CN"/>
                    </w:rPr>
                    <w:t>报告书</w:t>
                  </w:r>
                  <w:r>
                    <w:rPr>
                      <w:rFonts w:hint="eastAsia"/>
                      <w:b/>
                      <w:bCs w:val="0"/>
                      <w:color w:val="auto"/>
                      <w:szCs w:val="21"/>
                      <w:lang w:val="en-US" w:eastAsia="zh-CN"/>
                    </w:rPr>
                    <w:t>/</w:t>
                  </w:r>
                  <w:r>
                    <w:rPr>
                      <w:b/>
                      <w:bCs w:val="0"/>
                      <w:color w:val="auto"/>
                      <w:szCs w:val="21"/>
                    </w:rPr>
                    <w:t>审查意见要求</w:t>
                  </w:r>
                </w:p>
              </w:tc>
              <w:tc>
                <w:tcPr>
                  <w:tcW w:w="3765" w:type="dxa"/>
                  <w:vAlign w:val="center"/>
                </w:tcPr>
                <w:p>
                  <w:pPr>
                    <w:jc w:val="center"/>
                    <w:rPr>
                      <w:b/>
                      <w:color w:val="auto"/>
                      <w:szCs w:val="21"/>
                    </w:rPr>
                  </w:pPr>
                  <w:r>
                    <w:rPr>
                      <w:b/>
                      <w:color w:val="auto"/>
                      <w:szCs w:val="21"/>
                    </w:rPr>
                    <w:t>本项目</w:t>
                  </w:r>
                </w:p>
              </w:tc>
              <w:tc>
                <w:tcPr>
                  <w:tcW w:w="1021" w:type="dxa"/>
                  <w:vAlign w:val="center"/>
                </w:tcPr>
                <w:p>
                  <w:pPr>
                    <w:jc w:val="center"/>
                    <w:rPr>
                      <w:b/>
                      <w:color w:val="auto"/>
                      <w:szCs w:val="21"/>
                    </w:rPr>
                  </w:pPr>
                  <w:r>
                    <w:rPr>
                      <w:b/>
                      <w:color w:val="auto"/>
                      <w:szCs w:val="21"/>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0" w:type="dxa"/>
                  <w:vAlign w:val="center"/>
                </w:tcPr>
                <w:p>
                  <w:pPr>
                    <w:jc w:val="center"/>
                    <w:rPr>
                      <w:rFonts w:hint="eastAsia" w:eastAsia="宋体"/>
                      <w:color w:val="auto"/>
                      <w:szCs w:val="21"/>
                      <w:lang w:val="en-US" w:eastAsia="zh-CN"/>
                    </w:rPr>
                  </w:pPr>
                  <w:r>
                    <w:rPr>
                      <w:rFonts w:hint="eastAsia"/>
                      <w:color w:val="auto"/>
                      <w:szCs w:val="21"/>
                      <w:lang w:val="en-US" w:eastAsia="zh-CN"/>
                    </w:rPr>
                    <w:t>1</w:t>
                  </w:r>
                </w:p>
              </w:tc>
              <w:tc>
                <w:tcPr>
                  <w:tcW w:w="2816" w:type="dxa"/>
                  <w:vAlign w:val="center"/>
                </w:tcPr>
                <w:p>
                  <w:pPr>
                    <w:jc w:val="both"/>
                    <w:rPr>
                      <w:rFonts w:hint="eastAsia"/>
                      <w:color w:val="auto"/>
                      <w:szCs w:val="21"/>
                    </w:rPr>
                  </w:pPr>
                  <w:r>
                    <w:rPr>
                      <w:rFonts w:hint="eastAsia"/>
                      <w:color w:val="auto"/>
                      <w:szCs w:val="21"/>
                    </w:rPr>
                    <w:t>废水经预处理可达到开发区污水处理厂的接管标准，并确保不影响污水处理厂的处理效果， “三废”排放能实现稳定达标排放</w:t>
                  </w:r>
                  <w:r>
                    <w:rPr>
                      <w:rFonts w:hint="eastAsia"/>
                      <w:color w:val="auto"/>
                      <w:szCs w:val="21"/>
                      <w:lang w:eastAsia="zh-CN"/>
                    </w:rPr>
                    <w:t>；</w:t>
                  </w:r>
                  <w:r>
                    <w:rPr>
                      <w:rFonts w:hint="eastAsia"/>
                      <w:color w:val="auto"/>
                      <w:szCs w:val="21"/>
                    </w:rPr>
                    <w:t>采用有效的回收、回用技术，包括余热利用、物料回收套用、各类废水回用等。</w:t>
                  </w:r>
                </w:p>
                <w:p>
                  <w:pPr>
                    <w:jc w:val="both"/>
                    <w:rPr>
                      <w:color w:val="auto"/>
                      <w:szCs w:val="21"/>
                    </w:rPr>
                  </w:pPr>
                </w:p>
              </w:tc>
              <w:tc>
                <w:tcPr>
                  <w:tcW w:w="3765" w:type="dxa"/>
                  <w:vAlign w:val="center"/>
                </w:tcPr>
                <w:p>
                  <w:pPr>
                    <w:jc w:val="center"/>
                    <w:rPr>
                      <w:color w:val="auto"/>
                      <w:szCs w:val="21"/>
                    </w:rPr>
                  </w:pPr>
                  <w:r>
                    <w:rPr>
                      <w:rFonts w:hint="eastAsia"/>
                      <w:color w:val="auto"/>
                      <w:szCs w:val="21"/>
                    </w:rPr>
                    <w:t>本项目废水达标接管入金坛第二污水处理厂，废气达标排放。项目营运期东、南、北各厂界昼间噪声值均符合《工业企业厂界环境噪声排放标准》中</w:t>
                  </w:r>
                  <w:r>
                    <w:rPr>
                      <w:rFonts w:hint="eastAsia"/>
                      <w:color w:val="auto"/>
                      <w:szCs w:val="21"/>
                      <w:lang w:val="en-US" w:eastAsia="zh-CN"/>
                    </w:rPr>
                    <w:t>2</w:t>
                  </w:r>
                  <w:r>
                    <w:rPr>
                      <w:rFonts w:hint="eastAsia"/>
                      <w:color w:val="auto"/>
                      <w:szCs w:val="21"/>
                    </w:rPr>
                    <w:t>类标准</w:t>
                  </w:r>
                  <w:r>
                    <w:rPr>
                      <w:rFonts w:hint="eastAsia"/>
                      <w:color w:val="auto"/>
                      <w:szCs w:val="21"/>
                      <w:lang w:eastAsia="zh-CN"/>
                    </w:rPr>
                    <w:t>；</w:t>
                  </w:r>
                  <w:r>
                    <w:rPr>
                      <w:rFonts w:hint="eastAsia"/>
                      <w:color w:val="auto"/>
                      <w:szCs w:val="21"/>
                    </w:rPr>
                    <w:t>固废100%处理处置，不外排。</w:t>
                  </w:r>
                </w:p>
              </w:tc>
              <w:tc>
                <w:tcPr>
                  <w:tcW w:w="1021" w:type="dxa"/>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0" w:type="dxa"/>
                  <w:vAlign w:val="center"/>
                </w:tcPr>
                <w:p>
                  <w:pPr>
                    <w:jc w:val="center"/>
                    <w:rPr>
                      <w:rFonts w:hint="eastAsia" w:eastAsia="宋体"/>
                      <w:color w:val="auto"/>
                      <w:szCs w:val="21"/>
                      <w:lang w:eastAsia="zh-CN"/>
                    </w:rPr>
                  </w:pPr>
                  <w:r>
                    <w:rPr>
                      <w:rFonts w:hint="eastAsia"/>
                      <w:color w:val="auto"/>
                      <w:szCs w:val="21"/>
                      <w:lang w:val="en-US" w:eastAsia="zh-CN"/>
                    </w:rPr>
                    <w:t>2</w:t>
                  </w:r>
                </w:p>
              </w:tc>
              <w:tc>
                <w:tcPr>
                  <w:tcW w:w="2816" w:type="dxa"/>
                  <w:vAlign w:val="center"/>
                </w:tcPr>
                <w:p>
                  <w:pPr>
                    <w:jc w:val="center"/>
                    <w:rPr>
                      <w:color w:val="auto"/>
                      <w:szCs w:val="21"/>
                    </w:rPr>
                  </w:pPr>
                  <w:r>
                    <w:rPr>
                      <w:rFonts w:hint="eastAsia"/>
                      <w:color w:val="auto"/>
                      <w:szCs w:val="21"/>
                    </w:rPr>
                    <w:t>进区项目应是科技含量高、产品附加值高、无污染或者污染很轻的项目，其生产工艺、设备和环保设施应达到同类国际先进水平，至少是国内先进水平</w:t>
                  </w:r>
                </w:p>
              </w:tc>
              <w:tc>
                <w:tcPr>
                  <w:tcW w:w="3765" w:type="dxa"/>
                  <w:vAlign w:val="center"/>
                </w:tcPr>
                <w:p>
                  <w:pPr>
                    <w:jc w:val="center"/>
                    <w:rPr>
                      <w:color w:val="auto"/>
                      <w:szCs w:val="21"/>
                    </w:rPr>
                  </w:pPr>
                  <w:r>
                    <w:rPr>
                      <w:color w:val="auto"/>
                      <w:szCs w:val="21"/>
                    </w:rPr>
                    <w:t>本项目</w:t>
                  </w:r>
                  <w:r>
                    <w:rPr>
                      <w:rFonts w:hint="eastAsia"/>
                      <w:color w:val="auto"/>
                      <w:szCs w:val="21"/>
                    </w:rPr>
                    <w:t>产品为手</w:t>
                  </w:r>
                  <w:r>
                    <w:rPr>
                      <w:rFonts w:hint="eastAsia"/>
                      <w:color w:val="auto"/>
                      <w:szCs w:val="21"/>
                      <w:lang w:eastAsia="zh-CN"/>
                    </w:rPr>
                    <w:t>金属结构件</w:t>
                  </w:r>
                  <w:r>
                    <w:rPr>
                      <w:rFonts w:hint="eastAsia"/>
                      <w:color w:val="auto"/>
                      <w:szCs w:val="21"/>
                    </w:rPr>
                    <w:t>，且本项目生产工艺成熟</w:t>
                  </w:r>
                  <w:r>
                    <w:rPr>
                      <w:rFonts w:hint="eastAsia"/>
                      <w:color w:val="auto"/>
                      <w:szCs w:val="21"/>
                      <w:lang w:eastAsia="zh-CN"/>
                    </w:rPr>
                    <w:t>、</w:t>
                  </w:r>
                  <w:r>
                    <w:rPr>
                      <w:rFonts w:hint="eastAsia"/>
                      <w:color w:val="auto"/>
                      <w:szCs w:val="21"/>
                    </w:rPr>
                    <w:t>简单，根据建设单位提供的资料，本项目投产后年产值约</w:t>
                  </w:r>
                  <w:r>
                    <w:rPr>
                      <w:rFonts w:hint="eastAsia"/>
                      <w:color w:val="auto"/>
                      <w:szCs w:val="21"/>
                      <w:lang w:val="en-US" w:eastAsia="zh-CN"/>
                    </w:rPr>
                    <w:t>300</w:t>
                  </w:r>
                  <w:r>
                    <w:rPr>
                      <w:rFonts w:hint="eastAsia"/>
                      <w:color w:val="auto"/>
                      <w:szCs w:val="21"/>
                    </w:rPr>
                    <w:t>万元。经计算，本项目单位GDP水耗为</w:t>
                  </w:r>
                  <w:r>
                    <w:rPr>
                      <w:rFonts w:hint="eastAsia"/>
                      <w:color w:val="auto"/>
                      <w:szCs w:val="21"/>
                      <w:lang w:val="en-US" w:eastAsia="zh-CN"/>
                    </w:rPr>
                    <w:t>3.63</w:t>
                  </w:r>
                  <w:r>
                    <w:rPr>
                      <w:rFonts w:hint="eastAsia"/>
                      <w:color w:val="auto"/>
                      <w:szCs w:val="21"/>
                    </w:rPr>
                    <w:t>m</w:t>
                  </w:r>
                  <w:r>
                    <w:rPr>
                      <w:rFonts w:hint="eastAsia"/>
                      <w:color w:val="auto"/>
                      <w:szCs w:val="21"/>
                      <w:vertAlign w:val="superscript"/>
                    </w:rPr>
                    <w:t>3</w:t>
                  </w:r>
                  <w:r>
                    <w:rPr>
                      <w:rFonts w:hint="eastAsia"/>
                      <w:color w:val="auto"/>
                      <w:szCs w:val="21"/>
                    </w:rPr>
                    <w:t>/万元，单位GDP能耗为</w:t>
                  </w:r>
                  <w:r>
                    <w:rPr>
                      <w:rFonts w:hint="eastAsia"/>
                      <w:color w:val="auto"/>
                      <w:szCs w:val="21"/>
                      <w:lang w:val="en-US" w:eastAsia="zh-CN"/>
                    </w:rPr>
                    <w:t>0.041</w:t>
                  </w:r>
                  <w:r>
                    <w:rPr>
                      <w:rFonts w:hint="eastAsia"/>
                      <w:color w:val="auto"/>
                      <w:szCs w:val="21"/>
                    </w:rPr>
                    <w:t>吨标准煤/万元，均低于《金坛经济开发区发展规划环境影响报告书》中的设计值（参考2030年），即单位GDP水耗为6m</w:t>
                  </w:r>
                  <w:r>
                    <w:rPr>
                      <w:rFonts w:hint="eastAsia"/>
                      <w:color w:val="auto"/>
                      <w:szCs w:val="21"/>
                      <w:vertAlign w:val="superscript"/>
                    </w:rPr>
                    <w:t>3</w:t>
                  </w:r>
                  <w:r>
                    <w:rPr>
                      <w:rFonts w:hint="eastAsia"/>
                      <w:color w:val="auto"/>
                      <w:szCs w:val="21"/>
                    </w:rPr>
                    <w:t>/万元，单位GDP能耗≤0.25吨标准煤/万元，满足开发区的资源指标要求。污染程度较低，装备水平、污染治理技术以及单位产品能耗、物耗</w:t>
                  </w:r>
                  <w:r>
                    <w:rPr>
                      <w:rFonts w:hint="eastAsia"/>
                      <w:color w:val="auto"/>
                      <w:szCs w:val="21"/>
                      <w:lang w:eastAsia="zh-CN"/>
                    </w:rPr>
                    <w:t>，</w:t>
                  </w:r>
                  <w:r>
                    <w:rPr>
                      <w:rFonts w:hint="eastAsia"/>
                      <w:color w:val="auto"/>
                      <w:szCs w:val="21"/>
                    </w:rPr>
                    <w:t>污染物排放</w:t>
                  </w:r>
                  <w:r>
                    <w:rPr>
                      <w:rFonts w:hint="eastAsia"/>
                      <w:color w:val="auto"/>
                      <w:szCs w:val="21"/>
                      <w:lang w:eastAsia="zh-CN"/>
                    </w:rPr>
                    <w:t>较低</w:t>
                  </w:r>
                  <w:r>
                    <w:rPr>
                      <w:rFonts w:hint="eastAsia"/>
                      <w:color w:val="auto"/>
                      <w:szCs w:val="21"/>
                    </w:rPr>
                    <w:t>和资源利用率</w:t>
                  </w:r>
                  <w:r>
                    <w:rPr>
                      <w:rFonts w:hint="eastAsia"/>
                      <w:color w:val="auto"/>
                      <w:szCs w:val="21"/>
                      <w:lang w:eastAsia="zh-CN"/>
                    </w:rPr>
                    <w:t>较低</w:t>
                  </w:r>
                  <w:r>
                    <w:rPr>
                      <w:rFonts w:hint="eastAsia"/>
                      <w:color w:val="auto"/>
                      <w:szCs w:val="21"/>
                    </w:rPr>
                    <w:t>，符合金坛经济开发区产业定位</w:t>
                  </w:r>
                </w:p>
              </w:tc>
              <w:tc>
                <w:tcPr>
                  <w:tcW w:w="1021"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0" w:type="dxa"/>
                  <w:vAlign w:val="center"/>
                </w:tcPr>
                <w:p>
                  <w:pPr>
                    <w:jc w:val="center"/>
                    <w:rPr>
                      <w:rFonts w:hint="eastAsia" w:eastAsia="宋体"/>
                      <w:color w:val="auto"/>
                      <w:szCs w:val="21"/>
                      <w:lang w:eastAsia="zh-CN"/>
                    </w:rPr>
                  </w:pPr>
                  <w:r>
                    <w:rPr>
                      <w:rFonts w:hint="eastAsia"/>
                      <w:color w:val="auto"/>
                      <w:szCs w:val="21"/>
                      <w:lang w:val="en-US" w:eastAsia="zh-CN"/>
                    </w:rPr>
                    <w:t>3</w:t>
                  </w:r>
                </w:p>
              </w:tc>
              <w:tc>
                <w:tcPr>
                  <w:tcW w:w="2816" w:type="dxa"/>
                  <w:vAlign w:val="center"/>
                </w:tcPr>
                <w:p>
                  <w:pPr>
                    <w:jc w:val="center"/>
                    <w:rPr>
                      <w:color w:val="auto"/>
                      <w:szCs w:val="21"/>
                    </w:rPr>
                  </w:pPr>
                  <w:r>
                    <w:rPr>
                      <w:color w:val="auto"/>
                      <w:szCs w:val="21"/>
                    </w:rPr>
                    <w:t>强化恶臭、VOCs等特征污染物的控制与治理，严格控制SO</w:t>
                  </w:r>
                  <w:r>
                    <w:rPr>
                      <w:color w:val="auto"/>
                      <w:szCs w:val="21"/>
                      <w:vertAlign w:val="subscript"/>
                    </w:rPr>
                    <w:t>2</w:t>
                  </w:r>
                  <w:r>
                    <w:rPr>
                      <w:color w:val="auto"/>
                      <w:szCs w:val="21"/>
                    </w:rPr>
                    <w:t>、NO</w:t>
                  </w:r>
                  <w:r>
                    <w:rPr>
                      <w:color w:val="auto"/>
                      <w:szCs w:val="21"/>
                      <w:vertAlign w:val="subscript"/>
                    </w:rPr>
                    <w:t>x</w:t>
                  </w:r>
                  <w:r>
                    <w:rPr>
                      <w:color w:val="auto"/>
                      <w:szCs w:val="21"/>
                    </w:rPr>
                    <w:t>、VOCs等大气污染物排放总量，确保重点区域大气环境质量如期改善与稳定达标。</w:t>
                  </w:r>
                </w:p>
              </w:tc>
              <w:tc>
                <w:tcPr>
                  <w:tcW w:w="3765" w:type="dxa"/>
                  <w:vAlign w:val="center"/>
                </w:tcPr>
                <w:p>
                  <w:pPr>
                    <w:jc w:val="center"/>
                    <w:rPr>
                      <w:color w:val="auto"/>
                      <w:szCs w:val="21"/>
                    </w:rPr>
                  </w:pPr>
                  <w:r>
                    <w:rPr>
                      <w:color w:val="auto"/>
                      <w:szCs w:val="21"/>
                    </w:rPr>
                    <w:t>本项目不涉及SO</w:t>
                  </w:r>
                  <w:r>
                    <w:rPr>
                      <w:color w:val="auto"/>
                      <w:szCs w:val="21"/>
                      <w:vertAlign w:val="subscript"/>
                    </w:rPr>
                    <w:t>2</w:t>
                  </w:r>
                  <w:r>
                    <w:rPr>
                      <w:color w:val="auto"/>
                      <w:szCs w:val="21"/>
                    </w:rPr>
                    <w:t>、NO</w:t>
                  </w:r>
                  <w:r>
                    <w:rPr>
                      <w:color w:val="auto"/>
                      <w:szCs w:val="21"/>
                      <w:vertAlign w:val="subscript"/>
                    </w:rPr>
                    <w:t>x</w:t>
                  </w:r>
                  <w:r>
                    <w:rPr>
                      <w:color w:val="auto"/>
                      <w:szCs w:val="21"/>
                    </w:rPr>
                    <w:t>的排放</w:t>
                  </w:r>
                  <w:r>
                    <w:rPr>
                      <w:rFonts w:hint="eastAsia"/>
                      <w:color w:val="auto"/>
                      <w:szCs w:val="21"/>
                    </w:rPr>
                    <w:t>，本项目</w:t>
                  </w:r>
                  <w:r>
                    <w:rPr>
                      <w:color w:val="auto"/>
                      <w:szCs w:val="21"/>
                    </w:rPr>
                    <w:t>有机废气经“</w:t>
                  </w:r>
                  <w:r>
                    <w:rPr>
                      <w:rFonts w:hint="eastAsia"/>
                      <w:color w:val="auto"/>
                      <w:szCs w:val="21"/>
                    </w:rPr>
                    <w:t>二</w:t>
                  </w:r>
                  <w:r>
                    <w:rPr>
                      <w:color w:val="auto"/>
                      <w:szCs w:val="21"/>
                    </w:rPr>
                    <w:t>活性炭吸附装置”治</w:t>
                  </w:r>
                  <w:r>
                    <w:rPr>
                      <w:rFonts w:hint="eastAsia"/>
                      <w:color w:val="auto"/>
                      <w:szCs w:val="21"/>
                    </w:rPr>
                    <w:t>处理</w:t>
                  </w:r>
                  <w:r>
                    <w:rPr>
                      <w:color w:val="auto"/>
                      <w:szCs w:val="21"/>
                    </w:rPr>
                    <w:t>后通过15米高排气筒</w:t>
                  </w:r>
                  <w:r>
                    <w:rPr>
                      <w:rFonts w:hint="eastAsia"/>
                      <w:color w:val="auto"/>
                      <w:szCs w:val="21"/>
                      <w:lang w:val="en-US" w:eastAsia="zh-CN"/>
                    </w:rPr>
                    <w:t>DA002、DA003</w:t>
                  </w:r>
                  <w:r>
                    <w:rPr>
                      <w:color w:val="auto"/>
                      <w:szCs w:val="21"/>
                    </w:rPr>
                    <w:t>排放。</w:t>
                  </w:r>
                  <w:r>
                    <w:rPr>
                      <w:rFonts w:hint="eastAsia"/>
                      <w:color w:val="auto"/>
                      <w:szCs w:val="21"/>
                    </w:rPr>
                    <w:t>本项目废气经预测可以达标排放，且排放总量低，</w:t>
                  </w:r>
                  <w:r>
                    <w:rPr>
                      <w:color w:val="auto"/>
                      <w:szCs w:val="21"/>
                    </w:rPr>
                    <w:t>不会对区域大气环境质量造成明显</w:t>
                  </w:r>
                </w:p>
              </w:tc>
              <w:tc>
                <w:tcPr>
                  <w:tcW w:w="1021"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0" w:type="dxa"/>
                  <w:vAlign w:val="center"/>
                </w:tcPr>
                <w:p>
                  <w:pPr>
                    <w:jc w:val="center"/>
                    <w:rPr>
                      <w:rFonts w:hint="eastAsia" w:eastAsia="宋体"/>
                      <w:color w:val="auto"/>
                      <w:szCs w:val="21"/>
                      <w:lang w:eastAsia="zh-CN"/>
                    </w:rPr>
                  </w:pPr>
                  <w:r>
                    <w:rPr>
                      <w:rFonts w:hint="eastAsia"/>
                      <w:color w:val="auto"/>
                      <w:szCs w:val="21"/>
                      <w:lang w:val="en-US" w:eastAsia="zh-CN"/>
                    </w:rPr>
                    <w:t>4</w:t>
                  </w:r>
                </w:p>
              </w:tc>
              <w:tc>
                <w:tcPr>
                  <w:tcW w:w="2816" w:type="dxa"/>
                  <w:vAlign w:val="center"/>
                </w:tcPr>
                <w:p>
                  <w:pPr>
                    <w:jc w:val="center"/>
                    <w:rPr>
                      <w:color w:val="auto"/>
                      <w:szCs w:val="21"/>
                    </w:rPr>
                  </w:pPr>
                  <w:r>
                    <w:rPr>
                      <w:color w:val="auto"/>
                      <w:szCs w:val="21"/>
                    </w:rPr>
                    <w:t>与钱资荡生态红线区边界邻近2000米内布置为污染程度低的工业项目。</w:t>
                  </w:r>
                </w:p>
              </w:tc>
              <w:tc>
                <w:tcPr>
                  <w:tcW w:w="3765" w:type="dxa"/>
                  <w:vAlign w:val="center"/>
                </w:tcPr>
                <w:p>
                  <w:pPr>
                    <w:jc w:val="center"/>
                    <w:rPr>
                      <w:color w:val="auto"/>
                      <w:szCs w:val="21"/>
                    </w:rPr>
                  </w:pPr>
                  <w:r>
                    <w:rPr>
                      <w:color w:val="auto"/>
                      <w:szCs w:val="21"/>
                    </w:rPr>
                    <w:t>本项目距离钱资荡生态红线区边界</w:t>
                  </w:r>
                  <w:r>
                    <w:rPr>
                      <w:rFonts w:hint="eastAsia"/>
                      <w:color w:val="auto"/>
                      <w:szCs w:val="21"/>
                      <w:lang w:val="en-US" w:eastAsia="zh-CN"/>
                    </w:rPr>
                    <w:t>5800</w:t>
                  </w:r>
                  <w:r>
                    <w:rPr>
                      <w:color w:val="auto"/>
                      <w:szCs w:val="21"/>
                    </w:rPr>
                    <w:t>米，</w:t>
                  </w:r>
                  <w:r>
                    <w:rPr>
                      <w:rFonts w:hint="eastAsia"/>
                      <w:color w:val="auto"/>
                      <w:szCs w:val="21"/>
                    </w:rPr>
                    <w:t>项目排放污染物均得到有效处置，污染物排放总量降为最低，满足环保主管部门指标的要求。项目不涉及重金属排放。生活污水达标排入市政污水处理厂。项目属于“污染程度低的工业项目”。</w:t>
                  </w:r>
                </w:p>
              </w:tc>
              <w:tc>
                <w:tcPr>
                  <w:tcW w:w="1021" w:type="dxa"/>
                  <w:vAlign w:val="center"/>
                </w:tcPr>
                <w:p>
                  <w:pPr>
                    <w:jc w:val="center"/>
                    <w:rPr>
                      <w:color w:val="auto"/>
                      <w:szCs w:val="21"/>
                    </w:rPr>
                  </w:pPr>
                  <w:r>
                    <w:rPr>
                      <w:color w:val="auto"/>
                      <w:szCs w:val="21"/>
                    </w:rPr>
                    <w:t>相符</w:t>
                  </w:r>
                </w:p>
              </w:tc>
            </w:tr>
          </w:tbl>
          <w:p>
            <w:pPr>
              <w:spacing w:line="360" w:lineRule="auto"/>
              <w:ind w:firstLine="480" w:firstLineChars="200"/>
              <w:rPr>
                <w:b/>
                <w:color w:val="auto"/>
                <w:sz w:val="24"/>
                <w:szCs w:val="24"/>
              </w:rPr>
            </w:pPr>
            <w:r>
              <w:rPr>
                <w:rFonts w:hint="eastAsia"/>
                <w:b/>
                <w:color w:val="auto"/>
                <w:sz w:val="24"/>
                <w:szCs w:val="24"/>
              </w:rPr>
              <w:t>10、与相关文件相符性分析：</w:t>
            </w:r>
          </w:p>
          <w:p>
            <w:pPr>
              <w:ind w:firstLine="482"/>
              <w:jc w:val="center"/>
              <w:rPr>
                <w:b/>
                <w:color w:val="auto"/>
                <w:szCs w:val="21"/>
              </w:rPr>
            </w:pPr>
            <w:r>
              <w:rPr>
                <w:b/>
                <w:color w:val="auto"/>
                <w:szCs w:val="21"/>
              </w:rPr>
              <w:t>表1-</w:t>
            </w:r>
            <w:r>
              <w:rPr>
                <w:rFonts w:hint="eastAsia"/>
                <w:b/>
                <w:color w:val="auto"/>
                <w:szCs w:val="21"/>
              </w:rPr>
              <w:t>8</w:t>
            </w:r>
            <w:r>
              <w:rPr>
                <w:b/>
                <w:color w:val="auto"/>
                <w:szCs w:val="21"/>
              </w:rPr>
              <w:t xml:space="preserve"> 本项目与相关文件的相符性分析</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3057"/>
              <w:gridCol w:w="3210"/>
              <w:gridCol w:w="97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Align w:val="center"/>
                </w:tcPr>
                <w:p>
                  <w:pPr>
                    <w:pStyle w:val="386"/>
                    <w:spacing w:line="240" w:lineRule="auto"/>
                    <w:rPr>
                      <w:rFonts w:eastAsia="宋体"/>
                      <w:b/>
                      <w:color w:val="auto"/>
                      <w:szCs w:val="21"/>
                    </w:rPr>
                  </w:pPr>
                  <w:r>
                    <w:rPr>
                      <w:rFonts w:eastAsia="宋体"/>
                      <w:b/>
                      <w:color w:val="auto"/>
                      <w:szCs w:val="21"/>
                    </w:rPr>
                    <w:t>文件</w:t>
                  </w:r>
                </w:p>
              </w:tc>
              <w:tc>
                <w:tcPr>
                  <w:tcW w:w="3057" w:type="dxa"/>
                  <w:vAlign w:val="center"/>
                </w:tcPr>
                <w:p>
                  <w:pPr>
                    <w:pStyle w:val="386"/>
                    <w:spacing w:line="240" w:lineRule="auto"/>
                    <w:rPr>
                      <w:rFonts w:eastAsia="宋体"/>
                      <w:b/>
                      <w:color w:val="auto"/>
                      <w:szCs w:val="21"/>
                    </w:rPr>
                  </w:pPr>
                  <w:r>
                    <w:rPr>
                      <w:rFonts w:eastAsia="宋体"/>
                      <w:b/>
                      <w:color w:val="auto"/>
                      <w:szCs w:val="21"/>
                    </w:rPr>
                    <w:t>与项目相关要求</w:t>
                  </w:r>
                </w:p>
              </w:tc>
              <w:tc>
                <w:tcPr>
                  <w:tcW w:w="3210" w:type="dxa"/>
                  <w:vAlign w:val="center"/>
                </w:tcPr>
                <w:p>
                  <w:pPr>
                    <w:pStyle w:val="386"/>
                    <w:spacing w:line="240" w:lineRule="auto"/>
                    <w:rPr>
                      <w:rFonts w:eastAsia="宋体"/>
                      <w:b/>
                      <w:color w:val="auto"/>
                      <w:szCs w:val="21"/>
                    </w:rPr>
                  </w:pPr>
                  <w:r>
                    <w:rPr>
                      <w:rFonts w:eastAsia="宋体"/>
                      <w:b/>
                      <w:color w:val="auto"/>
                      <w:szCs w:val="21"/>
                    </w:rPr>
                    <w:t>本项目相符性分析</w:t>
                  </w:r>
                </w:p>
              </w:tc>
              <w:tc>
                <w:tcPr>
                  <w:tcW w:w="976" w:type="dxa"/>
                  <w:vAlign w:val="center"/>
                </w:tcPr>
                <w:p>
                  <w:pPr>
                    <w:pStyle w:val="386"/>
                    <w:spacing w:line="240" w:lineRule="auto"/>
                    <w:rPr>
                      <w:rFonts w:eastAsia="宋体"/>
                      <w:b/>
                      <w:color w:val="auto"/>
                      <w:szCs w:val="21"/>
                    </w:rPr>
                  </w:pPr>
                  <w:r>
                    <w:rPr>
                      <w:rFonts w:eastAsia="宋体"/>
                      <w:b/>
                      <w:color w:val="auto"/>
                      <w:szCs w:val="21"/>
                    </w:rPr>
                    <w:t>是否相符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263" w:hRule="atLeast"/>
                <w:jc w:val="center"/>
              </w:trPr>
              <w:tc>
                <w:tcPr>
                  <w:tcW w:w="1069" w:type="dxa"/>
                  <w:vMerge w:val="restart"/>
                  <w:vAlign w:val="center"/>
                </w:tcPr>
                <w:p>
                  <w:pPr>
                    <w:pStyle w:val="386"/>
                    <w:spacing w:line="240" w:lineRule="auto"/>
                    <w:jc w:val="both"/>
                    <w:rPr>
                      <w:rFonts w:eastAsia="宋体"/>
                      <w:b/>
                      <w:color w:val="auto"/>
                      <w:szCs w:val="21"/>
                    </w:rPr>
                  </w:pPr>
                  <w:r>
                    <w:rPr>
                      <w:rFonts w:hint="eastAsia" w:eastAsia="宋体"/>
                      <w:b/>
                      <w:color w:val="auto"/>
                      <w:szCs w:val="21"/>
                    </w:rPr>
                    <w:t>江苏省大气污染物防治条例</w:t>
                  </w: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禁止使用列入淘汰名录的高污染工艺设备。淘汰的高污染工艺设备，企业不得转让给他人使用</w:t>
                  </w:r>
                </w:p>
              </w:tc>
              <w:tc>
                <w:tcPr>
                  <w:tcW w:w="3210" w:type="dxa"/>
                  <w:vAlign w:val="center"/>
                </w:tcPr>
                <w:p>
                  <w:pPr>
                    <w:pStyle w:val="386"/>
                    <w:spacing w:line="240" w:lineRule="auto"/>
                    <w:jc w:val="both"/>
                    <w:rPr>
                      <w:rFonts w:eastAsia="宋体"/>
                      <w:color w:val="auto"/>
                      <w:szCs w:val="21"/>
                    </w:rPr>
                  </w:pPr>
                  <w:r>
                    <w:rPr>
                      <w:rFonts w:hint="eastAsia" w:eastAsia="宋体"/>
                      <w:color w:val="auto"/>
                      <w:szCs w:val="21"/>
                    </w:rPr>
                    <w:t>本项目设备不属于高污染、淘汰的工艺设备</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企业应当使用资源利用率高、污染物排放量少的工艺、设备，采用最佳实用大气污染控制技术，减少大气污染物的产生</w:t>
                  </w:r>
                </w:p>
              </w:tc>
              <w:tc>
                <w:tcPr>
                  <w:tcW w:w="3210" w:type="dxa"/>
                  <w:vAlign w:val="center"/>
                </w:tcPr>
                <w:p>
                  <w:pPr>
                    <w:pStyle w:val="386"/>
                    <w:spacing w:line="240" w:lineRule="auto"/>
                    <w:jc w:val="both"/>
                    <w:rPr>
                      <w:rFonts w:eastAsia="宋体"/>
                      <w:color w:val="auto"/>
                      <w:szCs w:val="21"/>
                    </w:rPr>
                  </w:pPr>
                  <w:r>
                    <w:rPr>
                      <w:rFonts w:hint="eastAsia" w:eastAsia="宋体"/>
                      <w:color w:val="auto"/>
                      <w:szCs w:val="21"/>
                    </w:rPr>
                    <w:t>本项目加工粉尘经各自带的引风装置和布袋除尘器处理后经15m排气筒DA001高空排放；喷塑工序产生的颗粒物经带滤简除尘设施处理后，与经二级活性炭吸附装置处理的固化废气非甲烷总烃经15m高排气筒DA002排放；喷锌废气经布袋除尘器处理后，喷漆房废气经干式喷漆柜+二级活性炭吸附装置处理后，共同通过15m高排气筒DA003高空排放。活性炭使用资源利用率高，吸附效率可达90%，满足上述需求</w:t>
                  </w:r>
                </w:p>
              </w:tc>
              <w:tc>
                <w:tcPr>
                  <w:tcW w:w="976"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产生挥发性有机物废气的生产经营活动，应当在密闭空间或者设备中进行，并设置废气收集和处理系统等污染防治设施，保持其正常使用</w:t>
                  </w:r>
                </w:p>
              </w:tc>
              <w:tc>
                <w:tcPr>
                  <w:tcW w:w="3210" w:type="dxa"/>
                  <w:vAlign w:val="center"/>
                </w:tcPr>
                <w:p>
                  <w:pPr>
                    <w:pStyle w:val="386"/>
                    <w:spacing w:line="240" w:lineRule="auto"/>
                    <w:jc w:val="both"/>
                    <w:rPr>
                      <w:rFonts w:hint="eastAsia" w:eastAsia="宋体"/>
                      <w:color w:val="auto"/>
                      <w:szCs w:val="21"/>
                      <w:lang w:eastAsia="zh-CN"/>
                    </w:rPr>
                  </w:pPr>
                  <w:r>
                    <w:rPr>
                      <w:rFonts w:hint="eastAsia" w:eastAsia="宋体"/>
                      <w:color w:val="auto"/>
                      <w:szCs w:val="21"/>
                      <w:lang w:eastAsia="zh-CN"/>
                    </w:rPr>
                    <w:t>本项目</w:t>
                  </w:r>
                  <w:r>
                    <w:rPr>
                      <w:rFonts w:hint="eastAsia" w:eastAsia="宋体"/>
                      <w:color w:val="auto"/>
                      <w:szCs w:val="21"/>
                      <w:lang w:val="en-US" w:eastAsia="zh-CN"/>
                    </w:rPr>
                    <w:t>固化工序在喷塑流水线进行，</w:t>
                  </w:r>
                  <w:r>
                    <w:rPr>
                      <w:rFonts w:hint="eastAsia" w:eastAsia="宋体"/>
                      <w:color w:val="auto"/>
                      <w:szCs w:val="21"/>
                      <w:lang w:eastAsia="zh-CN"/>
                    </w:rPr>
                    <w:t>喷漆工序在移动式喷漆房进行，工作状态下，喷漆房密闭生产，</w:t>
                  </w:r>
                  <w:r>
                    <w:rPr>
                      <w:rFonts w:hint="eastAsia" w:eastAsia="宋体"/>
                      <w:color w:val="auto"/>
                      <w:szCs w:val="21"/>
                    </w:rPr>
                    <w:t>废气收集和处理系统等污染防治设施正常使用</w:t>
                  </w:r>
                </w:p>
              </w:tc>
              <w:tc>
                <w:tcPr>
                  <w:tcW w:w="976"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69" w:type="dxa"/>
                  <w:vMerge w:val="restart"/>
                  <w:vAlign w:val="center"/>
                </w:tcPr>
                <w:p>
                  <w:pPr>
                    <w:pStyle w:val="386"/>
                    <w:spacing w:line="240" w:lineRule="auto"/>
                    <w:jc w:val="both"/>
                    <w:rPr>
                      <w:rFonts w:eastAsia="宋体"/>
                      <w:b/>
                      <w:color w:val="auto"/>
                      <w:szCs w:val="21"/>
                    </w:rPr>
                  </w:pPr>
                  <w:r>
                    <w:rPr>
                      <w:rFonts w:hint="eastAsia" w:eastAsia="宋体"/>
                      <w:b/>
                      <w:color w:val="auto"/>
                      <w:szCs w:val="21"/>
                    </w:rPr>
                    <w:t>《江苏省打赢蓝天保卫战三年行动计划实施方案》的通知</w:t>
                  </w: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深化工业污染治理。持续推进工业污染源全面达标排放，加大超标处罚和联合惩戒力度，未达标排放的企业一律依法停产整治。建立覆盖所有固定污染源的企业排放许可制度，2020年底前完成排污许可分类管理名录规定的行业许可证核发</w:t>
                  </w:r>
                </w:p>
              </w:tc>
              <w:tc>
                <w:tcPr>
                  <w:tcW w:w="3210" w:type="dxa"/>
                  <w:vAlign w:val="center"/>
                </w:tcPr>
                <w:p>
                  <w:pPr>
                    <w:pStyle w:val="386"/>
                    <w:spacing w:line="240" w:lineRule="auto"/>
                    <w:jc w:val="both"/>
                    <w:rPr>
                      <w:rFonts w:eastAsia="宋体"/>
                      <w:color w:val="auto"/>
                      <w:szCs w:val="21"/>
                    </w:rPr>
                  </w:pPr>
                  <w:r>
                    <w:rPr>
                      <w:rFonts w:hint="eastAsia" w:eastAsia="宋体"/>
                      <w:color w:val="auto"/>
                      <w:szCs w:val="21"/>
                    </w:rPr>
                    <w:t>本项目正在进行环境影响评价，本次环评要求建设单位及时完成排污许可分类管理名录规定的行业许可证核发</w:t>
                  </w:r>
                </w:p>
              </w:tc>
              <w:tc>
                <w:tcPr>
                  <w:tcW w:w="976"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全省范围内二氧化硫、氮氧化物、颗粒物、VOCs全面执行大气污染物特别排放限值</w:t>
                  </w:r>
                </w:p>
              </w:tc>
              <w:tc>
                <w:tcPr>
                  <w:tcW w:w="3210" w:type="dxa"/>
                  <w:vAlign w:val="center"/>
                </w:tcPr>
                <w:p>
                  <w:pPr>
                    <w:pStyle w:val="386"/>
                    <w:spacing w:line="240" w:lineRule="auto"/>
                    <w:jc w:val="both"/>
                    <w:rPr>
                      <w:rFonts w:hint="eastAsia" w:eastAsia="仿宋_GB2312"/>
                      <w:color w:val="auto"/>
                      <w:szCs w:val="21"/>
                      <w:lang w:val="en-US" w:eastAsia="zh-CN"/>
                    </w:rPr>
                  </w:pPr>
                  <w:r>
                    <w:rPr>
                      <w:rFonts w:hint="eastAsia" w:eastAsia="宋体"/>
                      <w:color w:val="auto"/>
                      <w:szCs w:val="21"/>
                    </w:rPr>
                    <w:t>本项目不涉及SO</w:t>
                  </w:r>
                  <w:r>
                    <w:rPr>
                      <w:rFonts w:hint="eastAsia" w:eastAsia="宋体"/>
                      <w:color w:val="auto"/>
                      <w:szCs w:val="21"/>
                      <w:vertAlign w:val="subscript"/>
                    </w:rPr>
                    <w:t>2</w:t>
                  </w:r>
                  <w:r>
                    <w:rPr>
                      <w:rFonts w:hint="eastAsia" w:eastAsia="宋体"/>
                      <w:color w:val="auto"/>
                      <w:szCs w:val="21"/>
                    </w:rPr>
                    <w:t>、NOx的排放</w:t>
                  </w:r>
                  <w:r>
                    <w:rPr>
                      <w:rFonts w:hint="eastAsia" w:eastAsia="宋体"/>
                      <w:color w:val="auto"/>
                      <w:szCs w:val="21"/>
                      <w:lang w:eastAsia="zh-CN"/>
                    </w:rPr>
                    <w:t>。</w:t>
                  </w:r>
                  <w:r>
                    <w:rPr>
                      <w:rFonts w:hint="eastAsia" w:eastAsia="宋体"/>
                      <w:color w:val="auto"/>
                      <w:szCs w:val="21"/>
                    </w:rPr>
                    <w:t>本项目要求废气</w:t>
                  </w:r>
                  <w:r>
                    <w:rPr>
                      <w:rFonts w:hint="eastAsia" w:eastAsia="宋体"/>
                      <w:color w:val="auto"/>
                      <w:szCs w:val="21"/>
                      <w:lang w:val="en-US" w:eastAsia="zh-CN"/>
                    </w:rPr>
                    <w:t>非甲烷总烃</w:t>
                  </w:r>
                  <w:r>
                    <w:rPr>
                      <w:rFonts w:hint="eastAsia" w:eastAsia="宋体"/>
                      <w:color w:val="auto"/>
                      <w:szCs w:val="21"/>
                    </w:rPr>
                    <w:t>排放执行《合成树脂工业污染物排放标准》（GB 31572-2015）表5中标准限值</w:t>
                  </w:r>
                  <w:r>
                    <w:rPr>
                      <w:rFonts w:hint="eastAsia" w:eastAsia="宋体"/>
                      <w:color w:val="auto"/>
                      <w:szCs w:val="21"/>
                      <w:lang w:eastAsia="zh-CN"/>
                    </w:rPr>
                    <w:t>，</w:t>
                  </w:r>
                  <w:r>
                    <w:rPr>
                      <w:rFonts w:hint="eastAsia" w:eastAsia="宋体"/>
                      <w:color w:val="auto"/>
                      <w:szCs w:val="21"/>
                      <w:lang w:val="en-US" w:eastAsia="zh-CN"/>
                    </w:rPr>
                    <w:t>VOCs执行《工业企业挥发性有机物排放控制标准》（DB12/524-2020）表1中“表面涂装行业 TRVOC”标准限值；车间外1m：NMHC达到《挥发性有机物无组织排放控制标准》（GB37822-2019）中控制标准</w:t>
                  </w:r>
                  <w:r>
                    <w:rPr>
                      <w:rFonts w:hint="eastAsia" w:eastAsia="宋体"/>
                      <w:color w:val="auto"/>
                      <w:szCs w:val="21"/>
                      <w:lang w:eastAsia="zh-CN"/>
                    </w:rPr>
                    <w:t>；本项目要求</w:t>
                  </w:r>
                  <w:r>
                    <w:rPr>
                      <w:rFonts w:hint="eastAsia" w:eastAsia="宋体"/>
                      <w:color w:val="auto"/>
                      <w:szCs w:val="21"/>
                      <w:lang w:val="en-US" w:eastAsia="zh-CN"/>
                    </w:rPr>
                    <w:t>颗粒物</w:t>
                  </w:r>
                  <w:r>
                    <w:rPr>
                      <w:rFonts w:hint="eastAsia" w:eastAsia="宋体"/>
                      <w:color w:val="auto"/>
                      <w:szCs w:val="21"/>
                      <w:lang w:eastAsia="zh-CN"/>
                    </w:rPr>
                    <w:t>（</w:t>
                  </w:r>
                  <w:r>
                    <w:rPr>
                      <w:rFonts w:hint="eastAsia" w:eastAsia="宋体"/>
                      <w:color w:val="auto"/>
                      <w:szCs w:val="21"/>
                      <w:lang w:val="en-US" w:eastAsia="zh-CN"/>
                    </w:rPr>
                    <w:t>DA001、DA003</w:t>
                  </w:r>
                  <w:r>
                    <w:rPr>
                      <w:rFonts w:hint="eastAsia" w:eastAsia="宋体"/>
                      <w:color w:val="auto"/>
                      <w:szCs w:val="21"/>
                      <w:lang w:eastAsia="zh-CN"/>
                    </w:rPr>
                    <w:t>）排放执行《大气污染物综合排放标准》（GB16297-1996）表2新污染源大气污染物排放限值中二级标准，</w:t>
                  </w:r>
                  <w:r>
                    <w:rPr>
                      <w:rFonts w:hint="eastAsia" w:eastAsia="宋体"/>
                      <w:color w:val="auto"/>
                      <w:szCs w:val="21"/>
                      <w:lang w:val="en-US" w:eastAsia="zh-CN"/>
                    </w:rPr>
                    <w:t>颗粒物（DA002）</w:t>
                  </w:r>
                  <w:r>
                    <w:rPr>
                      <w:rFonts w:hint="eastAsia" w:eastAsia="宋体"/>
                      <w:color w:val="auto"/>
                      <w:szCs w:val="21"/>
                      <w:lang w:eastAsia="zh-CN"/>
                    </w:rPr>
                    <w:t>排放执行</w:t>
                  </w:r>
                  <w:r>
                    <w:rPr>
                      <w:rFonts w:hint="eastAsia" w:eastAsia="宋体"/>
                      <w:color w:val="auto"/>
                      <w:szCs w:val="21"/>
                    </w:rPr>
                    <w:t>《大气污染物综合排放标准》（GB 16297-1996）表2中标准限值</w:t>
                  </w:r>
                  <w:r>
                    <w:rPr>
                      <w:rFonts w:hint="eastAsia" w:eastAsia="宋体"/>
                      <w:color w:val="auto"/>
                      <w:szCs w:val="21"/>
                      <w:lang w:val="en-US" w:eastAsia="zh-CN"/>
                    </w:rPr>
                    <w:t>.</w:t>
                  </w:r>
                </w:p>
              </w:tc>
              <w:tc>
                <w:tcPr>
                  <w:tcW w:w="976" w:type="dxa"/>
                  <w:vAlign w:val="center"/>
                </w:tcPr>
                <w:p>
                  <w:pPr>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42" w:hRule="atLeast"/>
                <w:jc w:val="center"/>
              </w:trPr>
              <w:tc>
                <w:tcPr>
                  <w:tcW w:w="1069" w:type="dxa"/>
                  <w:vAlign w:val="center"/>
                </w:tcPr>
                <w:p>
                  <w:pPr>
                    <w:pStyle w:val="386"/>
                    <w:spacing w:line="240" w:lineRule="auto"/>
                    <w:jc w:val="both"/>
                    <w:rPr>
                      <w:rFonts w:eastAsia="宋体"/>
                      <w:b/>
                      <w:color w:val="auto"/>
                      <w:szCs w:val="21"/>
                    </w:rPr>
                  </w:pPr>
                  <w:r>
                    <w:rPr>
                      <w:rFonts w:eastAsia="宋体"/>
                      <w:b/>
                      <w:color w:val="auto"/>
                      <w:szCs w:val="21"/>
                    </w:rPr>
                    <w:t>江苏省“两减六治三提升”环保专项行动方案</w:t>
                  </w: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2</w:t>
                  </w:r>
                  <w:r>
                    <w:rPr>
                      <w:rFonts w:hint="eastAsia" w:ascii="Times New Roman" w:hAnsi="Times New Roman" w:eastAsia="宋体" w:cs="Times New Roman"/>
                      <w:color w:val="auto"/>
                      <w:szCs w:val="21"/>
                    </w:rPr>
                    <w:t>017年底前，包装印刷、集装箱、交通工具、机械设备、人造板、家具、船舶制造等行业，全面使用低VOCs含量的涂料、胶黏剂、清洗剂、油墨替代原有的有机溶剂。机械设备、钢结构制造行业使用高固体分等低VOCs含量涂料替代。</w:t>
                  </w:r>
                </w:p>
              </w:tc>
              <w:tc>
                <w:tcPr>
                  <w:tcW w:w="3210" w:type="dxa"/>
                  <w:vAlign w:val="center"/>
                </w:tcPr>
                <w:p>
                  <w:pPr>
                    <w:pStyle w:val="386"/>
                    <w:spacing w:line="240" w:lineRule="auto"/>
                    <w:jc w:val="both"/>
                    <w:rPr>
                      <w:rFonts w:hint="default" w:eastAsia="宋体"/>
                      <w:color w:val="auto"/>
                      <w:szCs w:val="21"/>
                      <w:lang w:val="en-US" w:eastAsia="zh-CN"/>
                    </w:rPr>
                  </w:pPr>
                  <w:r>
                    <w:rPr>
                      <w:rFonts w:hint="eastAsia" w:eastAsia="宋体"/>
                      <w:color w:val="auto"/>
                      <w:szCs w:val="21"/>
                      <w:lang w:eastAsia="zh-CN"/>
                    </w:rPr>
                    <w:t>本项目喷涂原材料为水性漆、水性固化剂及塑粉，根据</w:t>
                  </w:r>
                  <w:r>
                    <w:rPr>
                      <w:rFonts w:hint="eastAsia" w:eastAsia="宋体"/>
                      <w:color w:val="auto"/>
                      <w:szCs w:val="21"/>
                      <w:lang w:val="en-US" w:eastAsia="zh-CN"/>
                    </w:rPr>
                    <w:t>MSDS可知，上述为高固体分低VOCs含量涂料。</w:t>
                  </w:r>
                </w:p>
              </w:tc>
              <w:tc>
                <w:tcPr>
                  <w:tcW w:w="976" w:type="dxa"/>
                  <w:vAlign w:val="center"/>
                </w:tcPr>
                <w:p>
                  <w:pP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Align w:val="center"/>
                </w:tcPr>
                <w:p>
                  <w:pPr>
                    <w:pStyle w:val="386"/>
                    <w:spacing w:line="240" w:lineRule="auto"/>
                    <w:jc w:val="both"/>
                    <w:rPr>
                      <w:rFonts w:eastAsia="宋体"/>
                      <w:b/>
                      <w:color w:val="auto"/>
                      <w:szCs w:val="21"/>
                    </w:rPr>
                  </w:pPr>
                  <w:r>
                    <w:rPr>
                      <w:rFonts w:eastAsia="宋体"/>
                      <w:b/>
                      <w:color w:val="auto"/>
                      <w:szCs w:val="21"/>
                    </w:rPr>
                    <w:t>《“十三五”挥发性有机物污染防治工作方案》</w:t>
                  </w:r>
                </w:p>
              </w:tc>
              <w:tc>
                <w:tcPr>
                  <w:tcW w:w="3057" w:type="dxa"/>
                  <w:vAlign w:val="center"/>
                </w:tcPr>
                <w:p>
                  <w:pPr>
                    <w:pStyle w:val="386"/>
                    <w:spacing w:line="240" w:lineRule="auto"/>
                    <w:rPr>
                      <w:rFonts w:eastAsia="宋体"/>
                      <w:color w:val="auto"/>
                      <w:szCs w:val="21"/>
                    </w:rPr>
                  </w:pPr>
                  <w:r>
                    <w:rPr>
                      <w:rFonts w:eastAsia="宋体"/>
                      <w:color w:val="auto"/>
                      <w:szCs w:val="21"/>
                    </w:rPr>
                    <w:t>（2）严格建设项目环境准入：新建涉VOCs 排放的工业企业要入园区；新、改、扩建涉VOCs排放项目，应从源头加强控制，使用低（无）VOCs 含量的原辅材料，加强废气收集，安装高效治理设施</w:t>
                  </w:r>
                </w:p>
              </w:tc>
              <w:tc>
                <w:tcPr>
                  <w:tcW w:w="3210" w:type="dxa"/>
                  <w:vAlign w:val="center"/>
                </w:tcPr>
                <w:p>
                  <w:pPr>
                    <w:pStyle w:val="386"/>
                    <w:spacing w:line="240" w:lineRule="auto"/>
                    <w:rPr>
                      <w:rFonts w:eastAsia="宋体"/>
                      <w:color w:val="auto"/>
                      <w:szCs w:val="21"/>
                    </w:rPr>
                  </w:pPr>
                  <w:r>
                    <w:rPr>
                      <w:rFonts w:hint="eastAsia" w:eastAsia="宋体"/>
                      <w:color w:val="auto"/>
                      <w:szCs w:val="21"/>
                    </w:rPr>
                    <w:t>本项目厂区位于常州市金坛区</w:t>
                  </w:r>
                  <w:r>
                    <w:rPr>
                      <w:rFonts w:hint="eastAsia" w:eastAsia="宋体"/>
                      <w:color w:val="auto"/>
                      <w:szCs w:val="21"/>
                      <w:lang w:eastAsia="zh-CN"/>
                    </w:rPr>
                    <w:t>龙湖路</w:t>
                  </w:r>
                  <w:r>
                    <w:rPr>
                      <w:rFonts w:hint="eastAsia" w:eastAsia="宋体"/>
                      <w:color w:val="auto"/>
                      <w:szCs w:val="21"/>
                      <w:lang w:val="en-US" w:eastAsia="zh-CN"/>
                    </w:rPr>
                    <w:t>2</w:t>
                  </w:r>
                  <w:r>
                    <w:rPr>
                      <w:rFonts w:hint="eastAsia" w:eastAsia="宋体"/>
                      <w:color w:val="auto"/>
                      <w:szCs w:val="21"/>
                    </w:rPr>
                    <w:t>号，位于江苏省金坛</w:t>
                  </w:r>
                  <w:r>
                    <w:rPr>
                      <w:rFonts w:hint="eastAsia" w:eastAsia="宋体"/>
                      <w:color w:val="auto"/>
                      <w:szCs w:val="21"/>
                      <w:lang w:eastAsia="zh-CN"/>
                    </w:rPr>
                    <w:t>区经济开发区内，</w:t>
                  </w:r>
                  <w:r>
                    <w:rPr>
                      <w:rStyle w:val="75"/>
                      <w:rFonts w:hint="eastAsia" w:eastAsia="宋体"/>
                      <w:color w:val="auto"/>
                    </w:rPr>
                    <w:t>本项目的采用的是</w:t>
                  </w:r>
                  <w:r>
                    <w:rPr>
                      <w:rStyle w:val="75"/>
                      <w:rFonts w:hint="eastAsia" w:eastAsia="宋体"/>
                      <w:color w:val="auto"/>
                      <w:lang w:eastAsia="zh-CN"/>
                    </w:rPr>
                    <w:t>水性漆、水性固化剂</w:t>
                  </w:r>
                  <w:r>
                    <w:rPr>
                      <w:rStyle w:val="75"/>
                      <w:rFonts w:hint="eastAsia" w:eastAsia="宋体"/>
                      <w:color w:val="auto"/>
                    </w:rPr>
                    <w:t>，属于</w:t>
                  </w:r>
                  <w:r>
                    <w:rPr>
                      <w:rFonts w:eastAsia="宋体"/>
                      <w:color w:val="auto"/>
                      <w:szCs w:val="21"/>
                    </w:rPr>
                    <w:t>低VOCs含量的原辅材料</w:t>
                  </w:r>
                  <w:r>
                    <w:rPr>
                      <w:rFonts w:hint="eastAsia" w:eastAsia="宋体"/>
                      <w:color w:val="auto"/>
                      <w:szCs w:val="21"/>
                    </w:rPr>
                    <w:t>；本项目</w:t>
                  </w:r>
                  <w:r>
                    <w:rPr>
                      <w:rFonts w:hint="eastAsia" w:eastAsia="宋体"/>
                      <w:color w:val="auto"/>
                      <w:szCs w:val="21"/>
                      <w:lang w:eastAsia="zh-CN"/>
                    </w:rPr>
                    <w:t>喷漆</w:t>
                  </w:r>
                  <w:r>
                    <w:rPr>
                      <w:rFonts w:eastAsia="宋体"/>
                      <w:color w:val="auto"/>
                      <w:szCs w:val="21"/>
                    </w:rPr>
                    <w:t>过程中产生的</w:t>
                  </w:r>
                  <w:r>
                    <w:rPr>
                      <w:rFonts w:hint="eastAsia" w:eastAsia="宋体"/>
                      <w:color w:val="auto"/>
                      <w:szCs w:val="21"/>
                      <w:lang w:eastAsia="zh-CN"/>
                    </w:rPr>
                    <w:t>漆雾颗粒及</w:t>
                  </w:r>
                  <w:r>
                    <w:rPr>
                      <w:rFonts w:hint="eastAsia" w:eastAsia="宋体"/>
                      <w:color w:val="auto"/>
                      <w:szCs w:val="21"/>
                    </w:rPr>
                    <w:t>VOCs</w:t>
                  </w:r>
                  <w:r>
                    <w:rPr>
                      <w:rFonts w:eastAsia="宋体"/>
                      <w:color w:val="auto"/>
                      <w:szCs w:val="21"/>
                    </w:rPr>
                    <w:t>经</w:t>
                  </w:r>
                  <w:r>
                    <w:rPr>
                      <w:rFonts w:hint="eastAsia" w:eastAsia="宋体"/>
                      <w:color w:val="auto"/>
                      <w:szCs w:val="21"/>
                      <w:lang w:eastAsia="zh-CN"/>
                    </w:rPr>
                    <w:t>负压收集</w:t>
                  </w:r>
                  <w:r>
                    <w:rPr>
                      <w:rFonts w:hint="eastAsia" w:eastAsia="宋体"/>
                      <w:color w:val="auto"/>
                      <w:szCs w:val="21"/>
                    </w:rPr>
                    <w:t>至</w:t>
                  </w:r>
                  <w:r>
                    <w:rPr>
                      <w:rFonts w:eastAsia="宋体"/>
                      <w:color w:val="auto"/>
                      <w:szCs w:val="21"/>
                    </w:rPr>
                    <w:t>“</w:t>
                  </w:r>
                  <w:r>
                    <w:rPr>
                      <w:rFonts w:hint="eastAsia" w:eastAsia="宋体"/>
                      <w:color w:val="auto"/>
                      <w:szCs w:val="21"/>
                      <w:lang w:eastAsia="zh-CN"/>
                    </w:rPr>
                    <w:t>干式喷漆柜</w:t>
                  </w:r>
                  <w:r>
                    <w:rPr>
                      <w:rFonts w:hint="eastAsia" w:eastAsia="宋体"/>
                      <w:color w:val="auto"/>
                      <w:szCs w:val="21"/>
                      <w:lang w:val="en-US" w:eastAsia="zh-CN"/>
                    </w:rPr>
                    <w:t>+二级活</w:t>
                  </w:r>
                  <w:r>
                    <w:rPr>
                      <w:rFonts w:eastAsia="宋体"/>
                      <w:color w:val="auto"/>
                      <w:szCs w:val="21"/>
                    </w:rPr>
                    <w:t>性炭吸附装置”处理后</w:t>
                  </w:r>
                  <w:r>
                    <w:rPr>
                      <w:rFonts w:hint="eastAsia" w:eastAsia="宋体"/>
                      <w:color w:val="auto"/>
                      <w:szCs w:val="21"/>
                    </w:rPr>
                    <w:t>，通过</w:t>
                  </w:r>
                  <w:r>
                    <w:rPr>
                      <w:rFonts w:hint="eastAsia" w:eastAsia="宋体"/>
                      <w:color w:val="auto"/>
                      <w:szCs w:val="21"/>
                      <w:lang w:val="en-US" w:eastAsia="zh-CN"/>
                    </w:rPr>
                    <w:t>15</w:t>
                  </w:r>
                  <w:r>
                    <w:rPr>
                      <w:rFonts w:hint="eastAsia" w:eastAsia="宋体"/>
                      <w:color w:val="auto"/>
                      <w:szCs w:val="21"/>
                    </w:rPr>
                    <w:t>m排气筒DA00</w:t>
                  </w:r>
                  <w:r>
                    <w:rPr>
                      <w:rFonts w:hint="eastAsia" w:eastAsia="宋体"/>
                      <w:color w:val="auto"/>
                      <w:szCs w:val="21"/>
                      <w:lang w:val="en-US" w:eastAsia="zh-CN"/>
                    </w:rPr>
                    <w:t>3</w:t>
                  </w:r>
                  <w:r>
                    <w:rPr>
                      <w:rFonts w:hint="eastAsia" w:eastAsia="宋体"/>
                      <w:color w:val="auto"/>
                      <w:szCs w:val="21"/>
                    </w:rPr>
                    <w:t>高空排放</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069" w:type="dxa"/>
                  <w:vMerge w:val="restart"/>
                  <w:vAlign w:val="center"/>
                </w:tcPr>
                <w:p>
                  <w:pPr>
                    <w:pStyle w:val="386"/>
                    <w:spacing w:line="240" w:lineRule="auto"/>
                    <w:jc w:val="both"/>
                    <w:rPr>
                      <w:rFonts w:eastAsia="宋体"/>
                      <w:b/>
                      <w:color w:val="auto"/>
                      <w:szCs w:val="21"/>
                    </w:rPr>
                  </w:pPr>
                  <w:r>
                    <w:rPr>
                      <w:rFonts w:eastAsia="宋体"/>
                      <w:b/>
                      <w:color w:val="auto"/>
                      <w:szCs w:val="21"/>
                    </w:rPr>
                    <w:t>《江苏省重点行业挥发性有机物污染控制指南》</w:t>
                  </w:r>
                </w:p>
              </w:tc>
              <w:tc>
                <w:tcPr>
                  <w:tcW w:w="3057" w:type="dxa"/>
                  <w:vAlign w:val="center"/>
                </w:tcPr>
                <w:p>
                  <w:pPr>
                    <w:pStyle w:val="386"/>
                    <w:spacing w:line="240" w:lineRule="auto"/>
                    <w:rPr>
                      <w:rFonts w:eastAsia="宋体"/>
                      <w:color w:val="auto"/>
                      <w:szCs w:val="21"/>
                    </w:rPr>
                  </w:pPr>
                  <w:r>
                    <w:rPr>
                      <w:rFonts w:hint="eastAsia" w:eastAsia="宋体"/>
                      <w:color w:val="auto"/>
                      <w:szCs w:val="21"/>
                    </w:rPr>
                    <w:t>(一)所有产生有机废气污染的企业，应优先采用环保型原辅料、生产工艺和装备，对相应生产单元或设施进行密闭，从源头控制VOCs的产生，减少废气污染物排放。</w:t>
                  </w:r>
                </w:p>
              </w:tc>
              <w:tc>
                <w:tcPr>
                  <w:tcW w:w="3210" w:type="dxa"/>
                  <w:vAlign w:val="center"/>
                </w:tcPr>
                <w:p>
                  <w:pPr>
                    <w:pStyle w:val="386"/>
                    <w:spacing w:line="240" w:lineRule="auto"/>
                    <w:rPr>
                      <w:rFonts w:hint="default" w:eastAsia="宋体"/>
                      <w:color w:val="auto"/>
                      <w:szCs w:val="21"/>
                      <w:lang w:val="en-US" w:eastAsia="zh-CN"/>
                    </w:rPr>
                  </w:pPr>
                  <w:r>
                    <w:rPr>
                      <w:rFonts w:hint="eastAsia" w:eastAsia="宋体"/>
                      <w:color w:val="auto"/>
                      <w:szCs w:val="21"/>
                      <w:lang w:eastAsia="zh-CN"/>
                    </w:rPr>
                    <w:t>本项目的采用的是水性漆、水性固化剂，属于低VOCs含量的原辅材料，生产时喷漆房相对密闭，漆雾颗粒及VOCs经负压收集后经</w:t>
                  </w:r>
                  <w:r>
                    <w:rPr>
                      <w:rFonts w:eastAsia="宋体"/>
                      <w:color w:val="auto"/>
                      <w:szCs w:val="21"/>
                    </w:rPr>
                    <w:t>“</w:t>
                  </w:r>
                  <w:r>
                    <w:rPr>
                      <w:rFonts w:hint="eastAsia" w:eastAsia="宋体"/>
                      <w:color w:val="auto"/>
                      <w:szCs w:val="21"/>
                      <w:lang w:eastAsia="zh-CN"/>
                    </w:rPr>
                    <w:t>干式喷漆柜</w:t>
                  </w:r>
                  <w:r>
                    <w:rPr>
                      <w:rFonts w:hint="eastAsia" w:eastAsia="宋体"/>
                      <w:color w:val="auto"/>
                      <w:szCs w:val="21"/>
                      <w:lang w:val="en-US" w:eastAsia="zh-CN"/>
                    </w:rPr>
                    <w:t>+二级</w:t>
                  </w:r>
                  <w:r>
                    <w:rPr>
                      <w:rFonts w:eastAsia="宋体"/>
                      <w:color w:val="auto"/>
                      <w:szCs w:val="21"/>
                    </w:rPr>
                    <w:t>活性炭吸附装置”处理后</w:t>
                  </w:r>
                  <w:r>
                    <w:rPr>
                      <w:rFonts w:hint="eastAsia" w:eastAsia="宋体"/>
                      <w:color w:val="auto"/>
                      <w:szCs w:val="21"/>
                    </w:rPr>
                    <w:t>，通过</w:t>
                  </w:r>
                  <w:r>
                    <w:rPr>
                      <w:rFonts w:hint="eastAsia" w:eastAsia="宋体"/>
                      <w:color w:val="auto"/>
                      <w:szCs w:val="21"/>
                      <w:lang w:val="en-US" w:eastAsia="zh-CN"/>
                    </w:rPr>
                    <w:t>15</w:t>
                  </w:r>
                  <w:r>
                    <w:rPr>
                      <w:rFonts w:hint="eastAsia" w:eastAsia="宋体"/>
                      <w:color w:val="auto"/>
                      <w:szCs w:val="21"/>
                    </w:rPr>
                    <w:t>m排气筒DA00</w:t>
                  </w:r>
                  <w:r>
                    <w:rPr>
                      <w:rFonts w:hint="eastAsia" w:eastAsia="宋体"/>
                      <w:color w:val="auto"/>
                      <w:szCs w:val="21"/>
                      <w:lang w:val="en-US" w:eastAsia="zh-CN"/>
                    </w:rPr>
                    <w:t>3</w:t>
                  </w:r>
                  <w:r>
                    <w:rPr>
                      <w:rFonts w:hint="eastAsia" w:eastAsia="宋体"/>
                      <w:color w:val="auto"/>
                      <w:szCs w:val="21"/>
                    </w:rPr>
                    <w:t>高空排放</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rPr>
                      <w:rFonts w:ascii="Times New Roman" w:hAnsi="Times New Roman" w:eastAsia="宋体" w:cs="Times New Roman"/>
                      <w:color w:val="auto"/>
                      <w:kern w:val="2"/>
                      <w:sz w:val="21"/>
                      <w:szCs w:val="21"/>
                      <w:lang w:val="en-US" w:eastAsia="zh-CN" w:bidi="ar-SA"/>
                    </w:rPr>
                  </w:pPr>
                  <w:r>
                    <w:rPr>
                      <w:rFonts w:eastAsia="宋体"/>
                      <w:color w:val="auto"/>
                      <w:szCs w:val="21"/>
                    </w:rPr>
                    <w:t>其中有机化工、医药化工、橡胶和塑料制品（有溶剂浸胶工艺）、溶剂型涂料表面涂装、包装印刷业的VOCs总收集、处理率均不低于90%，其他行业原则上不低于75%</w:t>
                  </w:r>
                </w:p>
              </w:tc>
              <w:tc>
                <w:tcPr>
                  <w:tcW w:w="3210" w:type="dxa"/>
                  <w:vAlign w:val="center"/>
                </w:tcPr>
                <w:p>
                  <w:pPr>
                    <w:pStyle w:val="386"/>
                    <w:spacing w:line="240" w:lineRule="auto"/>
                    <w:rPr>
                      <w:rFonts w:ascii="Times New Roman" w:hAnsi="Times New Roman" w:eastAsia="宋体" w:cs="Times New Roman"/>
                      <w:color w:val="auto"/>
                      <w:kern w:val="2"/>
                      <w:sz w:val="21"/>
                      <w:szCs w:val="21"/>
                      <w:lang w:val="en-US" w:eastAsia="zh-CN" w:bidi="ar-SA"/>
                    </w:rPr>
                  </w:pPr>
                  <w:r>
                    <w:rPr>
                      <w:rFonts w:eastAsia="宋体"/>
                      <w:color w:val="auto"/>
                      <w:szCs w:val="21"/>
                    </w:rPr>
                    <w:t>本项目属于</w:t>
                  </w:r>
                  <w:r>
                    <w:rPr>
                      <w:rFonts w:hint="eastAsia" w:eastAsia="宋体"/>
                      <w:color w:val="auto"/>
                      <w:szCs w:val="21"/>
                      <w:lang w:eastAsia="zh-CN"/>
                    </w:rPr>
                    <w:t>金属制造业</w:t>
                  </w:r>
                  <w:r>
                    <w:rPr>
                      <w:rFonts w:hint="eastAsia" w:eastAsia="宋体"/>
                      <w:color w:val="auto"/>
                      <w:szCs w:val="21"/>
                    </w:rPr>
                    <w:t>，</w:t>
                  </w:r>
                  <w:r>
                    <w:rPr>
                      <w:rFonts w:hint="eastAsia" w:eastAsia="宋体"/>
                      <w:color w:val="auto"/>
                      <w:szCs w:val="21"/>
                      <w:lang w:eastAsia="zh-CN"/>
                    </w:rPr>
                    <w:t>项目所用的涂料为水性漆、水性固化剂。</w:t>
                  </w:r>
                  <w:r>
                    <w:rPr>
                      <w:rFonts w:eastAsia="宋体"/>
                      <w:color w:val="auto"/>
                      <w:szCs w:val="21"/>
                    </w:rPr>
                    <w:t>项目</w:t>
                  </w:r>
                  <w:r>
                    <w:rPr>
                      <w:rFonts w:hint="eastAsia" w:eastAsia="宋体"/>
                      <w:color w:val="auto"/>
                      <w:szCs w:val="21"/>
                    </w:rPr>
                    <w:t>VOCs</w:t>
                  </w:r>
                  <w:r>
                    <w:rPr>
                      <w:rFonts w:eastAsia="宋体"/>
                      <w:color w:val="auto"/>
                      <w:szCs w:val="21"/>
                    </w:rPr>
                    <w:t>采用</w:t>
                  </w:r>
                  <w:r>
                    <w:rPr>
                      <w:rFonts w:hint="eastAsia" w:eastAsia="宋体"/>
                      <w:color w:val="auto"/>
                      <w:szCs w:val="21"/>
                    </w:rPr>
                    <w:t>半密闭的</w:t>
                  </w:r>
                  <w:r>
                    <w:rPr>
                      <w:rFonts w:eastAsia="宋体"/>
                      <w:color w:val="auto"/>
                      <w:szCs w:val="21"/>
                    </w:rPr>
                    <w:t>集气罩收集后通过</w:t>
                  </w:r>
                  <w:r>
                    <w:rPr>
                      <w:rFonts w:hint="eastAsia" w:eastAsia="宋体"/>
                      <w:color w:val="auto"/>
                      <w:szCs w:val="21"/>
                    </w:rPr>
                    <w:t>本项目喷漆过程中产生的漆雾颗粒及VOCs经负压收集至“干式喷漆柜+</w:t>
                  </w:r>
                  <w:r>
                    <w:rPr>
                      <w:rFonts w:hint="eastAsia" w:eastAsia="宋体"/>
                      <w:color w:val="auto"/>
                      <w:szCs w:val="21"/>
                      <w:lang w:val="en-US" w:eastAsia="zh-CN"/>
                    </w:rPr>
                    <w:t>二级</w:t>
                  </w:r>
                  <w:r>
                    <w:rPr>
                      <w:rFonts w:hint="eastAsia" w:eastAsia="宋体"/>
                      <w:color w:val="auto"/>
                      <w:szCs w:val="21"/>
                    </w:rPr>
                    <w:t>活性炭吸附装置”处理后收集效率和处理效率不低于</w:t>
                  </w:r>
                  <w:r>
                    <w:rPr>
                      <w:rFonts w:hint="eastAsia" w:eastAsia="宋体"/>
                      <w:color w:val="auto"/>
                      <w:szCs w:val="21"/>
                      <w:lang w:val="en-US" w:eastAsia="zh-CN"/>
                    </w:rPr>
                    <w:t>75</w:t>
                  </w:r>
                  <w:r>
                    <w:rPr>
                      <w:rFonts w:hint="eastAsia" w:eastAsia="宋体"/>
                      <w:color w:val="auto"/>
                      <w:szCs w:val="21"/>
                    </w:rPr>
                    <w:t>%</w:t>
                  </w:r>
                </w:p>
              </w:tc>
              <w:tc>
                <w:tcPr>
                  <w:tcW w:w="976" w:type="dxa"/>
                  <w:vAlign w:val="center"/>
                </w:tcPr>
                <w:p>
                  <w:pPr>
                    <w:spacing w:line="240" w:lineRule="auto"/>
                    <w:jc w:val="center"/>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rPr>
                      <w:rFonts w:hint="eastAsia" w:eastAsia="宋体"/>
                      <w:color w:val="auto"/>
                      <w:szCs w:val="21"/>
                    </w:rPr>
                  </w:pPr>
                  <w:r>
                    <w:rPr>
                      <w:rFonts w:hint="eastAsia" w:eastAsia="宋体"/>
                      <w:color w:val="auto"/>
                      <w:szCs w:val="21"/>
                    </w:rPr>
                    <w:t>根据涂装工艺的不同，鼓励使用水性、高固份、粉末、紫外</w:t>
                  </w:r>
                </w:p>
                <w:p>
                  <w:pPr>
                    <w:pStyle w:val="386"/>
                    <w:spacing w:line="240" w:lineRule="auto"/>
                    <w:rPr>
                      <w:rFonts w:eastAsia="宋体"/>
                      <w:color w:val="auto"/>
                      <w:szCs w:val="21"/>
                    </w:rPr>
                  </w:pPr>
                  <w:r>
                    <w:rPr>
                      <w:rFonts w:hint="eastAsia" w:eastAsia="宋体"/>
                      <w:color w:val="auto"/>
                      <w:szCs w:val="21"/>
                    </w:rPr>
                    <w:t>光固化涂料等低VOCs含量的环保型涂料，限制使用溶剂型涂料</w:t>
                  </w:r>
                </w:p>
              </w:tc>
              <w:tc>
                <w:tcPr>
                  <w:tcW w:w="3210" w:type="dxa"/>
                  <w:vAlign w:val="center"/>
                </w:tcPr>
                <w:p>
                  <w:pPr>
                    <w:pStyle w:val="386"/>
                    <w:spacing w:line="240" w:lineRule="auto"/>
                    <w:rPr>
                      <w:rFonts w:hint="eastAsia" w:eastAsia="宋体"/>
                      <w:color w:val="auto"/>
                      <w:szCs w:val="21"/>
                      <w:lang w:eastAsia="zh-CN"/>
                    </w:rPr>
                  </w:pPr>
                  <w:r>
                    <w:rPr>
                      <w:rFonts w:hint="eastAsia" w:eastAsia="宋体"/>
                      <w:color w:val="auto"/>
                      <w:szCs w:val="21"/>
                      <w:lang w:eastAsia="zh-CN"/>
                    </w:rPr>
                    <w:t>本项目喷涂材料为水性漆和塑粉，属于</w:t>
                  </w:r>
                  <w:r>
                    <w:rPr>
                      <w:rFonts w:hint="eastAsia" w:eastAsia="宋体"/>
                      <w:color w:val="auto"/>
                      <w:szCs w:val="21"/>
                    </w:rPr>
                    <w:t>低VOCs含量的环保型涂料</w:t>
                  </w:r>
                </w:p>
              </w:tc>
              <w:tc>
                <w:tcPr>
                  <w:tcW w:w="976" w:type="dxa"/>
                  <w:vAlign w:val="center"/>
                </w:tcPr>
                <w:p>
                  <w:pPr>
                    <w:spacing w:line="240" w:lineRule="auto"/>
                    <w:jc w:val="center"/>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jc w:val="both"/>
                    <w:rPr>
                      <w:rFonts w:eastAsia="宋体"/>
                      <w:color w:val="auto"/>
                      <w:szCs w:val="21"/>
                    </w:rPr>
                  </w:pPr>
                  <w:r>
                    <w:rPr>
                      <w:rFonts w:hint="eastAsia" w:eastAsia="宋体"/>
                      <w:color w:val="auto"/>
                      <w:szCs w:val="21"/>
                    </w:rPr>
                    <w:t>推广采用静电喷涂、淋涂、辊涂、浸涂等涂装效率较高的涂装工艺，推广汽车行业先进涂装工艺技术的使用，优化喷漆工艺与设备</w:t>
                  </w:r>
                </w:p>
              </w:tc>
              <w:tc>
                <w:tcPr>
                  <w:tcW w:w="3210" w:type="dxa"/>
                  <w:vAlign w:val="center"/>
                </w:tcPr>
                <w:p>
                  <w:pPr>
                    <w:pStyle w:val="386"/>
                    <w:spacing w:line="240" w:lineRule="auto"/>
                    <w:rPr>
                      <w:rFonts w:hint="default" w:eastAsia="宋体"/>
                      <w:color w:val="auto"/>
                      <w:szCs w:val="21"/>
                      <w:lang w:val="en-US" w:eastAsia="zh-CN"/>
                    </w:rPr>
                  </w:pPr>
                  <w:r>
                    <w:rPr>
                      <w:rFonts w:hint="eastAsia" w:eastAsia="宋体"/>
                      <w:color w:val="auto"/>
                      <w:szCs w:val="21"/>
                      <w:lang w:val="en-US" w:eastAsia="zh-CN"/>
                    </w:rPr>
                    <w:t>本项目采用静电喷涂，工艺先进</w:t>
                  </w:r>
                </w:p>
              </w:tc>
              <w:tc>
                <w:tcPr>
                  <w:tcW w:w="976" w:type="dxa"/>
                  <w:vAlign w:val="center"/>
                </w:tcPr>
                <w:p>
                  <w:pPr>
                    <w:spacing w:line="240" w:lineRule="auto"/>
                    <w:jc w:val="center"/>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rPr>
                      <w:rFonts w:hint="eastAsia" w:eastAsia="宋体"/>
                      <w:color w:val="auto"/>
                      <w:szCs w:val="21"/>
                    </w:rPr>
                  </w:pPr>
                  <w:r>
                    <w:rPr>
                      <w:rFonts w:hint="eastAsia" w:eastAsia="宋体"/>
                      <w:color w:val="auto"/>
                      <w:szCs w:val="21"/>
                    </w:rPr>
                    <w:t>喷漆室、流平室和烘干室应设置成完全封闭的围护结构体，配备有机废气收集和处理系统，原则上禁止露天和敞开式喷涂作业。</w:t>
                  </w:r>
                </w:p>
                <w:p>
                  <w:pPr>
                    <w:pStyle w:val="386"/>
                    <w:spacing w:line="240" w:lineRule="auto"/>
                    <w:rPr>
                      <w:rFonts w:eastAsia="宋体"/>
                      <w:color w:val="auto"/>
                      <w:szCs w:val="21"/>
                    </w:rPr>
                  </w:pPr>
                  <w:r>
                    <w:rPr>
                      <w:rFonts w:hint="eastAsia" w:eastAsia="宋体"/>
                      <w:color w:val="auto"/>
                      <w:szCs w:val="21"/>
                    </w:rPr>
                    <w:t>若工艺有特殊要求，不能实现封闭作业，应报环保部门批准。</w:t>
                  </w:r>
                </w:p>
              </w:tc>
              <w:tc>
                <w:tcPr>
                  <w:tcW w:w="3210" w:type="dxa"/>
                  <w:vAlign w:val="center"/>
                </w:tcPr>
                <w:p>
                  <w:pPr>
                    <w:pStyle w:val="386"/>
                    <w:spacing w:line="240" w:lineRule="auto"/>
                    <w:rPr>
                      <w:rFonts w:hint="eastAsia" w:eastAsia="宋体"/>
                      <w:color w:val="auto"/>
                      <w:szCs w:val="21"/>
                      <w:lang w:val="en-US" w:eastAsia="zh-CN"/>
                    </w:rPr>
                  </w:pPr>
                  <w:r>
                    <w:rPr>
                      <w:rFonts w:hint="eastAsia" w:eastAsia="宋体"/>
                      <w:color w:val="auto"/>
                      <w:szCs w:val="21"/>
                      <w:lang w:val="en-US" w:eastAsia="zh-CN"/>
                    </w:rPr>
                    <w:t>本项目设置喷漆房，喷漆和子良晾干工序均在喷漆房进行。喷漆房</w:t>
                  </w:r>
                  <w:r>
                    <w:rPr>
                      <w:rFonts w:hint="eastAsia" w:eastAsia="宋体"/>
                      <w:color w:val="auto"/>
                      <w:szCs w:val="21"/>
                      <w:lang w:eastAsia="zh-CN"/>
                    </w:rPr>
                    <w:t>为</w:t>
                  </w:r>
                  <w:r>
                    <w:rPr>
                      <w:rFonts w:hint="eastAsia" w:eastAsia="宋体"/>
                      <w:color w:val="auto"/>
                      <w:szCs w:val="21"/>
                    </w:rPr>
                    <w:t>完全封闭的围护结构体，</w:t>
                  </w:r>
                  <w:r>
                    <w:rPr>
                      <w:rFonts w:hint="eastAsia" w:eastAsia="宋体"/>
                      <w:color w:val="auto"/>
                      <w:szCs w:val="21"/>
                      <w:lang w:eastAsia="zh-CN"/>
                    </w:rPr>
                    <w:t>喷漆室配备负压收集和“干式喷漆柜+</w:t>
                  </w:r>
                  <w:r>
                    <w:rPr>
                      <w:rFonts w:hint="eastAsia" w:eastAsia="宋体"/>
                      <w:color w:val="auto"/>
                      <w:szCs w:val="21"/>
                      <w:lang w:val="en-US" w:eastAsia="zh-CN"/>
                    </w:rPr>
                    <w:t>二级</w:t>
                  </w:r>
                  <w:r>
                    <w:rPr>
                      <w:rFonts w:hint="eastAsia" w:eastAsia="宋体"/>
                      <w:color w:val="auto"/>
                      <w:szCs w:val="21"/>
                      <w:lang w:eastAsia="zh-CN"/>
                    </w:rPr>
                    <w:t>活性炭吸附装置”处理设备</w:t>
                  </w:r>
                </w:p>
              </w:tc>
              <w:tc>
                <w:tcPr>
                  <w:tcW w:w="976" w:type="dxa"/>
                  <w:vAlign w:val="center"/>
                </w:tcPr>
                <w:p>
                  <w:pPr>
                    <w:spacing w:line="240" w:lineRule="auto"/>
                    <w:jc w:val="center"/>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rPr>
                      <w:rFonts w:hint="eastAsia" w:eastAsia="宋体"/>
                      <w:color w:val="auto"/>
                      <w:szCs w:val="21"/>
                    </w:rPr>
                  </w:pPr>
                  <w:r>
                    <w:rPr>
                      <w:rFonts w:hint="eastAsia" w:eastAsia="宋体"/>
                      <w:color w:val="auto"/>
                      <w:szCs w:val="21"/>
                    </w:rPr>
                    <w:t>喷漆废气应先采用干式过滤高效除漆雾、湿式水帘+多级过滤等工艺进行预处理，再采用转轮吸附浓缩+高温焚烧方式处理，小型涂装企业也可采用蜂窝活性炭吸附-催化燃烧、填料塔吸收、活性炭吸附等多种方式净化后达标排放</w:t>
                  </w:r>
                </w:p>
              </w:tc>
              <w:tc>
                <w:tcPr>
                  <w:tcW w:w="3210" w:type="dxa"/>
                  <w:vAlign w:val="center"/>
                </w:tcPr>
                <w:p>
                  <w:pPr>
                    <w:pStyle w:val="386"/>
                    <w:spacing w:line="240" w:lineRule="auto"/>
                    <w:rPr>
                      <w:rFonts w:hint="default" w:eastAsia="宋体"/>
                      <w:color w:val="auto"/>
                      <w:szCs w:val="21"/>
                      <w:lang w:val="en-US" w:eastAsia="zh-CN"/>
                    </w:rPr>
                  </w:pPr>
                  <w:r>
                    <w:rPr>
                      <w:rFonts w:hint="eastAsia" w:eastAsia="宋体"/>
                      <w:color w:val="auto"/>
                      <w:szCs w:val="21"/>
                      <w:lang w:val="en-US" w:eastAsia="zh-CN"/>
                    </w:rPr>
                    <w:t>本项目</w:t>
                  </w:r>
                  <w:r>
                    <w:rPr>
                      <w:rFonts w:hint="default" w:eastAsia="宋体"/>
                      <w:color w:val="auto"/>
                      <w:szCs w:val="21"/>
                      <w:lang w:val="en-US" w:eastAsia="zh-CN"/>
                    </w:rPr>
                    <w:t>喷漆</w:t>
                  </w:r>
                  <w:r>
                    <w:rPr>
                      <w:rFonts w:hint="eastAsia" w:eastAsia="宋体"/>
                      <w:color w:val="auto"/>
                      <w:szCs w:val="21"/>
                      <w:lang w:val="en-US" w:eastAsia="zh-CN"/>
                    </w:rPr>
                    <w:t>房产生的漆雾颗粒、有机废气VOCs经</w:t>
                  </w:r>
                  <w:r>
                    <w:rPr>
                      <w:rFonts w:hint="default" w:eastAsia="宋体"/>
                      <w:color w:val="auto"/>
                      <w:szCs w:val="21"/>
                      <w:lang w:val="en-US" w:eastAsia="zh-CN"/>
                    </w:rPr>
                    <w:t>配备负压收集和“干式喷漆柜+</w:t>
                  </w:r>
                  <w:r>
                    <w:rPr>
                      <w:rFonts w:hint="eastAsia" w:eastAsia="宋体"/>
                      <w:color w:val="auto"/>
                      <w:szCs w:val="21"/>
                      <w:lang w:val="en-US" w:eastAsia="zh-CN"/>
                    </w:rPr>
                    <w:t>二级</w:t>
                  </w:r>
                  <w:r>
                    <w:rPr>
                      <w:rFonts w:hint="default" w:eastAsia="宋体"/>
                      <w:color w:val="auto"/>
                      <w:szCs w:val="21"/>
                      <w:lang w:val="en-US" w:eastAsia="zh-CN"/>
                    </w:rPr>
                    <w:t>活性炭吸附装置”处理设备</w:t>
                  </w:r>
                  <w:r>
                    <w:rPr>
                      <w:rFonts w:hint="eastAsia" w:eastAsia="宋体"/>
                      <w:color w:val="auto"/>
                      <w:szCs w:val="21"/>
                      <w:lang w:val="en-US" w:eastAsia="zh-CN"/>
                    </w:rPr>
                    <w:t>处理后废气经1根15m排气筒DA003高空达标排放</w:t>
                  </w:r>
                </w:p>
              </w:tc>
              <w:tc>
                <w:tcPr>
                  <w:tcW w:w="976" w:type="dxa"/>
                  <w:vAlign w:val="center"/>
                </w:tcPr>
                <w:p>
                  <w:pPr>
                    <w:spacing w:line="240" w:lineRule="auto"/>
                    <w:jc w:val="center"/>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restart"/>
                  <w:vAlign w:val="center"/>
                </w:tcPr>
                <w:p>
                  <w:pPr>
                    <w:pStyle w:val="386"/>
                    <w:spacing w:line="240" w:lineRule="auto"/>
                    <w:jc w:val="both"/>
                    <w:rPr>
                      <w:rFonts w:eastAsia="宋体"/>
                      <w:b/>
                      <w:color w:val="auto"/>
                      <w:szCs w:val="21"/>
                    </w:rPr>
                  </w:pPr>
                  <w:r>
                    <w:rPr>
                      <w:rFonts w:hint="eastAsia" w:eastAsia="宋体"/>
                      <w:b/>
                      <w:bCs/>
                      <w:color w:val="auto"/>
                      <w:szCs w:val="21"/>
                    </w:rPr>
                    <w:t>“关于印发《重点行业挥发性有机物综合治理方案》的通知”</w:t>
                  </w:r>
                </w:p>
              </w:tc>
              <w:tc>
                <w:tcPr>
                  <w:tcW w:w="3057" w:type="dxa"/>
                  <w:vAlign w:val="center"/>
                </w:tcPr>
                <w:p>
                  <w:pPr>
                    <w:pStyle w:val="386"/>
                    <w:spacing w:line="240" w:lineRule="auto"/>
                    <w:rPr>
                      <w:rFonts w:eastAsia="宋体"/>
                      <w:color w:val="auto"/>
                      <w:szCs w:val="21"/>
                    </w:rPr>
                  </w:pPr>
                  <w:r>
                    <w:rPr>
                      <w:rFonts w:hint="eastAsia" w:eastAsia="宋体"/>
                      <w:color w:val="auto"/>
                      <w:szCs w:val="21"/>
                    </w:rPr>
                    <w:t>强化源头控制，加快使用粉末、水性、高固体分、辐射固化等低VOCs含量的涂料替代溶剂型涂料</w:t>
                  </w:r>
                </w:p>
              </w:tc>
              <w:tc>
                <w:tcPr>
                  <w:tcW w:w="3210" w:type="dxa"/>
                  <w:vAlign w:val="center"/>
                </w:tcPr>
                <w:p>
                  <w:pPr>
                    <w:pStyle w:val="386"/>
                    <w:spacing w:line="240" w:lineRule="auto"/>
                    <w:rPr>
                      <w:rFonts w:eastAsia="宋体"/>
                      <w:color w:val="auto"/>
                      <w:szCs w:val="21"/>
                    </w:rPr>
                  </w:pPr>
                  <w:r>
                    <w:rPr>
                      <w:rFonts w:hint="eastAsia" w:eastAsia="宋体"/>
                      <w:color w:val="auto"/>
                      <w:szCs w:val="21"/>
                    </w:rPr>
                    <w:t>本项目喷涂材料为水性漆和塑粉，属于低VOCs含量的环保型涂料</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pStyle w:val="386"/>
                    <w:spacing w:line="240" w:lineRule="auto"/>
                    <w:jc w:val="both"/>
                    <w:rPr>
                      <w:rFonts w:eastAsia="宋体"/>
                      <w:b/>
                      <w:color w:val="auto"/>
                      <w:szCs w:val="21"/>
                    </w:rPr>
                  </w:pPr>
                </w:p>
              </w:tc>
              <w:tc>
                <w:tcPr>
                  <w:tcW w:w="3057" w:type="dxa"/>
                  <w:vAlign w:val="center"/>
                </w:tcPr>
                <w:p>
                  <w:pPr>
                    <w:pStyle w:val="386"/>
                    <w:spacing w:line="240" w:lineRule="auto"/>
                    <w:rPr>
                      <w:rFonts w:eastAsia="宋体"/>
                      <w:color w:val="auto"/>
                      <w:szCs w:val="21"/>
                    </w:rPr>
                  </w:pPr>
                  <w:r>
                    <w:rPr>
                      <w:rFonts w:hint="eastAsia" w:eastAsia="宋体"/>
                      <w:color w:val="auto"/>
                      <w:szCs w:val="21"/>
                    </w:rPr>
                    <w:t>涂料、稀释剂、清洗剂等原辅材料应密闭存储，调配、使用、回收等过程应采用密闭设备或在密闭空间内操作，采用密闭管道或密闭容器等输送。除大型工件外，禁止敞开式喷涂、晾（风）干作业。除工艺限制外，原则上实行集中调配。调配、喷涂和干燥等VOCs排放工序应配备有效的废气收集系统</w:t>
                  </w:r>
                </w:p>
              </w:tc>
              <w:tc>
                <w:tcPr>
                  <w:tcW w:w="3210" w:type="dxa"/>
                  <w:vAlign w:val="center"/>
                </w:tcPr>
                <w:p>
                  <w:pPr>
                    <w:pStyle w:val="386"/>
                    <w:spacing w:line="240" w:lineRule="auto"/>
                    <w:rPr>
                      <w:rFonts w:eastAsia="宋体"/>
                      <w:color w:val="auto"/>
                      <w:szCs w:val="21"/>
                    </w:rPr>
                  </w:pPr>
                  <w:r>
                    <w:rPr>
                      <w:rFonts w:hint="eastAsia" w:eastAsia="宋体"/>
                      <w:color w:val="auto"/>
                      <w:szCs w:val="21"/>
                    </w:rPr>
                    <w:t>本项目设置</w:t>
                  </w:r>
                  <w:r>
                    <w:rPr>
                      <w:rFonts w:hint="eastAsia" w:eastAsia="宋体"/>
                      <w:color w:val="auto"/>
                      <w:szCs w:val="21"/>
                      <w:lang w:val="en-US" w:eastAsia="zh-CN"/>
                    </w:rPr>
                    <w:t>危化品仓库</w:t>
                  </w:r>
                  <w:r>
                    <w:rPr>
                      <w:rFonts w:hint="eastAsia" w:eastAsia="宋体"/>
                      <w:color w:val="auto"/>
                      <w:szCs w:val="21"/>
                    </w:rPr>
                    <w:t>，密闭储存；本项目喷漆室、流平室和烘干室为完全封闭的围护结构体，喷漆室配备负压收集和“干式喷漆柜+UV光氧+活性炭吸附装置”处理设备</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restart"/>
                  <w:vAlign w:val="center"/>
                </w:tcPr>
                <w:p>
                  <w:pPr>
                    <w:pStyle w:val="386"/>
                    <w:spacing w:line="240" w:lineRule="auto"/>
                    <w:jc w:val="both"/>
                    <w:rPr>
                      <w:rFonts w:eastAsia="宋体"/>
                      <w:color w:val="auto"/>
                      <w:szCs w:val="21"/>
                    </w:rPr>
                  </w:pPr>
                  <w:r>
                    <w:rPr>
                      <w:rFonts w:eastAsia="宋体"/>
                      <w:b/>
                      <w:color w:val="auto"/>
                      <w:szCs w:val="21"/>
                    </w:rPr>
                    <w:t>《国务院关于印发打赢蓝天保卫战三年行动计划的通知》 （国发〔2018〕22号）</w:t>
                  </w:r>
                </w:p>
              </w:tc>
              <w:tc>
                <w:tcPr>
                  <w:tcW w:w="3057" w:type="dxa"/>
                  <w:vAlign w:val="center"/>
                </w:tcPr>
                <w:p>
                  <w:pPr>
                    <w:pStyle w:val="386"/>
                    <w:spacing w:line="240" w:lineRule="auto"/>
                    <w:rPr>
                      <w:rFonts w:eastAsia="宋体"/>
                      <w:color w:val="auto"/>
                      <w:szCs w:val="21"/>
                    </w:rPr>
                  </w:pPr>
                  <w:r>
                    <w:rPr>
                      <w:rFonts w:eastAsia="宋体"/>
                      <w:color w:val="auto"/>
                      <w:szCs w:val="21"/>
                    </w:rPr>
                    <w:t>重点区域严禁新增钢铁、焦化、电解铝、铸造、水泥和平板玻璃等产能；严格执行钢铁、水泥、平板玻璃等行业产能置换实施办法；新、改、扩建涉及大宗物料运输的建设目，原则上不得采用公路运输</w:t>
                  </w:r>
                </w:p>
              </w:tc>
              <w:tc>
                <w:tcPr>
                  <w:tcW w:w="3210" w:type="dxa"/>
                  <w:vAlign w:val="center"/>
                </w:tcPr>
                <w:p>
                  <w:pPr>
                    <w:pStyle w:val="386"/>
                    <w:spacing w:line="240" w:lineRule="auto"/>
                    <w:rPr>
                      <w:rFonts w:eastAsia="宋体"/>
                      <w:color w:val="auto"/>
                      <w:szCs w:val="21"/>
                    </w:rPr>
                  </w:pPr>
                  <w:r>
                    <w:rPr>
                      <w:rFonts w:eastAsia="宋体"/>
                      <w:color w:val="auto"/>
                      <w:szCs w:val="21"/>
                    </w:rPr>
                    <w:t>本项目属于</w:t>
                  </w:r>
                  <w:r>
                    <w:rPr>
                      <w:rFonts w:hint="eastAsia" w:eastAsia="宋体"/>
                      <w:color w:val="auto"/>
                      <w:szCs w:val="21"/>
                    </w:rPr>
                    <w:t>C3311 金属结构制造</w:t>
                  </w:r>
                  <w:r>
                    <w:rPr>
                      <w:rFonts w:eastAsia="宋体"/>
                      <w:color w:val="auto"/>
                      <w:szCs w:val="21"/>
                    </w:rPr>
                    <w:t>，不属于</w:t>
                  </w:r>
                  <w:r>
                    <w:rPr>
                      <w:rFonts w:hint="eastAsia" w:eastAsia="宋体"/>
                      <w:color w:val="auto"/>
                      <w:szCs w:val="21"/>
                    </w:rPr>
                    <w:t>以上</w:t>
                  </w:r>
                  <w:r>
                    <w:rPr>
                      <w:rFonts w:eastAsia="宋体"/>
                      <w:color w:val="auto"/>
                      <w:szCs w:val="21"/>
                    </w:rPr>
                    <w:t>禁止行业。</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pStyle w:val="386"/>
                    <w:spacing w:line="240" w:lineRule="auto"/>
                    <w:rPr>
                      <w:rFonts w:eastAsia="宋体"/>
                      <w:color w:val="auto"/>
                      <w:szCs w:val="21"/>
                    </w:rPr>
                  </w:pPr>
                  <w:r>
                    <w:rPr>
                      <w:rFonts w:eastAsia="宋体"/>
                      <w:color w:val="auto"/>
                      <w:szCs w:val="21"/>
                    </w:rPr>
                    <w:t>推进重点行业污染治理升级改造。重点区域二氧化硫、氮氧化物、颗粒物、挥性有机物（VOC）全面执行大气污染物特别排放限值</w:t>
                  </w:r>
                </w:p>
              </w:tc>
              <w:tc>
                <w:tcPr>
                  <w:tcW w:w="3210" w:type="dxa"/>
                  <w:vAlign w:val="center"/>
                </w:tcPr>
                <w:p>
                  <w:pPr>
                    <w:pStyle w:val="386"/>
                    <w:spacing w:line="240" w:lineRule="auto"/>
                    <w:rPr>
                      <w:rFonts w:eastAsia="宋体"/>
                      <w:color w:val="auto"/>
                      <w:szCs w:val="21"/>
                    </w:rPr>
                  </w:pPr>
                  <w:r>
                    <w:rPr>
                      <w:rFonts w:ascii="Times New Roman" w:hAnsi="Times New Roman" w:eastAsia="宋体" w:cs="Times New Roman"/>
                      <w:color w:val="auto"/>
                      <w:kern w:val="2"/>
                      <w:sz w:val="21"/>
                      <w:szCs w:val="21"/>
                      <w:lang w:val="en-US" w:eastAsia="zh-CN" w:bidi="ar-SA"/>
                    </w:rPr>
                    <w:t>本次环评要求建设单位</w:t>
                  </w:r>
                  <w:r>
                    <w:rPr>
                      <w:rFonts w:hint="eastAsia" w:ascii="Times New Roman" w:hAnsi="Times New Roman" w:eastAsia="宋体" w:cs="Times New Roman"/>
                      <w:color w:val="auto"/>
                      <w:kern w:val="2"/>
                      <w:sz w:val="21"/>
                      <w:szCs w:val="21"/>
                      <w:lang w:val="en-US" w:eastAsia="zh-CN" w:bidi="ar-SA"/>
                    </w:rPr>
                    <w:t>废气VOCs执行《工业企业挥发性有机物排放控制标准》（DB12/524-2020）表1中“表面涂装行业 TRVOC”标准限值，厂区内车间外VOCs无组织排放执行《挥发性有机物无组织</w:t>
                  </w:r>
                  <w:r>
                    <w:rPr>
                      <w:rStyle w:val="75"/>
                      <w:rFonts w:hint="eastAsia" w:eastAsia="宋体"/>
                      <w:color w:val="auto"/>
                    </w:rPr>
                    <w:t>排放控制标准》中附录A表A.1中特别排放限值</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restart"/>
                  <w:vAlign w:val="center"/>
                </w:tcPr>
                <w:p>
                  <w:pPr>
                    <w:pStyle w:val="386"/>
                    <w:spacing w:line="240" w:lineRule="auto"/>
                    <w:jc w:val="both"/>
                    <w:rPr>
                      <w:rFonts w:eastAsia="宋体"/>
                      <w:b/>
                      <w:color w:val="auto"/>
                      <w:szCs w:val="21"/>
                    </w:rPr>
                  </w:pPr>
                  <w:r>
                    <w:rPr>
                      <w:rFonts w:eastAsia="宋体"/>
                      <w:b/>
                      <w:color w:val="auto"/>
                      <w:szCs w:val="21"/>
                    </w:rPr>
                    <w:t>太湖流域管理条例</w:t>
                  </w:r>
                </w:p>
              </w:tc>
              <w:tc>
                <w:tcPr>
                  <w:tcW w:w="3057" w:type="dxa"/>
                  <w:vAlign w:val="center"/>
                </w:tcPr>
                <w:p>
                  <w:pPr>
                    <w:rPr>
                      <w:color w:val="auto"/>
                      <w:szCs w:val="21"/>
                    </w:rPr>
                  </w:pPr>
                  <w:r>
                    <w:rPr>
                      <w:color w:val="auto"/>
                      <w:szCs w:val="21"/>
                    </w:rPr>
                    <w:t>排污单位排放水污染物，不得超过经核定的水污染物排放总量，并应当按照规定设置便于检查、采样的规范化排污口，悬挂标志牌；不得私设暗管或者采取其他规避监管的方式排放水污染物。</w:t>
                  </w:r>
                </w:p>
              </w:tc>
              <w:tc>
                <w:tcPr>
                  <w:tcW w:w="3210" w:type="dxa"/>
                  <w:vAlign w:val="center"/>
                </w:tcPr>
                <w:p>
                  <w:pPr>
                    <w:jc w:val="center"/>
                    <w:rPr>
                      <w:color w:val="auto"/>
                      <w:szCs w:val="21"/>
                    </w:rPr>
                  </w:pPr>
                  <w:r>
                    <w:rPr>
                      <w:color w:val="auto"/>
                      <w:szCs w:val="21"/>
                    </w:rPr>
                    <w:t>本次环评要求建设单位根据要求申请总量，按照规定设置便于检查、采</w:t>
                  </w:r>
                  <w:r>
                    <w:rPr>
                      <w:rFonts w:hint="eastAsia"/>
                      <w:color w:val="auto"/>
                      <w:szCs w:val="21"/>
                    </w:rPr>
                    <w:t>样</w:t>
                  </w:r>
                  <w:r>
                    <w:rPr>
                      <w:color w:val="auto"/>
                      <w:szCs w:val="21"/>
                    </w:rPr>
                    <w:t>的规范化排放口，悬挂标志牌；不得私设暗管或者采取其他规范监管的方式排放水污染物</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禁止在太湖流域设置不符合国家产业政策和水环境综合治理要求的造纸、制革、酒精、淀粉、冶金、酿造、</w:t>
                  </w:r>
                  <w:r>
                    <w:rPr>
                      <w:color w:val="auto"/>
                      <w:szCs w:val="21"/>
                    </w:rPr>
                    <w:cr/>
                  </w:r>
                  <w:r>
                    <w:rPr>
                      <w:color w:val="auto"/>
                      <w:szCs w:val="21"/>
                    </w:rPr>
                    <w:t>染、电镀等排放水污染物的生产项目，现有生产项目不能实现达标排放的，应当依法关闭</w:t>
                  </w:r>
                </w:p>
              </w:tc>
              <w:tc>
                <w:tcPr>
                  <w:tcW w:w="3210" w:type="dxa"/>
                  <w:vAlign w:val="center"/>
                </w:tcPr>
                <w:p>
                  <w:pPr>
                    <w:jc w:val="center"/>
                    <w:rPr>
                      <w:color w:val="auto"/>
                      <w:szCs w:val="21"/>
                    </w:rPr>
                  </w:pPr>
                  <w:r>
                    <w:rPr>
                      <w:color w:val="auto"/>
                      <w:szCs w:val="21"/>
                    </w:rPr>
                    <w:t>本项目从事</w:t>
                  </w:r>
                  <w:r>
                    <w:rPr>
                      <w:rFonts w:hint="eastAsia"/>
                      <w:color w:val="auto"/>
                      <w:szCs w:val="21"/>
                    </w:rPr>
                    <w:t>C3311 金属结构制造</w:t>
                  </w:r>
                  <w:r>
                    <w:rPr>
                      <w:color w:val="auto"/>
                      <w:szCs w:val="21"/>
                    </w:rPr>
                    <w:t>，</w:t>
                  </w:r>
                  <w:r>
                    <w:rPr>
                      <w:rFonts w:hint="eastAsia"/>
                      <w:color w:val="auto"/>
                      <w:szCs w:val="21"/>
                    </w:rPr>
                    <w:t>且本项目无生产废水产生及排放，</w:t>
                  </w:r>
                  <w:r>
                    <w:rPr>
                      <w:color w:val="auto"/>
                      <w:szCs w:val="21"/>
                    </w:rPr>
                    <w:t>不属于太湖流域禁止类项目</w:t>
                  </w:r>
                  <w:r>
                    <w:rPr>
                      <w:rFonts w:hint="eastAsia"/>
                      <w:color w:val="auto"/>
                      <w:szCs w:val="21"/>
                    </w:rPr>
                    <w:t>。</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在太湖流域新设企业应当符合国家规定的清洁生产要求，现有的企业尚未达到清洁生产要求的</w:t>
                  </w:r>
                  <w:r>
                    <w:rPr>
                      <w:color w:val="auto"/>
                      <w:szCs w:val="21"/>
                    </w:rPr>
                    <w:cr/>
                  </w:r>
                  <w:r>
                    <w:rPr>
                      <w:color w:val="auto"/>
                      <w:szCs w:val="21"/>
                    </w:rPr>
                    <w:t>应当按照清洁生产规划要求进行技术改造，两省一市人民政府应当加强监督检查</w:t>
                  </w:r>
                </w:p>
              </w:tc>
              <w:tc>
                <w:tcPr>
                  <w:tcW w:w="3210" w:type="dxa"/>
                  <w:vAlign w:val="center"/>
                </w:tcPr>
                <w:p>
                  <w:pPr>
                    <w:jc w:val="center"/>
                    <w:rPr>
                      <w:color w:val="auto"/>
                      <w:szCs w:val="21"/>
                    </w:rPr>
                  </w:pPr>
                  <w:r>
                    <w:rPr>
                      <w:color w:val="auto"/>
                      <w:szCs w:val="21"/>
                    </w:rPr>
                    <w:t>本项目为新建项目，项目未使用国家淘汰的设备和工艺，符合国家规定的清洁生产的要求</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restart"/>
                  <w:vAlign w:val="center"/>
                </w:tcPr>
                <w:p>
                  <w:pPr>
                    <w:pStyle w:val="386"/>
                    <w:spacing w:line="240" w:lineRule="auto"/>
                    <w:jc w:val="both"/>
                    <w:rPr>
                      <w:rFonts w:eastAsia="宋体"/>
                      <w:b/>
                      <w:color w:val="auto"/>
                      <w:szCs w:val="21"/>
                    </w:rPr>
                  </w:pPr>
                  <w:r>
                    <w:rPr>
                      <w:rFonts w:eastAsia="宋体"/>
                      <w:b/>
                      <w:color w:val="auto"/>
                      <w:szCs w:val="21"/>
                    </w:rPr>
                    <w:t>江苏省太湖水污染防治条例</w:t>
                  </w:r>
                </w:p>
              </w:tc>
              <w:tc>
                <w:tcPr>
                  <w:tcW w:w="3057" w:type="dxa"/>
                  <w:vAlign w:val="center"/>
                </w:tcPr>
                <w:p>
                  <w:pPr>
                    <w:rPr>
                      <w:color w:val="auto"/>
                      <w:szCs w:val="21"/>
                    </w:rPr>
                  </w:pPr>
                  <w:r>
                    <w:rPr>
                      <w:color w:val="auto"/>
                      <w:szCs w:val="21"/>
                    </w:rPr>
                    <w:t>在太湖流域新建、改建、扩建可能产生水污染的建设项目应当依法进行环境影响评价。</w:t>
                  </w:r>
                </w:p>
              </w:tc>
              <w:tc>
                <w:tcPr>
                  <w:tcW w:w="3210" w:type="dxa"/>
                  <w:vAlign w:val="center"/>
                </w:tcPr>
                <w:p>
                  <w:pPr>
                    <w:jc w:val="center"/>
                    <w:rPr>
                      <w:color w:val="auto"/>
                      <w:szCs w:val="21"/>
                    </w:rPr>
                  </w:pPr>
                  <w:r>
                    <w:rPr>
                      <w:color w:val="auto"/>
                      <w:szCs w:val="21"/>
                    </w:rPr>
                    <w:t>本项目目前正在进行环境影响评价</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建设项目的水污染防治设施，应当与主体工程同时设计、同时</w:t>
                  </w:r>
                  <w:r>
                    <w:rPr>
                      <w:color w:val="auto"/>
                      <w:szCs w:val="21"/>
                    </w:rPr>
                    <w:cr/>
                  </w:r>
                  <w:r>
                    <w:rPr>
                      <w:color w:val="auto"/>
                      <w:szCs w:val="21"/>
                    </w:rPr>
                    <w:t>工、同时投入使用</w:t>
                  </w:r>
                </w:p>
              </w:tc>
              <w:tc>
                <w:tcPr>
                  <w:tcW w:w="3210" w:type="dxa"/>
                  <w:vAlign w:val="center"/>
                </w:tcPr>
                <w:p>
                  <w:pPr>
                    <w:jc w:val="center"/>
                    <w:rPr>
                      <w:color w:val="auto"/>
                      <w:szCs w:val="21"/>
                    </w:rPr>
                  </w:pPr>
                  <w:r>
                    <w:rPr>
                      <w:color w:val="auto"/>
                      <w:szCs w:val="21"/>
                    </w:rPr>
                    <w:t>本次环评严格要求建设单位执行“三同时制度”。</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直接或者间接向水体排放污染物的企业事业单位和其他生产经营者</w:t>
                  </w:r>
                  <w:r>
                    <w:rPr>
                      <w:color w:val="auto"/>
                      <w:szCs w:val="21"/>
                    </w:rPr>
                    <w:cr/>
                  </w:r>
                  <w:r>
                    <w:rPr>
                      <w:color w:val="auto"/>
                      <w:szCs w:val="21"/>
                    </w:rPr>
                    <w:t>应当按照国家和省有关规定设置排污口。禁止私设排污口</w:t>
                  </w:r>
                </w:p>
              </w:tc>
              <w:tc>
                <w:tcPr>
                  <w:tcW w:w="3210" w:type="dxa"/>
                  <w:vAlign w:val="center"/>
                </w:tcPr>
                <w:p>
                  <w:pPr>
                    <w:jc w:val="center"/>
                    <w:rPr>
                      <w:color w:val="auto"/>
                      <w:szCs w:val="21"/>
                    </w:rPr>
                  </w:pPr>
                  <w:r>
                    <w:rPr>
                      <w:color w:val="auto"/>
                      <w:szCs w:val="21"/>
                    </w:rPr>
                    <w:t>建单位禁止私排污口</w:t>
                  </w:r>
                  <w:r>
                    <w:rPr>
                      <w:rFonts w:hint="eastAsia"/>
                      <w:color w:val="auto"/>
                      <w:szCs w:val="21"/>
                    </w:rPr>
                    <w:t>，</w:t>
                  </w:r>
                  <w:r>
                    <w:rPr>
                      <w:color w:val="auto"/>
                      <w:szCs w:val="21"/>
                    </w:rPr>
                    <w:t>本次环评要求</w:t>
                  </w:r>
                  <w:r>
                    <w:rPr>
                      <w:rFonts w:hint="eastAsia"/>
                      <w:color w:val="auto"/>
                      <w:szCs w:val="21"/>
                    </w:rPr>
                    <w:t>生活污水依托</w:t>
                  </w:r>
                  <w:r>
                    <w:rPr>
                      <w:rFonts w:hint="eastAsia"/>
                      <w:color w:val="auto"/>
                      <w:szCs w:val="21"/>
                      <w:lang w:eastAsia="zh-CN"/>
                    </w:rPr>
                    <w:t>常州科荣经编有限公司</w:t>
                  </w:r>
                  <w:r>
                    <w:rPr>
                      <w:rFonts w:hint="eastAsia"/>
                      <w:color w:val="auto"/>
                      <w:szCs w:val="21"/>
                    </w:rPr>
                    <w:t>污水排放口。</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各类污水处理设施产生的污泥应当进行安全处置，不得随意堆放和弃置，不得排入水体；属于危险废物的，应当委托有资质的单位处置。污泥的收集、贮存应当符合国家相关规定和标准</w:t>
                  </w:r>
                </w:p>
              </w:tc>
              <w:tc>
                <w:tcPr>
                  <w:tcW w:w="3210" w:type="dxa"/>
                  <w:vAlign w:val="center"/>
                </w:tcPr>
                <w:p>
                  <w:pPr>
                    <w:rPr>
                      <w:color w:val="auto"/>
                      <w:szCs w:val="21"/>
                    </w:rPr>
                  </w:pPr>
                  <w:r>
                    <w:rPr>
                      <w:rFonts w:hint="eastAsia"/>
                      <w:color w:val="auto"/>
                      <w:szCs w:val="21"/>
                    </w:rPr>
                    <w:t>本次环评要求建设单位</w:t>
                  </w:r>
                  <w:r>
                    <w:rPr>
                      <w:color w:val="auto"/>
                      <w:szCs w:val="21"/>
                    </w:rPr>
                    <w:t>固废均分类收集、分类暂存、分类处置。一般固体废弃物执行《一般工业固体废物贮存、处置场污染控制标准》（GB18599-2001）及其修改单；危险废物执行《危险废物贮存污染控制标准》（GB 18597-2001）及其修改单</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069" w:type="dxa"/>
                  <w:vMerge w:val="continue"/>
                  <w:vAlign w:val="center"/>
                </w:tcPr>
                <w:p>
                  <w:pPr>
                    <w:rPr>
                      <w:color w:val="auto"/>
                      <w:szCs w:val="21"/>
                    </w:rPr>
                  </w:pPr>
                </w:p>
              </w:tc>
              <w:tc>
                <w:tcPr>
                  <w:tcW w:w="3057" w:type="dxa"/>
                  <w:vAlign w:val="center"/>
                </w:tcPr>
                <w:p>
                  <w:pPr>
                    <w:rPr>
                      <w:color w:val="auto"/>
                      <w:szCs w:val="21"/>
                    </w:rPr>
                  </w:pPr>
                  <w:r>
                    <w:rPr>
                      <w:color w:val="auto"/>
                      <w:szCs w:val="21"/>
                    </w:rPr>
                    <w:t>太湖流域一、二、三级保护区禁止下列行为：（一）新建、改建、扩建化学制浆造纸、制革、酿造、染料、印染、电镀以及其他排放含磷、氮等污染物的企业和项目，城镇污水集中处理等环境基础设施项目和第四十六条规定的情形除外；</w:t>
                  </w:r>
                </w:p>
                <w:p>
                  <w:pPr>
                    <w:rPr>
                      <w:color w:val="auto"/>
                      <w:szCs w:val="21"/>
                    </w:rPr>
                  </w:pPr>
                  <w:r>
                    <w:rPr>
                      <w:color w:val="auto"/>
                      <w:szCs w:val="21"/>
                    </w:rPr>
                    <w:t>（二）销售、使用含磷洗涤用品；</w:t>
                  </w:r>
                </w:p>
                <w:p>
                  <w:pPr>
                    <w:rPr>
                      <w:color w:val="auto"/>
                      <w:szCs w:val="21"/>
                    </w:rPr>
                  </w:pPr>
                  <w:r>
                    <w:rPr>
                      <w:color w:val="auto"/>
                      <w:szCs w:val="21"/>
                    </w:rPr>
                    <w:t xml:space="preserve">（三）向水体排放或者倾倒油类、酸液、碱液、剧毒废渣废液、含放射性废渣废液、含病原体污水、工业废渣以及其他废弃物； </w:t>
                  </w:r>
                </w:p>
              </w:tc>
              <w:tc>
                <w:tcPr>
                  <w:tcW w:w="3210" w:type="dxa"/>
                  <w:vAlign w:val="center"/>
                </w:tcPr>
                <w:p>
                  <w:pPr>
                    <w:jc w:val="center"/>
                    <w:rPr>
                      <w:color w:val="auto"/>
                      <w:szCs w:val="21"/>
                    </w:rPr>
                  </w:pPr>
                  <w:r>
                    <w:rPr>
                      <w:color w:val="auto"/>
                      <w:szCs w:val="21"/>
                    </w:rPr>
                    <w:t>（一）</w:t>
                  </w:r>
                  <w:r>
                    <w:rPr>
                      <w:rFonts w:hint="eastAsia"/>
                      <w:color w:val="auto"/>
                      <w:szCs w:val="21"/>
                    </w:rPr>
                    <w:t>本项目无生产废水排放；（二）</w:t>
                  </w:r>
                  <w:r>
                    <w:rPr>
                      <w:color w:val="auto"/>
                      <w:szCs w:val="21"/>
                    </w:rPr>
                    <w:t>本项目不属于化学制浆造纸、制革、酿造、染料、印染、电镀以及其他排放含磷、氮等污染物项目；</w:t>
                  </w:r>
                </w:p>
                <w:p>
                  <w:pPr>
                    <w:jc w:val="center"/>
                    <w:rPr>
                      <w:color w:val="auto"/>
                      <w:szCs w:val="21"/>
                    </w:rPr>
                  </w:pPr>
                  <w:r>
                    <w:rPr>
                      <w:color w:val="auto"/>
                      <w:szCs w:val="21"/>
                    </w:rPr>
                    <w:t>（</w:t>
                  </w:r>
                  <w:r>
                    <w:rPr>
                      <w:rFonts w:hint="eastAsia"/>
                      <w:color w:val="auto"/>
                      <w:szCs w:val="21"/>
                    </w:rPr>
                    <w:t>三</w:t>
                  </w:r>
                  <w:r>
                    <w:rPr>
                      <w:color w:val="auto"/>
                      <w:szCs w:val="21"/>
                    </w:rPr>
                    <w:t>）本项目不销售、使用含磷洗涤用品；</w:t>
                  </w:r>
                </w:p>
                <w:p>
                  <w:pPr>
                    <w:jc w:val="center"/>
                    <w:rPr>
                      <w:color w:val="auto"/>
                      <w:szCs w:val="21"/>
                    </w:rPr>
                  </w:pPr>
                  <w:r>
                    <w:rPr>
                      <w:color w:val="auto"/>
                      <w:szCs w:val="21"/>
                    </w:rPr>
                    <w:t>（</w:t>
                  </w:r>
                  <w:r>
                    <w:rPr>
                      <w:rFonts w:hint="eastAsia"/>
                      <w:color w:val="auto"/>
                      <w:szCs w:val="21"/>
                    </w:rPr>
                    <w:t>四</w:t>
                  </w:r>
                  <w:r>
                    <w:rPr>
                      <w:color w:val="auto"/>
                      <w:szCs w:val="21"/>
                    </w:rPr>
                    <w:t>）项目固废分类收集、分类暂存、分类处置。</w:t>
                  </w:r>
                </w:p>
              </w:tc>
              <w:tc>
                <w:tcPr>
                  <w:tcW w:w="976" w:type="dxa"/>
                  <w:vAlign w:val="center"/>
                </w:tcPr>
                <w:p>
                  <w:pPr>
                    <w:pStyle w:val="386"/>
                    <w:spacing w:line="240" w:lineRule="auto"/>
                    <w:rPr>
                      <w:rFonts w:eastAsia="宋体"/>
                      <w:color w:val="auto"/>
                      <w:szCs w:val="21"/>
                    </w:rPr>
                  </w:pPr>
                  <w:r>
                    <w:rPr>
                      <w:rFonts w:eastAsia="宋体"/>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69" w:type="dxa"/>
                  <w:vAlign w:val="center"/>
                </w:tcPr>
                <w:p>
                  <w:pPr>
                    <w:rPr>
                      <w:color w:val="auto"/>
                      <w:szCs w:val="21"/>
                    </w:rPr>
                  </w:pPr>
                  <w:r>
                    <w:rPr>
                      <w:rFonts w:hint="eastAsia"/>
                      <w:b/>
                      <w:bCs/>
                      <w:color w:val="auto"/>
                      <w:szCs w:val="21"/>
                    </w:rPr>
                    <w:t>《省生态环境厅关于进一步做好建设项目环评审批工作的通知》苏环办〔2019〕36号</w:t>
                  </w:r>
                </w:p>
              </w:tc>
              <w:tc>
                <w:tcPr>
                  <w:tcW w:w="3057" w:type="dxa"/>
                  <w:vAlign w:val="center"/>
                </w:tcPr>
                <w:p>
                  <w:pPr>
                    <w:rPr>
                      <w:color w:val="auto"/>
                      <w:szCs w:val="21"/>
                    </w:rPr>
                  </w:pPr>
                  <w:r>
                    <w:rPr>
                      <w:rFonts w:hint="eastAsia"/>
                      <w:color w:val="auto"/>
                      <w:szCs w:val="21"/>
                    </w:rPr>
                    <w:t>有下列情形之一的，不予批准：（1）建设项目类型及其选址、布局、规模等不符合环境保护法律法规和相关法定规划；（2）所在区域环境质量未达到国家或者地方环境质量标准，且建设项目拟采取的措施不能满足区域环境质量改善目标管理要求；（3）建设项目采取的污染防治措施无法确保污染物排放达到国家和地方排放标准，或者未采取必要措施预防和控制生态破坏；（4）改建、扩建和技术改造项目，未针对项目原有环境污染和生态破坏提出有效防止措施；（5）建设项目的环境影响报告书、环境影响报告表的基础资料数据明显不实，内容存在重大缺陷、遗漏，或者环境影响评价结论不明确、不合理。</w:t>
                  </w:r>
                </w:p>
              </w:tc>
              <w:tc>
                <w:tcPr>
                  <w:tcW w:w="3210" w:type="dxa"/>
                  <w:vAlign w:val="center"/>
                </w:tcPr>
                <w:p>
                  <w:pPr>
                    <w:jc w:val="center"/>
                    <w:rPr>
                      <w:color w:val="auto"/>
                      <w:szCs w:val="21"/>
                    </w:rPr>
                  </w:pPr>
                  <w:r>
                    <w:rPr>
                      <w:rFonts w:hint="eastAsia"/>
                      <w:color w:val="auto"/>
                      <w:szCs w:val="21"/>
                    </w:rPr>
                    <w:t>（1）建设项目类型及其选址、布局、规模等符合环境保护法律法规和相关法定规划；（2）项目所在区域已落实相关达标规划要求；（3）建设项目采取的污染防治措施可以确保污染物排放达到国家和地方排放标准；（4）项目为新建项目；（5）建设项目的基础资料数据真实有效，内容不存在重大缺陷、遗漏，环境影响评价结论明确、合理。</w:t>
                  </w:r>
                </w:p>
              </w:tc>
              <w:tc>
                <w:tcPr>
                  <w:tcW w:w="976" w:type="dxa"/>
                  <w:vAlign w:val="center"/>
                </w:tcPr>
                <w:p>
                  <w:pPr>
                    <w:pStyle w:val="386"/>
                    <w:spacing w:line="240" w:lineRule="auto"/>
                    <w:rPr>
                      <w:rFonts w:eastAsia="宋体"/>
                      <w:color w:val="auto"/>
                      <w:szCs w:val="21"/>
                    </w:rPr>
                  </w:pPr>
                  <w:r>
                    <w:rPr>
                      <w:rFonts w:hint="eastAsia" w:eastAsia="宋体"/>
                      <w:color w:val="auto"/>
                      <w:szCs w:val="21"/>
                    </w:rPr>
                    <w:t>相符</w:t>
                  </w:r>
                </w:p>
              </w:tc>
            </w:tr>
          </w:tbl>
          <w:p>
            <w:pPr>
              <w:pStyle w:val="288"/>
              <w:adjustRightInd w:val="0"/>
              <w:snapToGrid w:val="0"/>
              <w:ind w:firstLine="482"/>
              <w:rPr>
                <w:b/>
                <w:color w:val="auto"/>
                <w:kern w:val="2"/>
                <w:szCs w:val="24"/>
              </w:rPr>
            </w:pPr>
            <w:r>
              <w:rPr>
                <w:rFonts w:hint="eastAsia"/>
                <w:b/>
                <w:color w:val="auto"/>
                <w:kern w:val="2"/>
                <w:szCs w:val="24"/>
              </w:rPr>
              <w:t>11</w:t>
            </w:r>
            <w:r>
              <w:rPr>
                <w:b/>
                <w:color w:val="auto"/>
                <w:kern w:val="2"/>
                <w:szCs w:val="24"/>
              </w:rPr>
              <w:t>、“三线一单”相符性分析</w:t>
            </w:r>
          </w:p>
          <w:p>
            <w:pPr>
              <w:pStyle w:val="288"/>
              <w:adjustRightInd w:val="0"/>
              <w:snapToGrid w:val="0"/>
              <w:ind w:firstLine="480"/>
              <w:rPr>
                <w:color w:val="auto"/>
                <w:kern w:val="2"/>
                <w:szCs w:val="24"/>
              </w:rPr>
            </w:pPr>
            <w:r>
              <w:rPr>
                <w:color w:val="auto"/>
                <w:kern w:val="2"/>
                <w:szCs w:val="24"/>
              </w:rPr>
              <w:t>（1）与生态红线区域保护规划的相符性</w:t>
            </w:r>
          </w:p>
          <w:p>
            <w:pPr>
              <w:pStyle w:val="288"/>
              <w:adjustRightInd w:val="0"/>
              <w:snapToGrid w:val="0"/>
              <w:ind w:firstLine="480"/>
              <w:rPr>
                <w:color w:val="auto"/>
                <w:sz w:val="21"/>
                <w:szCs w:val="21"/>
              </w:rPr>
            </w:pPr>
            <w:r>
              <w:rPr>
                <w:color w:val="auto"/>
              </w:rPr>
              <w:t>根据《省政府关于印发江苏省生态空间管控区域规划的通</w:t>
            </w:r>
            <w:r>
              <w:rPr>
                <w:rFonts w:hint="eastAsia"/>
                <w:color w:val="auto"/>
              </w:rPr>
              <w:t>知</w:t>
            </w:r>
            <w:r>
              <w:rPr>
                <w:color w:val="auto"/>
              </w:rPr>
              <w:t>》（</w:t>
            </w:r>
            <w:r>
              <w:rPr>
                <w:rFonts w:hint="eastAsia"/>
                <w:color w:val="auto"/>
              </w:rPr>
              <w:t>苏政发〔2020〕1号</w:t>
            </w:r>
            <w:r>
              <w:rPr>
                <w:color w:val="auto"/>
              </w:rPr>
              <w:t>），对照</w:t>
            </w:r>
            <w:r>
              <w:rPr>
                <w:rFonts w:hint="eastAsia"/>
                <w:color w:val="auto"/>
              </w:rPr>
              <w:t>江苏省生态空间保护区域分布图</w:t>
            </w:r>
            <w:r>
              <w:rPr>
                <w:color w:val="auto"/>
              </w:rPr>
              <w:t>，结合项目地理位置和区域水系</w:t>
            </w:r>
            <w:r>
              <w:rPr>
                <w:color w:val="auto"/>
                <w:szCs w:val="24"/>
              </w:rPr>
              <w:t>，项目</w:t>
            </w:r>
            <w:r>
              <w:rPr>
                <w:rFonts w:hint="eastAsia"/>
                <w:color w:val="auto"/>
                <w:szCs w:val="24"/>
              </w:rPr>
              <w:t>不在国家级生态保护红线和江苏省生态空间管控区域内，</w:t>
            </w:r>
            <w:r>
              <w:rPr>
                <w:color w:val="auto"/>
              </w:rPr>
              <w:t>因此本项目满足江苏省生态红线区域保护规划</w:t>
            </w:r>
            <w:r>
              <w:rPr>
                <w:color w:val="auto"/>
                <w:sz w:val="21"/>
                <w:szCs w:val="21"/>
              </w:rPr>
              <w:t>要求。</w:t>
            </w:r>
          </w:p>
          <w:p>
            <w:pPr>
              <w:pStyle w:val="288"/>
              <w:adjustRightInd w:val="0"/>
              <w:snapToGrid w:val="0"/>
              <w:ind w:firstLine="480"/>
              <w:rPr>
                <w:color w:val="auto"/>
                <w:kern w:val="2"/>
                <w:szCs w:val="24"/>
              </w:rPr>
            </w:pPr>
            <w:r>
              <w:rPr>
                <w:color w:val="auto"/>
                <w:kern w:val="2"/>
                <w:szCs w:val="24"/>
              </w:rPr>
              <w:t>（2）环境质量底线相符性</w:t>
            </w:r>
          </w:p>
          <w:p>
            <w:pPr>
              <w:pStyle w:val="79"/>
              <w:spacing w:after="0" w:line="360" w:lineRule="auto"/>
              <w:ind w:firstLine="480" w:firstLineChars="200"/>
              <w:jc w:val="both"/>
              <w:rPr>
                <w:rFonts w:ascii="Times New Roman" w:hAnsi="Times New Roman" w:cs="Times New Roman"/>
                <w:color w:val="auto"/>
              </w:rPr>
            </w:pPr>
            <w:r>
              <w:rPr>
                <w:rFonts w:ascii="Times New Roman" w:hAnsi="Times New Roman" w:cs="Times New Roman"/>
                <w:color w:val="auto"/>
              </w:rPr>
              <w:t>环境空气</w:t>
            </w:r>
            <w:r>
              <w:rPr>
                <w:rFonts w:hint="eastAsia" w:ascii="Times New Roman" w:hAnsi="Times New Roman" w:cs="Times New Roman"/>
                <w:color w:val="auto"/>
              </w:rPr>
              <w:t>：</w:t>
            </w:r>
            <w:r>
              <w:rPr>
                <w:rFonts w:hint="eastAsia" w:ascii="Times New Roman" w:hAnsi="Times New Roman" w:cs="Times New Roman"/>
                <w:color w:val="auto"/>
                <w:kern w:val="2"/>
              </w:rPr>
              <w:t>根据《常州市生态环境质量报告（2019 年）》，2019年常州市环境空气中SO</w:t>
            </w:r>
            <w:r>
              <w:rPr>
                <w:rFonts w:hint="eastAsia" w:ascii="Times New Roman" w:hAnsi="Times New Roman" w:cs="Times New Roman"/>
                <w:color w:val="auto"/>
                <w:kern w:val="2"/>
                <w:vertAlign w:val="subscript"/>
              </w:rPr>
              <w:t>2</w:t>
            </w:r>
            <w:r>
              <w:rPr>
                <w:rFonts w:hint="eastAsia" w:ascii="Times New Roman" w:hAnsi="Times New Roman" w:cs="Times New Roman"/>
                <w:color w:val="auto"/>
                <w:kern w:val="2"/>
              </w:rPr>
              <w:t>年平均值、NO</w:t>
            </w:r>
            <w:r>
              <w:rPr>
                <w:rFonts w:hint="eastAsia" w:ascii="Times New Roman" w:hAnsi="Times New Roman" w:cs="Times New Roman"/>
                <w:color w:val="auto"/>
                <w:kern w:val="2"/>
                <w:vertAlign w:val="subscript"/>
              </w:rPr>
              <w:t>2</w:t>
            </w:r>
            <w:r>
              <w:rPr>
                <w:rFonts w:hint="eastAsia" w:ascii="Times New Roman" w:hAnsi="Times New Roman" w:cs="Times New Roman"/>
                <w:color w:val="auto"/>
                <w:kern w:val="2"/>
              </w:rPr>
              <w:t>年平均值、PM</w:t>
            </w:r>
            <w:r>
              <w:rPr>
                <w:rFonts w:hint="eastAsia" w:ascii="Times New Roman" w:hAnsi="Times New Roman" w:cs="Times New Roman"/>
                <w:color w:val="auto"/>
                <w:kern w:val="2"/>
                <w:vertAlign w:val="subscript"/>
              </w:rPr>
              <w:t>10</w:t>
            </w:r>
            <w:r>
              <w:rPr>
                <w:rFonts w:hint="eastAsia" w:ascii="Times New Roman" w:hAnsi="Times New Roman" w:cs="Times New Roman"/>
                <w:color w:val="auto"/>
                <w:kern w:val="2"/>
              </w:rPr>
              <w:t>年平均值和 CO的24小时滑动平均值的第95百分位数《环境空气质量标准》（GB3095-2012）中二级标准， PM</w:t>
            </w:r>
            <w:r>
              <w:rPr>
                <w:rFonts w:hint="eastAsia" w:ascii="Times New Roman" w:hAnsi="Times New Roman" w:cs="Times New Roman"/>
                <w:color w:val="auto"/>
                <w:kern w:val="2"/>
                <w:vertAlign w:val="subscript"/>
              </w:rPr>
              <w:t>2.5</w:t>
            </w:r>
            <w:r>
              <w:rPr>
                <w:rFonts w:hint="eastAsia" w:ascii="Times New Roman" w:hAnsi="Times New Roman" w:cs="Times New Roman"/>
                <w:color w:val="auto"/>
                <w:kern w:val="2"/>
              </w:rPr>
              <w:t>年平均值和O</w:t>
            </w:r>
            <w:r>
              <w:rPr>
                <w:rFonts w:hint="eastAsia" w:ascii="Times New Roman" w:hAnsi="Times New Roman" w:cs="Times New Roman"/>
                <w:color w:val="auto"/>
                <w:kern w:val="2"/>
                <w:vertAlign w:val="subscript"/>
              </w:rPr>
              <w:t>3</w:t>
            </w:r>
            <w:r>
              <w:rPr>
                <w:rFonts w:hint="eastAsia" w:ascii="Times New Roman" w:hAnsi="Times New Roman" w:cs="Times New Roman"/>
                <w:color w:val="auto"/>
                <w:kern w:val="2"/>
              </w:rPr>
              <w:t>日最大8小时滑动平均值的第90百分位数超过《环境空气质量标准》（GB3095-2012）中二级标准，因此判定为非达标区域。</w:t>
            </w:r>
            <w:r>
              <w:rPr>
                <w:rFonts w:ascii="Times New Roman" w:hAnsi="Times New Roman" w:cs="Times New Roman"/>
                <w:color w:val="auto"/>
              </w:rPr>
              <w:t>根据大气环境质量达标规划，通过进一步控制二氧化硫排放量，减少氮氧化物的排放量，控制扬尘污染，机动车尾气污染防治等措施，大气环境质量状况可以得到进一步改善。</w:t>
            </w:r>
          </w:p>
          <w:p>
            <w:pPr>
              <w:pStyle w:val="79"/>
              <w:spacing w:after="0" w:line="360" w:lineRule="auto"/>
              <w:ind w:firstLine="480" w:firstLineChars="200"/>
              <w:jc w:val="both"/>
              <w:rPr>
                <w:rFonts w:ascii="Times New Roman" w:hAnsi="Times New Roman" w:cs="Times New Roman"/>
                <w:color w:val="auto"/>
              </w:rPr>
            </w:pPr>
            <w:r>
              <w:rPr>
                <w:rFonts w:ascii="Times New Roman" w:hAnsi="Times New Roman" w:cs="Times New Roman"/>
                <w:color w:val="auto"/>
              </w:rPr>
              <w:t>水环境：本项目污水受纳水体尧塘河2个断面各监测因子均能满足《地表水环境质量标准》（GB3838-2002）</w:t>
            </w:r>
            <w:r>
              <w:rPr>
                <w:rFonts w:hint="eastAsia" w:hAnsi="宋体"/>
                <w:color w:val="auto"/>
              </w:rPr>
              <w:t>Ⅳ</w:t>
            </w:r>
            <w:r>
              <w:rPr>
                <w:rFonts w:ascii="Times New Roman" w:hAnsi="Times New Roman" w:cs="Times New Roman"/>
                <w:color w:val="auto"/>
              </w:rPr>
              <w:t>类水标准要求；</w:t>
            </w:r>
          </w:p>
          <w:p>
            <w:pPr>
              <w:pStyle w:val="79"/>
              <w:spacing w:after="0" w:line="360" w:lineRule="auto"/>
              <w:ind w:firstLine="480" w:firstLineChars="200"/>
              <w:jc w:val="both"/>
              <w:rPr>
                <w:rFonts w:ascii="Times New Roman" w:hAnsi="Times New Roman" w:cs="Times New Roman"/>
                <w:color w:val="auto"/>
              </w:rPr>
            </w:pPr>
            <w:r>
              <w:rPr>
                <w:rFonts w:ascii="Times New Roman" w:hAnsi="Times New Roman" w:cs="Times New Roman"/>
                <w:color w:val="auto"/>
              </w:rPr>
              <w:t>声环境：建设项目所在地各厂界</w:t>
            </w:r>
            <w:r>
              <w:rPr>
                <w:rFonts w:hint="eastAsia" w:ascii="Times New Roman" w:hAnsi="Times New Roman" w:cs="Times New Roman"/>
                <w:color w:val="auto"/>
              </w:rPr>
              <w:t>声环境质量</w:t>
            </w:r>
            <w:r>
              <w:rPr>
                <w:rFonts w:ascii="Times New Roman" w:hAnsi="Times New Roman" w:cs="Times New Roman"/>
                <w:color w:val="auto"/>
              </w:rPr>
              <w:t>监测结果符合《声环境质量标准》（GB3096-2008）中的</w:t>
            </w:r>
            <w:r>
              <w:rPr>
                <w:rFonts w:hint="eastAsia" w:ascii="Times New Roman" w:hAnsi="Times New Roman" w:cs="Times New Roman"/>
                <w:color w:val="auto"/>
              </w:rPr>
              <w:t>3</w:t>
            </w:r>
            <w:r>
              <w:rPr>
                <w:rFonts w:ascii="Times New Roman" w:hAnsi="Times New Roman" w:cs="Times New Roman"/>
                <w:color w:val="auto"/>
              </w:rPr>
              <w:t>类</w:t>
            </w:r>
            <w:r>
              <w:rPr>
                <w:rFonts w:hint="eastAsia" w:ascii="Times New Roman" w:hAnsi="Times New Roman" w:cs="Times New Roman"/>
                <w:color w:val="auto"/>
              </w:rPr>
              <w:t>区限值</w:t>
            </w:r>
            <w:r>
              <w:rPr>
                <w:rFonts w:ascii="Times New Roman" w:hAnsi="Times New Roman" w:cs="Times New Roman"/>
                <w:color w:val="auto"/>
              </w:rPr>
              <w:t>要求</w:t>
            </w:r>
            <w:r>
              <w:rPr>
                <w:rFonts w:hint="eastAsia" w:ascii="Times New Roman" w:hAnsi="Times New Roman" w:cs="Times New Roman"/>
                <w:color w:val="auto"/>
              </w:rPr>
              <w:t>，敏感点宋庄声环境质量</w:t>
            </w:r>
            <w:r>
              <w:rPr>
                <w:rFonts w:ascii="Times New Roman" w:hAnsi="Times New Roman" w:cs="Times New Roman"/>
                <w:color w:val="auto"/>
              </w:rPr>
              <w:t>监测结果符合《声环境质量标准》（GB3096-2008）中的</w:t>
            </w:r>
            <w:r>
              <w:rPr>
                <w:rFonts w:hint="eastAsia" w:ascii="Times New Roman" w:hAnsi="Times New Roman" w:cs="Times New Roman"/>
                <w:color w:val="auto"/>
              </w:rPr>
              <w:t>2</w:t>
            </w:r>
            <w:r>
              <w:rPr>
                <w:rFonts w:ascii="Times New Roman" w:hAnsi="Times New Roman" w:cs="Times New Roman"/>
                <w:color w:val="auto"/>
              </w:rPr>
              <w:t>类</w:t>
            </w:r>
            <w:r>
              <w:rPr>
                <w:rFonts w:hint="eastAsia" w:ascii="Times New Roman" w:hAnsi="Times New Roman" w:cs="Times New Roman"/>
                <w:color w:val="auto"/>
              </w:rPr>
              <w:t>区限值</w:t>
            </w:r>
            <w:r>
              <w:rPr>
                <w:rFonts w:ascii="Times New Roman" w:hAnsi="Times New Roman" w:cs="Times New Roman"/>
                <w:color w:val="auto"/>
              </w:rPr>
              <w:t>要求。</w:t>
            </w:r>
          </w:p>
          <w:p>
            <w:pPr>
              <w:pStyle w:val="79"/>
              <w:spacing w:after="0" w:line="360" w:lineRule="auto"/>
              <w:ind w:firstLine="480" w:firstLineChars="200"/>
              <w:jc w:val="both"/>
              <w:rPr>
                <w:color w:val="auto"/>
                <w:kern w:val="2"/>
              </w:rPr>
            </w:pPr>
            <w:r>
              <w:rPr>
                <w:rFonts w:ascii="Times New Roman" w:hAnsi="Times New Roman" w:cs="Times New Roman"/>
                <w:color w:val="auto"/>
              </w:rPr>
              <w:t>正常生产情况下，本项目生产过程中产生的废气能得到有效处理，不会对周边环境产生不良影响，不会改变</w:t>
            </w:r>
            <w:r>
              <w:rPr>
                <w:color w:val="auto"/>
              </w:rPr>
              <w:t>区域环境功能区质</w:t>
            </w:r>
            <w:r>
              <w:rPr>
                <w:rFonts w:ascii="Times New Roman" w:hAnsi="Times New Roman" w:cs="Times New Roman"/>
                <w:color w:val="auto"/>
              </w:rPr>
              <w:t>量要求，能维持环境功能区质量现状。设备生产噪声在采取隔声、减振措施后厂界可达标；</w:t>
            </w:r>
            <w:r>
              <w:rPr>
                <w:rFonts w:hint="eastAsia" w:ascii="Times New Roman" w:hAnsi="Times New Roman" w:cs="Times New Roman"/>
                <w:color w:val="auto"/>
                <w:kern w:val="2"/>
              </w:rPr>
              <w:t>本项目</w:t>
            </w:r>
            <w:r>
              <w:rPr>
                <w:rFonts w:hint="eastAsia" w:ascii="Times New Roman" w:hAnsi="Times New Roman" w:cs="Times New Roman"/>
                <w:color w:val="auto"/>
                <w:kern w:val="2"/>
                <w:lang w:val="en-US" w:eastAsia="zh-CN"/>
              </w:rPr>
              <w:t>j加工粉尘（</w:t>
            </w:r>
            <w:r>
              <w:rPr>
                <w:rFonts w:hint="eastAsia" w:ascii="Times New Roman" w:hAnsi="Times New Roman" w:cs="Times New Roman"/>
                <w:color w:val="auto"/>
                <w:kern w:val="2"/>
              </w:rPr>
              <w:t>抛丸粉尘、喷砂粉尘</w:t>
            </w:r>
            <w:r>
              <w:rPr>
                <w:rFonts w:hint="eastAsia" w:ascii="Times New Roman" w:hAnsi="Times New Roman" w:cs="Times New Roman"/>
                <w:color w:val="auto"/>
                <w:kern w:val="2"/>
                <w:lang w:val="en-US" w:eastAsia="zh-CN"/>
              </w:rPr>
              <w:t>）</w:t>
            </w:r>
            <w:r>
              <w:rPr>
                <w:rFonts w:hint="eastAsia" w:ascii="Times New Roman" w:hAnsi="Times New Roman" w:cs="Times New Roman"/>
                <w:color w:val="auto"/>
                <w:kern w:val="2"/>
              </w:rPr>
              <w:t>经自带的布袋除尘器处理后经15m排气筒DA001排放，喷塑粉尘经自带的旋风收集装置处理后</w:t>
            </w:r>
            <w:r>
              <w:rPr>
                <w:rFonts w:hint="eastAsia" w:ascii="Times New Roman" w:hAnsi="Times New Roman" w:cs="Times New Roman"/>
                <w:color w:val="auto"/>
                <w:kern w:val="2"/>
                <w:lang w:val="en-US" w:eastAsia="zh-CN"/>
              </w:rPr>
              <w:t>和经二级活性炭吸附装置处理后的固化废气一起</w:t>
            </w:r>
            <w:r>
              <w:rPr>
                <w:rFonts w:hint="eastAsia" w:ascii="Times New Roman" w:hAnsi="Times New Roman" w:cs="Times New Roman"/>
                <w:color w:val="auto"/>
                <w:kern w:val="2"/>
              </w:rPr>
              <w:t>经15m排气筒DA00</w:t>
            </w:r>
            <w:r>
              <w:rPr>
                <w:rFonts w:hint="eastAsia" w:ascii="Times New Roman" w:hAnsi="Times New Roman" w:cs="Times New Roman"/>
                <w:color w:val="auto"/>
                <w:kern w:val="2"/>
                <w:lang w:val="en-US" w:eastAsia="zh-CN"/>
              </w:rPr>
              <w:t>2</w:t>
            </w:r>
            <w:r>
              <w:rPr>
                <w:rFonts w:hint="eastAsia" w:ascii="Times New Roman" w:hAnsi="Times New Roman" w:cs="Times New Roman"/>
                <w:color w:val="auto"/>
                <w:kern w:val="2"/>
              </w:rPr>
              <w:t>排放；本项目</w:t>
            </w:r>
            <w:r>
              <w:rPr>
                <w:rFonts w:hint="eastAsia" w:ascii="Times New Roman" w:hAnsi="Times New Roman" w:cs="Times New Roman"/>
                <w:color w:val="auto"/>
                <w:kern w:val="2"/>
                <w:lang w:val="en-US" w:eastAsia="zh-CN"/>
              </w:rPr>
              <w:t>喷锌废气经布袋除尘器处理后，和</w:t>
            </w:r>
            <w:r>
              <w:rPr>
                <w:rFonts w:hint="eastAsia" w:ascii="Times New Roman" w:hAnsi="Times New Roman" w:cs="Times New Roman"/>
                <w:color w:val="auto"/>
                <w:kern w:val="2"/>
              </w:rPr>
              <w:t>喷漆房产生的漆雾颗粒和VOCs经负压收集至一套“干式喷漆柜+</w:t>
            </w:r>
            <w:r>
              <w:rPr>
                <w:rFonts w:hint="eastAsia" w:ascii="Times New Roman" w:hAnsi="Times New Roman" w:cs="Times New Roman"/>
                <w:color w:val="auto"/>
                <w:kern w:val="2"/>
                <w:lang w:val="en-US" w:eastAsia="zh-CN"/>
              </w:rPr>
              <w:t>二级</w:t>
            </w:r>
            <w:r>
              <w:rPr>
                <w:rFonts w:hint="eastAsia" w:ascii="Times New Roman" w:hAnsi="Times New Roman" w:cs="Times New Roman"/>
                <w:color w:val="auto"/>
                <w:kern w:val="2"/>
              </w:rPr>
              <w:t>活性炭吸附装置”处理后经1根15m排气筒DA00</w:t>
            </w:r>
            <w:r>
              <w:rPr>
                <w:rFonts w:hint="eastAsia" w:ascii="Times New Roman" w:hAnsi="Times New Roman" w:cs="Times New Roman"/>
                <w:color w:val="auto"/>
                <w:kern w:val="2"/>
                <w:lang w:val="en-US" w:eastAsia="zh-CN"/>
              </w:rPr>
              <w:t>3</w:t>
            </w:r>
            <w:r>
              <w:rPr>
                <w:rFonts w:hint="eastAsia" w:ascii="Times New Roman" w:hAnsi="Times New Roman" w:cs="Times New Roman"/>
                <w:color w:val="auto"/>
                <w:kern w:val="2"/>
              </w:rPr>
              <w:t>高空排放，</w:t>
            </w:r>
            <w:r>
              <w:rPr>
                <w:rFonts w:ascii="Times New Roman" w:hAnsi="Times New Roman" w:cs="Times New Roman"/>
                <w:color w:val="auto"/>
                <w:kern w:val="2"/>
              </w:rPr>
              <w:t>对大气环境影响较小；</w:t>
            </w:r>
            <w:r>
              <w:rPr>
                <w:rFonts w:hint="eastAsia" w:ascii="Times New Roman" w:hAnsi="Times New Roman" w:cs="Times New Roman"/>
                <w:color w:val="auto"/>
                <w:kern w:val="2"/>
              </w:rPr>
              <w:t>生产工序中清洗用水经隔油+气浮一体设备（16t）处理后循环使用，不外排</w:t>
            </w:r>
            <w:r>
              <w:rPr>
                <w:rFonts w:hint="eastAsia" w:ascii="Times New Roman" w:hAnsi="Times New Roman" w:cs="Times New Roman"/>
                <w:color w:val="auto"/>
                <w:kern w:val="2"/>
                <w:lang w:eastAsia="zh-CN"/>
              </w:rPr>
              <w:t>；</w:t>
            </w:r>
            <w:r>
              <w:rPr>
                <w:rFonts w:ascii="Times New Roman" w:hAnsi="Times New Roman" w:cs="Times New Roman"/>
                <w:color w:val="auto"/>
                <w:kern w:val="2"/>
              </w:rPr>
              <w:t>生</w:t>
            </w:r>
            <w:r>
              <w:rPr>
                <w:color w:val="auto"/>
                <w:kern w:val="2"/>
              </w:rPr>
              <w:t>活污水经化粪池收集预处理后</w:t>
            </w:r>
            <w:r>
              <w:rPr>
                <w:rFonts w:hint="eastAsia"/>
                <w:color w:val="auto"/>
                <w:kern w:val="2"/>
              </w:rPr>
              <w:t>依托</w:t>
            </w:r>
            <w:r>
              <w:rPr>
                <w:rFonts w:hint="eastAsia"/>
                <w:color w:val="auto"/>
                <w:kern w:val="2"/>
                <w:lang w:eastAsia="zh-CN"/>
              </w:rPr>
              <w:t>常州科荣经编有限公司</w:t>
            </w:r>
            <w:r>
              <w:rPr>
                <w:rFonts w:hint="eastAsia"/>
                <w:color w:val="auto"/>
                <w:kern w:val="2"/>
              </w:rPr>
              <w:t>污水排放口</w:t>
            </w:r>
            <w:r>
              <w:rPr>
                <w:color w:val="auto"/>
                <w:kern w:val="2"/>
              </w:rPr>
              <w:t>接管至金坛区第二污水处理厂集中处理；固体废物均按照要求委托相关单位进行妥善处置。上述措施确保拟建项目污染物排放对环境的影响降到最低，不会突破环境质量底线，改变区域环境功能区</w:t>
            </w:r>
            <w:r>
              <w:rPr>
                <w:color w:val="auto"/>
              </w:rPr>
              <w:t>。</w:t>
            </w:r>
          </w:p>
          <w:p>
            <w:pPr>
              <w:pStyle w:val="288"/>
              <w:adjustRightInd w:val="0"/>
              <w:snapToGrid w:val="0"/>
              <w:ind w:firstLine="480"/>
              <w:rPr>
                <w:color w:val="auto"/>
                <w:kern w:val="2"/>
                <w:szCs w:val="24"/>
              </w:rPr>
            </w:pPr>
            <w:r>
              <w:rPr>
                <w:color w:val="auto"/>
                <w:kern w:val="2"/>
                <w:szCs w:val="24"/>
              </w:rPr>
              <w:t>（3）资源利用上线相符性</w:t>
            </w:r>
          </w:p>
          <w:p>
            <w:pPr>
              <w:pStyle w:val="288"/>
              <w:adjustRightInd w:val="0"/>
              <w:snapToGrid w:val="0"/>
              <w:ind w:firstLine="480"/>
              <w:rPr>
                <w:color w:val="auto"/>
                <w:kern w:val="2"/>
                <w:szCs w:val="24"/>
              </w:rPr>
            </w:pPr>
            <w:r>
              <w:rPr>
                <w:color w:val="auto"/>
                <w:kern w:val="2"/>
                <w:szCs w:val="24"/>
              </w:rPr>
              <w:t>项目位于</w:t>
            </w:r>
            <w:r>
              <w:rPr>
                <w:rFonts w:hint="eastAsia"/>
                <w:color w:val="auto"/>
                <w:kern w:val="2"/>
                <w:szCs w:val="24"/>
                <w:lang w:eastAsia="zh-CN"/>
              </w:rPr>
              <w:t>常州市金坛区龙湖路2号</w:t>
            </w:r>
            <w:r>
              <w:rPr>
                <w:color w:val="auto"/>
                <w:szCs w:val="24"/>
              </w:rPr>
              <w:t>，</w:t>
            </w:r>
            <w:r>
              <w:rPr>
                <w:color w:val="auto"/>
                <w:kern w:val="2"/>
                <w:szCs w:val="24"/>
              </w:rPr>
              <w:t>用水来源为区域给水管网，用电为</w:t>
            </w:r>
            <w:r>
              <w:rPr>
                <w:color w:val="auto"/>
                <w:szCs w:val="21"/>
              </w:rPr>
              <w:t>区域供电站</w:t>
            </w:r>
            <w:r>
              <w:rPr>
                <w:color w:val="auto"/>
                <w:kern w:val="2"/>
                <w:szCs w:val="24"/>
              </w:rPr>
              <w:t>。</w:t>
            </w:r>
          </w:p>
          <w:p>
            <w:pPr>
              <w:pStyle w:val="288"/>
              <w:adjustRightInd w:val="0"/>
              <w:snapToGrid w:val="0"/>
              <w:ind w:firstLine="480"/>
              <w:rPr>
                <w:color w:val="auto"/>
                <w:kern w:val="2"/>
                <w:szCs w:val="24"/>
              </w:rPr>
            </w:pPr>
            <w:r>
              <w:rPr>
                <w:color w:val="auto"/>
                <w:szCs w:val="24"/>
              </w:rPr>
              <w:t>项目使用的水电量均较小，</w:t>
            </w:r>
            <w:r>
              <w:rPr>
                <w:color w:val="auto"/>
                <w:kern w:val="2"/>
                <w:szCs w:val="24"/>
              </w:rPr>
              <w:t>给水管网、供电管网均可满足本项目的使用要求。项目所需的原材料均可就近购买，因此建设项目与资源利用上线相符。</w:t>
            </w:r>
          </w:p>
          <w:p>
            <w:pPr>
              <w:pStyle w:val="288"/>
              <w:adjustRightInd w:val="0"/>
              <w:snapToGrid w:val="0"/>
              <w:ind w:firstLine="480"/>
              <w:rPr>
                <w:color w:val="auto"/>
                <w:kern w:val="2"/>
                <w:szCs w:val="24"/>
              </w:rPr>
            </w:pPr>
            <w:r>
              <w:rPr>
                <w:color w:val="auto"/>
                <w:kern w:val="2"/>
                <w:szCs w:val="24"/>
              </w:rPr>
              <w:t>（4）环境准入负面清单相符性分析</w:t>
            </w:r>
          </w:p>
          <w:p>
            <w:pPr>
              <w:pStyle w:val="288"/>
              <w:adjustRightInd w:val="0"/>
              <w:snapToGrid w:val="0"/>
              <w:ind w:firstLine="480"/>
              <w:rPr>
                <w:color w:val="auto"/>
                <w:kern w:val="2"/>
                <w:szCs w:val="24"/>
              </w:rPr>
            </w:pPr>
            <w:r>
              <w:rPr>
                <w:rFonts w:hint="eastAsia"/>
                <w:color w:val="auto"/>
                <w:kern w:val="2"/>
                <w:szCs w:val="24"/>
              </w:rPr>
              <w:t>金坛区尚未颁布环境准入负面清单，本次环评对照国家、地方相关产业政策、市场准入负面清单（201</w:t>
            </w:r>
            <w:r>
              <w:rPr>
                <w:rFonts w:hint="eastAsia"/>
                <w:color w:val="auto"/>
                <w:kern w:val="2"/>
                <w:szCs w:val="24"/>
                <w:lang w:val="en-US" w:eastAsia="zh-CN"/>
              </w:rPr>
              <w:t>9</w:t>
            </w:r>
            <w:r>
              <w:rPr>
                <w:rFonts w:hint="eastAsia"/>
                <w:color w:val="auto"/>
                <w:kern w:val="2"/>
                <w:szCs w:val="24"/>
              </w:rPr>
              <w:t>版）、长江经济带发展负面清单指南等文件分析。详见下表。</w:t>
            </w:r>
          </w:p>
          <w:p>
            <w:pPr>
              <w:tabs>
                <w:tab w:val="left" w:pos="960"/>
              </w:tabs>
              <w:jc w:val="center"/>
              <w:rPr>
                <w:b/>
                <w:bCs/>
                <w:color w:val="auto"/>
                <w:spacing w:val="-4"/>
                <w:szCs w:val="21"/>
              </w:rPr>
            </w:pPr>
            <w:r>
              <w:rPr>
                <w:b/>
                <w:bCs/>
                <w:color w:val="auto"/>
                <w:spacing w:val="-4"/>
                <w:szCs w:val="21"/>
              </w:rPr>
              <w:t>表1-</w:t>
            </w:r>
            <w:r>
              <w:rPr>
                <w:rFonts w:hint="eastAsia"/>
                <w:b/>
                <w:bCs/>
                <w:color w:val="auto"/>
                <w:spacing w:val="-4"/>
                <w:szCs w:val="21"/>
              </w:rPr>
              <w:t>9</w:t>
            </w:r>
            <w:r>
              <w:rPr>
                <w:b/>
                <w:bCs/>
                <w:color w:val="auto"/>
                <w:spacing w:val="-4"/>
                <w:szCs w:val="21"/>
              </w:rPr>
              <w:t xml:space="preserve">  环境准入负面清单对照</w:t>
            </w:r>
          </w:p>
          <w:tbl>
            <w:tblPr>
              <w:tblStyle w:val="56"/>
              <w:tblW w:w="830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50"/>
              <w:gridCol w:w="6489"/>
              <w:gridCol w:w="11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650" w:type="dxa"/>
                  <w:tcBorders>
                    <w:top w:val="single" w:color="auto" w:sz="12" w:space="0"/>
                    <w:left w:val="nil"/>
                    <w:bottom w:val="single" w:color="auto" w:sz="4" w:space="0"/>
                    <w:right w:val="single" w:color="auto" w:sz="4" w:space="0"/>
                  </w:tcBorders>
                  <w:vAlign w:val="center"/>
                </w:tcPr>
                <w:p>
                  <w:pPr>
                    <w:snapToGrid w:val="0"/>
                    <w:ind w:right="63" w:rightChars="30"/>
                    <w:jc w:val="center"/>
                    <w:rPr>
                      <w:b/>
                      <w:bCs/>
                      <w:color w:val="auto"/>
                      <w:szCs w:val="21"/>
                    </w:rPr>
                  </w:pPr>
                  <w:r>
                    <w:rPr>
                      <w:b/>
                      <w:bCs/>
                      <w:color w:val="auto"/>
                      <w:szCs w:val="21"/>
                    </w:rPr>
                    <w:t>序号</w:t>
                  </w:r>
                </w:p>
              </w:tc>
              <w:tc>
                <w:tcPr>
                  <w:tcW w:w="6489" w:type="dxa"/>
                  <w:tcBorders>
                    <w:top w:val="single" w:color="auto" w:sz="12" w:space="0"/>
                    <w:left w:val="single" w:color="auto" w:sz="4" w:space="0"/>
                    <w:bottom w:val="single" w:color="auto" w:sz="4" w:space="0"/>
                    <w:right w:val="single" w:color="auto" w:sz="4" w:space="0"/>
                  </w:tcBorders>
                  <w:vAlign w:val="center"/>
                </w:tcPr>
                <w:p>
                  <w:pPr>
                    <w:snapToGrid w:val="0"/>
                    <w:ind w:right="63" w:rightChars="30"/>
                    <w:jc w:val="center"/>
                    <w:rPr>
                      <w:b/>
                      <w:bCs/>
                      <w:color w:val="auto"/>
                      <w:szCs w:val="21"/>
                    </w:rPr>
                  </w:pPr>
                  <w:r>
                    <w:rPr>
                      <w:b/>
                      <w:bCs/>
                      <w:color w:val="auto"/>
                      <w:szCs w:val="21"/>
                    </w:rPr>
                    <w:t>法律、法规、政策文件等</w:t>
                  </w:r>
                </w:p>
              </w:tc>
              <w:tc>
                <w:tcPr>
                  <w:tcW w:w="1168" w:type="dxa"/>
                  <w:tcBorders>
                    <w:top w:val="single" w:color="auto" w:sz="12" w:space="0"/>
                    <w:left w:val="single" w:color="auto" w:sz="4" w:space="0"/>
                    <w:bottom w:val="single" w:color="auto" w:sz="4" w:space="0"/>
                    <w:right w:val="nil"/>
                  </w:tcBorders>
                  <w:vAlign w:val="center"/>
                </w:tcPr>
                <w:p>
                  <w:pPr>
                    <w:snapToGrid w:val="0"/>
                    <w:ind w:right="63" w:rightChars="30"/>
                    <w:jc w:val="center"/>
                    <w:rPr>
                      <w:b/>
                      <w:bCs/>
                      <w:color w:val="auto"/>
                      <w:szCs w:val="21"/>
                    </w:rPr>
                  </w:pPr>
                  <w:r>
                    <w:rPr>
                      <w:b/>
                      <w:bCs/>
                      <w:color w:val="auto"/>
                      <w:szCs w:val="21"/>
                    </w:rPr>
                    <w:t>是否属于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1</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bCs/>
                      <w:color w:val="auto"/>
                      <w:szCs w:val="21"/>
                    </w:rPr>
                  </w:pPr>
                  <w:r>
                    <w:rPr>
                      <w:rFonts w:hint="eastAsia"/>
                      <w:bCs/>
                      <w:color w:val="auto"/>
                      <w:szCs w:val="21"/>
                    </w:rPr>
                    <w:t>属于《江苏省生态空间保护区域》中规定的位于国家级生态保护红线和生态空间管控区域内与保护主要生态功能无关的开发建设项目、属于国家级生态保护红线和生态空间管控区域禁止从事的开发建设项目</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2</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属于《江苏省人民代表大会常务委员会关于加强饮用水源地保护的决定》中规定的位于饮用水源准保护区、二级保护区、一级保护区内禁止从事的开发建设项目</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3</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不符合城市总体规划、土地利用规划、环境保护规划的建设项目</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4</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bCs/>
                      <w:color w:val="auto"/>
                      <w:szCs w:val="21"/>
                    </w:rPr>
                  </w:pPr>
                  <w:r>
                    <w:rPr>
                      <w:color w:val="auto"/>
                      <w:kern w:val="0"/>
                      <w:szCs w:val="21"/>
                    </w:rPr>
                    <w:t>环境污染严重、污染物排放总量指标未落实的项目</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5</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bCs/>
                      <w:color w:val="auto"/>
                      <w:szCs w:val="21"/>
                    </w:rPr>
                  </w:pPr>
                  <w:r>
                    <w:rPr>
                      <w:color w:val="auto"/>
                      <w:kern w:val="0"/>
                      <w:szCs w:val="21"/>
                    </w:rPr>
                    <w:t>国家、江苏省明确规定不得审批的建设项目</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4" w:space="0"/>
                    <w:right w:val="single" w:color="auto" w:sz="4" w:space="0"/>
                  </w:tcBorders>
                  <w:vAlign w:val="center"/>
                </w:tcPr>
                <w:p>
                  <w:pPr>
                    <w:snapToGrid w:val="0"/>
                    <w:ind w:right="63" w:rightChars="30"/>
                    <w:jc w:val="center"/>
                    <w:rPr>
                      <w:bCs/>
                      <w:color w:val="auto"/>
                      <w:szCs w:val="21"/>
                    </w:rPr>
                  </w:pPr>
                  <w:r>
                    <w:rPr>
                      <w:bCs/>
                      <w:color w:val="auto"/>
                      <w:szCs w:val="21"/>
                    </w:rPr>
                    <w:t>6</w:t>
                  </w:r>
                </w:p>
              </w:tc>
              <w:tc>
                <w:tcPr>
                  <w:tcW w:w="6489" w:type="dxa"/>
                  <w:tcBorders>
                    <w:top w:val="single" w:color="auto" w:sz="4" w:space="0"/>
                    <w:left w:val="single" w:color="auto" w:sz="4" w:space="0"/>
                    <w:bottom w:val="single" w:color="auto" w:sz="4" w:space="0"/>
                    <w:right w:val="single" w:color="auto" w:sz="4" w:space="0"/>
                  </w:tcBorders>
                  <w:vAlign w:val="center"/>
                </w:tcPr>
                <w:p>
                  <w:pPr>
                    <w:snapToGrid w:val="0"/>
                    <w:ind w:right="63" w:rightChars="30"/>
                    <w:jc w:val="center"/>
                    <w:rPr>
                      <w:color w:val="auto"/>
                      <w:kern w:val="0"/>
                      <w:szCs w:val="21"/>
                    </w:rPr>
                  </w:pPr>
                  <w:r>
                    <w:rPr>
                      <w:color w:val="auto"/>
                      <w:kern w:val="0"/>
                      <w:szCs w:val="21"/>
                    </w:rPr>
                    <w:t>根据</w:t>
                  </w:r>
                  <w:r>
                    <w:rPr>
                      <w:color w:val="auto"/>
                      <w:szCs w:val="24"/>
                    </w:rPr>
                    <w:t>市场准入负面清单（201</w:t>
                  </w:r>
                  <w:r>
                    <w:rPr>
                      <w:rFonts w:hint="eastAsia"/>
                      <w:color w:val="auto"/>
                      <w:szCs w:val="24"/>
                      <w:lang w:val="en-US" w:eastAsia="zh-CN"/>
                    </w:rPr>
                    <w:t>9</w:t>
                  </w:r>
                  <w:r>
                    <w:rPr>
                      <w:color w:val="auto"/>
                      <w:szCs w:val="24"/>
                    </w:rPr>
                    <w:t>版），本项目不属于“禁止准入类”。</w:t>
                  </w:r>
                </w:p>
              </w:tc>
              <w:tc>
                <w:tcPr>
                  <w:tcW w:w="1168" w:type="dxa"/>
                  <w:tcBorders>
                    <w:top w:val="single" w:color="auto" w:sz="4" w:space="0"/>
                    <w:left w:val="single" w:color="auto" w:sz="4" w:space="0"/>
                    <w:bottom w:val="single" w:color="auto" w:sz="4" w:space="0"/>
                    <w:right w:val="nil"/>
                  </w:tcBorders>
                  <w:vAlign w:val="center"/>
                </w:tcPr>
                <w:p>
                  <w:pPr>
                    <w:snapToGrid w:val="0"/>
                    <w:ind w:right="63" w:rightChars="30"/>
                    <w:jc w:val="center"/>
                    <w:rPr>
                      <w:bCs/>
                      <w:color w:val="auto"/>
                      <w:szCs w:val="21"/>
                    </w:rPr>
                  </w:pPr>
                  <w:r>
                    <w:rPr>
                      <w:bCs/>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50" w:type="dxa"/>
                  <w:tcBorders>
                    <w:top w:val="single" w:color="auto" w:sz="4" w:space="0"/>
                    <w:left w:val="nil"/>
                    <w:bottom w:val="single" w:color="auto" w:sz="12" w:space="0"/>
                    <w:right w:val="single" w:color="auto" w:sz="4" w:space="0"/>
                  </w:tcBorders>
                  <w:vAlign w:val="center"/>
                </w:tcPr>
                <w:p>
                  <w:pPr>
                    <w:snapToGrid w:val="0"/>
                    <w:ind w:right="63" w:rightChars="30"/>
                    <w:jc w:val="center"/>
                    <w:rPr>
                      <w:bCs/>
                      <w:color w:val="auto"/>
                      <w:szCs w:val="21"/>
                    </w:rPr>
                  </w:pPr>
                  <w:r>
                    <w:rPr>
                      <w:bCs/>
                      <w:color w:val="auto"/>
                      <w:szCs w:val="21"/>
                    </w:rPr>
                    <w:t>7</w:t>
                  </w:r>
                </w:p>
              </w:tc>
              <w:tc>
                <w:tcPr>
                  <w:tcW w:w="6489" w:type="dxa"/>
                  <w:tcBorders>
                    <w:top w:val="single" w:color="auto" w:sz="4" w:space="0"/>
                    <w:left w:val="single" w:color="auto" w:sz="4" w:space="0"/>
                    <w:bottom w:val="single" w:color="auto" w:sz="12" w:space="0"/>
                    <w:right w:val="single" w:color="auto" w:sz="4" w:space="0"/>
                  </w:tcBorders>
                  <w:vAlign w:val="center"/>
                </w:tcPr>
                <w:p>
                  <w:pPr>
                    <w:snapToGrid w:val="0"/>
                    <w:ind w:right="63" w:rightChars="30"/>
                    <w:jc w:val="center"/>
                    <w:rPr>
                      <w:color w:val="auto"/>
                      <w:kern w:val="0"/>
                      <w:szCs w:val="21"/>
                    </w:rPr>
                  </w:pPr>
                  <w:r>
                    <w:rPr>
                      <w:color w:val="auto"/>
                      <w:kern w:val="0"/>
                      <w:szCs w:val="21"/>
                    </w:rPr>
                    <w:t>根据《金坛经济开发区发展规划环境影响报告书》审查意见，机械装备、电子行业禁止引进电镀、表面处理类项目，化工行业禁止引进与盐化工及下游产品生产不相关的化工项目、农药项目，新材料禁止引进太阳能电池切片、钢铁等传统型金属材料、水泥等传统型非金属材料的生产项目，纺织禁止引进废水排放量较大的纯印染和纯染整类企业和项目</w:t>
                  </w:r>
                </w:p>
              </w:tc>
              <w:tc>
                <w:tcPr>
                  <w:tcW w:w="1168" w:type="dxa"/>
                  <w:tcBorders>
                    <w:top w:val="single" w:color="auto" w:sz="4" w:space="0"/>
                    <w:left w:val="single" w:color="auto" w:sz="4" w:space="0"/>
                    <w:bottom w:val="single" w:color="auto" w:sz="12" w:space="0"/>
                    <w:right w:val="nil"/>
                  </w:tcBorders>
                  <w:vAlign w:val="center"/>
                </w:tcPr>
                <w:p>
                  <w:pPr>
                    <w:snapToGrid w:val="0"/>
                    <w:ind w:right="63" w:rightChars="30"/>
                    <w:jc w:val="center"/>
                    <w:rPr>
                      <w:bCs/>
                      <w:color w:val="auto"/>
                      <w:szCs w:val="21"/>
                    </w:rPr>
                  </w:pPr>
                  <w:r>
                    <w:rPr>
                      <w:bCs/>
                      <w:color w:val="auto"/>
                      <w:szCs w:val="21"/>
                    </w:rPr>
                    <w:t>不属于禁止引进项目</w:t>
                  </w:r>
                </w:p>
              </w:tc>
            </w:tr>
          </w:tbl>
          <w:p>
            <w:pPr>
              <w:ind w:firstLine="482"/>
              <w:jc w:val="center"/>
              <w:rPr>
                <w:b/>
                <w:color w:val="auto"/>
                <w:szCs w:val="24"/>
              </w:rPr>
            </w:pPr>
            <w:r>
              <w:rPr>
                <w:b/>
                <w:color w:val="auto"/>
                <w:szCs w:val="24"/>
              </w:rPr>
              <w:t>表1-</w:t>
            </w:r>
            <w:r>
              <w:rPr>
                <w:rFonts w:hint="eastAsia"/>
                <w:b/>
                <w:color w:val="auto"/>
                <w:szCs w:val="24"/>
              </w:rPr>
              <w:t>10</w:t>
            </w:r>
            <w:r>
              <w:rPr>
                <w:b/>
                <w:color w:val="auto"/>
                <w:szCs w:val="24"/>
              </w:rPr>
              <w:t>长江经济带发展负面清单指南（试行）负面清单</w:t>
            </w:r>
          </w:p>
          <w:tbl>
            <w:tblPr>
              <w:tblStyle w:val="56"/>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2"/>
              <w:gridCol w:w="3868"/>
              <w:gridCol w:w="2880"/>
              <w:gridCol w:w="9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dxa"/>
                  <w:vAlign w:val="center"/>
                </w:tcPr>
                <w:p>
                  <w:pPr>
                    <w:spacing w:before="93" w:beforeLines="30" w:after="93" w:afterLines="30"/>
                    <w:jc w:val="center"/>
                    <w:rPr>
                      <w:b/>
                      <w:color w:val="auto"/>
                      <w:szCs w:val="21"/>
                    </w:rPr>
                  </w:pPr>
                  <w:r>
                    <w:rPr>
                      <w:b/>
                      <w:color w:val="auto"/>
                      <w:szCs w:val="21"/>
                    </w:rPr>
                    <w:t>序号</w:t>
                  </w:r>
                </w:p>
              </w:tc>
              <w:tc>
                <w:tcPr>
                  <w:tcW w:w="3868" w:type="dxa"/>
                  <w:vAlign w:val="center"/>
                </w:tcPr>
                <w:p>
                  <w:pPr>
                    <w:spacing w:before="93" w:beforeLines="30" w:after="93" w:afterLines="30"/>
                    <w:jc w:val="center"/>
                    <w:rPr>
                      <w:b/>
                      <w:color w:val="auto"/>
                      <w:szCs w:val="21"/>
                    </w:rPr>
                  </w:pPr>
                  <w:r>
                    <w:rPr>
                      <w:rFonts w:hint="eastAsia"/>
                      <w:b/>
                      <w:color w:val="auto"/>
                      <w:szCs w:val="21"/>
                    </w:rPr>
                    <w:t>文件要求</w:t>
                  </w:r>
                </w:p>
              </w:tc>
              <w:tc>
                <w:tcPr>
                  <w:tcW w:w="2880" w:type="dxa"/>
                  <w:vAlign w:val="center"/>
                </w:tcPr>
                <w:p>
                  <w:pPr>
                    <w:spacing w:before="93" w:beforeLines="30" w:after="93" w:afterLines="30"/>
                    <w:jc w:val="center"/>
                    <w:rPr>
                      <w:b/>
                      <w:color w:val="auto"/>
                      <w:szCs w:val="21"/>
                    </w:rPr>
                  </w:pPr>
                  <w:r>
                    <w:rPr>
                      <w:b/>
                      <w:color w:val="auto"/>
                      <w:szCs w:val="21"/>
                    </w:rPr>
                    <w:t>本项目相关内容</w:t>
                  </w:r>
                </w:p>
              </w:tc>
              <w:tc>
                <w:tcPr>
                  <w:tcW w:w="942" w:type="dxa"/>
                  <w:vAlign w:val="center"/>
                </w:tcPr>
                <w:p>
                  <w:pPr>
                    <w:spacing w:before="93" w:beforeLines="30" w:after="93" w:afterLines="30"/>
                    <w:jc w:val="center"/>
                    <w:rPr>
                      <w:b/>
                      <w:color w:val="auto"/>
                      <w:szCs w:val="21"/>
                    </w:rPr>
                  </w:pPr>
                  <w:r>
                    <w:rPr>
                      <w:b/>
                      <w:color w:val="auto"/>
                      <w:szCs w:val="21"/>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dxa"/>
                  <w:vAlign w:val="center"/>
                </w:tcPr>
                <w:p>
                  <w:pPr>
                    <w:spacing w:before="93" w:beforeLines="30" w:after="93" w:afterLines="30"/>
                    <w:jc w:val="center"/>
                    <w:rPr>
                      <w:color w:val="auto"/>
                      <w:szCs w:val="21"/>
                    </w:rPr>
                  </w:pPr>
                  <w:r>
                    <w:rPr>
                      <w:color w:val="auto"/>
                      <w:szCs w:val="21"/>
                    </w:rPr>
                    <w:t>1</w:t>
                  </w:r>
                </w:p>
              </w:tc>
              <w:tc>
                <w:tcPr>
                  <w:tcW w:w="3868" w:type="dxa"/>
                  <w:vAlign w:val="center"/>
                </w:tcPr>
                <w:p>
                  <w:pPr>
                    <w:spacing w:before="93" w:beforeLines="30" w:after="93" w:afterLines="30"/>
                    <w:jc w:val="center"/>
                    <w:rPr>
                      <w:color w:val="auto"/>
                      <w:szCs w:val="21"/>
                    </w:rPr>
                  </w:pPr>
                  <w:r>
                    <w:rPr>
                      <w:color w:val="auto"/>
                      <w:szCs w:val="21"/>
                    </w:rPr>
                    <w:t>禁止在合规园区外建设、扩建钢铁、石化、化工、焦化、建材、有色等高污染项目</w:t>
                  </w:r>
                </w:p>
              </w:tc>
              <w:tc>
                <w:tcPr>
                  <w:tcW w:w="2880" w:type="dxa"/>
                  <w:vAlign w:val="center"/>
                </w:tcPr>
                <w:p>
                  <w:pPr>
                    <w:spacing w:before="93" w:beforeLines="30" w:after="93" w:afterLines="30"/>
                    <w:jc w:val="center"/>
                    <w:rPr>
                      <w:color w:val="auto"/>
                      <w:szCs w:val="21"/>
                    </w:rPr>
                  </w:pPr>
                  <w:r>
                    <w:rPr>
                      <w:color w:val="auto"/>
                      <w:szCs w:val="21"/>
                    </w:rPr>
                    <w:t>本项目位于江苏省金坛</w:t>
                  </w:r>
                  <w:r>
                    <w:rPr>
                      <w:rFonts w:hint="eastAsia"/>
                      <w:color w:val="auto"/>
                      <w:szCs w:val="21"/>
                      <w:lang w:eastAsia="zh-CN"/>
                    </w:rPr>
                    <w:t>经济开发区</w:t>
                  </w:r>
                  <w:r>
                    <w:rPr>
                      <w:color w:val="auto"/>
                      <w:szCs w:val="21"/>
                    </w:rPr>
                    <w:t>，为合规园区</w:t>
                  </w:r>
                  <w:r>
                    <w:rPr>
                      <w:rFonts w:hint="eastAsia"/>
                      <w:color w:val="auto"/>
                      <w:szCs w:val="21"/>
                    </w:rPr>
                    <w:t>；</w:t>
                  </w:r>
                  <w:r>
                    <w:rPr>
                      <w:color w:val="auto"/>
                      <w:szCs w:val="21"/>
                    </w:rPr>
                    <w:t>且本项目不属于高污染项目。</w:t>
                  </w:r>
                </w:p>
              </w:tc>
              <w:tc>
                <w:tcPr>
                  <w:tcW w:w="942" w:type="dxa"/>
                  <w:vAlign w:val="center"/>
                </w:tcPr>
                <w:p>
                  <w:pPr>
                    <w:spacing w:before="93" w:beforeLines="30" w:after="93" w:afterLines="30"/>
                    <w:jc w:val="center"/>
                    <w:rPr>
                      <w:color w:val="auto"/>
                      <w:szCs w:val="21"/>
                    </w:rPr>
                  </w:pPr>
                  <w:r>
                    <w:rPr>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2" w:type="dxa"/>
                  <w:vAlign w:val="center"/>
                </w:tcPr>
                <w:p>
                  <w:pPr>
                    <w:spacing w:before="93" w:beforeLines="30" w:after="93" w:afterLines="30"/>
                    <w:jc w:val="center"/>
                    <w:rPr>
                      <w:color w:val="auto"/>
                      <w:szCs w:val="21"/>
                    </w:rPr>
                  </w:pPr>
                  <w:r>
                    <w:rPr>
                      <w:color w:val="auto"/>
                      <w:szCs w:val="21"/>
                    </w:rPr>
                    <w:t>2</w:t>
                  </w:r>
                </w:p>
              </w:tc>
              <w:tc>
                <w:tcPr>
                  <w:tcW w:w="3868" w:type="dxa"/>
                  <w:vAlign w:val="center"/>
                </w:tcPr>
                <w:p>
                  <w:pPr>
                    <w:spacing w:before="93" w:beforeLines="30" w:after="93" w:afterLines="30"/>
                    <w:jc w:val="center"/>
                    <w:rPr>
                      <w:color w:val="auto"/>
                      <w:szCs w:val="21"/>
                    </w:rPr>
                  </w:pPr>
                  <w:r>
                    <w:rPr>
                      <w:color w:val="auto"/>
                      <w:szCs w:val="21"/>
                    </w:rPr>
                    <w:t>禁止新建、扩建法律法规和相关政策明令制止的落后产能项目</w:t>
                  </w:r>
                </w:p>
              </w:tc>
              <w:tc>
                <w:tcPr>
                  <w:tcW w:w="2880" w:type="dxa"/>
                  <w:vAlign w:val="center"/>
                </w:tcPr>
                <w:p>
                  <w:pPr>
                    <w:spacing w:before="93" w:beforeLines="30" w:after="93" w:afterLines="30"/>
                    <w:jc w:val="center"/>
                    <w:rPr>
                      <w:color w:val="auto"/>
                      <w:szCs w:val="21"/>
                    </w:rPr>
                  </w:pPr>
                  <w:r>
                    <w:rPr>
                      <w:color w:val="auto"/>
                      <w:szCs w:val="21"/>
                    </w:rPr>
                    <w:t>本项目符合国家、地方产业政策，不属于法律法规和相关政策明令禁止的落后产能项目。</w:t>
                  </w:r>
                </w:p>
              </w:tc>
              <w:tc>
                <w:tcPr>
                  <w:tcW w:w="942" w:type="dxa"/>
                  <w:vAlign w:val="center"/>
                </w:tcPr>
                <w:p>
                  <w:pPr>
                    <w:spacing w:before="93" w:beforeLines="30" w:after="93" w:afterLines="30"/>
                    <w:jc w:val="center"/>
                    <w:rPr>
                      <w:color w:val="auto"/>
                      <w:szCs w:val="21"/>
                    </w:rPr>
                  </w:pPr>
                  <w:r>
                    <w:rPr>
                      <w:color w:val="auto"/>
                      <w:szCs w:val="21"/>
                    </w:rPr>
                    <w:t>不属于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dxa"/>
                  <w:vAlign w:val="center"/>
                </w:tcPr>
                <w:p>
                  <w:pPr>
                    <w:spacing w:before="93" w:beforeLines="30" w:after="93" w:afterLines="30"/>
                    <w:jc w:val="center"/>
                    <w:rPr>
                      <w:color w:val="auto"/>
                      <w:szCs w:val="21"/>
                    </w:rPr>
                  </w:pPr>
                  <w:r>
                    <w:rPr>
                      <w:color w:val="auto"/>
                      <w:szCs w:val="21"/>
                    </w:rPr>
                    <w:t>3</w:t>
                  </w:r>
                </w:p>
              </w:tc>
              <w:tc>
                <w:tcPr>
                  <w:tcW w:w="3868" w:type="dxa"/>
                  <w:vAlign w:val="center"/>
                </w:tcPr>
                <w:p>
                  <w:pPr>
                    <w:spacing w:before="93" w:beforeLines="30" w:after="93" w:afterLines="30"/>
                    <w:jc w:val="center"/>
                    <w:rPr>
                      <w:color w:val="auto"/>
                      <w:szCs w:val="21"/>
                    </w:rPr>
                  </w:pPr>
                  <w:r>
                    <w:rPr>
                      <w:color w:val="auto"/>
                      <w:szCs w:val="21"/>
                    </w:rPr>
                    <w:t>禁止新建、扩建不符合国家产能置换要求的严重过剩产能行业的项目</w:t>
                  </w:r>
                </w:p>
              </w:tc>
              <w:tc>
                <w:tcPr>
                  <w:tcW w:w="2880" w:type="dxa"/>
                  <w:vAlign w:val="center"/>
                </w:tcPr>
                <w:p>
                  <w:pPr>
                    <w:spacing w:before="93" w:beforeLines="30" w:after="93" w:afterLines="30"/>
                    <w:jc w:val="center"/>
                    <w:rPr>
                      <w:color w:val="auto"/>
                      <w:szCs w:val="21"/>
                    </w:rPr>
                  </w:pPr>
                  <w:r>
                    <w:rPr>
                      <w:color w:val="auto"/>
                      <w:szCs w:val="21"/>
                    </w:rPr>
                    <w:t>本项目不属于严重过剩产能行业</w:t>
                  </w:r>
                </w:p>
              </w:tc>
              <w:tc>
                <w:tcPr>
                  <w:tcW w:w="942" w:type="dxa"/>
                  <w:vAlign w:val="center"/>
                </w:tcPr>
                <w:p>
                  <w:pPr>
                    <w:spacing w:before="93" w:beforeLines="30" w:after="93" w:afterLines="30"/>
                    <w:jc w:val="center"/>
                    <w:rPr>
                      <w:color w:val="auto"/>
                      <w:szCs w:val="21"/>
                    </w:rPr>
                  </w:pPr>
                  <w:r>
                    <w:rPr>
                      <w:color w:val="auto"/>
                      <w:szCs w:val="21"/>
                    </w:rPr>
                    <w:t>不属于</w:t>
                  </w:r>
                </w:p>
              </w:tc>
            </w:tr>
          </w:tbl>
          <w:p>
            <w:pPr>
              <w:adjustRightInd w:val="0"/>
              <w:snapToGrid w:val="0"/>
              <w:ind w:firstLine="482"/>
              <w:jc w:val="center"/>
              <w:rPr>
                <w:b/>
                <w:color w:val="auto"/>
                <w:szCs w:val="24"/>
              </w:rPr>
            </w:pPr>
            <w:r>
              <w:rPr>
                <w:b/>
                <w:color w:val="auto"/>
                <w:szCs w:val="24"/>
              </w:rPr>
              <w:t>表1-</w:t>
            </w:r>
            <w:r>
              <w:rPr>
                <w:rFonts w:hint="eastAsia"/>
                <w:b/>
                <w:color w:val="auto"/>
                <w:szCs w:val="24"/>
              </w:rPr>
              <w:t xml:space="preserve">11 </w:t>
            </w:r>
            <w:r>
              <w:rPr>
                <w:b/>
                <w:color w:val="auto"/>
                <w:szCs w:val="24"/>
              </w:rPr>
              <w:t>长江经济带发展负面清单指南江苏省实施细则（试行）负面清单</w:t>
            </w:r>
          </w:p>
          <w:tbl>
            <w:tblPr>
              <w:tblStyle w:val="56"/>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0"/>
              <w:gridCol w:w="3945"/>
              <w:gridCol w:w="2850"/>
              <w:gridCol w:w="89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0" w:type="dxa"/>
                  <w:vAlign w:val="center"/>
                </w:tcPr>
                <w:p>
                  <w:pPr>
                    <w:spacing w:before="93" w:beforeLines="30" w:after="93" w:afterLines="30"/>
                    <w:jc w:val="center"/>
                    <w:rPr>
                      <w:b/>
                      <w:color w:val="auto"/>
                      <w:szCs w:val="21"/>
                    </w:rPr>
                  </w:pPr>
                  <w:r>
                    <w:rPr>
                      <w:b/>
                      <w:color w:val="auto"/>
                      <w:szCs w:val="21"/>
                    </w:rPr>
                    <w:t>序号</w:t>
                  </w:r>
                </w:p>
              </w:tc>
              <w:tc>
                <w:tcPr>
                  <w:tcW w:w="3945" w:type="dxa"/>
                  <w:vAlign w:val="center"/>
                </w:tcPr>
                <w:p>
                  <w:pPr>
                    <w:spacing w:before="93" w:beforeLines="30" w:after="93" w:afterLines="30"/>
                    <w:jc w:val="center"/>
                    <w:rPr>
                      <w:b/>
                      <w:color w:val="auto"/>
                      <w:szCs w:val="21"/>
                    </w:rPr>
                  </w:pPr>
                  <w:r>
                    <w:rPr>
                      <w:rFonts w:hint="eastAsia"/>
                      <w:b/>
                      <w:color w:val="auto"/>
                      <w:szCs w:val="21"/>
                    </w:rPr>
                    <w:t>文件要求</w:t>
                  </w:r>
                </w:p>
              </w:tc>
              <w:tc>
                <w:tcPr>
                  <w:tcW w:w="2850" w:type="dxa"/>
                  <w:vAlign w:val="center"/>
                </w:tcPr>
                <w:p>
                  <w:pPr>
                    <w:spacing w:before="93" w:beforeLines="30" w:after="93" w:afterLines="30"/>
                    <w:jc w:val="center"/>
                    <w:rPr>
                      <w:b/>
                      <w:color w:val="auto"/>
                      <w:szCs w:val="21"/>
                    </w:rPr>
                  </w:pPr>
                  <w:r>
                    <w:rPr>
                      <w:b/>
                      <w:color w:val="auto"/>
                      <w:szCs w:val="21"/>
                    </w:rPr>
                    <w:t>本项目相关内容</w:t>
                  </w:r>
                </w:p>
              </w:tc>
              <w:tc>
                <w:tcPr>
                  <w:tcW w:w="897" w:type="dxa"/>
                  <w:vAlign w:val="center"/>
                </w:tcPr>
                <w:p>
                  <w:pPr>
                    <w:spacing w:before="93" w:beforeLines="30" w:after="93" w:afterLines="30"/>
                    <w:jc w:val="center"/>
                    <w:rPr>
                      <w:b/>
                      <w:color w:val="auto"/>
                      <w:szCs w:val="21"/>
                    </w:rPr>
                  </w:pPr>
                  <w:r>
                    <w:rPr>
                      <w:b/>
                      <w:color w:val="auto"/>
                      <w:szCs w:val="21"/>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0" w:type="dxa"/>
                  <w:vAlign w:val="center"/>
                </w:tcPr>
                <w:p>
                  <w:pPr>
                    <w:spacing w:before="93" w:beforeLines="30" w:after="93" w:afterLines="30"/>
                    <w:jc w:val="center"/>
                    <w:rPr>
                      <w:color w:val="auto"/>
                      <w:szCs w:val="21"/>
                    </w:rPr>
                  </w:pPr>
                  <w:r>
                    <w:rPr>
                      <w:color w:val="auto"/>
                      <w:szCs w:val="21"/>
                    </w:rPr>
                    <w:t>1</w:t>
                  </w:r>
                </w:p>
              </w:tc>
              <w:tc>
                <w:tcPr>
                  <w:tcW w:w="3945" w:type="dxa"/>
                  <w:vAlign w:val="center"/>
                </w:tcPr>
                <w:p>
                  <w:pPr>
                    <w:spacing w:before="93" w:beforeLines="30" w:after="93" w:afterLines="30"/>
                    <w:jc w:val="center"/>
                    <w:rPr>
                      <w:color w:val="auto"/>
                      <w:szCs w:val="21"/>
                    </w:rPr>
                  </w:pPr>
                  <w:r>
                    <w:rPr>
                      <w:b/>
                      <w:bCs/>
                      <w:color w:val="auto"/>
                      <w:szCs w:val="21"/>
                    </w:rPr>
                    <w:t>禁止在合规园区外建设、扩建钢铁、石化、化工、焦化、建材、有色等高污染项目。</w:t>
                  </w:r>
                  <w:r>
                    <w:rPr>
                      <w:color w:val="auto"/>
                      <w:szCs w:val="21"/>
                    </w:rPr>
                    <w:t>合规园区名录按照《江苏省长江经济带发展负面清单实施细则（试行）合规园区名录》执行。高污染项目营严格按照《环境保护综合名录》等有关要求执行。</w:t>
                  </w:r>
                </w:p>
              </w:tc>
              <w:tc>
                <w:tcPr>
                  <w:tcW w:w="2850" w:type="dxa"/>
                  <w:vAlign w:val="center"/>
                </w:tcPr>
                <w:p>
                  <w:pPr>
                    <w:spacing w:before="93" w:beforeLines="30" w:after="93" w:afterLines="30"/>
                    <w:jc w:val="center"/>
                    <w:rPr>
                      <w:color w:val="auto"/>
                      <w:szCs w:val="21"/>
                    </w:rPr>
                  </w:pPr>
                  <w:r>
                    <w:rPr>
                      <w:color w:val="auto"/>
                      <w:szCs w:val="21"/>
                    </w:rPr>
                    <w:t>本项目位于</w:t>
                  </w:r>
                  <w:r>
                    <w:rPr>
                      <w:rFonts w:hint="eastAsia"/>
                      <w:color w:val="auto"/>
                      <w:szCs w:val="21"/>
                      <w:lang w:eastAsia="zh-CN"/>
                    </w:rPr>
                    <w:t>江苏省金坛经济开发区</w:t>
                  </w:r>
                  <w:r>
                    <w:rPr>
                      <w:color w:val="auto"/>
                      <w:szCs w:val="21"/>
                    </w:rPr>
                    <w:t>（苏环审【2015】52</w:t>
                  </w:r>
                  <w:r>
                    <w:rPr>
                      <w:rFonts w:hint="eastAsia"/>
                      <w:color w:val="auto"/>
                      <w:szCs w:val="21"/>
                    </w:rPr>
                    <w:t>号</w:t>
                  </w:r>
                  <w:r>
                    <w:rPr>
                      <w:color w:val="auto"/>
                      <w:szCs w:val="21"/>
                    </w:rPr>
                    <w:t>），且本项目不属于《环境保护综合名录》中高污染项目。</w:t>
                  </w:r>
                </w:p>
              </w:tc>
              <w:tc>
                <w:tcPr>
                  <w:tcW w:w="897" w:type="dxa"/>
                  <w:vAlign w:val="center"/>
                </w:tcPr>
                <w:p>
                  <w:pPr>
                    <w:spacing w:before="93" w:beforeLines="30" w:after="93" w:afterLines="30"/>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0" w:type="dxa"/>
                  <w:vAlign w:val="center"/>
                </w:tcPr>
                <w:p>
                  <w:pPr>
                    <w:spacing w:before="93" w:beforeLines="30" w:after="93" w:afterLines="30"/>
                    <w:jc w:val="center"/>
                    <w:rPr>
                      <w:color w:val="auto"/>
                      <w:szCs w:val="21"/>
                    </w:rPr>
                  </w:pPr>
                  <w:r>
                    <w:rPr>
                      <w:color w:val="auto"/>
                      <w:szCs w:val="21"/>
                    </w:rPr>
                    <w:t>2</w:t>
                  </w:r>
                </w:p>
              </w:tc>
              <w:tc>
                <w:tcPr>
                  <w:tcW w:w="3945" w:type="dxa"/>
                  <w:vAlign w:val="center"/>
                </w:tcPr>
                <w:p>
                  <w:pPr>
                    <w:spacing w:before="93" w:beforeLines="30" w:after="93" w:afterLines="30"/>
                    <w:jc w:val="center"/>
                    <w:rPr>
                      <w:color w:val="auto"/>
                      <w:szCs w:val="21"/>
                    </w:rPr>
                  </w:pPr>
                  <w:r>
                    <w:rPr>
                      <w:b/>
                      <w:bCs/>
                      <w:color w:val="auto"/>
                      <w:szCs w:val="21"/>
                    </w:rPr>
                    <w:t>禁止新建、扩建法律法规和相关政策明令制止的落后产能项目。</w:t>
                  </w:r>
                  <w:r>
                    <w:rPr>
                      <w:color w:val="auto"/>
                      <w:szCs w:val="21"/>
                    </w:rPr>
                    <w:t>禁止新建、扩建国家《产业结构调整指导目录》《江苏省产业结构调整限制、淘汰和禁止目录》明确的限制类、淘汰类、禁止类项目，法律法规和相关政策明令禁止的落后产能项目及明令淘汰的安全生产落后工艺及装备项目。</w:t>
                  </w:r>
                </w:p>
              </w:tc>
              <w:tc>
                <w:tcPr>
                  <w:tcW w:w="2850" w:type="dxa"/>
                  <w:vAlign w:val="center"/>
                </w:tcPr>
                <w:p>
                  <w:pPr>
                    <w:spacing w:before="93" w:beforeLines="30" w:after="93" w:afterLines="30"/>
                    <w:jc w:val="center"/>
                    <w:rPr>
                      <w:color w:val="auto"/>
                      <w:szCs w:val="21"/>
                    </w:rPr>
                  </w:pPr>
                  <w:r>
                    <w:rPr>
                      <w:color w:val="auto"/>
                      <w:szCs w:val="21"/>
                    </w:rPr>
                    <w:t>本项目符合国家、地方产业政策，不属于法律法规和相关政策明令禁止的落后产能项目。</w:t>
                  </w:r>
                </w:p>
              </w:tc>
              <w:tc>
                <w:tcPr>
                  <w:tcW w:w="897" w:type="dxa"/>
                  <w:vAlign w:val="center"/>
                </w:tcPr>
                <w:p>
                  <w:pPr>
                    <w:spacing w:before="93" w:beforeLines="30" w:after="93" w:afterLines="30"/>
                    <w:jc w:val="center"/>
                    <w:rPr>
                      <w:color w:val="auto"/>
                      <w:szCs w:val="21"/>
                    </w:rPr>
                  </w:pPr>
                  <w:r>
                    <w:rPr>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0" w:type="dxa"/>
                  <w:vAlign w:val="center"/>
                </w:tcPr>
                <w:p>
                  <w:pPr>
                    <w:spacing w:before="93" w:beforeLines="30" w:after="93" w:afterLines="30"/>
                    <w:jc w:val="center"/>
                    <w:rPr>
                      <w:color w:val="auto"/>
                      <w:szCs w:val="21"/>
                    </w:rPr>
                  </w:pPr>
                  <w:r>
                    <w:rPr>
                      <w:color w:val="auto"/>
                      <w:szCs w:val="21"/>
                    </w:rPr>
                    <w:t>3</w:t>
                  </w:r>
                </w:p>
              </w:tc>
              <w:tc>
                <w:tcPr>
                  <w:tcW w:w="3945" w:type="dxa"/>
                  <w:vAlign w:val="center"/>
                </w:tcPr>
                <w:p>
                  <w:pPr>
                    <w:spacing w:before="93" w:beforeLines="30" w:after="93" w:afterLines="30"/>
                    <w:jc w:val="center"/>
                    <w:rPr>
                      <w:color w:val="auto"/>
                      <w:szCs w:val="21"/>
                    </w:rPr>
                  </w:pPr>
                  <w:r>
                    <w:rPr>
                      <w:color w:val="auto"/>
                      <w:szCs w:val="21"/>
                    </w:rPr>
                    <w:t>禁止新建、扩建不符合国家产能置换要求的严重过剩产能行业的项目</w:t>
                  </w:r>
                </w:p>
              </w:tc>
              <w:tc>
                <w:tcPr>
                  <w:tcW w:w="2850" w:type="dxa"/>
                  <w:vAlign w:val="center"/>
                </w:tcPr>
                <w:p>
                  <w:pPr>
                    <w:spacing w:before="93" w:beforeLines="30" w:after="93" w:afterLines="30"/>
                    <w:jc w:val="center"/>
                    <w:rPr>
                      <w:color w:val="auto"/>
                      <w:szCs w:val="21"/>
                    </w:rPr>
                  </w:pPr>
                  <w:r>
                    <w:rPr>
                      <w:color w:val="auto"/>
                      <w:szCs w:val="21"/>
                    </w:rPr>
                    <w:t>本项目不属于严重过剩产能行业</w:t>
                  </w:r>
                </w:p>
              </w:tc>
              <w:tc>
                <w:tcPr>
                  <w:tcW w:w="897" w:type="dxa"/>
                  <w:vAlign w:val="center"/>
                </w:tcPr>
                <w:p>
                  <w:pPr>
                    <w:spacing w:before="93" w:beforeLines="30" w:after="93" w:afterLines="30"/>
                    <w:jc w:val="center"/>
                    <w:rPr>
                      <w:color w:val="auto"/>
                      <w:szCs w:val="21"/>
                    </w:rPr>
                  </w:pPr>
                  <w:r>
                    <w:rPr>
                      <w:color w:val="auto"/>
                      <w:szCs w:val="21"/>
                    </w:rPr>
                    <w:t>相符</w:t>
                  </w:r>
                </w:p>
              </w:tc>
            </w:tr>
          </w:tbl>
          <w:p>
            <w:pPr>
              <w:spacing w:line="360" w:lineRule="auto"/>
              <w:ind w:firstLine="480" w:firstLineChars="200"/>
              <w:rPr>
                <w:color w:val="auto"/>
                <w:sz w:val="24"/>
              </w:rPr>
            </w:pPr>
            <w:r>
              <w:rPr>
                <w:color w:val="auto"/>
                <w:sz w:val="24"/>
              </w:rPr>
              <w:t>综上所述，建设项目满足生态保护红线、环境质量底线以及资源利用上限的要求，并且不在区域环境准入负面清单中。</w:t>
            </w:r>
          </w:p>
          <w:p>
            <w:pPr>
              <w:adjustRightInd w:val="0"/>
              <w:spacing w:line="360" w:lineRule="auto"/>
              <w:ind w:firstLine="456" w:firstLineChars="200"/>
              <w:rPr>
                <w:color w:val="auto"/>
                <w:spacing w:val="-6"/>
                <w:sz w:val="24"/>
              </w:rPr>
            </w:pPr>
            <w:r>
              <w:rPr>
                <w:color w:val="auto"/>
                <w:spacing w:val="-6"/>
                <w:sz w:val="24"/>
              </w:rPr>
              <w:t>综上，本项目建设满足“三线一单”的要求。</w:t>
            </w:r>
          </w:p>
          <w:p>
            <w:pPr>
              <w:pStyle w:val="288"/>
              <w:adjustRightInd w:val="0"/>
              <w:snapToGrid w:val="0"/>
              <w:ind w:firstLine="482"/>
              <w:rPr>
                <w:b/>
                <w:bCs/>
                <w:color w:val="auto"/>
                <w:kern w:val="2"/>
                <w:szCs w:val="24"/>
              </w:rPr>
            </w:pPr>
            <w:r>
              <w:rPr>
                <w:rFonts w:hint="eastAsia"/>
                <w:b/>
                <w:bCs/>
                <w:color w:val="auto"/>
                <w:kern w:val="2"/>
                <w:szCs w:val="24"/>
              </w:rPr>
              <w:t>12、与《江苏省“三线一单”生态环境分区管控方案》（苏政发〔2020〕49号）相符性分析</w:t>
            </w:r>
          </w:p>
          <w:p>
            <w:pPr>
              <w:spacing w:line="360" w:lineRule="auto"/>
              <w:ind w:firstLine="480" w:firstLineChars="200"/>
              <w:rPr>
                <w:b/>
                <w:color w:val="auto"/>
                <w:sz w:val="24"/>
                <w:szCs w:val="24"/>
              </w:rPr>
            </w:pPr>
            <w:r>
              <w:rPr>
                <w:rFonts w:hint="eastAsia"/>
                <w:color w:val="auto"/>
                <w:sz w:val="24"/>
                <w:szCs w:val="24"/>
              </w:rPr>
              <w:t>对照《江苏省“三线一单”生态环境分区管控方案》（苏政发〔2020〕49号）：本项目地属于重点管控单元（本项目与江苏省环境管控单元图位置关系详见附图10），相符性分析见下表：</w:t>
            </w:r>
          </w:p>
          <w:p>
            <w:pPr>
              <w:jc w:val="center"/>
              <w:rPr>
                <w:b/>
                <w:color w:val="auto"/>
                <w:szCs w:val="21"/>
              </w:rPr>
            </w:pPr>
            <w:r>
              <w:rPr>
                <w:rFonts w:hint="eastAsia"/>
                <w:b/>
                <w:color w:val="auto"/>
                <w:szCs w:val="21"/>
              </w:rPr>
              <w:t>表1-12 苏政发〔2020〕49号中重点管控要求</w:t>
            </w:r>
          </w:p>
          <w:tbl>
            <w:tblPr>
              <w:tblStyle w:val="57"/>
              <w:tblW w:w="0" w:type="auto"/>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17"/>
              <w:gridCol w:w="668"/>
              <w:gridCol w:w="2681"/>
              <w:gridCol w:w="2940"/>
              <w:gridCol w:w="12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7" w:type="dxa"/>
                  <w:tcBorders>
                    <w:tl2br w:val="nil"/>
                    <w:tr2bl w:val="nil"/>
                  </w:tcBorders>
                  <w:vAlign w:val="center"/>
                </w:tcPr>
                <w:p>
                  <w:pPr>
                    <w:spacing w:before="62" w:beforeLines="20" w:after="62" w:afterLines="20"/>
                    <w:jc w:val="center"/>
                    <w:rPr>
                      <w:b/>
                      <w:bCs/>
                      <w:color w:val="auto"/>
                      <w:szCs w:val="21"/>
                    </w:rPr>
                  </w:pPr>
                  <w:r>
                    <w:rPr>
                      <w:rFonts w:hint="eastAsia"/>
                      <w:b/>
                      <w:bCs/>
                      <w:color w:val="auto"/>
                      <w:szCs w:val="21"/>
                    </w:rPr>
                    <w:t>序号</w:t>
                  </w:r>
                </w:p>
              </w:tc>
              <w:tc>
                <w:tcPr>
                  <w:tcW w:w="3349" w:type="dxa"/>
                  <w:gridSpan w:val="2"/>
                  <w:tcBorders>
                    <w:tl2br w:val="nil"/>
                    <w:tr2bl w:val="nil"/>
                  </w:tcBorders>
                  <w:vAlign w:val="center"/>
                </w:tcPr>
                <w:p>
                  <w:pPr>
                    <w:spacing w:before="62" w:beforeLines="20" w:after="62" w:afterLines="20"/>
                    <w:jc w:val="center"/>
                    <w:rPr>
                      <w:b/>
                      <w:bCs/>
                      <w:color w:val="auto"/>
                      <w:szCs w:val="21"/>
                    </w:rPr>
                  </w:pPr>
                  <w:r>
                    <w:rPr>
                      <w:rFonts w:hint="eastAsia"/>
                      <w:b/>
                      <w:bCs/>
                      <w:color w:val="auto"/>
                      <w:szCs w:val="21"/>
                    </w:rPr>
                    <w:t>管控要求</w:t>
                  </w:r>
                </w:p>
              </w:tc>
              <w:tc>
                <w:tcPr>
                  <w:tcW w:w="2940" w:type="dxa"/>
                  <w:tcBorders>
                    <w:tl2br w:val="nil"/>
                    <w:tr2bl w:val="nil"/>
                  </w:tcBorders>
                  <w:vAlign w:val="center"/>
                </w:tcPr>
                <w:p>
                  <w:pPr>
                    <w:spacing w:before="62" w:beforeLines="20" w:after="62" w:afterLines="20"/>
                    <w:jc w:val="center"/>
                    <w:rPr>
                      <w:b/>
                      <w:bCs/>
                      <w:color w:val="auto"/>
                      <w:szCs w:val="21"/>
                    </w:rPr>
                  </w:pPr>
                  <w:r>
                    <w:rPr>
                      <w:b/>
                      <w:color w:val="auto"/>
                      <w:szCs w:val="21"/>
                    </w:rPr>
                    <w:t>本项目相关内容</w:t>
                  </w:r>
                </w:p>
              </w:tc>
              <w:tc>
                <w:tcPr>
                  <w:tcW w:w="1287" w:type="dxa"/>
                  <w:tcBorders>
                    <w:tl2br w:val="nil"/>
                    <w:tr2bl w:val="nil"/>
                  </w:tcBorders>
                  <w:vAlign w:val="center"/>
                </w:tcPr>
                <w:p>
                  <w:pPr>
                    <w:spacing w:before="62" w:beforeLines="20" w:after="62" w:afterLines="20"/>
                    <w:jc w:val="center"/>
                    <w:rPr>
                      <w:b/>
                      <w:bCs/>
                      <w:color w:val="auto"/>
                      <w:szCs w:val="21"/>
                    </w:rPr>
                  </w:pPr>
                  <w:r>
                    <w:rPr>
                      <w:rFonts w:hint="eastAsia"/>
                      <w:b/>
                      <w:bCs/>
                      <w:color w:val="auto"/>
                      <w:szCs w:val="21"/>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717"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1</w:t>
                  </w:r>
                </w:p>
              </w:tc>
              <w:tc>
                <w:tcPr>
                  <w:tcW w:w="668"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空间布局约束</w:t>
                  </w: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严守生态保护红线，实行最严格的生态空间管控制度，确保全省生态功能不降低、面积不减少、性质不改变，切实维护生态安全</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本项目不在国家级生态保护红线和生态空间管控区内，本项目的建设不会使生态功能降低、不会影响生态空间面积、不会改变生态空间性质</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717" w:type="dxa"/>
                  <w:vMerge w:val="continue"/>
                  <w:tcBorders>
                    <w:tl2br w:val="nil"/>
                    <w:tr2bl w:val="nil"/>
                  </w:tcBorders>
                  <w:vAlign w:val="center"/>
                </w:tcPr>
                <w:p>
                  <w:pPr>
                    <w:spacing w:before="62" w:beforeLines="20" w:after="62" w:afterLines="20"/>
                    <w:jc w:val="center"/>
                    <w:rPr>
                      <w:color w:val="auto"/>
                      <w:szCs w:val="21"/>
                    </w:rPr>
                  </w:pPr>
                </w:p>
              </w:tc>
              <w:tc>
                <w:tcPr>
                  <w:tcW w:w="668" w:type="dxa"/>
                  <w:vMerge w:val="continue"/>
                  <w:tcBorders>
                    <w:tl2br w:val="nil"/>
                    <w:tr2bl w:val="nil"/>
                  </w:tcBorders>
                  <w:vAlign w:val="center"/>
                </w:tcPr>
                <w:p>
                  <w:pPr>
                    <w:spacing w:before="62" w:beforeLines="20" w:after="62" w:afterLines="20"/>
                    <w:jc w:val="center"/>
                    <w:rPr>
                      <w:color w:val="auto"/>
                      <w:szCs w:val="21"/>
                    </w:rPr>
                  </w:pP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太湖流域需满足江苏省太湖水污染防治条例要求</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本项目满足江苏省太湖水污染防治条例要求</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7"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2</w:t>
                  </w:r>
                </w:p>
              </w:tc>
              <w:tc>
                <w:tcPr>
                  <w:tcW w:w="668"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污染物排放管控</w:t>
                  </w: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坚持生态环境质量只能更好、不能变坏，实施污染物总量控制，以环境容量定产业、定项目、定规模，确保开发建设行为不突破生态环境承载力。2020年主要污染物排放总量要求：全省二氧化硫、氮氧化物、挥发性有机物、化学需氧量、氨氮、总氮、总磷排放总量分别为66.8万吨、 85.4万吨、149.6万吨、91.2万吨、11.9万吨、29.2万吨、2.7万吨。</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本次环评要求建设单位向常州市金坛生态环境局申请总量</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7" w:type="dxa"/>
                  <w:vMerge w:val="continue"/>
                  <w:tcBorders>
                    <w:tl2br w:val="nil"/>
                    <w:tr2bl w:val="nil"/>
                  </w:tcBorders>
                  <w:vAlign w:val="center"/>
                </w:tcPr>
                <w:p>
                  <w:pPr>
                    <w:spacing w:before="62" w:beforeLines="20" w:after="62" w:afterLines="20"/>
                    <w:jc w:val="center"/>
                    <w:rPr>
                      <w:color w:val="auto"/>
                      <w:szCs w:val="21"/>
                    </w:rPr>
                  </w:pPr>
                </w:p>
              </w:tc>
              <w:tc>
                <w:tcPr>
                  <w:tcW w:w="668" w:type="dxa"/>
                  <w:vMerge w:val="continue"/>
                  <w:tcBorders>
                    <w:tl2br w:val="nil"/>
                    <w:tr2bl w:val="nil"/>
                  </w:tcBorders>
                  <w:vAlign w:val="center"/>
                </w:tcPr>
                <w:p>
                  <w:pPr>
                    <w:spacing w:before="62" w:beforeLines="20" w:after="62" w:afterLines="20"/>
                    <w:jc w:val="center"/>
                    <w:rPr>
                      <w:color w:val="auto"/>
                      <w:szCs w:val="21"/>
                    </w:rPr>
                  </w:pP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城镇污水处理厂、纺织工业、化学工业、造纸工业、钢铁工业、电镀工业和食品工业的污水处理设施执行《太湖地区城镇污水处理厂及重点工业行业主要水污染物排放限值》。</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本项目无生产废水产生；生活污水接管至金坛区第二污水处理厂深度处理</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7"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3</w:t>
                  </w:r>
                </w:p>
              </w:tc>
              <w:tc>
                <w:tcPr>
                  <w:tcW w:w="668" w:type="dxa"/>
                  <w:vMerge w:val="restart"/>
                  <w:tcBorders>
                    <w:tl2br w:val="nil"/>
                    <w:tr2bl w:val="nil"/>
                  </w:tcBorders>
                  <w:vAlign w:val="center"/>
                </w:tcPr>
                <w:p>
                  <w:pPr>
                    <w:spacing w:before="62" w:beforeLines="20" w:after="62" w:afterLines="20"/>
                    <w:jc w:val="center"/>
                    <w:rPr>
                      <w:color w:val="auto"/>
                      <w:szCs w:val="21"/>
                    </w:rPr>
                  </w:pPr>
                  <w:r>
                    <w:rPr>
                      <w:rFonts w:hint="eastAsia"/>
                      <w:color w:val="auto"/>
                      <w:szCs w:val="21"/>
                    </w:rPr>
                    <w:t>环境风险防控</w:t>
                  </w: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强化环境事故应急管理、强化环境风险防控能力建设</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本项目设置风险防范措施；项目实施后，按要求编制应急预案</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7" w:type="dxa"/>
                  <w:vMerge w:val="continue"/>
                  <w:tcBorders>
                    <w:tl2br w:val="nil"/>
                    <w:tr2bl w:val="nil"/>
                  </w:tcBorders>
                  <w:vAlign w:val="center"/>
                </w:tcPr>
                <w:p>
                  <w:pPr>
                    <w:spacing w:before="62" w:beforeLines="20" w:after="62" w:afterLines="20"/>
                    <w:jc w:val="center"/>
                    <w:rPr>
                      <w:color w:val="auto"/>
                      <w:szCs w:val="21"/>
                    </w:rPr>
                  </w:pPr>
                </w:p>
              </w:tc>
              <w:tc>
                <w:tcPr>
                  <w:tcW w:w="668" w:type="dxa"/>
                  <w:vMerge w:val="continue"/>
                  <w:tcBorders>
                    <w:tl2br w:val="nil"/>
                    <w:tr2bl w:val="nil"/>
                  </w:tcBorders>
                  <w:vAlign w:val="center"/>
                </w:tcPr>
                <w:p>
                  <w:pPr>
                    <w:spacing w:before="62" w:beforeLines="20" w:after="62" w:afterLines="20"/>
                    <w:jc w:val="center"/>
                    <w:rPr>
                      <w:color w:val="auto"/>
                      <w:szCs w:val="21"/>
                    </w:rPr>
                  </w:pP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运输剧毒物质、危险化学品的船舶不得进入太湖。禁止向太湖流域水体排放或者倾倒油类、酸液、碱液、剧毒废渣废液、含放射性废渣废液、含病原体污水、工业废渣以及其他废弃物；加强太湖流域生态环境风险应急管控，着力提高防控太湖蓝藻水华风险预警和应急处置能力</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本项目不涉及剧毒化学品及运输剧毒化学品、国家规定禁止通过内河运输的其他危险化学品。本项目不以任何形式向太湖排放废液、废弃物等</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12" w:hRule="atLeast"/>
              </w:trPr>
              <w:tc>
                <w:tcPr>
                  <w:tcW w:w="717" w:type="dxa"/>
                  <w:tcBorders>
                    <w:tl2br w:val="nil"/>
                    <w:tr2bl w:val="nil"/>
                  </w:tcBorders>
                  <w:vAlign w:val="center"/>
                </w:tcPr>
                <w:p>
                  <w:pPr>
                    <w:spacing w:before="62" w:beforeLines="20" w:after="62" w:afterLines="20"/>
                    <w:jc w:val="center"/>
                    <w:rPr>
                      <w:color w:val="auto"/>
                      <w:szCs w:val="21"/>
                    </w:rPr>
                  </w:pPr>
                  <w:r>
                    <w:rPr>
                      <w:rFonts w:hint="eastAsia"/>
                      <w:color w:val="auto"/>
                      <w:szCs w:val="21"/>
                    </w:rPr>
                    <w:t>4</w:t>
                  </w:r>
                </w:p>
              </w:tc>
              <w:tc>
                <w:tcPr>
                  <w:tcW w:w="668" w:type="dxa"/>
                  <w:tcBorders>
                    <w:tl2br w:val="nil"/>
                    <w:tr2bl w:val="nil"/>
                  </w:tcBorders>
                  <w:vAlign w:val="center"/>
                </w:tcPr>
                <w:p>
                  <w:pPr>
                    <w:spacing w:before="62" w:beforeLines="20" w:after="62" w:afterLines="20"/>
                    <w:jc w:val="center"/>
                    <w:rPr>
                      <w:color w:val="auto"/>
                      <w:szCs w:val="21"/>
                    </w:rPr>
                  </w:pPr>
                  <w:r>
                    <w:rPr>
                      <w:rFonts w:hint="eastAsia"/>
                      <w:color w:val="auto"/>
                      <w:szCs w:val="21"/>
                    </w:rPr>
                    <w:t>资源利用效率要求</w:t>
                  </w:r>
                </w:p>
              </w:tc>
              <w:tc>
                <w:tcPr>
                  <w:tcW w:w="2681" w:type="dxa"/>
                  <w:tcBorders>
                    <w:tl2br w:val="nil"/>
                    <w:tr2bl w:val="nil"/>
                  </w:tcBorders>
                  <w:vAlign w:val="center"/>
                </w:tcPr>
                <w:p>
                  <w:pPr>
                    <w:spacing w:before="62" w:beforeLines="20" w:after="62" w:afterLines="20"/>
                    <w:jc w:val="center"/>
                    <w:rPr>
                      <w:color w:val="auto"/>
                      <w:szCs w:val="21"/>
                    </w:rPr>
                  </w:pPr>
                  <w:r>
                    <w:rPr>
                      <w:rFonts w:hint="eastAsia"/>
                      <w:color w:val="auto"/>
                      <w:szCs w:val="21"/>
                    </w:rPr>
                    <w:t>工业水循环利用率达90%；在禁燃区内，禁止销售、燃用高污染燃料；禁止新建、扩建燃用高污染燃料的设施，已建成的，应当在城市人民政府规定的期限内改用天然气、页岩气、液化石油气、电或者其他清洁能源。</w:t>
                  </w:r>
                </w:p>
              </w:tc>
              <w:tc>
                <w:tcPr>
                  <w:tcW w:w="2940" w:type="dxa"/>
                  <w:tcBorders>
                    <w:tl2br w:val="nil"/>
                    <w:tr2bl w:val="nil"/>
                  </w:tcBorders>
                  <w:vAlign w:val="center"/>
                </w:tcPr>
                <w:p>
                  <w:pPr>
                    <w:spacing w:before="62" w:beforeLines="20" w:after="62" w:afterLines="20"/>
                    <w:jc w:val="center"/>
                    <w:rPr>
                      <w:color w:val="auto"/>
                      <w:szCs w:val="21"/>
                    </w:rPr>
                  </w:pPr>
                  <w:r>
                    <w:rPr>
                      <w:rFonts w:hint="eastAsia"/>
                      <w:color w:val="auto"/>
                      <w:szCs w:val="21"/>
                    </w:rPr>
                    <w:t>本项目无生产废水产生；本项目不涉及使用燃料</w:t>
                  </w:r>
                </w:p>
              </w:tc>
              <w:tc>
                <w:tcPr>
                  <w:tcW w:w="1287" w:type="dxa"/>
                  <w:tcBorders>
                    <w:tl2br w:val="nil"/>
                    <w:tr2bl w:val="nil"/>
                  </w:tcBorders>
                  <w:vAlign w:val="center"/>
                </w:tcPr>
                <w:p>
                  <w:pPr>
                    <w:spacing w:before="62" w:beforeLines="20" w:after="62" w:afterLines="20"/>
                    <w:jc w:val="center"/>
                    <w:rPr>
                      <w:color w:val="auto"/>
                      <w:szCs w:val="21"/>
                    </w:rPr>
                  </w:pPr>
                  <w:r>
                    <w:rPr>
                      <w:rFonts w:hint="eastAsia"/>
                      <w:color w:val="auto"/>
                      <w:szCs w:val="21"/>
                    </w:rPr>
                    <w:t>相符</w:t>
                  </w:r>
                </w:p>
              </w:tc>
            </w:tr>
          </w:tbl>
          <w:p>
            <w:pPr>
              <w:autoSpaceDE w:val="0"/>
              <w:autoSpaceDN w:val="0"/>
              <w:spacing w:line="360" w:lineRule="auto"/>
              <w:ind w:firstLine="480" w:firstLineChars="200"/>
              <w:rPr>
                <w:b/>
                <w:color w:val="auto"/>
              </w:rPr>
            </w:pPr>
            <w:r>
              <w:rPr>
                <w:rFonts w:hint="eastAsia"/>
                <w:color w:val="auto"/>
                <w:sz w:val="24"/>
                <w:szCs w:val="24"/>
              </w:rPr>
              <w:t>综上</w:t>
            </w:r>
            <w:r>
              <w:rPr>
                <w:color w:val="auto"/>
                <w:sz w:val="24"/>
                <w:szCs w:val="24"/>
              </w:rPr>
              <w:t>，本项目建设与《江苏省“三线一单”生态环境分区管控方案》（苏政发〔2020〕49号）相符。</w:t>
            </w:r>
          </w:p>
          <w:p>
            <w:pPr>
              <w:spacing w:line="360" w:lineRule="auto"/>
              <w:ind w:firstLine="480" w:firstLineChars="200"/>
              <w:rPr>
                <w:b/>
                <w:color w:val="auto"/>
                <w:sz w:val="24"/>
                <w:szCs w:val="24"/>
              </w:rPr>
            </w:pPr>
            <w:r>
              <w:rPr>
                <w:b/>
                <w:color w:val="auto"/>
                <w:sz w:val="24"/>
                <w:szCs w:val="24"/>
              </w:rPr>
              <w:t>1</w:t>
            </w:r>
            <w:r>
              <w:rPr>
                <w:rFonts w:hint="eastAsia"/>
                <w:b/>
                <w:color w:val="auto"/>
                <w:sz w:val="24"/>
                <w:szCs w:val="24"/>
              </w:rPr>
              <w:t>3</w:t>
            </w:r>
            <w:r>
              <w:rPr>
                <w:b/>
                <w:color w:val="auto"/>
                <w:sz w:val="24"/>
                <w:szCs w:val="24"/>
              </w:rPr>
              <w:t>、环保投资</w:t>
            </w:r>
          </w:p>
          <w:p>
            <w:pPr>
              <w:tabs>
                <w:tab w:val="left" w:pos="6691"/>
              </w:tabs>
              <w:spacing w:line="360" w:lineRule="auto"/>
              <w:ind w:firstLine="480" w:firstLineChars="200"/>
              <w:rPr>
                <w:color w:val="auto"/>
                <w:sz w:val="24"/>
              </w:rPr>
            </w:pPr>
            <w:r>
              <w:rPr>
                <w:color w:val="auto"/>
                <w:sz w:val="24"/>
              </w:rPr>
              <w:t>本项目环保投资为</w:t>
            </w:r>
            <w:r>
              <w:rPr>
                <w:rFonts w:hint="eastAsia"/>
                <w:color w:val="auto"/>
                <w:sz w:val="24"/>
                <w:lang w:val="en-US" w:eastAsia="zh-CN"/>
              </w:rPr>
              <w:t>37.4</w:t>
            </w:r>
            <w:r>
              <w:rPr>
                <w:color w:val="auto"/>
                <w:sz w:val="24"/>
              </w:rPr>
              <w:t>万元，占总投资（</w:t>
            </w:r>
            <w:r>
              <w:rPr>
                <w:rFonts w:hint="eastAsia"/>
                <w:color w:val="auto"/>
                <w:sz w:val="24"/>
                <w:lang w:val="en-US" w:eastAsia="zh-CN"/>
              </w:rPr>
              <w:t>350</w:t>
            </w:r>
            <w:r>
              <w:rPr>
                <w:color w:val="auto"/>
                <w:sz w:val="24"/>
              </w:rPr>
              <w:t>万元）的</w:t>
            </w:r>
            <w:r>
              <w:rPr>
                <w:rFonts w:hint="eastAsia"/>
                <w:color w:val="auto"/>
                <w:sz w:val="24"/>
                <w:lang w:val="en-US" w:eastAsia="zh-CN"/>
              </w:rPr>
              <w:t>7.83</w:t>
            </w:r>
            <w:r>
              <w:rPr>
                <w:color w:val="auto"/>
                <w:sz w:val="24"/>
              </w:rPr>
              <w:t>%，详见下表。</w:t>
            </w:r>
          </w:p>
          <w:p>
            <w:pPr>
              <w:jc w:val="center"/>
              <w:rPr>
                <w:b/>
                <w:color w:val="auto"/>
                <w:szCs w:val="21"/>
              </w:rPr>
            </w:pPr>
            <w:r>
              <w:rPr>
                <w:b/>
                <w:color w:val="auto"/>
                <w:szCs w:val="21"/>
              </w:rPr>
              <w:t>表1-</w:t>
            </w:r>
            <w:r>
              <w:rPr>
                <w:rFonts w:hint="eastAsia"/>
                <w:b/>
                <w:color w:val="auto"/>
                <w:szCs w:val="21"/>
              </w:rPr>
              <w:t>13</w:t>
            </w:r>
            <w:r>
              <w:rPr>
                <w:b/>
                <w:color w:val="auto"/>
                <w:szCs w:val="21"/>
              </w:rPr>
              <w:t xml:space="preserve"> 环保投资估算</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45" w:type="dxa"/>
                <w:bottom w:w="0" w:type="dxa"/>
                <w:right w:w="45" w:type="dxa"/>
              </w:tblCellMar>
            </w:tblPr>
            <w:tblGrid>
              <w:gridCol w:w="846"/>
              <w:gridCol w:w="3494"/>
              <w:gridCol w:w="1209"/>
              <w:gridCol w:w="1337"/>
              <w:gridCol w:w="143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24" w:hRule="atLeast"/>
                <w:jc w:val="center"/>
              </w:trPr>
              <w:tc>
                <w:tcPr>
                  <w:tcW w:w="508" w:type="pct"/>
                  <w:vAlign w:val="center"/>
                </w:tcPr>
                <w:p>
                  <w:pPr>
                    <w:jc w:val="center"/>
                    <w:rPr>
                      <w:b/>
                      <w:color w:val="auto"/>
                      <w:szCs w:val="21"/>
                    </w:rPr>
                  </w:pPr>
                  <w:r>
                    <w:rPr>
                      <w:b/>
                      <w:color w:val="auto"/>
                      <w:szCs w:val="21"/>
                    </w:rPr>
                    <w:t>名称</w:t>
                  </w:r>
                </w:p>
              </w:tc>
              <w:tc>
                <w:tcPr>
                  <w:tcW w:w="2099" w:type="pct"/>
                  <w:vAlign w:val="center"/>
                </w:tcPr>
                <w:p>
                  <w:pPr>
                    <w:jc w:val="center"/>
                    <w:rPr>
                      <w:b/>
                      <w:color w:val="auto"/>
                      <w:szCs w:val="21"/>
                    </w:rPr>
                  </w:pPr>
                  <w:r>
                    <w:rPr>
                      <w:b/>
                      <w:color w:val="auto"/>
                      <w:szCs w:val="21"/>
                    </w:rPr>
                    <w:t>环保设施名称</w:t>
                  </w:r>
                </w:p>
              </w:tc>
              <w:tc>
                <w:tcPr>
                  <w:tcW w:w="726" w:type="pct"/>
                  <w:vAlign w:val="center"/>
                </w:tcPr>
                <w:p>
                  <w:pPr>
                    <w:jc w:val="center"/>
                    <w:rPr>
                      <w:b/>
                      <w:color w:val="auto"/>
                      <w:szCs w:val="21"/>
                    </w:rPr>
                  </w:pPr>
                  <w:r>
                    <w:rPr>
                      <w:b/>
                      <w:color w:val="auto"/>
                      <w:szCs w:val="21"/>
                    </w:rPr>
                    <w:t>环保投资（万元）</w:t>
                  </w:r>
                </w:p>
              </w:tc>
              <w:tc>
                <w:tcPr>
                  <w:tcW w:w="803" w:type="pct"/>
                  <w:vAlign w:val="center"/>
                </w:tcPr>
                <w:p>
                  <w:pPr>
                    <w:jc w:val="center"/>
                    <w:rPr>
                      <w:b/>
                      <w:color w:val="auto"/>
                      <w:szCs w:val="21"/>
                    </w:rPr>
                  </w:pPr>
                  <w:r>
                    <w:rPr>
                      <w:b/>
                      <w:color w:val="auto"/>
                      <w:szCs w:val="21"/>
                    </w:rPr>
                    <w:t>备注</w:t>
                  </w:r>
                </w:p>
              </w:tc>
              <w:tc>
                <w:tcPr>
                  <w:tcW w:w="863" w:type="pct"/>
                  <w:vAlign w:val="center"/>
                </w:tcPr>
                <w:p>
                  <w:pPr>
                    <w:jc w:val="center"/>
                    <w:rPr>
                      <w:b/>
                      <w:color w:val="auto"/>
                      <w:szCs w:val="21"/>
                    </w:rPr>
                  </w:pPr>
                  <w:r>
                    <w:rPr>
                      <w:rFonts w:hint="eastAsia"/>
                      <w:b/>
                      <w:color w:val="auto"/>
                      <w:szCs w:val="21"/>
                    </w:rPr>
                    <w:t>进度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526" w:hRule="atLeast"/>
                <w:jc w:val="center"/>
              </w:trPr>
              <w:tc>
                <w:tcPr>
                  <w:tcW w:w="508" w:type="pct"/>
                  <w:vMerge w:val="restart"/>
                  <w:vAlign w:val="center"/>
                </w:tcPr>
                <w:p>
                  <w:pPr>
                    <w:snapToGrid w:val="0"/>
                    <w:jc w:val="center"/>
                    <w:rPr>
                      <w:color w:val="auto"/>
                      <w:szCs w:val="22"/>
                    </w:rPr>
                  </w:pPr>
                  <w:r>
                    <w:rPr>
                      <w:rFonts w:hint="eastAsia"/>
                      <w:color w:val="auto"/>
                      <w:szCs w:val="22"/>
                    </w:rPr>
                    <w:t>废水</w:t>
                  </w:r>
                </w:p>
              </w:tc>
              <w:tc>
                <w:tcPr>
                  <w:tcW w:w="2099" w:type="pct"/>
                  <w:vAlign w:val="center"/>
                </w:tcPr>
                <w:p>
                  <w:pPr>
                    <w:snapToGrid w:val="0"/>
                    <w:jc w:val="center"/>
                    <w:rPr>
                      <w:color w:val="auto"/>
                      <w:szCs w:val="22"/>
                    </w:rPr>
                  </w:pPr>
                  <w:r>
                    <w:rPr>
                      <w:rFonts w:hint="eastAsia"/>
                      <w:color w:val="auto"/>
                      <w:szCs w:val="22"/>
                    </w:rPr>
                    <w:t>雨污管网、雨水排放口、污水接管口</w:t>
                  </w:r>
                </w:p>
              </w:tc>
              <w:tc>
                <w:tcPr>
                  <w:tcW w:w="726" w:type="pct"/>
                  <w:vAlign w:val="center"/>
                </w:tcPr>
                <w:p>
                  <w:pPr>
                    <w:jc w:val="center"/>
                    <w:rPr>
                      <w:color w:val="auto"/>
                      <w:szCs w:val="21"/>
                    </w:rPr>
                  </w:pPr>
                  <w:r>
                    <w:rPr>
                      <w:rFonts w:hint="eastAsia"/>
                      <w:color w:val="auto"/>
                      <w:szCs w:val="21"/>
                    </w:rPr>
                    <w:t>0</w:t>
                  </w:r>
                </w:p>
              </w:tc>
              <w:tc>
                <w:tcPr>
                  <w:tcW w:w="803" w:type="pct"/>
                  <w:vAlign w:val="center"/>
                </w:tcPr>
                <w:p>
                  <w:pPr>
                    <w:adjustRightInd w:val="0"/>
                    <w:snapToGrid w:val="0"/>
                    <w:jc w:val="center"/>
                    <w:rPr>
                      <w:color w:val="auto"/>
                      <w:szCs w:val="21"/>
                    </w:rPr>
                  </w:pPr>
                  <w:r>
                    <w:rPr>
                      <w:color w:val="auto"/>
                      <w:szCs w:val="21"/>
                    </w:rPr>
                    <w:t>依托</w:t>
                  </w:r>
                  <w:r>
                    <w:rPr>
                      <w:rFonts w:hint="eastAsia"/>
                      <w:color w:val="auto"/>
                      <w:szCs w:val="21"/>
                    </w:rPr>
                    <w:t>现有</w:t>
                  </w:r>
                </w:p>
              </w:tc>
              <w:tc>
                <w:tcPr>
                  <w:tcW w:w="863" w:type="pct"/>
                  <w:vMerge w:val="restart"/>
                  <w:vAlign w:val="center"/>
                </w:tcPr>
                <w:p>
                  <w:pPr>
                    <w:adjustRightInd w:val="0"/>
                    <w:snapToGrid w:val="0"/>
                    <w:jc w:val="center"/>
                    <w:rPr>
                      <w:color w:val="auto"/>
                      <w:szCs w:val="21"/>
                    </w:rPr>
                  </w:pPr>
                  <w:r>
                    <w:rPr>
                      <w:color w:val="auto"/>
                      <w:szCs w:val="21"/>
                    </w:rPr>
                    <w:t>与建设项目同时设计、同时施工、同时投入运行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526" w:hRule="atLeast"/>
                <w:jc w:val="center"/>
              </w:trPr>
              <w:tc>
                <w:tcPr>
                  <w:tcW w:w="508" w:type="pct"/>
                  <w:vMerge w:val="continue"/>
                  <w:vAlign w:val="center"/>
                </w:tcPr>
                <w:p>
                  <w:pPr>
                    <w:snapToGrid w:val="0"/>
                    <w:jc w:val="center"/>
                    <w:rPr>
                      <w:rFonts w:hint="eastAsia"/>
                      <w:color w:val="auto"/>
                      <w:szCs w:val="22"/>
                    </w:rPr>
                  </w:pPr>
                </w:p>
              </w:tc>
              <w:tc>
                <w:tcPr>
                  <w:tcW w:w="2099" w:type="pct"/>
                  <w:vAlign w:val="center"/>
                </w:tcPr>
                <w:p>
                  <w:pPr>
                    <w:snapToGrid w:val="0"/>
                    <w:jc w:val="center"/>
                    <w:rPr>
                      <w:rFonts w:hint="default" w:eastAsia="宋体"/>
                      <w:color w:val="auto"/>
                      <w:szCs w:val="22"/>
                      <w:lang w:val="en-US" w:eastAsia="zh-CN"/>
                    </w:rPr>
                  </w:pPr>
                  <w:r>
                    <w:rPr>
                      <w:rFonts w:hint="eastAsia"/>
                      <w:color w:val="auto"/>
                      <w:szCs w:val="22"/>
                      <w:lang w:val="en-US" w:eastAsia="zh-CN"/>
                    </w:rPr>
                    <w:t>储存池1座（15m</w:t>
                  </w:r>
                  <w:r>
                    <w:rPr>
                      <w:rFonts w:hint="eastAsia"/>
                      <w:color w:val="auto"/>
                      <w:szCs w:val="22"/>
                      <w:vertAlign w:val="superscript"/>
                      <w:lang w:val="en-US" w:eastAsia="zh-CN"/>
                    </w:rPr>
                    <w:t>3</w:t>
                  </w:r>
                  <w:r>
                    <w:rPr>
                      <w:rFonts w:hint="eastAsia"/>
                      <w:color w:val="auto"/>
                      <w:szCs w:val="22"/>
                      <w:lang w:val="en-US" w:eastAsia="zh-CN"/>
                    </w:rPr>
                    <w:t>）、隔油+气浮一体设备（16t）</w:t>
                  </w:r>
                </w:p>
              </w:tc>
              <w:tc>
                <w:tcPr>
                  <w:tcW w:w="726" w:type="pct"/>
                  <w:vAlign w:val="center"/>
                </w:tcPr>
                <w:p>
                  <w:pPr>
                    <w:jc w:val="center"/>
                    <w:rPr>
                      <w:rFonts w:hint="default" w:eastAsia="宋体"/>
                      <w:color w:val="auto"/>
                      <w:szCs w:val="21"/>
                      <w:lang w:val="en-US" w:eastAsia="zh-CN"/>
                    </w:rPr>
                  </w:pPr>
                  <w:r>
                    <w:rPr>
                      <w:rFonts w:hint="eastAsia"/>
                      <w:color w:val="auto"/>
                      <w:szCs w:val="21"/>
                      <w:lang w:val="en-US" w:eastAsia="zh-CN"/>
                    </w:rPr>
                    <w:t>10</w:t>
                  </w:r>
                </w:p>
              </w:tc>
              <w:tc>
                <w:tcPr>
                  <w:tcW w:w="803"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新建</w:t>
                  </w:r>
                </w:p>
              </w:tc>
              <w:tc>
                <w:tcPr>
                  <w:tcW w:w="863"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Merge w:val="restart"/>
                  <w:vAlign w:val="center"/>
                </w:tcPr>
                <w:p>
                  <w:pPr>
                    <w:snapToGrid w:val="0"/>
                    <w:jc w:val="center"/>
                    <w:rPr>
                      <w:color w:val="auto"/>
                      <w:szCs w:val="22"/>
                    </w:rPr>
                  </w:pPr>
                  <w:r>
                    <w:rPr>
                      <w:rFonts w:hint="eastAsia"/>
                      <w:color w:val="auto"/>
                      <w:szCs w:val="22"/>
                    </w:rPr>
                    <w:t>废气</w:t>
                  </w:r>
                </w:p>
              </w:tc>
              <w:tc>
                <w:tcPr>
                  <w:tcW w:w="2099" w:type="pct"/>
                  <w:vMerge w:val="restart"/>
                  <w:vAlign w:val="center"/>
                </w:tcPr>
                <w:p>
                  <w:pPr>
                    <w:snapToGrid w:val="0"/>
                    <w:jc w:val="center"/>
                    <w:rPr>
                      <w:rFonts w:hint="default" w:eastAsia="宋体"/>
                      <w:color w:val="auto"/>
                      <w:szCs w:val="22"/>
                      <w:lang w:val="en-US" w:eastAsia="zh-CN"/>
                    </w:rPr>
                  </w:pPr>
                  <w:r>
                    <w:rPr>
                      <w:rFonts w:hint="eastAsia"/>
                      <w:color w:val="auto"/>
                      <w:szCs w:val="22"/>
                      <w:lang w:val="en-US" w:eastAsia="zh-CN"/>
                    </w:rPr>
                    <w:t>2个干式喷漆柜+2套二级套活性炭吸附装置+1套脉冲布袋除尘器+配套收集系统、风管等+3根15m搞排气筒</w:t>
                  </w:r>
                </w:p>
              </w:tc>
              <w:tc>
                <w:tcPr>
                  <w:tcW w:w="726" w:type="pct"/>
                  <w:vAlign w:val="center"/>
                </w:tcPr>
                <w:p>
                  <w:pPr>
                    <w:jc w:val="center"/>
                    <w:rPr>
                      <w:rFonts w:hint="default" w:eastAsia="宋体"/>
                      <w:color w:val="auto"/>
                      <w:szCs w:val="21"/>
                      <w:lang w:val="en-US" w:eastAsia="zh-CN"/>
                    </w:rPr>
                  </w:pPr>
                  <w:r>
                    <w:rPr>
                      <w:rFonts w:hint="eastAsia"/>
                      <w:color w:val="auto"/>
                      <w:szCs w:val="21"/>
                      <w:lang w:val="en-US" w:eastAsia="zh-CN"/>
                    </w:rPr>
                    <w:t>15</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Merge w:val="continue"/>
                  <w:vAlign w:val="center"/>
                </w:tcPr>
                <w:p>
                  <w:pPr>
                    <w:snapToGrid w:val="0"/>
                    <w:jc w:val="center"/>
                    <w:rPr>
                      <w:rFonts w:hint="eastAsia"/>
                      <w:color w:val="auto"/>
                      <w:szCs w:val="22"/>
                    </w:rPr>
                  </w:pPr>
                </w:p>
              </w:tc>
              <w:tc>
                <w:tcPr>
                  <w:tcW w:w="2099" w:type="pct"/>
                  <w:vMerge w:val="continue"/>
                  <w:vAlign w:val="center"/>
                </w:tcPr>
                <w:p>
                  <w:pPr>
                    <w:snapToGrid w:val="0"/>
                    <w:jc w:val="center"/>
                    <w:rPr>
                      <w:rFonts w:hint="eastAsia" w:eastAsia="宋体"/>
                      <w:color w:val="auto"/>
                      <w:szCs w:val="22"/>
                      <w:lang w:val="en-US" w:eastAsia="zh-CN"/>
                    </w:rPr>
                  </w:pPr>
                </w:p>
              </w:tc>
              <w:tc>
                <w:tcPr>
                  <w:tcW w:w="726" w:type="pct"/>
                  <w:vAlign w:val="center"/>
                </w:tcPr>
                <w:p>
                  <w:pPr>
                    <w:jc w:val="center"/>
                    <w:rPr>
                      <w:rFonts w:hint="eastAsia" w:eastAsia="宋体"/>
                      <w:color w:val="auto"/>
                      <w:szCs w:val="21"/>
                      <w:lang w:val="en-US" w:eastAsia="zh-CN"/>
                    </w:rPr>
                  </w:pPr>
                  <w:r>
                    <w:rPr>
                      <w:rFonts w:hint="eastAsia"/>
                      <w:color w:val="auto"/>
                      <w:szCs w:val="21"/>
                      <w:lang w:val="en-US" w:eastAsia="zh-CN"/>
                    </w:rPr>
                    <w:t>5</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Merge w:val="continue"/>
                  <w:vAlign w:val="center"/>
                </w:tcPr>
                <w:p>
                  <w:pPr>
                    <w:snapToGrid w:val="0"/>
                    <w:jc w:val="center"/>
                    <w:rPr>
                      <w:rFonts w:hint="eastAsia"/>
                      <w:color w:val="auto"/>
                      <w:szCs w:val="22"/>
                    </w:rPr>
                  </w:pPr>
                </w:p>
              </w:tc>
              <w:tc>
                <w:tcPr>
                  <w:tcW w:w="2099" w:type="pct"/>
                  <w:vMerge w:val="continue"/>
                  <w:vAlign w:val="center"/>
                </w:tcPr>
                <w:p>
                  <w:pPr>
                    <w:snapToGrid w:val="0"/>
                    <w:jc w:val="center"/>
                    <w:rPr>
                      <w:rFonts w:hint="eastAsia" w:eastAsia="宋体"/>
                      <w:color w:val="auto"/>
                      <w:szCs w:val="22"/>
                      <w:lang w:val="en-US" w:eastAsia="zh-CN"/>
                    </w:rPr>
                  </w:pPr>
                </w:p>
              </w:tc>
              <w:tc>
                <w:tcPr>
                  <w:tcW w:w="726" w:type="pct"/>
                  <w:vAlign w:val="center"/>
                </w:tcPr>
                <w:p>
                  <w:pPr>
                    <w:jc w:val="center"/>
                    <w:rPr>
                      <w:rFonts w:hint="default" w:eastAsia="宋体"/>
                      <w:color w:val="auto"/>
                      <w:szCs w:val="21"/>
                      <w:lang w:val="en-US" w:eastAsia="zh-CN"/>
                    </w:rPr>
                  </w:pPr>
                  <w:r>
                    <w:rPr>
                      <w:rFonts w:hint="eastAsia"/>
                      <w:color w:val="auto"/>
                      <w:szCs w:val="21"/>
                      <w:lang w:val="en-US" w:eastAsia="zh-CN"/>
                    </w:rPr>
                    <w:t>1</w:t>
                  </w:r>
                </w:p>
              </w:tc>
              <w:tc>
                <w:tcPr>
                  <w:tcW w:w="803" w:type="pct"/>
                  <w:vAlign w:val="center"/>
                </w:tcPr>
                <w:p>
                  <w:pPr>
                    <w:jc w:val="center"/>
                    <w:rPr>
                      <w:rFonts w:hint="eastAsia" w:eastAsia="宋体"/>
                      <w:color w:val="auto"/>
                      <w:szCs w:val="21"/>
                      <w:lang w:eastAsia="zh-CN"/>
                    </w:rPr>
                  </w:pPr>
                  <w:r>
                    <w:rPr>
                      <w:rFonts w:hint="eastAsia"/>
                      <w:color w:val="auto"/>
                      <w:szCs w:val="21"/>
                      <w:lang w:eastAsia="zh-CN"/>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Align w:val="center"/>
                </w:tcPr>
                <w:p>
                  <w:pPr>
                    <w:snapToGrid w:val="0"/>
                    <w:jc w:val="center"/>
                    <w:rPr>
                      <w:color w:val="auto"/>
                      <w:szCs w:val="22"/>
                    </w:rPr>
                  </w:pPr>
                  <w:r>
                    <w:rPr>
                      <w:rFonts w:hint="eastAsia"/>
                      <w:color w:val="auto"/>
                      <w:szCs w:val="22"/>
                    </w:rPr>
                    <w:t>固废</w:t>
                  </w:r>
                </w:p>
              </w:tc>
              <w:tc>
                <w:tcPr>
                  <w:tcW w:w="2099" w:type="pct"/>
                  <w:vAlign w:val="center"/>
                </w:tcPr>
                <w:p>
                  <w:pPr>
                    <w:snapToGrid w:val="0"/>
                    <w:jc w:val="center"/>
                    <w:rPr>
                      <w:color w:val="auto"/>
                      <w:szCs w:val="22"/>
                    </w:rPr>
                  </w:pPr>
                  <w:r>
                    <w:rPr>
                      <w:rFonts w:hint="eastAsia"/>
                      <w:color w:val="auto"/>
                      <w:szCs w:val="22"/>
                    </w:rPr>
                    <w:t>设置一般固废仓库1个、危废仓库1个</w:t>
                  </w:r>
                </w:p>
              </w:tc>
              <w:tc>
                <w:tcPr>
                  <w:tcW w:w="726" w:type="pct"/>
                  <w:vAlign w:val="center"/>
                </w:tcPr>
                <w:p>
                  <w:pPr>
                    <w:jc w:val="center"/>
                    <w:rPr>
                      <w:rFonts w:hint="eastAsia" w:eastAsia="宋体"/>
                      <w:color w:val="auto"/>
                      <w:szCs w:val="21"/>
                      <w:lang w:eastAsia="zh-CN"/>
                    </w:rPr>
                  </w:pPr>
                  <w:r>
                    <w:rPr>
                      <w:rFonts w:hint="eastAsia"/>
                      <w:color w:val="auto"/>
                      <w:szCs w:val="21"/>
                      <w:lang w:val="en-US" w:eastAsia="zh-CN"/>
                    </w:rPr>
                    <w:t>3</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Align w:val="center"/>
                </w:tcPr>
                <w:p>
                  <w:pPr>
                    <w:snapToGrid w:val="0"/>
                    <w:jc w:val="center"/>
                    <w:rPr>
                      <w:color w:val="auto"/>
                      <w:szCs w:val="22"/>
                    </w:rPr>
                  </w:pPr>
                  <w:r>
                    <w:rPr>
                      <w:rFonts w:hint="eastAsia"/>
                      <w:color w:val="auto"/>
                      <w:szCs w:val="22"/>
                    </w:rPr>
                    <w:t>噪声</w:t>
                  </w:r>
                </w:p>
              </w:tc>
              <w:tc>
                <w:tcPr>
                  <w:tcW w:w="2099" w:type="pct"/>
                  <w:vAlign w:val="center"/>
                </w:tcPr>
                <w:p>
                  <w:pPr>
                    <w:snapToGrid w:val="0"/>
                    <w:jc w:val="center"/>
                    <w:rPr>
                      <w:color w:val="auto"/>
                      <w:szCs w:val="22"/>
                    </w:rPr>
                  </w:pPr>
                  <w:r>
                    <w:rPr>
                      <w:rFonts w:hint="eastAsia"/>
                      <w:color w:val="auto"/>
                      <w:szCs w:val="22"/>
                    </w:rPr>
                    <w:t>减振、隔声设施</w:t>
                  </w:r>
                </w:p>
              </w:tc>
              <w:tc>
                <w:tcPr>
                  <w:tcW w:w="726" w:type="pct"/>
                  <w:vAlign w:val="center"/>
                </w:tcPr>
                <w:p>
                  <w:pPr>
                    <w:jc w:val="center"/>
                    <w:rPr>
                      <w:color w:val="auto"/>
                      <w:szCs w:val="21"/>
                    </w:rPr>
                  </w:pPr>
                  <w:r>
                    <w:rPr>
                      <w:rFonts w:hint="eastAsia"/>
                      <w:color w:val="auto"/>
                      <w:szCs w:val="21"/>
                    </w:rPr>
                    <w:t>1</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576" w:hRule="atLeast"/>
                <w:jc w:val="center"/>
              </w:trPr>
              <w:tc>
                <w:tcPr>
                  <w:tcW w:w="508" w:type="pct"/>
                  <w:vMerge w:val="restart"/>
                  <w:vAlign w:val="center"/>
                </w:tcPr>
                <w:p>
                  <w:pPr>
                    <w:snapToGrid w:val="0"/>
                    <w:jc w:val="center"/>
                    <w:rPr>
                      <w:color w:val="auto"/>
                      <w:szCs w:val="22"/>
                    </w:rPr>
                  </w:pPr>
                  <w:r>
                    <w:rPr>
                      <w:rFonts w:hint="eastAsia"/>
                      <w:color w:val="auto"/>
                      <w:szCs w:val="22"/>
                    </w:rPr>
                    <w:t>环保标志牌</w:t>
                  </w:r>
                </w:p>
              </w:tc>
              <w:tc>
                <w:tcPr>
                  <w:tcW w:w="2099" w:type="pct"/>
                  <w:vAlign w:val="center"/>
                </w:tcPr>
                <w:p>
                  <w:pPr>
                    <w:snapToGrid w:val="0"/>
                    <w:jc w:val="center"/>
                    <w:rPr>
                      <w:color w:val="auto"/>
                      <w:szCs w:val="22"/>
                    </w:rPr>
                  </w:pPr>
                  <w:r>
                    <w:rPr>
                      <w:rFonts w:hint="eastAsia"/>
                      <w:color w:val="auto"/>
                      <w:szCs w:val="22"/>
                    </w:rPr>
                    <w:t>污水排放口、雨水排放口</w:t>
                  </w:r>
                </w:p>
              </w:tc>
              <w:tc>
                <w:tcPr>
                  <w:tcW w:w="726" w:type="pct"/>
                  <w:vAlign w:val="center"/>
                </w:tcPr>
                <w:p>
                  <w:pPr>
                    <w:jc w:val="center"/>
                    <w:rPr>
                      <w:color w:val="auto"/>
                      <w:szCs w:val="21"/>
                    </w:rPr>
                  </w:pPr>
                  <w:r>
                    <w:rPr>
                      <w:rFonts w:hint="eastAsia"/>
                      <w:color w:val="auto"/>
                      <w:szCs w:val="21"/>
                    </w:rPr>
                    <w:t>0</w:t>
                  </w:r>
                </w:p>
              </w:tc>
              <w:tc>
                <w:tcPr>
                  <w:tcW w:w="803" w:type="pct"/>
                  <w:vAlign w:val="center"/>
                </w:tcPr>
                <w:p>
                  <w:pPr>
                    <w:jc w:val="center"/>
                    <w:rPr>
                      <w:color w:val="auto"/>
                      <w:szCs w:val="21"/>
                    </w:rPr>
                  </w:pPr>
                  <w:r>
                    <w:rPr>
                      <w:color w:val="auto"/>
                      <w:szCs w:val="21"/>
                    </w:rPr>
                    <w:t>依托</w:t>
                  </w:r>
                  <w:r>
                    <w:rPr>
                      <w:rFonts w:hint="eastAsia"/>
                      <w:color w:val="auto"/>
                      <w:szCs w:val="21"/>
                    </w:rPr>
                    <w:t>现有</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90" w:hRule="atLeast"/>
                <w:jc w:val="center"/>
              </w:trPr>
              <w:tc>
                <w:tcPr>
                  <w:tcW w:w="508" w:type="pct"/>
                  <w:vMerge w:val="continue"/>
                  <w:vAlign w:val="center"/>
                </w:tcPr>
                <w:p>
                  <w:pPr>
                    <w:snapToGrid w:val="0"/>
                    <w:jc w:val="center"/>
                    <w:rPr>
                      <w:color w:val="auto"/>
                      <w:szCs w:val="22"/>
                    </w:rPr>
                  </w:pPr>
                </w:p>
              </w:tc>
              <w:tc>
                <w:tcPr>
                  <w:tcW w:w="2099" w:type="pct"/>
                  <w:vAlign w:val="center"/>
                </w:tcPr>
                <w:p>
                  <w:pPr>
                    <w:snapToGrid w:val="0"/>
                    <w:jc w:val="center"/>
                    <w:rPr>
                      <w:color w:val="auto"/>
                      <w:szCs w:val="22"/>
                    </w:rPr>
                  </w:pPr>
                  <w:r>
                    <w:rPr>
                      <w:rFonts w:hint="eastAsia"/>
                      <w:color w:val="auto"/>
                      <w:szCs w:val="22"/>
                    </w:rPr>
                    <w:t>废气排放口</w:t>
                  </w:r>
                </w:p>
              </w:tc>
              <w:tc>
                <w:tcPr>
                  <w:tcW w:w="726" w:type="pct"/>
                  <w:vAlign w:val="center"/>
                </w:tcPr>
                <w:p>
                  <w:pPr>
                    <w:jc w:val="center"/>
                    <w:rPr>
                      <w:color w:val="auto"/>
                      <w:szCs w:val="21"/>
                    </w:rPr>
                  </w:pPr>
                  <w:r>
                    <w:rPr>
                      <w:rFonts w:hint="eastAsia"/>
                      <w:color w:val="auto"/>
                      <w:szCs w:val="21"/>
                    </w:rPr>
                    <w:t>0.1</w:t>
                  </w:r>
                </w:p>
              </w:tc>
              <w:tc>
                <w:tcPr>
                  <w:tcW w:w="803" w:type="pct"/>
                  <w:vAlign w:val="center"/>
                </w:tcPr>
                <w:p>
                  <w:pPr>
                    <w:jc w:val="center"/>
                    <w:rPr>
                      <w:color w:val="auto"/>
                      <w:szCs w:val="21"/>
                    </w:rPr>
                  </w:pPr>
                  <w:r>
                    <w:rPr>
                      <w:rFonts w:hint="eastAsia"/>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Merge w:val="continue"/>
                  <w:vAlign w:val="center"/>
                </w:tcPr>
                <w:p>
                  <w:pPr>
                    <w:snapToGrid w:val="0"/>
                    <w:jc w:val="center"/>
                    <w:rPr>
                      <w:color w:val="auto"/>
                      <w:szCs w:val="22"/>
                    </w:rPr>
                  </w:pPr>
                </w:p>
              </w:tc>
              <w:tc>
                <w:tcPr>
                  <w:tcW w:w="2099" w:type="pct"/>
                  <w:vAlign w:val="center"/>
                </w:tcPr>
                <w:p>
                  <w:pPr>
                    <w:snapToGrid w:val="0"/>
                    <w:jc w:val="center"/>
                    <w:rPr>
                      <w:color w:val="auto"/>
                      <w:szCs w:val="22"/>
                    </w:rPr>
                  </w:pPr>
                  <w:r>
                    <w:rPr>
                      <w:rFonts w:hint="eastAsia"/>
                      <w:color w:val="auto"/>
                      <w:szCs w:val="22"/>
                    </w:rPr>
                    <w:t>危废仓库、一般固废仓库</w:t>
                  </w:r>
                </w:p>
              </w:tc>
              <w:tc>
                <w:tcPr>
                  <w:tcW w:w="726" w:type="pct"/>
                  <w:vAlign w:val="center"/>
                </w:tcPr>
                <w:p>
                  <w:pPr>
                    <w:jc w:val="center"/>
                    <w:rPr>
                      <w:color w:val="auto"/>
                      <w:szCs w:val="21"/>
                    </w:rPr>
                  </w:pPr>
                  <w:r>
                    <w:rPr>
                      <w:rFonts w:hint="eastAsia"/>
                      <w:color w:val="auto"/>
                      <w:szCs w:val="21"/>
                    </w:rPr>
                    <w:t>0.3</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508" w:type="pct"/>
                  <w:vAlign w:val="center"/>
                </w:tcPr>
                <w:p>
                  <w:pPr>
                    <w:snapToGrid w:val="0"/>
                    <w:jc w:val="center"/>
                    <w:rPr>
                      <w:rFonts w:hint="eastAsia" w:eastAsia="宋体"/>
                      <w:color w:val="auto"/>
                      <w:szCs w:val="22"/>
                      <w:lang w:val="en-US" w:eastAsia="zh-CN"/>
                    </w:rPr>
                  </w:pPr>
                  <w:r>
                    <w:rPr>
                      <w:rFonts w:hint="eastAsia"/>
                      <w:color w:val="auto"/>
                      <w:szCs w:val="22"/>
                      <w:lang w:val="en-US" w:eastAsia="zh-CN"/>
                    </w:rPr>
                    <w:t>其他</w:t>
                  </w:r>
                </w:p>
              </w:tc>
              <w:tc>
                <w:tcPr>
                  <w:tcW w:w="2099" w:type="pct"/>
                  <w:vAlign w:val="center"/>
                </w:tcPr>
                <w:p>
                  <w:pPr>
                    <w:snapToGrid w:val="0"/>
                    <w:jc w:val="center"/>
                    <w:rPr>
                      <w:rFonts w:hint="eastAsia"/>
                      <w:color w:val="auto"/>
                      <w:szCs w:val="22"/>
                    </w:rPr>
                  </w:pPr>
                  <w:r>
                    <w:rPr>
                      <w:rFonts w:hint="eastAsia"/>
                      <w:color w:val="auto"/>
                      <w:szCs w:val="22"/>
                    </w:rPr>
                    <w:t>事故应急储罐 40m</w:t>
                  </w:r>
                  <w:r>
                    <w:rPr>
                      <w:rFonts w:hint="eastAsia"/>
                      <w:color w:val="auto"/>
                      <w:szCs w:val="22"/>
                      <w:vertAlign w:val="superscript"/>
                    </w:rPr>
                    <w:t>3</w:t>
                  </w:r>
                </w:p>
              </w:tc>
              <w:tc>
                <w:tcPr>
                  <w:tcW w:w="726" w:type="pct"/>
                  <w:vAlign w:val="center"/>
                </w:tcPr>
                <w:p>
                  <w:pPr>
                    <w:jc w:val="center"/>
                    <w:rPr>
                      <w:rFonts w:hint="eastAsia" w:eastAsia="宋体"/>
                      <w:color w:val="auto"/>
                      <w:szCs w:val="21"/>
                      <w:lang w:val="en-US" w:eastAsia="zh-CN"/>
                    </w:rPr>
                  </w:pPr>
                  <w:r>
                    <w:rPr>
                      <w:rFonts w:hint="eastAsia"/>
                      <w:color w:val="auto"/>
                      <w:szCs w:val="21"/>
                      <w:lang w:val="en-US" w:eastAsia="zh-CN"/>
                    </w:rPr>
                    <w:t>2</w:t>
                  </w:r>
                </w:p>
              </w:tc>
              <w:tc>
                <w:tcPr>
                  <w:tcW w:w="803" w:type="pct"/>
                  <w:vAlign w:val="center"/>
                </w:tcPr>
                <w:p>
                  <w:pPr>
                    <w:jc w:val="center"/>
                    <w:rPr>
                      <w:color w:val="auto"/>
                      <w:szCs w:val="21"/>
                    </w:rPr>
                  </w:pPr>
                  <w:r>
                    <w:rPr>
                      <w:color w:val="auto"/>
                      <w:szCs w:val="21"/>
                    </w:rPr>
                    <w:t>新建</w:t>
                  </w:r>
                </w:p>
              </w:tc>
              <w:tc>
                <w:tcPr>
                  <w:tcW w:w="863" w:type="pct"/>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45" w:type="dxa"/>
                  <w:bottom w:w="0" w:type="dxa"/>
                  <w:right w:w="45" w:type="dxa"/>
                </w:tblCellMar>
              </w:tblPrEx>
              <w:trPr>
                <w:trHeight w:val="340" w:hRule="atLeast"/>
                <w:jc w:val="center"/>
              </w:trPr>
              <w:tc>
                <w:tcPr>
                  <w:tcW w:w="2607" w:type="pct"/>
                  <w:gridSpan w:val="2"/>
                  <w:vAlign w:val="center"/>
                </w:tcPr>
                <w:p>
                  <w:pPr>
                    <w:jc w:val="center"/>
                    <w:rPr>
                      <w:color w:val="auto"/>
                      <w:szCs w:val="21"/>
                    </w:rPr>
                  </w:pPr>
                  <w:r>
                    <w:rPr>
                      <w:color w:val="auto"/>
                      <w:szCs w:val="21"/>
                    </w:rPr>
                    <w:t>合计</w:t>
                  </w:r>
                </w:p>
              </w:tc>
              <w:tc>
                <w:tcPr>
                  <w:tcW w:w="1529" w:type="pct"/>
                  <w:gridSpan w:val="2"/>
                  <w:vAlign w:val="center"/>
                </w:tcPr>
                <w:p>
                  <w:pPr>
                    <w:jc w:val="center"/>
                    <w:rPr>
                      <w:color w:val="auto"/>
                      <w:szCs w:val="21"/>
                    </w:rPr>
                  </w:pPr>
                  <w:r>
                    <w:rPr>
                      <w:rFonts w:hint="eastAsia"/>
                      <w:color w:val="auto"/>
                      <w:szCs w:val="21"/>
                      <w:lang w:val="en-US" w:eastAsia="zh-CN"/>
                    </w:rPr>
                    <w:t>37</w:t>
                  </w:r>
                  <w:r>
                    <w:rPr>
                      <w:rFonts w:hint="eastAsia"/>
                      <w:color w:val="auto"/>
                      <w:szCs w:val="21"/>
                    </w:rPr>
                    <w:t>.4</w:t>
                  </w:r>
                </w:p>
              </w:tc>
              <w:tc>
                <w:tcPr>
                  <w:tcW w:w="863" w:type="pct"/>
                  <w:vMerge w:val="continue"/>
                  <w:vAlign w:val="center"/>
                </w:tcPr>
                <w:p>
                  <w:pPr>
                    <w:jc w:val="center"/>
                    <w:rPr>
                      <w:color w:val="auto"/>
                      <w:szCs w:val="21"/>
                    </w:rPr>
                  </w:pPr>
                </w:p>
              </w:tc>
            </w:tr>
          </w:tbl>
          <w:p>
            <w:pPr>
              <w:spacing w:line="360" w:lineRule="auto"/>
              <w:ind w:firstLine="480" w:firstLineChars="200"/>
              <w:rPr>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14" w:hRule="atLeast"/>
          <w:jc w:val="center"/>
        </w:trPr>
        <w:tc>
          <w:tcPr>
            <w:tcW w:w="8542" w:type="dxa"/>
            <w:gridSpan w:val="9"/>
            <w:tcBorders>
              <w:top w:val="single" w:color="auto" w:sz="12" w:space="0"/>
              <w:left w:val="single" w:color="auto" w:sz="12" w:space="0"/>
              <w:bottom w:val="single" w:color="auto" w:sz="12" w:space="0"/>
              <w:right w:val="single" w:color="auto" w:sz="12" w:space="0"/>
            </w:tcBorders>
          </w:tcPr>
          <w:p>
            <w:pPr>
              <w:spacing w:line="360" w:lineRule="auto"/>
              <w:rPr>
                <w:b/>
                <w:color w:val="auto"/>
                <w:sz w:val="24"/>
              </w:rPr>
            </w:pPr>
            <w:r>
              <w:rPr>
                <w:b/>
                <w:color w:val="auto"/>
                <w:sz w:val="24"/>
              </w:rPr>
              <w:t>与本项目有关的原有污染情况及主要环境问题：</w:t>
            </w:r>
          </w:p>
          <w:p>
            <w:pPr>
              <w:pStyle w:val="288"/>
              <w:adjustRightInd w:val="0"/>
              <w:snapToGrid w:val="0"/>
              <w:ind w:firstLine="480"/>
              <w:rPr>
                <w:color w:val="auto"/>
                <w:szCs w:val="24"/>
              </w:rPr>
            </w:pPr>
            <w:r>
              <w:rPr>
                <w:rFonts w:hint="eastAsia"/>
                <w:color w:val="auto"/>
                <w:szCs w:val="24"/>
              </w:rPr>
              <w:t>1、本项目有关的原有污染情况及主要环境问题</w:t>
            </w:r>
          </w:p>
          <w:p>
            <w:pPr>
              <w:pStyle w:val="288"/>
              <w:adjustRightInd w:val="0"/>
              <w:snapToGrid w:val="0"/>
              <w:ind w:firstLine="480"/>
              <w:rPr>
                <w:rFonts w:hint="eastAsia"/>
                <w:color w:val="auto"/>
                <w:kern w:val="2"/>
                <w:szCs w:val="24"/>
              </w:rPr>
            </w:pPr>
            <w:r>
              <w:rPr>
                <w:rFonts w:hint="eastAsia"/>
                <w:color w:val="auto"/>
                <w:kern w:val="2"/>
                <w:szCs w:val="24"/>
              </w:rPr>
              <w:t>本项目位于常州市金坛经济开发区龙湖路2号</w:t>
            </w:r>
            <w:r>
              <w:rPr>
                <w:rFonts w:hint="eastAsia"/>
                <w:color w:val="auto"/>
                <w:kern w:val="2"/>
                <w:szCs w:val="24"/>
                <w:lang w:eastAsia="zh-CN"/>
              </w:rPr>
              <w:t>，</w:t>
            </w:r>
            <w:r>
              <w:rPr>
                <w:rFonts w:hint="eastAsia"/>
                <w:color w:val="auto"/>
                <w:kern w:val="2"/>
                <w:szCs w:val="24"/>
              </w:rPr>
              <w:t>租赁常州科荣经编有限公司内现有闲置厂房。常州科荣经编有限公司于2015年拟投资6000万元建设新建经编织物及经编机配件制造项目。该项目环境影响报告表于2015年6月12 日取得了原‘金坛市环境保护局’批复《关于对常州科荣经编有限公司“新建经编织物及经编机配件制造项目”建设项目环境影响报告表的审批意见》(坛环开审 [2015] 44号)。</w:t>
            </w:r>
            <w:r>
              <w:rPr>
                <w:rFonts w:hint="eastAsia"/>
                <w:color w:val="auto"/>
                <w:kern w:val="2"/>
                <w:szCs w:val="24"/>
                <w:lang w:val="en-US" w:eastAsia="zh-CN"/>
              </w:rPr>
              <w:t xml:space="preserve"> </w:t>
            </w:r>
            <w:r>
              <w:rPr>
                <w:rFonts w:hint="eastAsia"/>
                <w:color w:val="auto"/>
                <w:kern w:val="2"/>
                <w:szCs w:val="24"/>
              </w:rPr>
              <w:t>该项目取得环评批复后建设4栋生产厂房和1栋办公楼。其中北侧厂房用于经编织物生产，南侧厂房原计划作为“新建经编织物及经编机配件制造项目”中“年销售机配件200套项目”所用。由于公司计划调整，常州科荣经编有限公司生产厂房现用于出租，目前分别租赁于江苏智维自动化设备有限公司、常州崇胜汽车零部件有限公司和江苏傲罡动力科技有限公司。</w:t>
            </w:r>
          </w:p>
          <w:p>
            <w:pPr>
              <w:pStyle w:val="288"/>
              <w:adjustRightInd w:val="0"/>
              <w:snapToGrid w:val="0"/>
              <w:ind w:firstLine="480"/>
              <w:rPr>
                <w:rFonts w:hint="eastAsia"/>
                <w:color w:val="auto"/>
                <w:kern w:val="2"/>
                <w:szCs w:val="24"/>
              </w:rPr>
            </w:pPr>
            <w:r>
              <w:rPr>
                <w:rFonts w:hint="eastAsia"/>
                <w:color w:val="auto"/>
                <w:kern w:val="2"/>
                <w:szCs w:val="24"/>
              </w:rPr>
              <w:t>江苏智维自动化设备有限公司、常州崇胜汽车零部件有限公司和江苏傲罡动力科技有限公司工艺主要为机械加工等，工艺较为简单，对本项目影响较小。</w:t>
            </w:r>
          </w:p>
          <w:p>
            <w:pPr>
              <w:pStyle w:val="288"/>
              <w:adjustRightInd w:val="0"/>
              <w:snapToGrid w:val="0"/>
              <w:ind w:firstLine="480"/>
              <w:rPr>
                <w:rFonts w:hint="eastAsia"/>
                <w:color w:val="auto"/>
                <w:kern w:val="2"/>
                <w:szCs w:val="24"/>
              </w:rPr>
            </w:pPr>
            <w:r>
              <w:rPr>
                <w:rFonts w:hint="eastAsia"/>
                <w:color w:val="auto"/>
                <w:kern w:val="2"/>
                <w:szCs w:val="24"/>
              </w:rPr>
              <w:t>本项目租赁厂房目前处于空置状态，且从未从事其他项目的生产。因此无原有环境问题。</w:t>
            </w:r>
          </w:p>
          <w:p>
            <w:pPr>
              <w:pStyle w:val="288"/>
              <w:adjustRightInd w:val="0"/>
              <w:snapToGrid w:val="0"/>
              <w:ind w:firstLine="480"/>
              <w:rPr>
                <w:rFonts w:hint="eastAsia"/>
                <w:color w:val="auto"/>
                <w:kern w:val="2"/>
                <w:szCs w:val="24"/>
              </w:rPr>
            </w:pPr>
            <w:r>
              <w:rPr>
                <w:rFonts w:hint="eastAsia"/>
                <w:color w:val="auto"/>
                <w:kern w:val="2"/>
                <w:szCs w:val="24"/>
              </w:rPr>
              <w:t>2、本项目与常州科荣经编有限公司依托关系:</w:t>
            </w:r>
          </w:p>
          <w:p>
            <w:pPr>
              <w:pStyle w:val="288"/>
              <w:adjustRightInd w:val="0"/>
              <w:snapToGrid w:val="0"/>
              <w:ind w:firstLine="480"/>
              <w:rPr>
                <w:rFonts w:hint="eastAsia"/>
                <w:color w:val="auto"/>
                <w:kern w:val="2"/>
                <w:szCs w:val="24"/>
              </w:rPr>
            </w:pPr>
            <w:r>
              <w:rPr>
                <w:rFonts w:hint="eastAsia"/>
                <w:color w:val="auto"/>
                <w:kern w:val="2"/>
                <w:szCs w:val="24"/>
              </w:rPr>
              <w:t>本项目租用常州科荣经编有限公司已建生产车间进行生产,常州科荣经编有限公司已按照“雨污分流”的原则进行建设，设置一个污水接管口和雨水排口。</w:t>
            </w:r>
          </w:p>
          <w:p>
            <w:pPr>
              <w:pStyle w:val="288"/>
              <w:adjustRightInd w:val="0"/>
              <w:snapToGrid w:val="0"/>
              <w:ind w:firstLine="480"/>
              <w:rPr>
                <w:rFonts w:hint="eastAsia" w:eastAsia="宋体"/>
                <w:color w:val="auto"/>
                <w:kern w:val="2"/>
                <w:szCs w:val="24"/>
                <w:lang w:eastAsia="zh-CN"/>
              </w:rPr>
            </w:pPr>
            <w:r>
              <w:rPr>
                <w:rFonts w:hint="eastAsia"/>
                <w:color w:val="auto"/>
                <w:kern w:val="2"/>
                <w:szCs w:val="24"/>
              </w:rPr>
              <w:t>经与建设单位核实，本项目与其依托关系如下</w:t>
            </w:r>
            <w:r>
              <w:rPr>
                <w:rFonts w:hint="eastAsia"/>
                <w:color w:val="auto"/>
                <w:kern w:val="2"/>
                <w:szCs w:val="24"/>
                <w:lang w:eastAsia="zh-CN"/>
              </w:rPr>
              <w:t>：</w:t>
            </w:r>
          </w:p>
          <w:p>
            <w:pPr>
              <w:pStyle w:val="288"/>
              <w:adjustRightInd w:val="0"/>
              <w:snapToGrid w:val="0"/>
              <w:ind w:firstLine="480"/>
              <w:rPr>
                <w:rFonts w:hint="eastAsia"/>
                <w:color w:val="auto"/>
                <w:kern w:val="2"/>
                <w:szCs w:val="24"/>
              </w:rPr>
            </w:pPr>
            <w:r>
              <w:rPr>
                <w:rFonts w:hint="eastAsia"/>
                <w:color w:val="auto"/>
                <w:kern w:val="2"/>
                <w:szCs w:val="24"/>
              </w:rPr>
              <w:t>（1）本项目废水依托常州科荣经编有限公司原有污水管网和排污口接入区域污水管网,本项目员工生活污水经常州科荣经编有限公司污水管网一起接入市政污水管网，进金坛</w:t>
            </w:r>
            <w:r>
              <w:rPr>
                <w:rFonts w:hint="eastAsia"/>
                <w:color w:val="auto"/>
                <w:kern w:val="2"/>
                <w:szCs w:val="24"/>
                <w:lang w:val="en-US" w:eastAsia="zh-CN"/>
              </w:rPr>
              <w:t>区</w:t>
            </w:r>
            <w:r>
              <w:rPr>
                <w:rFonts w:hint="eastAsia"/>
                <w:color w:val="auto"/>
                <w:kern w:val="2"/>
                <w:szCs w:val="24"/>
              </w:rPr>
              <w:t>第二污水处理厂处理。全厂设一个污水接管口。</w:t>
            </w:r>
          </w:p>
          <w:p>
            <w:pPr>
              <w:pStyle w:val="288"/>
              <w:adjustRightInd w:val="0"/>
              <w:snapToGrid w:val="0"/>
              <w:ind w:firstLine="480"/>
              <w:rPr>
                <w:rFonts w:hint="eastAsia"/>
                <w:color w:val="auto"/>
                <w:kern w:val="2"/>
                <w:szCs w:val="24"/>
              </w:rPr>
            </w:pPr>
            <w:r>
              <w:rPr>
                <w:rFonts w:hint="eastAsia"/>
                <w:color w:val="auto"/>
                <w:kern w:val="2"/>
                <w:szCs w:val="24"/>
              </w:rPr>
              <w:t>（2）常州科荣经编有限公司应加强管理,确保厂区废水总排污口各因子可达金坛</w:t>
            </w:r>
            <w:r>
              <w:rPr>
                <w:rFonts w:hint="eastAsia"/>
                <w:color w:val="auto"/>
                <w:kern w:val="2"/>
                <w:szCs w:val="24"/>
                <w:lang w:val="en-US" w:eastAsia="zh-CN"/>
              </w:rPr>
              <w:t>区</w:t>
            </w:r>
            <w:r>
              <w:rPr>
                <w:rFonts w:hint="eastAsia"/>
                <w:color w:val="auto"/>
                <w:kern w:val="2"/>
                <w:szCs w:val="24"/>
              </w:rPr>
              <w:t>第二污水处理厂接管标准要求。若厂区总排口出现超标排放，由常州科荣经编有限公司承担相关责任。</w:t>
            </w:r>
          </w:p>
          <w:p>
            <w:pPr>
              <w:pStyle w:val="288"/>
              <w:adjustRightInd w:val="0"/>
              <w:snapToGrid w:val="0"/>
              <w:ind w:firstLine="480"/>
              <w:rPr>
                <w:rFonts w:hint="eastAsia"/>
                <w:color w:val="auto"/>
                <w:kern w:val="2"/>
                <w:szCs w:val="24"/>
              </w:rPr>
            </w:pPr>
            <w:r>
              <w:rPr>
                <w:rFonts w:hint="eastAsia"/>
                <w:color w:val="auto"/>
                <w:kern w:val="2"/>
                <w:szCs w:val="24"/>
              </w:rPr>
              <w:t>（3）常州旻昱智能科技有限公司应确保本项目仅排放员工的生活污水，严禁向排污口倾倒其他废水、废液等。</w:t>
            </w:r>
          </w:p>
          <w:p>
            <w:pPr>
              <w:pStyle w:val="288"/>
              <w:adjustRightInd w:val="0"/>
              <w:snapToGrid w:val="0"/>
              <w:ind w:firstLine="480"/>
              <w:rPr>
                <w:color w:val="auto"/>
                <w:kern w:val="2"/>
                <w:szCs w:val="24"/>
              </w:rPr>
            </w:pPr>
            <w:r>
              <w:rPr>
                <w:rFonts w:hint="eastAsia"/>
                <w:color w:val="auto"/>
                <w:kern w:val="2"/>
                <w:szCs w:val="24"/>
              </w:rPr>
              <w:t>（4）本项目供水、供电等基础设施均依托常州科荣经编有限公司。</w:t>
            </w:r>
          </w:p>
        </w:tc>
      </w:tr>
    </w:tbl>
    <w:p>
      <w:pPr>
        <w:pStyle w:val="312"/>
        <w:rPr>
          <w:rFonts w:ascii="Times New Roman" w:hAnsi="Times New Roman"/>
          <w:color w:val="auto"/>
        </w:rPr>
      </w:pPr>
      <w:r>
        <w:rPr>
          <w:rFonts w:ascii="Times New Roman" w:hAnsi="Times New Roman"/>
          <w:color w:val="auto"/>
        </w:rPr>
        <w:t>建设项目所在地自然环境</w:t>
      </w:r>
    </w:p>
    <w:tbl>
      <w:tblPr>
        <w:tblStyle w:val="56"/>
        <w:tblW w:w="874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74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129" w:hRule="atLeast"/>
          <w:jc w:val="center"/>
        </w:trPr>
        <w:tc>
          <w:tcPr>
            <w:tcW w:w="8744" w:type="dxa"/>
          </w:tcPr>
          <w:p>
            <w:pPr>
              <w:adjustRightInd w:val="0"/>
              <w:snapToGrid w:val="0"/>
              <w:spacing w:line="360" w:lineRule="auto"/>
              <w:rPr>
                <w:b/>
                <w:color w:val="auto"/>
                <w:sz w:val="24"/>
              </w:rPr>
            </w:pPr>
            <w:r>
              <w:rPr>
                <w:b/>
                <w:color w:val="auto"/>
                <w:sz w:val="24"/>
              </w:rPr>
              <w:t>自然环境简况：</w:t>
            </w:r>
          </w:p>
          <w:p>
            <w:pPr>
              <w:spacing w:line="360" w:lineRule="auto"/>
              <w:ind w:firstLine="480" w:firstLineChars="200"/>
              <w:rPr>
                <w:b/>
                <w:color w:val="auto"/>
                <w:sz w:val="24"/>
              </w:rPr>
            </w:pPr>
            <w:r>
              <w:rPr>
                <w:b/>
                <w:color w:val="auto"/>
                <w:sz w:val="24"/>
              </w:rPr>
              <w:t>1、地理位置</w:t>
            </w:r>
          </w:p>
          <w:p>
            <w:pPr>
              <w:spacing w:line="360" w:lineRule="auto"/>
              <w:ind w:firstLine="480" w:firstLineChars="200"/>
              <w:rPr>
                <w:color w:val="auto"/>
                <w:sz w:val="24"/>
              </w:rPr>
            </w:pPr>
            <w:r>
              <w:rPr>
                <w:color w:val="auto"/>
                <w:sz w:val="24"/>
              </w:rPr>
              <w:t>金坛区地处苏南中部，茅山东麓，位于北纬31°33’42”-31°53’22”，东经119°17’45”-119°44’59”，为宁（南京）、沪（上海）、杭（杭州）三角地带之中枢。常州至溧水公路东西贯串，镇江至广德公路南北穿越。境内水陆交通方便，东与武进市相边；西界茅山，与句容接壤；南濒洮湖，与溧阳、宜兴市依水相望；北与丹阳市、丹徒县毗邻。全境东西方向最长约50公里，南北方向最长约40公里，总面积976.3平方公里，其中陆地约占80%，水面约占20%。</w:t>
            </w:r>
          </w:p>
          <w:p>
            <w:pPr>
              <w:spacing w:line="360" w:lineRule="auto"/>
              <w:ind w:firstLine="480" w:firstLineChars="200"/>
              <w:rPr>
                <w:color w:val="auto"/>
                <w:sz w:val="24"/>
              </w:rPr>
            </w:pPr>
            <w:r>
              <w:rPr>
                <w:color w:val="auto"/>
                <w:sz w:val="24"/>
              </w:rPr>
              <w:t>本项目位于</w:t>
            </w:r>
            <w:r>
              <w:rPr>
                <w:rFonts w:hint="eastAsia"/>
                <w:color w:val="auto"/>
                <w:sz w:val="24"/>
                <w:lang w:eastAsia="zh-CN"/>
              </w:rPr>
              <w:t>常州市金坛区龙湖路2号</w:t>
            </w:r>
            <w:r>
              <w:rPr>
                <w:color w:val="auto"/>
                <w:sz w:val="24"/>
              </w:rPr>
              <w:t>，项目地理位置图见附图</w:t>
            </w:r>
            <w:r>
              <w:rPr>
                <w:rFonts w:hint="eastAsia"/>
                <w:color w:val="auto"/>
                <w:sz w:val="24"/>
              </w:rPr>
              <w:t>1</w:t>
            </w:r>
            <w:r>
              <w:rPr>
                <w:color w:val="auto"/>
                <w:sz w:val="24"/>
              </w:rPr>
              <w:t>。</w:t>
            </w:r>
          </w:p>
          <w:p>
            <w:pPr>
              <w:spacing w:line="360" w:lineRule="auto"/>
              <w:ind w:firstLine="480" w:firstLineChars="200"/>
              <w:rPr>
                <w:b/>
                <w:color w:val="auto"/>
                <w:sz w:val="24"/>
              </w:rPr>
            </w:pPr>
            <w:r>
              <w:rPr>
                <w:b/>
                <w:color w:val="auto"/>
                <w:sz w:val="24"/>
              </w:rPr>
              <w:t>2、地形、地貌、地质</w:t>
            </w:r>
          </w:p>
          <w:p>
            <w:pPr>
              <w:spacing w:line="360" w:lineRule="auto"/>
              <w:ind w:firstLine="480" w:firstLineChars="200"/>
              <w:rPr>
                <w:color w:val="auto"/>
                <w:sz w:val="24"/>
              </w:rPr>
            </w:pPr>
            <w:r>
              <w:rPr>
                <w:color w:val="auto"/>
                <w:sz w:val="24"/>
              </w:rPr>
              <w:t>金坛区域西缘为南北走向的茅山低山丘陵，其东为长江三角洲西部的冲积湖积平原区。冲击湖积平原区中央微凹，东西两侧微凸，至西向东可进一步分为三个次一级地貌单元：西部的黄土缓岗、中部的冲击湖积圩田平原和东部的高亢平原。从总体上看，全</w:t>
            </w:r>
            <w:r>
              <w:rPr>
                <w:rFonts w:hint="eastAsia"/>
                <w:color w:val="auto"/>
                <w:sz w:val="24"/>
              </w:rPr>
              <w:t>区</w:t>
            </w:r>
            <w:r>
              <w:rPr>
                <w:color w:val="auto"/>
                <w:sz w:val="24"/>
              </w:rPr>
              <w:t>地势自西向东倾斜。</w:t>
            </w:r>
          </w:p>
          <w:p>
            <w:pPr>
              <w:spacing w:line="360" w:lineRule="auto"/>
              <w:ind w:firstLine="480" w:firstLineChars="200"/>
              <w:rPr>
                <w:color w:val="auto"/>
                <w:sz w:val="24"/>
              </w:rPr>
            </w:pPr>
            <w:r>
              <w:rPr>
                <w:color w:val="auto"/>
                <w:sz w:val="24"/>
              </w:rPr>
              <w:t>低山丘陵：市域所属的茅山低山丘陵为茅山山脉北段山脊线以东部分，分布在境内西部的茅东林场以及茅麓、薛埠和罗村，海拔一般在50米以上，总面积约41平方公里，占全市总面积的4.2%。它由一系列近北东～西南向或近东西向的山体所组成。</w:t>
            </w:r>
          </w:p>
          <w:p>
            <w:pPr>
              <w:spacing w:line="360" w:lineRule="auto"/>
              <w:ind w:firstLine="480" w:firstLineChars="200"/>
              <w:rPr>
                <w:color w:val="auto"/>
                <w:sz w:val="24"/>
              </w:rPr>
            </w:pPr>
            <w:r>
              <w:rPr>
                <w:color w:val="auto"/>
                <w:sz w:val="24"/>
              </w:rPr>
              <w:t>茅山山脉是秦淮河水系和太湖水系的分水岭，山体主脉一般不低于海拔300米，山坡上中部坡度常大于25°。金坛与句容市界上的顶宫海拔372.5米，为市域最高峰。</w:t>
            </w:r>
          </w:p>
          <w:p>
            <w:pPr>
              <w:spacing w:line="360" w:lineRule="auto"/>
              <w:ind w:firstLine="480" w:firstLineChars="200"/>
              <w:rPr>
                <w:color w:val="auto"/>
                <w:sz w:val="24"/>
              </w:rPr>
            </w:pPr>
            <w:r>
              <w:rPr>
                <w:color w:val="auto"/>
                <w:sz w:val="24"/>
              </w:rPr>
              <w:t>黄土缓岗：即茅山山麓的二级和三级阶地，海拔一般10～30米。西至茅东水库东侧向东延伸到九江口一带，自北向南包括西、茅麓、茅麓茶场和花山的大部分，薛埠镇的东部、方麓茶场的全部和罗村的大部。面积约182平方公里，占全市的18.7%。</w:t>
            </w:r>
          </w:p>
          <w:p>
            <w:pPr>
              <w:spacing w:line="360" w:lineRule="auto"/>
              <w:ind w:firstLine="480" w:firstLineChars="200"/>
              <w:rPr>
                <w:color w:val="auto"/>
                <w:sz w:val="24"/>
              </w:rPr>
            </w:pPr>
            <w:r>
              <w:rPr>
                <w:color w:val="auto"/>
                <w:sz w:val="24"/>
              </w:rPr>
              <w:t>冲积、湖积圩田平原：大致分布在登冠、建昌、直溪、朱林、西岗、唐王、社头和指前，面积约387平方公里，占全市总面积的39.7%。该平原呈南北走向，地势低洼，大部分在海拔6米以下，湖荡众多，河道纵横。</w:t>
            </w:r>
          </w:p>
          <w:p>
            <w:pPr>
              <w:spacing w:line="360" w:lineRule="auto"/>
              <w:ind w:firstLine="480" w:firstLineChars="200"/>
              <w:rPr>
                <w:color w:val="auto"/>
                <w:sz w:val="24"/>
              </w:rPr>
            </w:pPr>
            <w:r>
              <w:rPr>
                <w:color w:val="auto"/>
                <w:sz w:val="24"/>
              </w:rPr>
              <w:t>高亢平原：主要分布在水北、五叶、儒林、汤庄、尧塘、岸头、城东、河头、白塔、后阳、城西和沭渎，面积约365平方公里，占全市面积的37.4%，海拔6～9米，地势平坦，河渠交错</w:t>
            </w:r>
            <w:r>
              <w:rPr>
                <w:rFonts w:hint="eastAsia"/>
                <w:color w:val="auto"/>
                <w:sz w:val="24"/>
              </w:rPr>
              <w:t>。</w:t>
            </w:r>
          </w:p>
          <w:p>
            <w:pPr>
              <w:spacing w:line="360" w:lineRule="auto"/>
              <w:ind w:firstLine="480" w:firstLineChars="200"/>
              <w:rPr>
                <w:b/>
                <w:color w:val="auto"/>
                <w:sz w:val="24"/>
                <w:szCs w:val="24"/>
              </w:rPr>
            </w:pPr>
            <w:r>
              <w:rPr>
                <w:b/>
                <w:color w:val="auto"/>
                <w:sz w:val="24"/>
                <w:szCs w:val="24"/>
              </w:rPr>
              <w:t>3、气候、气象</w:t>
            </w:r>
          </w:p>
          <w:p>
            <w:pPr>
              <w:spacing w:line="360" w:lineRule="auto"/>
              <w:ind w:firstLine="480" w:firstLineChars="200"/>
              <w:rPr>
                <w:color w:val="auto"/>
                <w:sz w:val="24"/>
              </w:rPr>
            </w:pPr>
            <w:r>
              <w:rPr>
                <w:color w:val="auto"/>
                <w:sz w:val="24"/>
              </w:rPr>
              <w:t>金坛区属于亚热带湿润季风气候区，四季分明，气候温暖，雨量充沛，日照充足，无霜期长，常年主导风向为东南风，风向有明显的季节性变化。年平均气温15.3°C，年平均最高气温19.7°C，最低11.6°C。最热月（七月）平均气温27.8°C，最冷月（一月）平均气温2.4°C，极端最高温度（1959、8）39.3°C，极端最低温度（1955、1）-16.0°C。历年日最高温度≥35</w:t>
            </w:r>
            <w:r>
              <w:rPr>
                <w:rFonts w:hint="eastAsia" w:cs="宋体"/>
                <w:color w:val="auto"/>
                <w:sz w:val="24"/>
              </w:rPr>
              <w:t>℃</w:t>
            </w:r>
            <w:r>
              <w:rPr>
                <w:color w:val="auto"/>
                <w:sz w:val="24"/>
              </w:rPr>
              <w:t>的年均12天。冬春季寒潮平均每年出现3次。全境地处季风区。冬季多偏北风，夏季多东南风，全年以东南风的几率最多，年平均风速3.3米/秒。解放后出现最大风速20米/秒的有9年，年均大风日数为11.6天。台风年均2.7次，龙卷风3年一遇。</w:t>
            </w:r>
          </w:p>
          <w:p>
            <w:pPr>
              <w:spacing w:line="360" w:lineRule="auto"/>
              <w:ind w:firstLine="480" w:firstLineChars="200"/>
              <w:rPr>
                <w:color w:val="auto"/>
                <w:sz w:val="24"/>
              </w:rPr>
            </w:pPr>
            <w:r>
              <w:rPr>
                <w:color w:val="auto"/>
                <w:sz w:val="24"/>
              </w:rPr>
              <w:t>雨量丰沛，但时空分布不均匀。年平均降水量1063.5毫米，有80%的年份雨量在900毫米以上。全年降水时空分布不匀，有三个明显的多雨期：4-5月为春雨期，6-7月为梅雨期，9-10月为台风秋雨期。4-9月的降水量占全年的77.5%，7月雨量为最多月，一般150-200毫米；12月和1月为雨量最少月，平均30毫米左右。最大年降水量为1835.8毫米（1991年），最小年降水量为56.1毫米（1978年）。实测最大一日降水250.8毫米，最大月份降水量605.8毫米，历年日降水量≥0.1毫米的平均日数124.2天。历年平均蒸发量1349毫米，历年最大蒸发量1519.6毫米。蒸降比为1.27</w:t>
            </w:r>
            <w:r>
              <w:rPr>
                <w:rFonts w:hint="eastAsia"/>
                <w:color w:val="auto"/>
                <w:sz w:val="24"/>
              </w:rPr>
              <w:t>。</w:t>
            </w:r>
          </w:p>
          <w:p>
            <w:pPr>
              <w:spacing w:line="360" w:lineRule="auto"/>
              <w:ind w:firstLine="480" w:firstLineChars="200"/>
              <w:rPr>
                <w:b/>
                <w:color w:val="auto"/>
                <w:sz w:val="24"/>
                <w:szCs w:val="24"/>
              </w:rPr>
            </w:pPr>
            <w:r>
              <w:rPr>
                <w:b/>
                <w:color w:val="auto"/>
                <w:sz w:val="24"/>
                <w:szCs w:val="24"/>
              </w:rPr>
              <w:t>4、水文</w:t>
            </w:r>
          </w:p>
          <w:p>
            <w:pPr>
              <w:spacing w:line="360" w:lineRule="auto"/>
              <w:ind w:firstLine="480" w:firstLineChars="200"/>
              <w:rPr>
                <w:color w:val="auto"/>
                <w:sz w:val="24"/>
              </w:rPr>
            </w:pPr>
            <w:r>
              <w:rPr>
                <w:color w:val="auto"/>
                <w:sz w:val="24"/>
              </w:rPr>
              <w:t>金坛水系属太湖流域水系，具有水域面积大、过境水量多、雨量充沛等特点。境内水域面积42.2万亩，除去部分荡滩、苇地、沟渠等，实际水面为36.5万亩，其中河流7.7万亩，占20.99％；湖泊12.6万亩，占34.38％；水库0.67万亩，占1.82％；塘坝7.95万亩，占21.78％；渔塘7.68万亩，占2l.03％。</w:t>
            </w:r>
          </w:p>
          <w:p>
            <w:pPr>
              <w:spacing w:line="360" w:lineRule="auto"/>
              <w:ind w:firstLine="480" w:firstLineChars="200"/>
              <w:rPr>
                <w:color w:val="auto"/>
                <w:sz w:val="24"/>
              </w:rPr>
            </w:pPr>
            <w:r>
              <w:rPr>
                <w:color w:val="auto"/>
                <w:sz w:val="24"/>
              </w:rPr>
              <w:t>金坛区的水系以丹金溧漕河为主，上游接丹阳境内大运河经谏壁通长江，下游向南连长荡湖、滆湖，注入太湖，市区内有通济河、运粮河、社桥河，东有尧塘河、下坵河，南有老鸭河及东、西城河。老城河仅在北部及东南部尚有残留河段，其余均已填没。金坛区以外还有许多湖泊，主要包括长荡湖、小型湖泊（如</w:t>
            </w:r>
            <w:bookmarkStart w:id="4" w:name="OLE_LINK20"/>
            <w:r>
              <w:rPr>
                <w:color w:val="auto"/>
                <w:sz w:val="24"/>
              </w:rPr>
              <w:t>钱资荡</w:t>
            </w:r>
            <w:bookmarkEnd w:id="4"/>
            <w:r>
              <w:rPr>
                <w:color w:val="auto"/>
                <w:sz w:val="24"/>
              </w:rPr>
              <w:t>）、湖荡（如天荒湖）三种。丹金溧漕河、钱资荡、长荡湖为市区地表水水源。</w:t>
            </w:r>
          </w:p>
          <w:p>
            <w:pPr>
              <w:spacing w:line="360" w:lineRule="auto"/>
              <w:ind w:firstLine="480" w:firstLineChars="200"/>
              <w:rPr>
                <w:color w:val="auto"/>
                <w:sz w:val="24"/>
              </w:rPr>
            </w:pPr>
            <w:r>
              <w:rPr>
                <w:color w:val="auto"/>
                <w:sz w:val="24"/>
              </w:rPr>
              <w:t>（1）丹金溧漕河：该河为太湖流域地区排洪、引水、航运的骨干河流，北接尧塘河，南入长荡湖，全长66.5公里。丹金溧漕河市区段河面宽60m，底宽20m，航道等级现为五级。2000年汛期入境水量为6.992亿m</w:t>
            </w:r>
            <w:r>
              <w:rPr>
                <w:color w:val="auto"/>
                <w:sz w:val="24"/>
                <w:vertAlign w:val="superscript"/>
              </w:rPr>
              <w:t>3</w:t>
            </w:r>
            <w:r>
              <w:rPr>
                <w:color w:val="auto"/>
                <w:sz w:val="24"/>
              </w:rPr>
              <w:t>，年平均流量为28.8m</w:t>
            </w:r>
            <w:r>
              <w:rPr>
                <w:color w:val="auto"/>
                <w:sz w:val="24"/>
                <w:vertAlign w:val="superscript"/>
              </w:rPr>
              <w:t>3</w:t>
            </w:r>
            <w:r>
              <w:rPr>
                <w:color w:val="auto"/>
                <w:sz w:val="24"/>
              </w:rPr>
              <w:t>/s，最高洪水水位为6.4m，最低枯水水位为2.12m，常年平均水位为3.49m，市区段全年水质处于</w:t>
            </w:r>
            <w:r>
              <w:rPr>
                <w:rFonts w:hint="eastAsia" w:cs="宋体"/>
                <w:color w:val="auto"/>
                <w:sz w:val="24"/>
              </w:rPr>
              <w:t>Ⅳ</w:t>
            </w:r>
            <w:r>
              <w:rPr>
                <w:color w:val="auto"/>
                <w:sz w:val="24"/>
              </w:rPr>
              <w:t>～</w:t>
            </w:r>
            <w:r>
              <w:rPr>
                <w:rFonts w:hint="eastAsia" w:cs="宋体"/>
                <w:color w:val="auto"/>
                <w:sz w:val="24"/>
              </w:rPr>
              <w:t>Ⅴ</w:t>
            </w:r>
            <w:r>
              <w:rPr>
                <w:color w:val="auto"/>
                <w:sz w:val="24"/>
              </w:rPr>
              <w:t>类。</w:t>
            </w:r>
          </w:p>
          <w:p>
            <w:pPr>
              <w:spacing w:line="360" w:lineRule="auto"/>
              <w:ind w:firstLine="480" w:firstLineChars="200"/>
              <w:rPr>
                <w:color w:val="auto"/>
                <w:sz w:val="24"/>
              </w:rPr>
            </w:pPr>
            <w:r>
              <w:rPr>
                <w:color w:val="auto"/>
                <w:sz w:val="24"/>
              </w:rPr>
              <w:t>（2）尧塘河：为丹金溧漕河支流，水面宽32m，平均水深1.5m，流速0.16m/s，西起丹金溧漕河，东至武进夏溪镇，全长17.3公里，主要功能为工业、农业用水，属于太湖流域湖西水系，水质目标为</w:t>
            </w:r>
            <w:r>
              <w:rPr>
                <w:rFonts w:hint="eastAsia" w:cs="宋体"/>
                <w:color w:val="auto"/>
                <w:sz w:val="24"/>
              </w:rPr>
              <w:t>Ⅳ</w:t>
            </w:r>
            <w:r>
              <w:rPr>
                <w:color w:val="auto"/>
                <w:sz w:val="24"/>
              </w:rPr>
              <w:t>类。</w:t>
            </w:r>
          </w:p>
          <w:p>
            <w:pPr>
              <w:spacing w:line="360" w:lineRule="auto"/>
              <w:ind w:firstLine="480" w:firstLineChars="200"/>
              <w:rPr>
                <w:color w:val="auto"/>
                <w:sz w:val="24"/>
              </w:rPr>
            </w:pPr>
            <w:r>
              <w:rPr>
                <w:color w:val="auto"/>
                <w:sz w:val="24"/>
              </w:rPr>
              <w:t>（3）通济河：有名直溪、直里河，通济河总集体面积752平方公里，跨越镇江市句容、丹徒、丹阳。其西北为丘陵山区，东南为平原圩区，地面高差达60余米，属山丘区特性的河道。自丹徒县丁角开始至三岔河入金坛境，经直溪、舍田桥至三里桥与丹金溧漕河相会，金坛区地段全厂25.88公里。通济河下游分支河道通济河南河，从舍田桥经铜板桥至白龙荡，长11.06公里。水质目标为</w:t>
            </w:r>
            <w:r>
              <w:rPr>
                <w:rFonts w:hint="eastAsia" w:cs="宋体"/>
                <w:color w:val="auto"/>
                <w:sz w:val="24"/>
              </w:rPr>
              <w:t>Ⅳ</w:t>
            </w:r>
            <w:r>
              <w:rPr>
                <w:color w:val="auto"/>
                <w:sz w:val="24"/>
              </w:rPr>
              <w:t>类。</w:t>
            </w:r>
          </w:p>
          <w:p>
            <w:pPr>
              <w:spacing w:line="360" w:lineRule="auto"/>
              <w:ind w:firstLine="480" w:firstLineChars="200"/>
              <w:rPr>
                <w:color w:val="auto"/>
                <w:sz w:val="24"/>
              </w:rPr>
            </w:pPr>
            <w:r>
              <w:rPr>
                <w:color w:val="auto"/>
                <w:sz w:val="24"/>
              </w:rPr>
              <w:t>此外，金坛区以外还有许多湖泊。其中，长荡湖现面积约99平方公里，属金坛境内的水面面积76.58平方公里(11.49万亩)，具有蓄洪、灌溉、养殖之功能，是金坛区的主要湖泊。其次还有钱资荡、南天荒湖等。中小型水库27座，总库容量4347.8万立方米，其中中型水库有茅东水库；小型水库有海底水库、新浮山水库、东进水库、向阳山水库、青龙洞水库和瓦沟水库；其他小型水库共有20座</w:t>
            </w:r>
            <w:r>
              <w:rPr>
                <w:rFonts w:hint="eastAsia"/>
                <w:color w:val="auto"/>
                <w:sz w:val="24"/>
              </w:rPr>
              <w:t>。</w:t>
            </w:r>
          </w:p>
          <w:p>
            <w:pPr>
              <w:spacing w:line="360" w:lineRule="auto"/>
              <w:ind w:firstLine="480" w:firstLineChars="200"/>
              <w:rPr>
                <w:b/>
                <w:color w:val="auto"/>
                <w:sz w:val="24"/>
                <w:szCs w:val="24"/>
              </w:rPr>
            </w:pPr>
            <w:r>
              <w:rPr>
                <w:b/>
                <w:color w:val="auto"/>
                <w:sz w:val="24"/>
                <w:szCs w:val="24"/>
              </w:rPr>
              <w:t>5、生态概况</w:t>
            </w:r>
          </w:p>
          <w:p>
            <w:pPr>
              <w:spacing w:line="360" w:lineRule="auto"/>
              <w:ind w:firstLine="480" w:firstLineChars="200"/>
              <w:rPr>
                <w:color w:val="auto"/>
                <w:sz w:val="24"/>
              </w:rPr>
            </w:pPr>
            <w:r>
              <w:rPr>
                <w:color w:val="auto"/>
                <w:sz w:val="24"/>
              </w:rPr>
              <w:t>在开发的过程中，金坛区十分重视自然生态环境的保护，但总体上，随着工业用地不断扩张，自然生态逐步被人工生态所替代，建成区内已基本无大型野生动物，野生植被也日趋被人工植被所代替。</w:t>
            </w:r>
          </w:p>
          <w:p>
            <w:pPr>
              <w:spacing w:line="360" w:lineRule="auto"/>
              <w:ind w:firstLine="480" w:firstLineChars="200"/>
              <w:rPr>
                <w:color w:val="auto"/>
                <w:sz w:val="24"/>
              </w:rPr>
            </w:pPr>
            <w:r>
              <w:rPr>
                <w:color w:val="auto"/>
                <w:sz w:val="24"/>
              </w:rPr>
              <w:t>出于防洪和通航的需要，区内主要河流丹金溧漕河两岸驳岸硬化程度较高；但尧塘河与下塘河还保持较好的生态环境，两岸沟塘较多，原生植被被保留；开发区内大部分河道中还有鱼、虾等水生动物存在，水生生态较好。</w:t>
            </w:r>
          </w:p>
          <w:p>
            <w:pPr>
              <w:tabs>
                <w:tab w:val="left" w:pos="2310"/>
              </w:tabs>
              <w:spacing w:line="360" w:lineRule="auto"/>
              <w:ind w:firstLine="482"/>
              <w:rPr>
                <w:color w:val="auto"/>
                <w:sz w:val="24"/>
              </w:rPr>
            </w:pPr>
            <w:r>
              <w:rPr>
                <w:color w:val="auto"/>
                <w:sz w:val="24"/>
              </w:rPr>
              <w:t>居民小区、学校以及村宅房前屋后亦以绿化环境为目的的种植乔、灌、草以及各种花卉，由于人类活动和生态环境的改变，树木草丛仅有人工饲养的禽畜以及少量的鸟类、鼠类、蛙类、蛇类及各种昆虫等小型动物</w:t>
            </w:r>
            <w:bookmarkStart w:id="5" w:name="_Toc100113718"/>
            <w:r>
              <w:rPr>
                <w:color w:val="auto"/>
                <w:sz w:val="24"/>
              </w:rPr>
              <w:t>。</w:t>
            </w:r>
            <w:bookmarkEnd w:id="5"/>
            <w:r>
              <w:rPr>
                <w:rStyle w:val="75"/>
                <w:rFonts w:hint="eastAsia"/>
                <w:color w:val="auto"/>
              </w:rPr>
              <w:t xml:space="preserve"> </w:t>
            </w:r>
          </w:p>
        </w:tc>
      </w:tr>
    </w:tbl>
    <w:p>
      <w:pPr>
        <w:pStyle w:val="312"/>
        <w:rPr>
          <w:rFonts w:ascii="Times New Roman" w:hAnsi="Times New Roman"/>
          <w:color w:val="auto"/>
        </w:rPr>
      </w:pPr>
      <w:r>
        <w:rPr>
          <w:rFonts w:ascii="Times New Roman" w:hAnsi="Times New Roman"/>
          <w:color w:val="auto"/>
        </w:rPr>
        <w:t>环境质量状况</w:t>
      </w:r>
    </w:p>
    <w:tbl>
      <w:tblPr>
        <w:tblStyle w:val="56"/>
        <w:tblW w:w="852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52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153" w:hRule="atLeast"/>
          <w:jc w:val="center"/>
        </w:trPr>
        <w:tc>
          <w:tcPr>
            <w:tcW w:w="8528" w:type="dxa"/>
          </w:tcPr>
          <w:p>
            <w:pPr>
              <w:snapToGrid w:val="0"/>
              <w:rPr>
                <w:b/>
                <w:color w:val="auto"/>
                <w:sz w:val="10"/>
              </w:rPr>
            </w:pPr>
          </w:p>
          <w:p>
            <w:pPr>
              <w:snapToGrid w:val="0"/>
              <w:rPr>
                <w:b/>
                <w:bCs/>
                <w:color w:val="auto"/>
                <w:sz w:val="24"/>
                <w:szCs w:val="24"/>
              </w:rPr>
            </w:pPr>
            <w:r>
              <w:rPr>
                <w:b/>
                <w:bCs/>
                <w:color w:val="auto"/>
                <w:sz w:val="24"/>
                <w:szCs w:val="24"/>
              </w:rPr>
              <w:t>建设项目所在地区域环境质量现状及主要环境问题(环境空气、地面水、地下水、声环境、生态环境等)：</w:t>
            </w:r>
          </w:p>
          <w:p>
            <w:pPr>
              <w:spacing w:line="360" w:lineRule="auto"/>
              <w:ind w:firstLine="480" w:firstLineChars="200"/>
              <w:textAlignment w:val="baseline"/>
              <w:rPr>
                <w:b/>
                <w:color w:val="auto"/>
                <w:kern w:val="28"/>
                <w:sz w:val="24"/>
              </w:rPr>
            </w:pPr>
            <w:r>
              <w:rPr>
                <w:b/>
                <w:color w:val="auto"/>
                <w:kern w:val="28"/>
                <w:sz w:val="24"/>
              </w:rPr>
              <w:t>1、大气环境质量现状</w:t>
            </w:r>
          </w:p>
          <w:p>
            <w:pPr>
              <w:pStyle w:val="285"/>
              <w:widowControl w:val="0"/>
              <w:adjustRightInd w:val="0"/>
              <w:snapToGrid w:val="0"/>
              <w:spacing w:line="360" w:lineRule="auto"/>
              <w:ind w:left="482"/>
              <w:jc w:val="both"/>
              <w:rPr>
                <w:rFonts w:ascii="Times New Roman" w:hAnsi="Times New Roman"/>
                <w:b/>
                <w:bCs/>
                <w:color w:val="auto"/>
                <w:kern w:val="2"/>
                <w:sz w:val="24"/>
              </w:rPr>
            </w:pPr>
            <w:r>
              <w:rPr>
                <w:rFonts w:hint="eastAsia" w:ascii="Times New Roman" w:hAnsi="Times New Roman"/>
                <w:b/>
                <w:bCs/>
                <w:color w:val="auto"/>
                <w:kern w:val="2"/>
                <w:sz w:val="24"/>
              </w:rPr>
              <w:t>（1）项目所在区域达标情况判断</w:t>
            </w:r>
          </w:p>
          <w:p>
            <w:pPr>
              <w:autoSpaceDE w:val="0"/>
              <w:autoSpaceDN w:val="0"/>
              <w:adjustRightInd w:val="0"/>
              <w:snapToGrid w:val="0"/>
              <w:spacing w:line="360" w:lineRule="auto"/>
              <w:ind w:firstLine="480" w:firstLineChars="200"/>
              <w:jc w:val="left"/>
              <w:rPr>
                <w:color w:val="auto"/>
                <w:sz w:val="24"/>
              </w:rPr>
            </w:pPr>
            <w:r>
              <w:rPr>
                <w:rFonts w:hint="eastAsia"/>
                <w:color w:val="auto"/>
                <w:sz w:val="24"/>
                <w:szCs w:val="22"/>
              </w:rPr>
              <w:t>为了解项目所在地区的环境质量现状，本项目引用《常州市生态环境质量报告（2019 年）</w:t>
            </w:r>
            <w:r>
              <w:rPr>
                <w:color w:val="auto"/>
                <w:sz w:val="24"/>
              </w:rPr>
              <w:t>》中环境空气质量数据。本次评价选取201</w:t>
            </w:r>
            <w:r>
              <w:rPr>
                <w:rFonts w:hint="eastAsia"/>
                <w:color w:val="auto"/>
                <w:sz w:val="24"/>
              </w:rPr>
              <w:t>9</w:t>
            </w:r>
            <w:r>
              <w:rPr>
                <w:color w:val="auto"/>
                <w:sz w:val="24"/>
              </w:rPr>
              <w:t>年作为评价基准年，根据《</w:t>
            </w:r>
            <w:r>
              <w:rPr>
                <w:rFonts w:hint="eastAsia"/>
                <w:color w:val="auto"/>
                <w:sz w:val="24"/>
              </w:rPr>
              <w:t>常州市生态环境质量报告（2019 年）》</w:t>
            </w:r>
            <w:r>
              <w:rPr>
                <w:color w:val="auto"/>
                <w:sz w:val="24"/>
              </w:rPr>
              <w:t>，项目所在区域环境空气质量汇总见表3-1。</w:t>
            </w:r>
          </w:p>
          <w:p>
            <w:pPr>
              <w:pStyle w:val="15"/>
              <w:keepNext/>
              <w:jc w:val="center"/>
              <w:rPr>
                <w:rFonts w:ascii="Times New Roman" w:hAnsi="Times New Roman"/>
                <w:color w:val="auto"/>
                <w:sz w:val="21"/>
                <w:szCs w:val="21"/>
              </w:rPr>
            </w:pPr>
            <w:r>
              <w:rPr>
                <w:rFonts w:ascii="Times New Roman" w:hAnsi="Times New Roman"/>
                <w:color w:val="auto"/>
                <w:sz w:val="21"/>
                <w:szCs w:val="21"/>
              </w:rPr>
              <w:t>表3-1  项目所在地环境空气质量现状</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6"/>
              <w:gridCol w:w="2789"/>
              <w:gridCol w:w="1230"/>
              <w:gridCol w:w="1169"/>
              <w:gridCol w:w="1007"/>
              <w:gridCol w:w="11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b/>
                      <w:color w:val="auto"/>
                      <w:kern w:val="0"/>
                      <w:szCs w:val="21"/>
                    </w:rPr>
                  </w:pPr>
                  <w:r>
                    <w:rPr>
                      <w:b/>
                      <w:color w:val="auto"/>
                      <w:kern w:val="0"/>
                      <w:szCs w:val="21"/>
                    </w:rPr>
                    <w:t>污染物</w:t>
                  </w:r>
                </w:p>
              </w:tc>
              <w:tc>
                <w:tcPr>
                  <w:tcW w:w="2789" w:type="dxa"/>
                  <w:tcBorders>
                    <w:top w:val="single" w:color="auto" w:sz="12" w:space="0"/>
                    <w:bottom w:val="single" w:color="auto" w:sz="4" w:space="0"/>
                  </w:tcBorders>
                  <w:vAlign w:val="center"/>
                </w:tcPr>
                <w:p>
                  <w:pPr>
                    <w:adjustRightInd w:val="0"/>
                    <w:snapToGrid w:val="0"/>
                    <w:jc w:val="center"/>
                    <w:rPr>
                      <w:b/>
                      <w:color w:val="auto"/>
                      <w:kern w:val="0"/>
                      <w:szCs w:val="21"/>
                    </w:rPr>
                  </w:pPr>
                  <w:r>
                    <w:rPr>
                      <w:b/>
                      <w:color w:val="auto"/>
                      <w:kern w:val="0"/>
                      <w:szCs w:val="21"/>
                    </w:rPr>
                    <w:t>年平均指标</w:t>
                  </w:r>
                </w:p>
              </w:tc>
              <w:tc>
                <w:tcPr>
                  <w:tcW w:w="1230" w:type="dxa"/>
                  <w:tcBorders>
                    <w:top w:val="single" w:color="auto" w:sz="12" w:space="0"/>
                    <w:bottom w:val="single" w:color="auto" w:sz="4" w:space="0"/>
                  </w:tcBorders>
                  <w:vAlign w:val="center"/>
                </w:tcPr>
                <w:p>
                  <w:pPr>
                    <w:adjustRightInd w:val="0"/>
                    <w:snapToGrid w:val="0"/>
                    <w:jc w:val="center"/>
                    <w:rPr>
                      <w:b/>
                      <w:bCs/>
                      <w:color w:val="auto"/>
                      <w:szCs w:val="22"/>
                    </w:rPr>
                  </w:pPr>
                  <w:r>
                    <w:rPr>
                      <w:b/>
                      <w:bCs/>
                      <w:color w:val="auto"/>
                      <w:szCs w:val="22"/>
                    </w:rPr>
                    <w:t>现状浓度</w:t>
                  </w:r>
                </w:p>
                <w:p>
                  <w:pPr>
                    <w:pStyle w:val="17"/>
                    <w:jc w:val="center"/>
                    <w:rPr>
                      <w:b/>
                      <w:bCs/>
                      <w:color w:val="auto"/>
                      <w:szCs w:val="22"/>
                    </w:rPr>
                  </w:pPr>
                  <w:r>
                    <w:rPr>
                      <w:b/>
                      <w:bCs/>
                      <w:color w:val="auto"/>
                      <w:szCs w:val="22"/>
                    </w:rPr>
                    <w:t>μg/m</w:t>
                  </w:r>
                  <w:r>
                    <w:rPr>
                      <w:b/>
                      <w:bCs/>
                      <w:color w:val="auto"/>
                      <w:szCs w:val="22"/>
                      <w:vertAlign w:val="superscript"/>
                    </w:rPr>
                    <w:t>3</w:t>
                  </w:r>
                </w:p>
              </w:tc>
              <w:tc>
                <w:tcPr>
                  <w:tcW w:w="1169" w:type="dxa"/>
                  <w:tcBorders>
                    <w:top w:val="single" w:color="auto" w:sz="12" w:space="0"/>
                    <w:bottom w:val="single" w:color="auto" w:sz="4" w:space="0"/>
                  </w:tcBorders>
                  <w:vAlign w:val="center"/>
                </w:tcPr>
                <w:p>
                  <w:pPr>
                    <w:adjustRightInd w:val="0"/>
                    <w:snapToGrid w:val="0"/>
                    <w:jc w:val="center"/>
                    <w:rPr>
                      <w:b/>
                      <w:bCs/>
                      <w:color w:val="auto"/>
                      <w:szCs w:val="22"/>
                    </w:rPr>
                  </w:pPr>
                  <w:r>
                    <w:rPr>
                      <w:b/>
                      <w:bCs/>
                      <w:color w:val="auto"/>
                      <w:szCs w:val="22"/>
                    </w:rPr>
                    <w:t>标准限值</w:t>
                  </w:r>
                </w:p>
                <w:p>
                  <w:pPr>
                    <w:pStyle w:val="17"/>
                    <w:jc w:val="center"/>
                    <w:rPr>
                      <w:b/>
                      <w:bCs/>
                      <w:color w:val="auto"/>
                      <w:szCs w:val="22"/>
                    </w:rPr>
                  </w:pPr>
                  <w:r>
                    <w:rPr>
                      <w:b/>
                      <w:bCs/>
                      <w:color w:val="auto"/>
                      <w:szCs w:val="22"/>
                    </w:rPr>
                    <w:t>μg/m</w:t>
                  </w:r>
                  <w:r>
                    <w:rPr>
                      <w:b/>
                      <w:bCs/>
                      <w:color w:val="auto"/>
                      <w:szCs w:val="22"/>
                      <w:vertAlign w:val="superscript"/>
                    </w:rPr>
                    <w:t>3</w:t>
                  </w:r>
                </w:p>
              </w:tc>
              <w:tc>
                <w:tcPr>
                  <w:tcW w:w="1007" w:type="dxa"/>
                  <w:tcBorders>
                    <w:top w:val="single" w:color="auto" w:sz="12" w:space="0"/>
                    <w:bottom w:val="single" w:color="auto" w:sz="4" w:space="0"/>
                  </w:tcBorders>
                  <w:vAlign w:val="center"/>
                </w:tcPr>
                <w:p>
                  <w:pPr>
                    <w:adjustRightInd w:val="0"/>
                    <w:snapToGrid w:val="0"/>
                    <w:jc w:val="center"/>
                    <w:rPr>
                      <w:b/>
                      <w:color w:val="auto"/>
                      <w:kern w:val="0"/>
                      <w:szCs w:val="21"/>
                    </w:rPr>
                  </w:pPr>
                  <w:r>
                    <w:rPr>
                      <w:b/>
                      <w:color w:val="auto"/>
                      <w:kern w:val="0"/>
                      <w:szCs w:val="21"/>
                    </w:rPr>
                    <w:t>占标率</w:t>
                  </w:r>
                </w:p>
                <w:p>
                  <w:pPr>
                    <w:adjustRightInd w:val="0"/>
                    <w:snapToGrid w:val="0"/>
                    <w:jc w:val="center"/>
                    <w:rPr>
                      <w:b/>
                      <w:color w:val="auto"/>
                      <w:kern w:val="0"/>
                      <w:szCs w:val="21"/>
                    </w:rPr>
                  </w:pPr>
                  <w:r>
                    <w:rPr>
                      <w:b/>
                      <w:color w:val="auto"/>
                      <w:kern w:val="0"/>
                      <w:szCs w:val="21"/>
                    </w:rPr>
                    <w:t>%</w:t>
                  </w:r>
                </w:p>
              </w:tc>
              <w:tc>
                <w:tcPr>
                  <w:tcW w:w="1181" w:type="dxa"/>
                  <w:tcBorders>
                    <w:top w:val="single" w:color="auto" w:sz="12" w:space="0"/>
                    <w:bottom w:val="single" w:color="auto" w:sz="4" w:space="0"/>
                  </w:tcBorders>
                  <w:vAlign w:val="center"/>
                </w:tcPr>
                <w:p>
                  <w:pPr>
                    <w:adjustRightInd w:val="0"/>
                    <w:snapToGrid w:val="0"/>
                    <w:jc w:val="center"/>
                    <w:rPr>
                      <w:b/>
                      <w:color w:val="auto"/>
                      <w:kern w:val="0"/>
                      <w:szCs w:val="21"/>
                    </w:rPr>
                  </w:pPr>
                  <w:r>
                    <w:rPr>
                      <w:b/>
                      <w:color w:val="auto"/>
                      <w:kern w:val="0"/>
                      <w:szCs w:val="21"/>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color w:val="auto"/>
                      <w:kern w:val="0"/>
                      <w:szCs w:val="21"/>
                    </w:rPr>
                  </w:pPr>
                  <w:r>
                    <w:rPr>
                      <w:color w:val="auto"/>
                      <w:kern w:val="0"/>
                      <w:szCs w:val="21"/>
                    </w:rPr>
                    <w:t>PM</w:t>
                  </w:r>
                  <w:r>
                    <w:rPr>
                      <w:color w:val="auto"/>
                      <w:kern w:val="0"/>
                      <w:szCs w:val="21"/>
                      <w:vertAlign w:val="subscript"/>
                    </w:rPr>
                    <w:t>2.5</w:t>
                  </w:r>
                </w:p>
              </w:tc>
              <w:tc>
                <w:tcPr>
                  <w:tcW w:w="2789" w:type="dxa"/>
                  <w:tcBorders>
                    <w:top w:val="single" w:color="auto" w:sz="4" w:space="0"/>
                  </w:tcBorders>
                  <w:vAlign w:val="center"/>
                </w:tcPr>
                <w:p>
                  <w:pPr>
                    <w:adjustRightInd w:val="0"/>
                    <w:snapToGrid w:val="0"/>
                    <w:jc w:val="center"/>
                    <w:rPr>
                      <w:color w:val="auto"/>
                      <w:kern w:val="0"/>
                      <w:szCs w:val="21"/>
                    </w:rPr>
                  </w:pPr>
                  <w:r>
                    <w:rPr>
                      <w:color w:val="auto"/>
                      <w:kern w:val="0"/>
                      <w:szCs w:val="21"/>
                    </w:rPr>
                    <w:t>年平均质量浓度</w:t>
                  </w:r>
                </w:p>
              </w:tc>
              <w:tc>
                <w:tcPr>
                  <w:tcW w:w="1230" w:type="dxa"/>
                  <w:tcBorders>
                    <w:top w:val="single" w:color="auto" w:sz="4" w:space="0"/>
                  </w:tcBorders>
                  <w:vAlign w:val="center"/>
                </w:tcPr>
                <w:p>
                  <w:pPr>
                    <w:adjustRightInd w:val="0"/>
                    <w:snapToGrid w:val="0"/>
                    <w:jc w:val="center"/>
                    <w:rPr>
                      <w:color w:val="auto"/>
                      <w:kern w:val="0"/>
                      <w:szCs w:val="21"/>
                    </w:rPr>
                  </w:pPr>
                  <w:r>
                    <w:rPr>
                      <w:rFonts w:hint="eastAsia"/>
                      <w:color w:val="auto"/>
                      <w:kern w:val="0"/>
                      <w:szCs w:val="21"/>
                    </w:rPr>
                    <w:t>44</w:t>
                  </w:r>
                </w:p>
              </w:tc>
              <w:tc>
                <w:tcPr>
                  <w:tcW w:w="1169" w:type="dxa"/>
                  <w:tcBorders>
                    <w:top w:val="single" w:color="auto" w:sz="4" w:space="0"/>
                  </w:tcBorders>
                  <w:vAlign w:val="center"/>
                </w:tcPr>
                <w:p>
                  <w:pPr>
                    <w:adjustRightInd w:val="0"/>
                    <w:snapToGrid w:val="0"/>
                    <w:jc w:val="center"/>
                    <w:rPr>
                      <w:color w:val="auto"/>
                      <w:kern w:val="0"/>
                      <w:szCs w:val="21"/>
                    </w:rPr>
                  </w:pPr>
                  <w:r>
                    <w:rPr>
                      <w:color w:val="auto"/>
                      <w:kern w:val="0"/>
                      <w:szCs w:val="21"/>
                    </w:rPr>
                    <w:t>35</w:t>
                  </w:r>
                </w:p>
              </w:tc>
              <w:tc>
                <w:tcPr>
                  <w:tcW w:w="1007" w:type="dxa"/>
                  <w:tcBorders>
                    <w:top w:val="single" w:color="auto" w:sz="4" w:space="0"/>
                    <w:left w:val="nil"/>
                    <w:bottom w:val="single" w:color="auto" w:sz="8" w:space="0"/>
                    <w:right w:val="single" w:color="auto" w:sz="8" w:space="0"/>
                  </w:tcBorders>
                  <w:vAlign w:val="center"/>
                </w:tcPr>
                <w:p>
                  <w:pPr>
                    <w:jc w:val="center"/>
                    <w:rPr>
                      <w:color w:val="auto"/>
                      <w:szCs w:val="21"/>
                    </w:rPr>
                  </w:pPr>
                  <w:r>
                    <w:rPr>
                      <w:rFonts w:hint="eastAsia"/>
                      <w:color w:val="auto"/>
                      <w:szCs w:val="21"/>
                    </w:rPr>
                    <w:t>125.71</w:t>
                  </w:r>
                </w:p>
              </w:tc>
              <w:tc>
                <w:tcPr>
                  <w:tcW w:w="1181" w:type="dxa"/>
                  <w:tcBorders>
                    <w:top w:val="single" w:color="auto" w:sz="4" w:space="0"/>
                  </w:tcBorders>
                  <w:vAlign w:val="center"/>
                </w:tcPr>
                <w:p>
                  <w:pPr>
                    <w:adjustRightInd w:val="0"/>
                    <w:snapToGrid w:val="0"/>
                    <w:jc w:val="center"/>
                    <w:rPr>
                      <w:color w:val="auto"/>
                      <w:kern w:val="0"/>
                      <w:szCs w:val="21"/>
                    </w:rPr>
                  </w:pPr>
                  <w:r>
                    <w:rPr>
                      <w:color w:val="auto"/>
                      <w:kern w:val="0"/>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color w:val="auto"/>
                      <w:kern w:val="0"/>
                      <w:szCs w:val="21"/>
                    </w:rPr>
                  </w:pPr>
                  <w:r>
                    <w:rPr>
                      <w:color w:val="auto"/>
                      <w:kern w:val="0"/>
                      <w:szCs w:val="21"/>
                    </w:rPr>
                    <w:t>PM</w:t>
                  </w:r>
                  <w:r>
                    <w:rPr>
                      <w:color w:val="auto"/>
                      <w:kern w:val="0"/>
                      <w:szCs w:val="21"/>
                      <w:vertAlign w:val="subscript"/>
                    </w:rPr>
                    <w:t>10</w:t>
                  </w:r>
                </w:p>
              </w:tc>
              <w:tc>
                <w:tcPr>
                  <w:tcW w:w="2789" w:type="dxa"/>
                  <w:vAlign w:val="center"/>
                </w:tcPr>
                <w:p>
                  <w:pPr>
                    <w:adjustRightInd w:val="0"/>
                    <w:snapToGrid w:val="0"/>
                    <w:jc w:val="center"/>
                    <w:rPr>
                      <w:color w:val="auto"/>
                      <w:kern w:val="0"/>
                      <w:szCs w:val="21"/>
                    </w:rPr>
                  </w:pPr>
                  <w:r>
                    <w:rPr>
                      <w:color w:val="auto"/>
                      <w:kern w:val="0"/>
                      <w:szCs w:val="21"/>
                    </w:rPr>
                    <w:t>年平均质量浓度</w:t>
                  </w:r>
                </w:p>
              </w:tc>
              <w:tc>
                <w:tcPr>
                  <w:tcW w:w="1230" w:type="dxa"/>
                  <w:vAlign w:val="center"/>
                </w:tcPr>
                <w:p>
                  <w:pPr>
                    <w:adjustRightInd w:val="0"/>
                    <w:snapToGrid w:val="0"/>
                    <w:jc w:val="center"/>
                    <w:rPr>
                      <w:color w:val="auto"/>
                      <w:kern w:val="0"/>
                      <w:szCs w:val="21"/>
                    </w:rPr>
                  </w:pPr>
                  <w:r>
                    <w:rPr>
                      <w:rFonts w:hint="eastAsia"/>
                      <w:color w:val="auto"/>
                      <w:kern w:val="0"/>
                      <w:szCs w:val="21"/>
                    </w:rPr>
                    <w:t>69</w:t>
                  </w:r>
                </w:p>
              </w:tc>
              <w:tc>
                <w:tcPr>
                  <w:tcW w:w="1169" w:type="dxa"/>
                  <w:vAlign w:val="center"/>
                </w:tcPr>
                <w:p>
                  <w:pPr>
                    <w:adjustRightInd w:val="0"/>
                    <w:snapToGrid w:val="0"/>
                    <w:jc w:val="center"/>
                    <w:rPr>
                      <w:color w:val="auto"/>
                      <w:kern w:val="0"/>
                      <w:szCs w:val="21"/>
                    </w:rPr>
                  </w:pPr>
                  <w:r>
                    <w:rPr>
                      <w:color w:val="auto"/>
                      <w:kern w:val="0"/>
                      <w:szCs w:val="21"/>
                    </w:rPr>
                    <w:t>70</w:t>
                  </w:r>
                </w:p>
              </w:tc>
              <w:tc>
                <w:tcPr>
                  <w:tcW w:w="1007" w:type="dxa"/>
                  <w:tcBorders>
                    <w:top w:val="nil"/>
                    <w:left w:val="nil"/>
                    <w:bottom w:val="single" w:color="auto" w:sz="8" w:space="0"/>
                    <w:right w:val="single" w:color="auto" w:sz="8" w:space="0"/>
                  </w:tcBorders>
                  <w:vAlign w:val="center"/>
                </w:tcPr>
                <w:p>
                  <w:pPr>
                    <w:jc w:val="center"/>
                    <w:rPr>
                      <w:color w:val="auto"/>
                      <w:szCs w:val="21"/>
                    </w:rPr>
                  </w:pPr>
                  <w:r>
                    <w:rPr>
                      <w:rFonts w:hint="eastAsia"/>
                      <w:color w:val="auto"/>
                      <w:szCs w:val="21"/>
                    </w:rPr>
                    <w:t>98.57</w:t>
                  </w:r>
                </w:p>
              </w:tc>
              <w:tc>
                <w:tcPr>
                  <w:tcW w:w="1181" w:type="dxa"/>
                  <w:vAlign w:val="center"/>
                </w:tcPr>
                <w:p>
                  <w:pPr>
                    <w:adjustRightInd w:val="0"/>
                    <w:snapToGrid w:val="0"/>
                    <w:jc w:val="center"/>
                    <w:rPr>
                      <w:color w:val="auto"/>
                      <w:kern w:val="0"/>
                      <w:szCs w:val="21"/>
                    </w:rPr>
                  </w:pPr>
                  <w:r>
                    <w:rPr>
                      <w:color w:val="auto"/>
                      <w:kern w:val="0"/>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936" w:type="dxa"/>
                  <w:vAlign w:val="center"/>
                </w:tcPr>
                <w:p>
                  <w:pPr>
                    <w:adjustRightInd w:val="0"/>
                    <w:snapToGrid w:val="0"/>
                    <w:jc w:val="center"/>
                    <w:rPr>
                      <w:color w:val="auto"/>
                      <w:kern w:val="0"/>
                      <w:szCs w:val="21"/>
                    </w:rPr>
                  </w:pPr>
                  <w:r>
                    <w:rPr>
                      <w:bCs/>
                      <w:color w:val="auto"/>
                      <w:kern w:val="0"/>
                      <w:szCs w:val="21"/>
                    </w:rPr>
                    <w:t>SO</w:t>
                  </w:r>
                  <w:r>
                    <w:rPr>
                      <w:bCs/>
                      <w:color w:val="auto"/>
                      <w:kern w:val="0"/>
                      <w:szCs w:val="21"/>
                      <w:vertAlign w:val="subscript"/>
                    </w:rPr>
                    <w:t>2</w:t>
                  </w:r>
                </w:p>
              </w:tc>
              <w:tc>
                <w:tcPr>
                  <w:tcW w:w="2789" w:type="dxa"/>
                  <w:vAlign w:val="center"/>
                </w:tcPr>
                <w:p>
                  <w:pPr>
                    <w:adjustRightInd w:val="0"/>
                    <w:snapToGrid w:val="0"/>
                    <w:jc w:val="center"/>
                    <w:rPr>
                      <w:color w:val="auto"/>
                      <w:kern w:val="0"/>
                      <w:szCs w:val="21"/>
                    </w:rPr>
                  </w:pPr>
                  <w:r>
                    <w:rPr>
                      <w:color w:val="auto"/>
                      <w:kern w:val="0"/>
                      <w:szCs w:val="21"/>
                    </w:rPr>
                    <w:t>年平均质量浓度</w:t>
                  </w:r>
                </w:p>
              </w:tc>
              <w:tc>
                <w:tcPr>
                  <w:tcW w:w="1230" w:type="dxa"/>
                  <w:vAlign w:val="center"/>
                </w:tcPr>
                <w:p>
                  <w:pPr>
                    <w:adjustRightInd w:val="0"/>
                    <w:snapToGrid w:val="0"/>
                    <w:jc w:val="center"/>
                    <w:rPr>
                      <w:color w:val="auto"/>
                      <w:kern w:val="0"/>
                      <w:szCs w:val="21"/>
                    </w:rPr>
                  </w:pPr>
                  <w:r>
                    <w:rPr>
                      <w:rFonts w:hint="eastAsia"/>
                      <w:color w:val="auto"/>
                      <w:kern w:val="0"/>
                      <w:szCs w:val="21"/>
                    </w:rPr>
                    <w:t>10</w:t>
                  </w:r>
                </w:p>
              </w:tc>
              <w:tc>
                <w:tcPr>
                  <w:tcW w:w="1169" w:type="dxa"/>
                  <w:vAlign w:val="center"/>
                </w:tcPr>
                <w:p>
                  <w:pPr>
                    <w:adjustRightInd w:val="0"/>
                    <w:snapToGrid w:val="0"/>
                    <w:jc w:val="center"/>
                    <w:rPr>
                      <w:color w:val="auto"/>
                      <w:kern w:val="0"/>
                      <w:szCs w:val="21"/>
                    </w:rPr>
                  </w:pPr>
                  <w:r>
                    <w:rPr>
                      <w:color w:val="auto"/>
                      <w:kern w:val="0"/>
                      <w:szCs w:val="21"/>
                    </w:rPr>
                    <w:t>60</w:t>
                  </w:r>
                </w:p>
              </w:tc>
              <w:tc>
                <w:tcPr>
                  <w:tcW w:w="1007" w:type="dxa"/>
                  <w:tcBorders>
                    <w:top w:val="nil"/>
                    <w:left w:val="nil"/>
                    <w:bottom w:val="single" w:color="auto" w:sz="8" w:space="0"/>
                    <w:right w:val="single" w:color="auto" w:sz="8" w:space="0"/>
                  </w:tcBorders>
                  <w:vAlign w:val="center"/>
                </w:tcPr>
                <w:p>
                  <w:pPr>
                    <w:jc w:val="center"/>
                    <w:rPr>
                      <w:color w:val="auto"/>
                      <w:szCs w:val="21"/>
                    </w:rPr>
                  </w:pPr>
                  <w:r>
                    <w:rPr>
                      <w:rFonts w:hint="eastAsia"/>
                      <w:color w:val="auto"/>
                      <w:szCs w:val="21"/>
                    </w:rPr>
                    <w:t>16.67</w:t>
                  </w:r>
                </w:p>
              </w:tc>
              <w:tc>
                <w:tcPr>
                  <w:tcW w:w="1181" w:type="dxa"/>
                  <w:vAlign w:val="center"/>
                </w:tcPr>
                <w:p>
                  <w:pPr>
                    <w:adjustRightInd w:val="0"/>
                    <w:snapToGrid w:val="0"/>
                    <w:jc w:val="center"/>
                    <w:rPr>
                      <w:color w:val="auto"/>
                      <w:kern w:val="0"/>
                      <w:szCs w:val="21"/>
                    </w:rPr>
                  </w:pPr>
                  <w:r>
                    <w:rPr>
                      <w:color w:val="auto"/>
                      <w:kern w:val="0"/>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color w:val="auto"/>
                      <w:kern w:val="0"/>
                      <w:szCs w:val="21"/>
                    </w:rPr>
                  </w:pPr>
                  <w:r>
                    <w:rPr>
                      <w:bCs/>
                      <w:color w:val="auto"/>
                      <w:kern w:val="0"/>
                      <w:szCs w:val="21"/>
                    </w:rPr>
                    <w:t>NO</w:t>
                  </w:r>
                  <w:r>
                    <w:rPr>
                      <w:bCs/>
                      <w:color w:val="auto"/>
                      <w:kern w:val="0"/>
                      <w:szCs w:val="21"/>
                      <w:vertAlign w:val="subscript"/>
                    </w:rPr>
                    <w:t>2</w:t>
                  </w:r>
                </w:p>
              </w:tc>
              <w:tc>
                <w:tcPr>
                  <w:tcW w:w="2789" w:type="dxa"/>
                  <w:vAlign w:val="center"/>
                </w:tcPr>
                <w:p>
                  <w:pPr>
                    <w:adjustRightInd w:val="0"/>
                    <w:snapToGrid w:val="0"/>
                    <w:jc w:val="center"/>
                    <w:rPr>
                      <w:color w:val="auto"/>
                      <w:kern w:val="0"/>
                      <w:szCs w:val="21"/>
                    </w:rPr>
                  </w:pPr>
                  <w:r>
                    <w:rPr>
                      <w:color w:val="auto"/>
                      <w:kern w:val="0"/>
                      <w:szCs w:val="21"/>
                    </w:rPr>
                    <w:t>年平均质量浓度</w:t>
                  </w:r>
                </w:p>
              </w:tc>
              <w:tc>
                <w:tcPr>
                  <w:tcW w:w="1230" w:type="dxa"/>
                  <w:vAlign w:val="center"/>
                </w:tcPr>
                <w:p>
                  <w:pPr>
                    <w:adjustRightInd w:val="0"/>
                    <w:snapToGrid w:val="0"/>
                    <w:jc w:val="center"/>
                    <w:rPr>
                      <w:color w:val="auto"/>
                      <w:kern w:val="0"/>
                      <w:szCs w:val="21"/>
                    </w:rPr>
                  </w:pPr>
                  <w:r>
                    <w:rPr>
                      <w:rFonts w:hint="eastAsia"/>
                      <w:color w:val="auto"/>
                      <w:kern w:val="0"/>
                      <w:szCs w:val="21"/>
                    </w:rPr>
                    <w:t>37</w:t>
                  </w:r>
                </w:p>
              </w:tc>
              <w:tc>
                <w:tcPr>
                  <w:tcW w:w="1169" w:type="dxa"/>
                  <w:vAlign w:val="center"/>
                </w:tcPr>
                <w:p>
                  <w:pPr>
                    <w:adjustRightInd w:val="0"/>
                    <w:snapToGrid w:val="0"/>
                    <w:jc w:val="center"/>
                    <w:rPr>
                      <w:color w:val="auto"/>
                      <w:kern w:val="0"/>
                      <w:szCs w:val="21"/>
                    </w:rPr>
                  </w:pPr>
                  <w:r>
                    <w:rPr>
                      <w:color w:val="auto"/>
                      <w:kern w:val="0"/>
                      <w:szCs w:val="21"/>
                    </w:rPr>
                    <w:t>40</w:t>
                  </w:r>
                </w:p>
              </w:tc>
              <w:tc>
                <w:tcPr>
                  <w:tcW w:w="1007" w:type="dxa"/>
                  <w:tcBorders>
                    <w:top w:val="nil"/>
                    <w:left w:val="nil"/>
                    <w:bottom w:val="single" w:color="auto" w:sz="8" w:space="0"/>
                    <w:right w:val="single" w:color="auto" w:sz="8" w:space="0"/>
                  </w:tcBorders>
                  <w:vAlign w:val="center"/>
                </w:tcPr>
                <w:p>
                  <w:pPr>
                    <w:jc w:val="center"/>
                    <w:rPr>
                      <w:color w:val="auto"/>
                      <w:szCs w:val="21"/>
                    </w:rPr>
                  </w:pPr>
                  <w:r>
                    <w:rPr>
                      <w:rFonts w:hint="eastAsia"/>
                      <w:color w:val="auto"/>
                      <w:szCs w:val="21"/>
                    </w:rPr>
                    <w:t>92.5</w:t>
                  </w:r>
                </w:p>
              </w:tc>
              <w:tc>
                <w:tcPr>
                  <w:tcW w:w="1181" w:type="dxa"/>
                  <w:vAlign w:val="center"/>
                </w:tcPr>
                <w:p>
                  <w:pPr>
                    <w:adjustRightInd w:val="0"/>
                    <w:snapToGrid w:val="0"/>
                    <w:jc w:val="center"/>
                    <w:rPr>
                      <w:color w:val="auto"/>
                      <w:kern w:val="0"/>
                      <w:szCs w:val="21"/>
                    </w:rPr>
                  </w:pPr>
                  <w:r>
                    <w:rPr>
                      <w:color w:val="auto"/>
                      <w:kern w:val="0"/>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color w:val="auto"/>
                      <w:kern w:val="0"/>
                      <w:szCs w:val="21"/>
                    </w:rPr>
                  </w:pPr>
                  <w:r>
                    <w:rPr>
                      <w:bCs/>
                      <w:color w:val="auto"/>
                      <w:kern w:val="0"/>
                      <w:szCs w:val="21"/>
                    </w:rPr>
                    <w:t>CO</w:t>
                  </w:r>
                </w:p>
              </w:tc>
              <w:tc>
                <w:tcPr>
                  <w:tcW w:w="2789" w:type="dxa"/>
                  <w:vAlign w:val="center"/>
                </w:tcPr>
                <w:p>
                  <w:pPr>
                    <w:adjustRightInd w:val="0"/>
                    <w:snapToGrid w:val="0"/>
                    <w:jc w:val="center"/>
                    <w:rPr>
                      <w:color w:val="auto"/>
                      <w:kern w:val="0"/>
                      <w:szCs w:val="21"/>
                    </w:rPr>
                  </w:pPr>
                  <w:r>
                    <w:rPr>
                      <w:color w:val="auto"/>
                      <w:kern w:val="0"/>
                      <w:szCs w:val="21"/>
                    </w:rPr>
                    <w:t>24小时平均第95百分位数</w:t>
                  </w:r>
                </w:p>
              </w:tc>
              <w:tc>
                <w:tcPr>
                  <w:tcW w:w="1230" w:type="dxa"/>
                  <w:vAlign w:val="center"/>
                </w:tcPr>
                <w:p>
                  <w:pPr>
                    <w:adjustRightInd w:val="0"/>
                    <w:snapToGrid w:val="0"/>
                    <w:jc w:val="center"/>
                    <w:rPr>
                      <w:color w:val="auto"/>
                      <w:kern w:val="0"/>
                      <w:szCs w:val="21"/>
                    </w:rPr>
                  </w:pPr>
                  <w:r>
                    <w:rPr>
                      <w:rFonts w:hint="eastAsia"/>
                      <w:color w:val="auto"/>
                      <w:kern w:val="0"/>
                      <w:szCs w:val="21"/>
                    </w:rPr>
                    <w:t>1200</w:t>
                  </w:r>
                </w:p>
              </w:tc>
              <w:tc>
                <w:tcPr>
                  <w:tcW w:w="1169" w:type="dxa"/>
                  <w:vAlign w:val="center"/>
                </w:tcPr>
                <w:p>
                  <w:pPr>
                    <w:adjustRightInd w:val="0"/>
                    <w:snapToGrid w:val="0"/>
                    <w:jc w:val="center"/>
                    <w:rPr>
                      <w:color w:val="auto"/>
                      <w:kern w:val="0"/>
                      <w:szCs w:val="21"/>
                    </w:rPr>
                  </w:pPr>
                  <w:r>
                    <w:rPr>
                      <w:color w:val="auto"/>
                      <w:kern w:val="0"/>
                      <w:szCs w:val="21"/>
                    </w:rPr>
                    <w:t>4000</w:t>
                  </w:r>
                </w:p>
              </w:tc>
              <w:tc>
                <w:tcPr>
                  <w:tcW w:w="1007" w:type="dxa"/>
                  <w:tcBorders>
                    <w:top w:val="nil"/>
                    <w:left w:val="nil"/>
                    <w:bottom w:val="single" w:color="auto" w:sz="8" w:space="0"/>
                    <w:right w:val="single" w:color="auto" w:sz="8" w:space="0"/>
                  </w:tcBorders>
                  <w:vAlign w:val="center"/>
                </w:tcPr>
                <w:p>
                  <w:pPr>
                    <w:jc w:val="center"/>
                    <w:rPr>
                      <w:color w:val="auto"/>
                      <w:szCs w:val="21"/>
                    </w:rPr>
                  </w:pPr>
                  <w:r>
                    <w:rPr>
                      <w:rFonts w:hint="eastAsia"/>
                      <w:color w:val="auto"/>
                      <w:szCs w:val="21"/>
                    </w:rPr>
                    <w:t>30</w:t>
                  </w:r>
                </w:p>
              </w:tc>
              <w:tc>
                <w:tcPr>
                  <w:tcW w:w="1181" w:type="dxa"/>
                  <w:vAlign w:val="center"/>
                </w:tcPr>
                <w:p>
                  <w:pPr>
                    <w:adjustRightInd w:val="0"/>
                    <w:snapToGrid w:val="0"/>
                    <w:jc w:val="center"/>
                    <w:rPr>
                      <w:color w:val="auto"/>
                      <w:kern w:val="0"/>
                      <w:szCs w:val="21"/>
                    </w:rPr>
                  </w:pPr>
                  <w:r>
                    <w:rPr>
                      <w:color w:val="auto"/>
                      <w:kern w:val="0"/>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6" w:type="dxa"/>
                  <w:vAlign w:val="center"/>
                </w:tcPr>
                <w:p>
                  <w:pPr>
                    <w:adjustRightInd w:val="0"/>
                    <w:snapToGrid w:val="0"/>
                    <w:jc w:val="center"/>
                    <w:rPr>
                      <w:color w:val="auto"/>
                      <w:kern w:val="0"/>
                      <w:szCs w:val="21"/>
                    </w:rPr>
                  </w:pPr>
                  <w:r>
                    <w:rPr>
                      <w:bCs/>
                      <w:color w:val="auto"/>
                      <w:kern w:val="0"/>
                      <w:szCs w:val="21"/>
                    </w:rPr>
                    <w:t>O</w:t>
                  </w:r>
                  <w:r>
                    <w:rPr>
                      <w:bCs/>
                      <w:color w:val="auto"/>
                      <w:kern w:val="0"/>
                      <w:szCs w:val="21"/>
                      <w:vertAlign w:val="subscript"/>
                    </w:rPr>
                    <w:t>3</w:t>
                  </w:r>
                </w:p>
              </w:tc>
              <w:tc>
                <w:tcPr>
                  <w:tcW w:w="2789" w:type="dxa"/>
                  <w:vAlign w:val="center"/>
                </w:tcPr>
                <w:p>
                  <w:pPr>
                    <w:adjustRightInd w:val="0"/>
                    <w:snapToGrid w:val="0"/>
                    <w:jc w:val="center"/>
                    <w:rPr>
                      <w:color w:val="auto"/>
                      <w:kern w:val="0"/>
                      <w:szCs w:val="21"/>
                    </w:rPr>
                  </w:pPr>
                  <w:r>
                    <w:rPr>
                      <w:color w:val="auto"/>
                      <w:kern w:val="0"/>
                      <w:szCs w:val="21"/>
                    </w:rPr>
                    <w:t>日最大8小时滑动平均值的第90百分位数</w:t>
                  </w:r>
                </w:p>
              </w:tc>
              <w:tc>
                <w:tcPr>
                  <w:tcW w:w="1230" w:type="dxa"/>
                  <w:vAlign w:val="center"/>
                </w:tcPr>
                <w:p>
                  <w:pPr>
                    <w:adjustRightInd w:val="0"/>
                    <w:snapToGrid w:val="0"/>
                    <w:jc w:val="center"/>
                    <w:rPr>
                      <w:color w:val="auto"/>
                      <w:kern w:val="0"/>
                      <w:szCs w:val="21"/>
                    </w:rPr>
                  </w:pPr>
                  <w:r>
                    <w:rPr>
                      <w:rFonts w:hint="eastAsia"/>
                      <w:color w:val="auto"/>
                      <w:kern w:val="0"/>
                      <w:szCs w:val="21"/>
                    </w:rPr>
                    <w:t>175</w:t>
                  </w:r>
                </w:p>
              </w:tc>
              <w:tc>
                <w:tcPr>
                  <w:tcW w:w="1169" w:type="dxa"/>
                  <w:vAlign w:val="center"/>
                </w:tcPr>
                <w:p>
                  <w:pPr>
                    <w:adjustRightInd w:val="0"/>
                    <w:snapToGrid w:val="0"/>
                    <w:jc w:val="center"/>
                    <w:rPr>
                      <w:color w:val="auto"/>
                      <w:kern w:val="0"/>
                      <w:szCs w:val="21"/>
                    </w:rPr>
                  </w:pPr>
                  <w:r>
                    <w:rPr>
                      <w:color w:val="auto"/>
                      <w:kern w:val="0"/>
                      <w:szCs w:val="21"/>
                    </w:rPr>
                    <w:t>160</w:t>
                  </w:r>
                </w:p>
              </w:tc>
              <w:tc>
                <w:tcPr>
                  <w:tcW w:w="1007" w:type="dxa"/>
                  <w:tcBorders>
                    <w:top w:val="nil"/>
                    <w:left w:val="nil"/>
                    <w:bottom w:val="single" w:color="auto" w:sz="12" w:space="0"/>
                    <w:right w:val="single" w:color="auto" w:sz="8" w:space="0"/>
                  </w:tcBorders>
                  <w:vAlign w:val="center"/>
                </w:tcPr>
                <w:p>
                  <w:pPr>
                    <w:jc w:val="center"/>
                    <w:rPr>
                      <w:color w:val="auto"/>
                      <w:szCs w:val="21"/>
                    </w:rPr>
                  </w:pPr>
                  <w:r>
                    <w:rPr>
                      <w:rFonts w:hint="eastAsia"/>
                      <w:color w:val="auto"/>
                      <w:szCs w:val="21"/>
                    </w:rPr>
                    <w:t>109.4</w:t>
                  </w:r>
                </w:p>
              </w:tc>
              <w:tc>
                <w:tcPr>
                  <w:tcW w:w="1181" w:type="dxa"/>
                  <w:vAlign w:val="center"/>
                </w:tcPr>
                <w:p>
                  <w:pPr>
                    <w:adjustRightInd w:val="0"/>
                    <w:snapToGrid w:val="0"/>
                    <w:jc w:val="center"/>
                    <w:rPr>
                      <w:color w:val="auto"/>
                      <w:kern w:val="0"/>
                      <w:szCs w:val="21"/>
                    </w:rPr>
                  </w:pPr>
                  <w:r>
                    <w:rPr>
                      <w:color w:val="auto"/>
                      <w:kern w:val="0"/>
                      <w:szCs w:val="21"/>
                    </w:rPr>
                    <w:t>不达标</w:t>
                  </w:r>
                </w:p>
              </w:tc>
            </w:tr>
          </w:tbl>
          <w:p>
            <w:pPr>
              <w:spacing w:line="360" w:lineRule="auto"/>
              <w:ind w:firstLine="480" w:firstLineChars="200"/>
              <w:jc w:val="left"/>
              <w:rPr>
                <w:color w:val="auto"/>
                <w:sz w:val="24"/>
                <w:szCs w:val="24"/>
              </w:rPr>
            </w:pPr>
            <w:r>
              <w:rPr>
                <w:color w:val="auto"/>
                <w:sz w:val="24"/>
                <w:szCs w:val="24"/>
              </w:rPr>
              <w:t>2019年常州市环境空气中SO</w:t>
            </w:r>
            <w:r>
              <w:rPr>
                <w:color w:val="auto"/>
                <w:sz w:val="24"/>
                <w:szCs w:val="24"/>
                <w:vertAlign w:val="subscript"/>
              </w:rPr>
              <w:t>2</w:t>
            </w:r>
            <w:r>
              <w:rPr>
                <w:color w:val="auto"/>
                <w:sz w:val="24"/>
                <w:szCs w:val="24"/>
              </w:rPr>
              <w:t>年平均值、NO</w:t>
            </w:r>
            <w:r>
              <w:rPr>
                <w:color w:val="auto"/>
                <w:sz w:val="24"/>
                <w:szCs w:val="24"/>
                <w:vertAlign w:val="subscript"/>
              </w:rPr>
              <w:t>2</w:t>
            </w:r>
            <w:r>
              <w:rPr>
                <w:color w:val="auto"/>
                <w:sz w:val="24"/>
                <w:szCs w:val="24"/>
              </w:rPr>
              <w:t>年平均值、PM</w:t>
            </w:r>
            <w:r>
              <w:rPr>
                <w:color w:val="auto"/>
                <w:sz w:val="24"/>
                <w:szCs w:val="24"/>
                <w:vertAlign w:val="subscript"/>
              </w:rPr>
              <w:t>10</w:t>
            </w:r>
            <w:r>
              <w:rPr>
                <w:color w:val="auto"/>
                <w:sz w:val="24"/>
                <w:szCs w:val="24"/>
              </w:rPr>
              <w:t>年平均值和 CO</w:t>
            </w:r>
            <w:r>
              <w:rPr>
                <w:rFonts w:hint="eastAsia"/>
                <w:color w:val="auto"/>
                <w:sz w:val="24"/>
                <w:szCs w:val="24"/>
              </w:rPr>
              <w:t>的</w:t>
            </w:r>
            <w:r>
              <w:rPr>
                <w:color w:val="auto"/>
                <w:sz w:val="24"/>
                <w:szCs w:val="24"/>
              </w:rPr>
              <w:t>24小时滑动平均值的第</w:t>
            </w:r>
            <w:r>
              <w:rPr>
                <w:rFonts w:hint="eastAsia"/>
                <w:color w:val="auto"/>
                <w:sz w:val="24"/>
                <w:szCs w:val="24"/>
              </w:rPr>
              <w:t>95</w:t>
            </w:r>
            <w:r>
              <w:rPr>
                <w:color w:val="auto"/>
                <w:sz w:val="24"/>
                <w:szCs w:val="24"/>
              </w:rPr>
              <w:t>百分位数《环境空气质量标准》（GB3095-2012）中二级标准， PM</w:t>
            </w:r>
            <w:r>
              <w:rPr>
                <w:color w:val="auto"/>
                <w:sz w:val="24"/>
                <w:szCs w:val="24"/>
                <w:vertAlign w:val="subscript"/>
              </w:rPr>
              <w:t>2.5</w:t>
            </w:r>
            <w:r>
              <w:rPr>
                <w:color w:val="auto"/>
                <w:sz w:val="24"/>
                <w:szCs w:val="24"/>
              </w:rPr>
              <w:t>年平均值和O</w:t>
            </w:r>
            <w:r>
              <w:rPr>
                <w:color w:val="auto"/>
                <w:sz w:val="24"/>
                <w:szCs w:val="24"/>
                <w:vertAlign w:val="subscript"/>
              </w:rPr>
              <w:t>3</w:t>
            </w:r>
            <w:r>
              <w:rPr>
                <w:color w:val="auto"/>
                <w:sz w:val="24"/>
                <w:szCs w:val="24"/>
              </w:rPr>
              <w:t>日最大8小时滑动平均值的第90百分位数超过《环境空气质量标准》（GB3095-2012）中二级标准，因此判定为非达标区域。</w:t>
            </w:r>
          </w:p>
          <w:p>
            <w:pPr>
              <w:spacing w:line="360" w:lineRule="auto"/>
              <w:ind w:firstLine="480" w:firstLineChars="200"/>
              <w:jc w:val="left"/>
              <w:rPr>
                <w:rFonts w:ascii="宋体" w:cs="宋体"/>
                <w:b/>
                <w:color w:val="auto"/>
                <w:kern w:val="0"/>
                <w:sz w:val="24"/>
                <w:szCs w:val="24"/>
              </w:rPr>
            </w:pPr>
            <w:r>
              <w:rPr>
                <w:rFonts w:hint="eastAsia" w:ascii="宋体" w:cs="宋体"/>
                <w:b/>
                <w:color w:val="auto"/>
                <w:kern w:val="0"/>
                <w:sz w:val="24"/>
                <w:szCs w:val="24"/>
              </w:rPr>
              <w:t>（2）其他污染物环境质量现状评价:</w:t>
            </w:r>
          </w:p>
          <w:p>
            <w:pPr>
              <w:spacing w:line="360" w:lineRule="auto"/>
              <w:ind w:firstLine="501" w:firstLineChars="209"/>
              <w:rPr>
                <w:color w:val="auto"/>
                <w:sz w:val="24"/>
                <w:szCs w:val="24"/>
              </w:rPr>
            </w:pPr>
            <w:r>
              <w:rPr>
                <w:rFonts w:hint="eastAsia"/>
                <w:color w:val="auto"/>
                <w:sz w:val="24"/>
              </w:rPr>
              <w:t>项目特征污染因子非甲烷总烃引用</w:t>
            </w:r>
            <w:r>
              <w:rPr>
                <w:rFonts w:hint="eastAsia"/>
                <w:color w:val="auto"/>
                <w:sz w:val="24"/>
                <w:szCs w:val="24"/>
              </w:rPr>
              <w:t>《北电爱思特（江苏）科技有限公司新能源汽车用高性能三元材料（NCM）电池芯研发与产业化项目（重新报批）环境影响报告》中在G2半岛珑庭处非甲烷总烃的历史数据，检测报告编号CQHH191443，检测时间为2019.10.10-2019.10.16。监测数据如下表3-1（检测报告见附件）。</w:t>
            </w:r>
          </w:p>
          <w:p>
            <w:pPr>
              <w:spacing w:line="360" w:lineRule="auto"/>
              <w:ind w:firstLine="501" w:firstLineChars="209"/>
              <w:rPr>
                <w:color w:val="auto"/>
                <w:sz w:val="24"/>
                <w:szCs w:val="24"/>
              </w:rPr>
            </w:pPr>
            <w:r>
              <w:rPr>
                <w:rFonts w:hint="eastAsia"/>
                <w:b/>
                <w:color w:val="auto"/>
                <w:sz w:val="24"/>
                <w:szCs w:val="24"/>
              </w:rPr>
              <w:t>监测数据引用的有效性分析：</w:t>
            </w:r>
          </w:p>
          <w:p>
            <w:pPr>
              <w:pStyle w:val="15"/>
              <w:keepNext/>
              <w:spacing w:line="360" w:lineRule="auto"/>
              <w:ind w:firstLine="480" w:firstLineChars="200"/>
              <w:jc w:val="both"/>
              <w:rPr>
                <w:rFonts w:ascii="Times New Roman" w:hAnsi="Times New Roman"/>
                <w:b w:val="0"/>
                <w:bCs w:val="0"/>
                <w:color w:val="auto"/>
                <w:kern w:val="2"/>
                <w:sz w:val="24"/>
                <w:szCs w:val="24"/>
              </w:rPr>
            </w:pPr>
            <w:r>
              <w:rPr>
                <w:rFonts w:hint="eastAsia" w:ascii="Times New Roman" w:hAnsi="Times New Roman"/>
                <w:b w:val="0"/>
                <w:bCs w:val="0"/>
                <w:color w:val="auto"/>
                <w:kern w:val="2"/>
                <w:sz w:val="24"/>
                <w:szCs w:val="24"/>
              </w:rPr>
              <w:t>本项目引用因子为非甲烷总烃，监测时间为20</w:t>
            </w:r>
            <w:r>
              <w:rPr>
                <w:rFonts w:hint="eastAsia" w:ascii="Times New Roman" w:hAnsi="Times New Roman"/>
                <w:b w:val="0"/>
                <w:bCs w:val="0"/>
                <w:color w:val="auto"/>
                <w:kern w:val="2"/>
                <w:sz w:val="24"/>
                <w:szCs w:val="24"/>
                <w:lang w:val="en-US" w:eastAsia="zh-CN"/>
              </w:rPr>
              <w:t>19</w:t>
            </w:r>
            <w:r>
              <w:rPr>
                <w:rFonts w:hint="eastAsia" w:ascii="Times New Roman" w:hAnsi="Times New Roman"/>
                <w:b w:val="0"/>
                <w:bCs w:val="0"/>
                <w:color w:val="auto"/>
                <w:kern w:val="2"/>
                <w:sz w:val="24"/>
                <w:szCs w:val="24"/>
              </w:rPr>
              <w:t>年</w:t>
            </w:r>
            <w:r>
              <w:rPr>
                <w:rFonts w:hint="eastAsia" w:ascii="Times New Roman" w:hAnsi="Times New Roman"/>
                <w:b w:val="0"/>
                <w:bCs w:val="0"/>
                <w:color w:val="auto"/>
                <w:kern w:val="2"/>
                <w:sz w:val="24"/>
                <w:szCs w:val="24"/>
                <w:lang w:val="en-US" w:eastAsia="zh-CN"/>
              </w:rPr>
              <w:t>10</w:t>
            </w:r>
            <w:r>
              <w:rPr>
                <w:rFonts w:hint="eastAsia" w:ascii="Times New Roman" w:hAnsi="Times New Roman"/>
                <w:b w:val="0"/>
                <w:bCs w:val="0"/>
                <w:color w:val="auto"/>
                <w:kern w:val="2"/>
                <w:sz w:val="24"/>
                <w:szCs w:val="24"/>
              </w:rPr>
              <w:t>月，监测数据距今尚在3年有效期内，引用点位位于本项目西侧1</w:t>
            </w:r>
            <w:r>
              <w:rPr>
                <w:rFonts w:hint="eastAsia" w:ascii="Times New Roman" w:hAnsi="Times New Roman"/>
                <w:b w:val="0"/>
                <w:bCs w:val="0"/>
                <w:color w:val="auto"/>
                <w:kern w:val="2"/>
                <w:sz w:val="24"/>
                <w:szCs w:val="24"/>
                <w:lang w:val="en-US" w:eastAsia="zh-CN"/>
              </w:rPr>
              <w:t>300</w:t>
            </w:r>
            <w:r>
              <w:rPr>
                <w:rFonts w:hint="eastAsia" w:ascii="Times New Roman" w:hAnsi="Times New Roman"/>
                <w:b w:val="0"/>
                <w:bCs w:val="0"/>
                <w:color w:val="auto"/>
                <w:kern w:val="2"/>
                <w:sz w:val="24"/>
                <w:szCs w:val="24"/>
              </w:rPr>
              <w:t>m，在评价范围内的</w:t>
            </w:r>
            <w:r>
              <w:rPr>
                <w:rFonts w:hint="eastAsia" w:ascii="Times New Roman" w:hAnsi="Times New Roman"/>
                <w:b w:val="0"/>
                <w:bCs w:val="0"/>
                <w:color w:val="auto"/>
                <w:kern w:val="2"/>
                <w:sz w:val="24"/>
                <w:szCs w:val="24"/>
                <w:lang w:eastAsia="zh-CN"/>
              </w:rPr>
              <w:t>侧</w:t>
            </w:r>
            <w:r>
              <w:rPr>
                <w:rFonts w:hint="eastAsia" w:ascii="Times New Roman" w:hAnsi="Times New Roman"/>
                <w:b w:val="0"/>
                <w:bCs w:val="0"/>
                <w:color w:val="auto"/>
                <w:kern w:val="2"/>
                <w:sz w:val="24"/>
                <w:szCs w:val="24"/>
              </w:rPr>
              <w:t>风向，监测期间至今，区域内未新增明显的大气污染源，因此本次引用的大气环境质量数据符合引用原则。</w:t>
            </w:r>
          </w:p>
          <w:p>
            <w:pPr>
              <w:pStyle w:val="15"/>
              <w:keepNext/>
              <w:jc w:val="center"/>
              <w:rPr>
                <w:rFonts w:ascii="Times New Roman" w:hAnsi="Times New Roman"/>
                <w:color w:val="auto"/>
                <w:sz w:val="21"/>
                <w:szCs w:val="21"/>
              </w:rPr>
            </w:pPr>
            <w:r>
              <w:rPr>
                <w:rFonts w:hint="eastAsia" w:ascii="Times New Roman" w:hAnsi="Times New Roman"/>
                <w:color w:val="auto"/>
                <w:sz w:val="21"/>
                <w:szCs w:val="21"/>
              </w:rPr>
              <w:t>表3-2 其他污染物补充监测点位基本信息</w:t>
            </w:r>
          </w:p>
          <w:tbl>
            <w:tblPr>
              <w:tblStyle w:val="56"/>
              <w:tblW w:w="830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16"/>
              <w:gridCol w:w="983"/>
              <w:gridCol w:w="983"/>
              <w:gridCol w:w="1112"/>
              <w:gridCol w:w="2176"/>
              <w:gridCol w:w="838"/>
              <w:gridCol w:w="119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16" w:type="dxa"/>
                  <w:vMerge w:val="restart"/>
                  <w:vAlign w:val="center"/>
                </w:tcPr>
                <w:p>
                  <w:pPr>
                    <w:jc w:val="center"/>
                    <w:rPr>
                      <w:b/>
                      <w:color w:val="auto"/>
                      <w:szCs w:val="21"/>
                    </w:rPr>
                  </w:pPr>
                  <w:r>
                    <w:rPr>
                      <w:rFonts w:hint="eastAsia"/>
                      <w:b/>
                      <w:color w:val="auto"/>
                      <w:szCs w:val="21"/>
                    </w:rPr>
                    <w:t>监测点名称</w:t>
                  </w:r>
                </w:p>
              </w:tc>
              <w:tc>
                <w:tcPr>
                  <w:tcW w:w="1966" w:type="dxa"/>
                  <w:gridSpan w:val="2"/>
                  <w:vAlign w:val="center"/>
                </w:tcPr>
                <w:p>
                  <w:pPr>
                    <w:jc w:val="center"/>
                    <w:rPr>
                      <w:b/>
                      <w:color w:val="auto"/>
                      <w:szCs w:val="21"/>
                    </w:rPr>
                  </w:pPr>
                  <w:r>
                    <w:rPr>
                      <w:rFonts w:hint="eastAsia"/>
                      <w:b/>
                      <w:color w:val="auto"/>
                      <w:szCs w:val="21"/>
                    </w:rPr>
                    <w:t>监测点坐标</w:t>
                  </w:r>
                </w:p>
              </w:tc>
              <w:tc>
                <w:tcPr>
                  <w:tcW w:w="1112" w:type="dxa"/>
                  <w:vMerge w:val="restart"/>
                  <w:vAlign w:val="center"/>
                </w:tcPr>
                <w:p>
                  <w:pPr>
                    <w:jc w:val="center"/>
                    <w:rPr>
                      <w:b/>
                      <w:color w:val="auto"/>
                      <w:szCs w:val="21"/>
                    </w:rPr>
                  </w:pPr>
                  <w:r>
                    <w:rPr>
                      <w:rFonts w:hint="eastAsia"/>
                      <w:b/>
                      <w:color w:val="auto"/>
                      <w:szCs w:val="21"/>
                    </w:rPr>
                    <w:t>监测因子</w:t>
                  </w:r>
                </w:p>
              </w:tc>
              <w:tc>
                <w:tcPr>
                  <w:tcW w:w="2176" w:type="dxa"/>
                  <w:vMerge w:val="restart"/>
                  <w:vAlign w:val="center"/>
                </w:tcPr>
                <w:p>
                  <w:pPr>
                    <w:jc w:val="center"/>
                    <w:rPr>
                      <w:b/>
                      <w:color w:val="auto"/>
                      <w:szCs w:val="21"/>
                    </w:rPr>
                  </w:pPr>
                  <w:r>
                    <w:rPr>
                      <w:rFonts w:hint="eastAsia"/>
                      <w:b/>
                      <w:color w:val="auto"/>
                      <w:szCs w:val="21"/>
                    </w:rPr>
                    <w:t>监测时段</w:t>
                  </w:r>
                </w:p>
              </w:tc>
              <w:tc>
                <w:tcPr>
                  <w:tcW w:w="838" w:type="dxa"/>
                  <w:vMerge w:val="restart"/>
                  <w:vAlign w:val="center"/>
                </w:tcPr>
                <w:p>
                  <w:pPr>
                    <w:jc w:val="center"/>
                    <w:rPr>
                      <w:b/>
                      <w:color w:val="auto"/>
                      <w:szCs w:val="21"/>
                    </w:rPr>
                  </w:pPr>
                  <w:r>
                    <w:rPr>
                      <w:rFonts w:hint="eastAsia"/>
                      <w:b/>
                      <w:color w:val="auto"/>
                      <w:szCs w:val="21"/>
                    </w:rPr>
                    <w:t>相对厂址方位</w:t>
                  </w:r>
                </w:p>
              </w:tc>
              <w:tc>
                <w:tcPr>
                  <w:tcW w:w="1194" w:type="dxa"/>
                  <w:vMerge w:val="restart"/>
                  <w:vAlign w:val="center"/>
                </w:tcPr>
                <w:p>
                  <w:pPr>
                    <w:jc w:val="center"/>
                    <w:rPr>
                      <w:b/>
                      <w:color w:val="auto"/>
                      <w:szCs w:val="21"/>
                    </w:rPr>
                  </w:pPr>
                  <w:r>
                    <w:rPr>
                      <w:rFonts w:hint="eastAsia"/>
                      <w:b/>
                      <w:color w:val="auto"/>
                      <w:szCs w:val="21"/>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1016" w:type="dxa"/>
                  <w:vMerge w:val="continue"/>
                  <w:vAlign w:val="center"/>
                </w:tcPr>
                <w:p>
                  <w:pPr>
                    <w:jc w:val="center"/>
                    <w:rPr>
                      <w:color w:val="auto"/>
                      <w:szCs w:val="21"/>
                    </w:rPr>
                  </w:pPr>
                </w:p>
              </w:tc>
              <w:tc>
                <w:tcPr>
                  <w:tcW w:w="983" w:type="dxa"/>
                  <w:vAlign w:val="center"/>
                </w:tcPr>
                <w:p>
                  <w:pPr>
                    <w:spacing w:line="360" w:lineRule="auto"/>
                    <w:jc w:val="center"/>
                    <w:rPr>
                      <w:color w:val="auto"/>
                      <w:szCs w:val="21"/>
                    </w:rPr>
                  </w:pPr>
                  <w:r>
                    <w:rPr>
                      <w:rFonts w:hint="eastAsia"/>
                      <w:color w:val="auto"/>
                      <w:szCs w:val="21"/>
                    </w:rPr>
                    <w:t>X</w:t>
                  </w:r>
                </w:p>
              </w:tc>
              <w:tc>
                <w:tcPr>
                  <w:tcW w:w="983" w:type="dxa"/>
                  <w:vAlign w:val="center"/>
                </w:tcPr>
                <w:p>
                  <w:pPr>
                    <w:spacing w:line="360" w:lineRule="auto"/>
                    <w:jc w:val="center"/>
                    <w:rPr>
                      <w:color w:val="auto"/>
                      <w:szCs w:val="21"/>
                    </w:rPr>
                  </w:pPr>
                  <w:r>
                    <w:rPr>
                      <w:rFonts w:hint="eastAsia"/>
                      <w:color w:val="auto"/>
                      <w:szCs w:val="21"/>
                    </w:rPr>
                    <w:t>Y</w:t>
                  </w:r>
                </w:p>
              </w:tc>
              <w:tc>
                <w:tcPr>
                  <w:tcW w:w="1112" w:type="dxa"/>
                  <w:vMerge w:val="continue"/>
                  <w:vAlign w:val="center"/>
                </w:tcPr>
                <w:p>
                  <w:pPr>
                    <w:jc w:val="center"/>
                    <w:rPr>
                      <w:color w:val="auto"/>
                      <w:szCs w:val="21"/>
                    </w:rPr>
                  </w:pPr>
                </w:p>
              </w:tc>
              <w:tc>
                <w:tcPr>
                  <w:tcW w:w="2176" w:type="dxa"/>
                  <w:vMerge w:val="continue"/>
                  <w:vAlign w:val="center"/>
                </w:tcPr>
                <w:p>
                  <w:pPr>
                    <w:jc w:val="center"/>
                    <w:rPr>
                      <w:color w:val="auto"/>
                      <w:szCs w:val="21"/>
                    </w:rPr>
                  </w:pPr>
                </w:p>
              </w:tc>
              <w:tc>
                <w:tcPr>
                  <w:tcW w:w="838" w:type="dxa"/>
                  <w:vMerge w:val="continue"/>
                  <w:vAlign w:val="center"/>
                </w:tcPr>
                <w:p>
                  <w:pPr>
                    <w:jc w:val="center"/>
                    <w:rPr>
                      <w:color w:val="auto"/>
                      <w:szCs w:val="21"/>
                    </w:rPr>
                  </w:pPr>
                </w:p>
              </w:tc>
              <w:tc>
                <w:tcPr>
                  <w:tcW w:w="1194" w:type="dxa"/>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pPr>
                    <w:jc w:val="center"/>
                    <w:rPr>
                      <w:color w:val="auto"/>
                      <w:szCs w:val="21"/>
                    </w:rPr>
                  </w:pPr>
                  <w:r>
                    <w:rPr>
                      <w:color w:val="auto"/>
                      <w:szCs w:val="21"/>
                    </w:rPr>
                    <w:t>G</w:t>
                  </w:r>
                  <w:r>
                    <w:rPr>
                      <w:rFonts w:hint="eastAsia"/>
                      <w:color w:val="auto"/>
                      <w:szCs w:val="21"/>
                      <w:lang w:val="en-US" w:eastAsia="zh-CN"/>
                    </w:rPr>
                    <w:t>2半岛珑庭</w:t>
                  </w:r>
                </w:p>
              </w:tc>
              <w:tc>
                <w:tcPr>
                  <w:tcW w:w="983" w:type="dxa"/>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1"/>
                      <w:lang w:val="en-US" w:eastAsia="zh-CN" w:bidi="ar-SA"/>
                    </w:rPr>
                  </w:pPr>
                  <w:r>
                    <w:rPr>
                      <w:rFonts w:hint="eastAsia" w:ascii="Times New Roman" w:hAnsi="Times New Roman" w:eastAsia="宋体" w:cs="Times New Roman"/>
                      <w:color w:val="auto"/>
                      <w:spacing w:val="0"/>
                      <w:kern w:val="2"/>
                      <w:sz w:val="21"/>
                      <w:szCs w:val="21"/>
                      <w:lang w:val="en-US" w:eastAsia="zh-CN" w:bidi="ar-SA"/>
                    </w:rPr>
                    <w:t>119.636237</w:t>
                  </w:r>
                </w:p>
              </w:tc>
              <w:tc>
                <w:tcPr>
                  <w:tcW w:w="983" w:type="dxa"/>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1"/>
                      <w:lang w:val="en-US" w:eastAsia="zh-CN" w:bidi="ar-SA"/>
                    </w:rPr>
                  </w:pPr>
                  <w:r>
                    <w:rPr>
                      <w:rFonts w:hint="eastAsia" w:ascii="Times New Roman" w:hAnsi="Times New Roman" w:eastAsia="宋体" w:cs="Times New Roman"/>
                      <w:color w:val="auto"/>
                      <w:spacing w:val="0"/>
                      <w:kern w:val="2"/>
                      <w:sz w:val="21"/>
                      <w:szCs w:val="21"/>
                      <w:lang w:val="en-US" w:eastAsia="zh-CN" w:bidi="ar-SA"/>
                    </w:rPr>
                    <w:t>31.754215</w:t>
                  </w:r>
                </w:p>
              </w:tc>
              <w:tc>
                <w:tcPr>
                  <w:tcW w:w="1112" w:type="dxa"/>
                  <w:vAlign w:val="center"/>
                </w:tcPr>
                <w:p>
                  <w:pPr>
                    <w:jc w:val="center"/>
                    <w:rPr>
                      <w:color w:val="auto"/>
                      <w:szCs w:val="21"/>
                    </w:rPr>
                  </w:pPr>
                  <w:r>
                    <w:rPr>
                      <w:rFonts w:hint="eastAsia"/>
                      <w:color w:val="auto"/>
                      <w:spacing w:val="-16"/>
                      <w:szCs w:val="21"/>
                    </w:rPr>
                    <w:t>非甲烷总烃</w:t>
                  </w:r>
                </w:p>
              </w:tc>
              <w:tc>
                <w:tcPr>
                  <w:tcW w:w="2176" w:type="dxa"/>
                  <w:vAlign w:val="center"/>
                </w:tcPr>
                <w:p>
                  <w:pPr>
                    <w:jc w:val="center"/>
                    <w:rPr>
                      <w:color w:val="auto"/>
                      <w:szCs w:val="21"/>
                    </w:rPr>
                  </w:pPr>
                  <w:r>
                    <w:rPr>
                      <w:rFonts w:hint="eastAsia"/>
                      <w:color w:val="auto"/>
                      <w:szCs w:val="21"/>
                    </w:rPr>
                    <w:t>2019.10.10-2019.10.16</w:t>
                  </w:r>
                </w:p>
              </w:tc>
              <w:tc>
                <w:tcPr>
                  <w:tcW w:w="838" w:type="dxa"/>
                  <w:vAlign w:val="center"/>
                </w:tcPr>
                <w:p>
                  <w:pPr>
                    <w:jc w:val="center"/>
                    <w:rPr>
                      <w:rFonts w:hint="eastAsia" w:eastAsia="宋体"/>
                      <w:color w:val="auto"/>
                      <w:szCs w:val="21"/>
                      <w:lang w:eastAsia="zh-CN"/>
                    </w:rPr>
                  </w:pPr>
                  <w:r>
                    <w:rPr>
                      <w:rFonts w:hint="eastAsia"/>
                      <w:color w:val="auto"/>
                      <w:szCs w:val="21"/>
                      <w:lang w:val="en-US" w:eastAsia="zh-CN"/>
                    </w:rPr>
                    <w:t>W</w:t>
                  </w:r>
                </w:p>
              </w:tc>
              <w:tc>
                <w:tcPr>
                  <w:tcW w:w="1194" w:type="dxa"/>
                  <w:vAlign w:val="center"/>
                </w:tcPr>
                <w:p>
                  <w:pPr>
                    <w:jc w:val="center"/>
                    <w:rPr>
                      <w:rFonts w:hint="default" w:eastAsia="宋体"/>
                      <w:color w:val="auto"/>
                      <w:szCs w:val="21"/>
                      <w:lang w:val="en-US" w:eastAsia="zh-CN"/>
                    </w:rPr>
                  </w:pPr>
                  <w:r>
                    <w:rPr>
                      <w:rFonts w:hint="eastAsia"/>
                      <w:color w:val="auto"/>
                      <w:szCs w:val="21"/>
                      <w:lang w:val="en-US" w:eastAsia="zh-CN"/>
                    </w:rPr>
                    <w:t>1300</w:t>
                  </w:r>
                </w:p>
              </w:tc>
            </w:tr>
          </w:tbl>
          <w:p>
            <w:pPr>
              <w:pStyle w:val="15"/>
              <w:keepNext/>
              <w:jc w:val="center"/>
              <w:rPr>
                <w:rFonts w:ascii="Times New Roman" w:hAnsi="Times New Roman"/>
                <w:color w:val="auto"/>
                <w:sz w:val="21"/>
                <w:szCs w:val="21"/>
              </w:rPr>
            </w:pPr>
            <w:r>
              <w:rPr>
                <w:rFonts w:hint="eastAsia" w:ascii="Times New Roman" w:hAnsi="Times New Roman"/>
                <w:color w:val="auto"/>
                <w:sz w:val="21"/>
                <w:szCs w:val="21"/>
              </w:rPr>
              <w:t>表3-3 其他污染物环境质量现状（监测结果）表</w:t>
            </w:r>
          </w:p>
          <w:tbl>
            <w:tblPr>
              <w:tblStyle w:val="56"/>
              <w:tblW w:w="830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4"/>
              <w:gridCol w:w="1206"/>
              <w:gridCol w:w="1109"/>
              <w:gridCol w:w="679"/>
              <w:gridCol w:w="679"/>
              <w:gridCol w:w="800"/>
              <w:gridCol w:w="960"/>
              <w:gridCol w:w="748"/>
              <w:gridCol w:w="748"/>
              <w:gridCol w:w="67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94" w:type="dxa"/>
                  <w:vMerge w:val="restart"/>
                  <w:vAlign w:val="center"/>
                </w:tcPr>
                <w:p>
                  <w:pPr>
                    <w:jc w:val="center"/>
                    <w:rPr>
                      <w:b/>
                      <w:color w:val="auto"/>
                      <w:szCs w:val="21"/>
                    </w:rPr>
                  </w:pPr>
                  <w:r>
                    <w:rPr>
                      <w:rFonts w:hint="eastAsia"/>
                      <w:b/>
                      <w:color w:val="auto"/>
                      <w:szCs w:val="21"/>
                    </w:rPr>
                    <w:t>监测点名称</w:t>
                  </w:r>
                </w:p>
              </w:tc>
              <w:tc>
                <w:tcPr>
                  <w:tcW w:w="2315" w:type="dxa"/>
                  <w:gridSpan w:val="2"/>
                  <w:vAlign w:val="center"/>
                </w:tcPr>
                <w:p>
                  <w:pPr>
                    <w:jc w:val="center"/>
                    <w:rPr>
                      <w:b/>
                      <w:color w:val="auto"/>
                      <w:szCs w:val="21"/>
                    </w:rPr>
                  </w:pPr>
                  <w:r>
                    <w:rPr>
                      <w:rFonts w:hint="eastAsia"/>
                      <w:b/>
                      <w:color w:val="auto"/>
                      <w:szCs w:val="21"/>
                    </w:rPr>
                    <w:t>监测点坐标</w:t>
                  </w:r>
                </w:p>
              </w:tc>
              <w:tc>
                <w:tcPr>
                  <w:tcW w:w="679" w:type="dxa"/>
                  <w:vMerge w:val="restart"/>
                  <w:vAlign w:val="center"/>
                </w:tcPr>
                <w:p>
                  <w:pPr>
                    <w:jc w:val="center"/>
                    <w:rPr>
                      <w:b/>
                      <w:color w:val="auto"/>
                      <w:szCs w:val="21"/>
                    </w:rPr>
                  </w:pPr>
                  <w:r>
                    <w:rPr>
                      <w:rFonts w:hint="eastAsia"/>
                      <w:b/>
                      <w:color w:val="auto"/>
                      <w:szCs w:val="21"/>
                    </w:rPr>
                    <w:t>污染物</w:t>
                  </w:r>
                </w:p>
              </w:tc>
              <w:tc>
                <w:tcPr>
                  <w:tcW w:w="679" w:type="dxa"/>
                  <w:vMerge w:val="restart"/>
                  <w:vAlign w:val="center"/>
                </w:tcPr>
                <w:p>
                  <w:pPr>
                    <w:jc w:val="center"/>
                    <w:rPr>
                      <w:b/>
                      <w:color w:val="auto"/>
                      <w:szCs w:val="21"/>
                    </w:rPr>
                  </w:pPr>
                  <w:r>
                    <w:rPr>
                      <w:rFonts w:hint="eastAsia"/>
                      <w:b/>
                      <w:color w:val="auto"/>
                      <w:szCs w:val="21"/>
                    </w:rPr>
                    <w:t>平均时间</w:t>
                  </w:r>
                </w:p>
              </w:tc>
              <w:tc>
                <w:tcPr>
                  <w:tcW w:w="800" w:type="dxa"/>
                  <w:vMerge w:val="restart"/>
                  <w:vAlign w:val="center"/>
                </w:tcPr>
                <w:p>
                  <w:pPr>
                    <w:jc w:val="center"/>
                    <w:rPr>
                      <w:b/>
                      <w:color w:val="auto"/>
                      <w:szCs w:val="21"/>
                    </w:rPr>
                  </w:pPr>
                  <w:r>
                    <w:rPr>
                      <w:rFonts w:hint="eastAsia"/>
                      <w:b/>
                      <w:color w:val="auto"/>
                      <w:szCs w:val="21"/>
                    </w:rPr>
                    <w:t>评价标准/ug/m</w:t>
                  </w:r>
                  <w:r>
                    <w:rPr>
                      <w:rFonts w:hint="eastAsia"/>
                      <w:b/>
                      <w:color w:val="auto"/>
                      <w:szCs w:val="21"/>
                      <w:vertAlign w:val="superscript"/>
                    </w:rPr>
                    <w:t>3</w:t>
                  </w:r>
                </w:p>
              </w:tc>
              <w:tc>
                <w:tcPr>
                  <w:tcW w:w="960" w:type="dxa"/>
                  <w:vMerge w:val="restart"/>
                  <w:vAlign w:val="center"/>
                </w:tcPr>
                <w:p>
                  <w:pPr>
                    <w:jc w:val="center"/>
                    <w:rPr>
                      <w:b/>
                      <w:color w:val="auto"/>
                      <w:szCs w:val="21"/>
                    </w:rPr>
                  </w:pPr>
                  <w:r>
                    <w:rPr>
                      <w:rFonts w:hint="eastAsia"/>
                      <w:b/>
                      <w:color w:val="auto"/>
                      <w:szCs w:val="21"/>
                    </w:rPr>
                    <w:t>监测浓度范围/ ug/m</w:t>
                  </w:r>
                  <w:r>
                    <w:rPr>
                      <w:rFonts w:hint="eastAsia"/>
                      <w:b/>
                      <w:color w:val="auto"/>
                      <w:szCs w:val="21"/>
                      <w:vertAlign w:val="superscript"/>
                    </w:rPr>
                    <w:t>3</w:t>
                  </w:r>
                </w:p>
              </w:tc>
              <w:tc>
                <w:tcPr>
                  <w:tcW w:w="748" w:type="dxa"/>
                  <w:vMerge w:val="restart"/>
                  <w:vAlign w:val="center"/>
                </w:tcPr>
                <w:p>
                  <w:pPr>
                    <w:jc w:val="center"/>
                    <w:rPr>
                      <w:b/>
                      <w:color w:val="auto"/>
                      <w:szCs w:val="21"/>
                    </w:rPr>
                  </w:pPr>
                  <w:r>
                    <w:rPr>
                      <w:rFonts w:hint="eastAsia"/>
                      <w:b/>
                      <w:color w:val="auto"/>
                      <w:szCs w:val="21"/>
                    </w:rPr>
                    <w:t>最大浓度占标率%</w:t>
                  </w:r>
                </w:p>
              </w:tc>
              <w:tc>
                <w:tcPr>
                  <w:tcW w:w="748" w:type="dxa"/>
                  <w:vMerge w:val="restart"/>
                  <w:vAlign w:val="center"/>
                </w:tcPr>
                <w:p>
                  <w:pPr>
                    <w:jc w:val="center"/>
                    <w:rPr>
                      <w:b/>
                      <w:color w:val="auto"/>
                      <w:szCs w:val="21"/>
                    </w:rPr>
                  </w:pPr>
                  <w:r>
                    <w:rPr>
                      <w:rFonts w:hint="eastAsia"/>
                      <w:b/>
                      <w:color w:val="auto"/>
                      <w:szCs w:val="21"/>
                    </w:rPr>
                    <w:t>超标率%</w:t>
                  </w:r>
                </w:p>
              </w:tc>
              <w:tc>
                <w:tcPr>
                  <w:tcW w:w="679" w:type="dxa"/>
                  <w:vMerge w:val="restart"/>
                  <w:vAlign w:val="center"/>
                </w:tcPr>
                <w:p>
                  <w:pPr>
                    <w:jc w:val="center"/>
                    <w:rPr>
                      <w:b/>
                      <w:color w:val="auto"/>
                      <w:szCs w:val="21"/>
                    </w:rPr>
                  </w:pPr>
                  <w:r>
                    <w:rPr>
                      <w:rFonts w:hint="eastAsia"/>
                      <w:b/>
                      <w:color w:val="auto"/>
                      <w:szCs w:val="21"/>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694" w:type="dxa"/>
                  <w:vMerge w:val="continue"/>
                  <w:vAlign w:val="center"/>
                </w:tcPr>
                <w:p>
                  <w:pPr>
                    <w:jc w:val="center"/>
                    <w:rPr>
                      <w:color w:val="auto"/>
                      <w:szCs w:val="21"/>
                    </w:rPr>
                  </w:pPr>
                </w:p>
              </w:tc>
              <w:tc>
                <w:tcPr>
                  <w:tcW w:w="1206" w:type="dxa"/>
                  <w:vAlign w:val="center"/>
                </w:tcPr>
                <w:p>
                  <w:pPr>
                    <w:spacing w:line="360" w:lineRule="auto"/>
                    <w:jc w:val="center"/>
                    <w:rPr>
                      <w:color w:val="auto"/>
                      <w:szCs w:val="21"/>
                    </w:rPr>
                  </w:pPr>
                  <w:r>
                    <w:rPr>
                      <w:rFonts w:hint="eastAsia"/>
                      <w:color w:val="auto"/>
                      <w:szCs w:val="21"/>
                    </w:rPr>
                    <w:t>X</w:t>
                  </w:r>
                </w:p>
              </w:tc>
              <w:tc>
                <w:tcPr>
                  <w:tcW w:w="1109" w:type="dxa"/>
                  <w:vAlign w:val="center"/>
                </w:tcPr>
                <w:p>
                  <w:pPr>
                    <w:spacing w:line="360" w:lineRule="auto"/>
                    <w:jc w:val="center"/>
                    <w:rPr>
                      <w:color w:val="auto"/>
                      <w:szCs w:val="21"/>
                    </w:rPr>
                  </w:pPr>
                  <w:r>
                    <w:rPr>
                      <w:rFonts w:hint="eastAsia"/>
                      <w:color w:val="auto"/>
                      <w:szCs w:val="21"/>
                    </w:rPr>
                    <w:t>Y</w:t>
                  </w:r>
                </w:p>
              </w:tc>
              <w:tc>
                <w:tcPr>
                  <w:tcW w:w="679" w:type="dxa"/>
                  <w:vMerge w:val="continue"/>
                  <w:vAlign w:val="center"/>
                </w:tcPr>
                <w:p>
                  <w:pPr>
                    <w:jc w:val="center"/>
                    <w:rPr>
                      <w:color w:val="auto"/>
                      <w:szCs w:val="21"/>
                    </w:rPr>
                  </w:pPr>
                </w:p>
              </w:tc>
              <w:tc>
                <w:tcPr>
                  <w:tcW w:w="679" w:type="dxa"/>
                  <w:vMerge w:val="continue"/>
                  <w:vAlign w:val="center"/>
                </w:tcPr>
                <w:p>
                  <w:pPr>
                    <w:jc w:val="center"/>
                    <w:rPr>
                      <w:color w:val="auto"/>
                      <w:szCs w:val="21"/>
                    </w:rPr>
                  </w:pPr>
                </w:p>
              </w:tc>
              <w:tc>
                <w:tcPr>
                  <w:tcW w:w="800" w:type="dxa"/>
                  <w:vMerge w:val="continue"/>
                  <w:vAlign w:val="center"/>
                </w:tcPr>
                <w:p>
                  <w:pPr>
                    <w:jc w:val="center"/>
                    <w:rPr>
                      <w:color w:val="auto"/>
                      <w:szCs w:val="21"/>
                    </w:rPr>
                  </w:pPr>
                </w:p>
              </w:tc>
              <w:tc>
                <w:tcPr>
                  <w:tcW w:w="960" w:type="dxa"/>
                  <w:vMerge w:val="continue"/>
                  <w:vAlign w:val="center"/>
                </w:tcPr>
                <w:p>
                  <w:pPr>
                    <w:jc w:val="center"/>
                    <w:rPr>
                      <w:color w:val="auto"/>
                      <w:szCs w:val="21"/>
                    </w:rPr>
                  </w:pPr>
                </w:p>
              </w:tc>
              <w:tc>
                <w:tcPr>
                  <w:tcW w:w="748" w:type="dxa"/>
                  <w:vMerge w:val="continue"/>
                  <w:vAlign w:val="center"/>
                </w:tcPr>
                <w:p>
                  <w:pPr>
                    <w:jc w:val="center"/>
                    <w:rPr>
                      <w:color w:val="auto"/>
                      <w:szCs w:val="21"/>
                    </w:rPr>
                  </w:pPr>
                </w:p>
              </w:tc>
              <w:tc>
                <w:tcPr>
                  <w:tcW w:w="748" w:type="dxa"/>
                  <w:vMerge w:val="continue"/>
                  <w:vAlign w:val="center"/>
                </w:tcPr>
                <w:p>
                  <w:pPr>
                    <w:jc w:val="center"/>
                    <w:rPr>
                      <w:color w:val="auto"/>
                      <w:szCs w:val="21"/>
                    </w:rPr>
                  </w:pPr>
                </w:p>
              </w:tc>
              <w:tc>
                <w:tcPr>
                  <w:tcW w:w="679" w:type="dxa"/>
                  <w:vMerge w:val="continue"/>
                  <w:vAlign w:val="center"/>
                </w:tcPr>
                <w:p>
                  <w:pPr>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94" w:type="dxa"/>
                  <w:vAlign w:val="center"/>
                </w:tcPr>
                <w:p>
                  <w:pPr>
                    <w:jc w:val="center"/>
                    <w:rPr>
                      <w:color w:val="auto"/>
                      <w:szCs w:val="21"/>
                    </w:rPr>
                  </w:pPr>
                  <w:r>
                    <w:rPr>
                      <w:color w:val="auto"/>
                      <w:szCs w:val="21"/>
                    </w:rPr>
                    <w:t>G</w:t>
                  </w:r>
                  <w:r>
                    <w:rPr>
                      <w:rFonts w:hint="eastAsia"/>
                      <w:color w:val="auto"/>
                      <w:szCs w:val="21"/>
                      <w:lang w:val="en-US" w:eastAsia="zh-CN"/>
                    </w:rPr>
                    <w:t>2半岛珑庭</w:t>
                  </w:r>
                </w:p>
              </w:tc>
              <w:tc>
                <w:tcPr>
                  <w:tcW w:w="1206" w:type="dxa"/>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1"/>
                      <w:lang w:val="en-US" w:eastAsia="zh-CN" w:bidi="ar-SA"/>
                    </w:rPr>
                  </w:pPr>
                  <w:r>
                    <w:rPr>
                      <w:rFonts w:hint="eastAsia" w:ascii="Times New Roman" w:hAnsi="Times New Roman" w:eastAsia="宋体" w:cs="Times New Roman"/>
                      <w:color w:val="auto"/>
                      <w:spacing w:val="0"/>
                      <w:kern w:val="2"/>
                      <w:sz w:val="21"/>
                      <w:szCs w:val="21"/>
                      <w:lang w:val="en-US" w:eastAsia="zh-CN" w:bidi="ar-SA"/>
                    </w:rPr>
                    <w:t>119.636237</w:t>
                  </w:r>
                </w:p>
              </w:tc>
              <w:tc>
                <w:tcPr>
                  <w:tcW w:w="1109" w:type="dxa"/>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1"/>
                      <w:lang w:val="en-US" w:eastAsia="zh-CN" w:bidi="ar-SA"/>
                    </w:rPr>
                  </w:pPr>
                  <w:r>
                    <w:rPr>
                      <w:rFonts w:hint="eastAsia" w:ascii="Times New Roman" w:hAnsi="Times New Roman" w:eastAsia="宋体" w:cs="Times New Roman"/>
                      <w:color w:val="auto"/>
                      <w:spacing w:val="0"/>
                      <w:kern w:val="2"/>
                      <w:sz w:val="21"/>
                      <w:szCs w:val="21"/>
                      <w:lang w:val="en-US" w:eastAsia="zh-CN" w:bidi="ar-SA"/>
                    </w:rPr>
                    <w:t>31.754215</w:t>
                  </w:r>
                </w:p>
              </w:tc>
              <w:tc>
                <w:tcPr>
                  <w:tcW w:w="679" w:type="dxa"/>
                  <w:vAlign w:val="center"/>
                </w:tcPr>
                <w:p>
                  <w:pPr>
                    <w:jc w:val="center"/>
                    <w:rPr>
                      <w:color w:val="auto"/>
                      <w:szCs w:val="21"/>
                    </w:rPr>
                  </w:pPr>
                  <w:r>
                    <w:rPr>
                      <w:rFonts w:hint="eastAsia"/>
                      <w:color w:val="auto"/>
                      <w:spacing w:val="-16"/>
                      <w:szCs w:val="21"/>
                    </w:rPr>
                    <w:t>非甲烷总烃</w:t>
                  </w:r>
                </w:p>
              </w:tc>
              <w:tc>
                <w:tcPr>
                  <w:tcW w:w="679" w:type="dxa"/>
                  <w:vAlign w:val="center"/>
                </w:tcPr>
                <w:p>
                  <w:pPr>
                    <w:spacing w:before="62" w:beforeLines="20" w:after="62" w:afterLines="20"/>
                    <w:jc w:val="center"/>
                    <w:rPr>
                      <w:color w:val="auto"/>
                      <w:szCs w:val="21"/>
                    </w:rPr>
                  </w:pPr>
                  <w:r>
                    <w:rPr>
                      <w:rFonts w:hint="default" w:ascii="Times New Roman" w:hAnsi="Times New Roman" w:cs="Times New Roman"/>
                      <w:color w:val="auto"/>
                      <w:szCs w:val="21"/>
                    </w:rPr>
                    <w:t>1小时平均</w:t>
                  </w:r>
                </w:p>
              </w:tc>
              <w:tc>
                <w:tcPr>
                  <w:tcW w:w="800" w:type="dxa"/>
                  <w:vAlign w:val="center"/>
                </w:tcPr>
                <w:p>
                  <w:pPr>
                    <w:spacing w:before="62" w:beforeLines="20" w:after="62" w:afterLines="20"/>
                    <w:jc w:val="center"/>
                    <w:rPr>
                      <w:color w:val="auto"/>
                      <w:szCs w:val="21"/>
                    </w:rPr>
                  </w:pPr>
                  <w:r>
                    <w:rPr>
                      <w:rFonts w:hint="default" w:ascii="Times New Roman" w:hAnsi="Times New Roman" w:cs="Times New Roman"/>
                      <w:color w:val="auto"/>
                      <w:szCs w:val="21"/>
                    </w:rPr>
                    <w:t>2000</w:t>
                  </w:r>
                </w:p>
              </w:tc>
              <w:tc>
                <w:tcPr>
                  <w:tcW w:w="960" w:type="dxa"/>
                  <w:vAlign w:val="center"/>
                </w:tcPr>
                <w:p>
                  <w:pPr>
                    <w:spacing w:before="62" w:beforeLines="20" w:after="62" w:afterLines="20"/>
                    <w:jc w:val="center"/>
                    <w:rPr>
                      <w:color w:val="auto"/>
                      <w:szCs w:val="21"/>
                    </w:rPr>
                  </w:pPr>
                  <w:r>
                    <w:rPr>
                      <w:rFonts w:hint="default" w:ascii="Times New Roman" w:hAnsi="Times New Roman" w:cs="Times New Roman"/>
                      <w:color w:val="auto"/>
                      <w:szCs w:val="21"/>
                      <w:lang w:val="en-US" w:eastAsia="zh-CN"/>
                    </w:rPr>
                    <w:t>600</w:t>
                  </w:r>
                  <w:r>
                    <w:rPr>
                      <w:rFonts w:hint="default" w:ascii="Times New Roman" w:hAnsi="Times New Roman" w:cs="Times New Roman"/>
                      <w:color w:val="auto"/>
                      <w:szCs w:val="21"/>
                    </w:rPr>
                    <w:t>~</w:t>
                  </w:r>
                  <w:r>
                    <w:rPr>
                      <w:rFonts w:hint="default" w:ascii="Times New Roman" w:hAnsi="Times New Roman" w:cs="Times New Roman"/>
                      <w:color w:val="auto"/>
                      <w:szCs w:val="21"/>
                      <w:lang w:val="en-US" w:eastAsia="zh-CN"/>
                    </w:rPr>
                    <w:t>990</w:t>
                  </w:r>
                </w:p>
              </w:tc>
              <w:tc>
                <w:tcPr>
                  <w:tcW w:w="748" w:type="dxa"/>
                  <w:vAlign w:val="center"/>
                </w:tcPr>
                <w:p>
                  <w:pPr>
                    <w:spacing w:before="62" w:beforeLines="20" w:after="62" w:afterLines="20"/>
                    <w:jc w:val="center"/>
                    <w:rPr>
                      <w:color w:val="auto"/>
                      <w:szCs w:val="21"/>
                    </w:rPr>
                  </w:pPr>
                  <w:r>
                    <w:rPr>
                      <w:rFonts w:hint="default" w:ascii="Times New Roman" w:hAnsi="Times New Roman" w:cs="Times New Roman"/>
                      <w:color w:val="auto"/>
                      <w:szCs w:val="21"/>
                      <w:lang w:val="en-US" w:eastAsia="zh-CN"/>
                    </w:rPr>
                    <w:t>49.5</w:t>
                  </w:r>
                </w:p>
              </w:tc>
              <w:tc>
                <w:tcPr>
                  <w:tcW w:w="748" w:type="dxa"/>
                  <w:vAlign w:val="center"/>
                </w:tcPr>
                <w:p>
                  <w:pPr>
                    <w:jc w:val="center"/>
                    <w:rPr>
                      <w:color w:val="auto"/>
                      <w:szCs w:val="21"/>
                    </w:rPr>
                  </w:pPr>
                  <w:r>
                    <w:rPr>
                      <w:rFonts w:hint="eastAsia"/>
                      <w:color w:val="auto"/>
                      <w:szCs w:val="21"/>
                    </w:rPr>
                    <w:t>0</w:t>
                  </w:r>
                </w:p>
              </w:tc>
              <w:tc>
                <w:tcPr>
                  <w:tcW w:w="679" w:type="dxa"/>
                  <w:vAlign w:val="center"/>
                </w:tcPr>
                <w:p>
                  <w:pPr>
                    <w:jc w:val="center"/>
                    <w:rPr>
                      <w:color w:val="auto"/>
                      <w:szCs w:val="21"/>
                    </w:rPr>
                  </w:pPr>
                  <w:r>
                    <w:rPr>
                      <w:rFonts w:hint="eastAsia"/>
                      <w:color w:val="auto"/>
                      <w:szCs w:val="21"/>
                    </w:rPr>
                    <w:t>达标</w:t>
                  </w:r>
                </w:p>
              </w:tc>
            </w:tr>
          </w:tbl>
          <w:p>
            <w:pPr>
              <w:spacing w:line="360" w:lineRule="auto"/>
              <w:ind w:firstLine="470" w:firstLineChars="196"/>
              <w:rPr>
                <w:color w:val="auto"/>
                <w:sz w:val="24"/>
              </w:rPr>
            </w:pPr>
            <w:r>
              <w:rPr>
                <w:color w:val="auto"/>
                <w:sz w:val="24"/>
              </w:rPr>
              <w:t>由上表可知：评价区域内</w:t>
            </w:r>
            <w:r>
              <w:rPr>
                <w:rFonts w:hint="eastAsia"/>
                <w:color w:val="auto"/>
                <w:sz w:val="24"/>
              </w:rPr>
              <w:t>非甲烷总烃满足《大气污染物综合排放标准详解》中的数值。</w:t>
            </w:r>
          </w:p>
          <w:p>
            <w:pPr>
              <w:spacing w:line="360" w:lineRule="auto"/>
              <w:ind w:firstLine="480" w:firstLineChars="200"/>
              <w:jc w:val="left"/>
              <w:rPr>
                <w:b/>
                <w:bCs/>
                <w:color w:val="auto"/>
                <w:sz w:val="24"/>
                <w:szCs w:val="24"/>
              </w:rPr>
            </w:pPr>
            <w:r>
              <w:rPr>
                <w:b/>
                <w:bCs/>
                <w:color w:val="auto"/>
                <w:sz w:val="24"/>
                <w:szCs w:val="24"/>
              </w:rPr>
              <w:t>（</w:t>
            </w:r>
            <w:r>
              <w:rPr>
                <w:rFonts w:hint="eastAsia"/>
                <w:b/>
                <w:bCs/>
                <w:color w:val="auto"/>
                <w:sz w:val="24"/>
                <w:szCs w:val="24"/>
              </w:rPr>
              <w:t>3</w:t>
            </w:r>
            <w:r>
              <w:rPr>
                <w:b/>
                <w:bCs/>
                <w:color w:val="auto"/>
                <w:sz w:val="24"/>
                <w:szCs w:val="24"/>
              </w:rPr>
              <w:t>）区域削减</w:t>
            </w:r>
            <w:r>
              <w:rPr>
                <w:rFonts w:hint="eastAsia"/>
                <w:b/>
                <w:bCs/>
                <w:color w:val="auto"/>
                <w:sz w:val="24"/>
                <w:szCs w:val="24"/>
              </w:rPr>
              <w:t>：</w:t>
            </w:r>
          </w:p>
          <w:p>
            <w:pPr>
              <w:spacing w:line="360" w:lineRule="auto"/>
              <w:ind w:firstLine="480" w:firstLineChars="200"/>
              <w:textAlignment w:val="baseline"/>
              <w:rPr>
                <w:rFonts w:hint="eastAsia"/>
                <w:bCs/>
                <w:color w:val="auto"/>
                <w:kern w:val="28"/>
                <w:sz w:val="24"/>
              </w:rPr>
            </w:pPr>
            <w:r>
              <w:rPr>
                <w:rFonts w:hint="eastAsia"/>
                <w:bCs/>
                <w:color w:val="auto"/>
                <w:kern w:val="28"/>
                <w:sz w:val="24"/>
              </w:rPr>
              <w:t>根据《2020年金坛经济开发区打好污染防治攻坚战工作方案》，金坛经济开发区大气污染防治措施如下：</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①一是加强重点行业治理改造。强化工业污染全过程控制，实现全行业全要素达标排放，重点非电行业全面实行超低排放。开展重点企业提升整治。二是实施生物质锅炉综合整治。三是实施天然气锅炉低氮改造。四是加强散煤治理。五是“散乱污”整治。</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②严格管控各类扬尘。一是严格工地扬尘监管。严格执行《建筑工地扬尘防治标准》，做到“六个百分之百”。二是严格堆场扬尘监管。提升堆场扬尘防控水平。推进在线监测和视频监控设备安装，并与主管部门联网。三是加强道路扬尘综合整治。加强绿化建设，裸地实现绿化、硬化，及时修复破损路面，加大道路清扫洒水力度。四是加强大气降尘监管。全面排查整治扬尘污染源，有效提升区域扬尘网格化监管水平，开展降尘监测和考核。</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③深化VOCs专项治理。一是重点企业VOCs治理。鼓励引导企业和消费者实施清洁原料替代。继续组织4家重点企业编制实施“一企一策”方案。二是表面涂装行业VOCs专项整治。继续推广使用低VOCs的油漆、涂料。重点对金属、塑料表面涂装过程中产生的VOCs进行整治。</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④加强秸秆禁烧和综合利用。一是秸秆禁烧管控。强化秸秆禁烧主体责任，建立健全网格化监管制度，在夏收和秋收阶段开展秸秆禁烧专项巡查，严格制止秸秆焚烧和拋河行为。二是秸秆综合利用。坚持堵疏结合，完善秸秆收储体系，推广秸秆就地就近实现资源转化的小型化、移动式装备。</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⑤加强面源污染控制。一是加强餐饮油烟污染防治。餐饮行业《负面清单》全覆盖。二是加强烟花爆竹污染防治。切实落实烟花爆竹禁放措施，有效防止空气污染。三是加强空气自动站周边污染源排查整治。</w:t>
            </w:r>
          </w:p>
          <w:p>
            <w:pPr>
              <w:spacing w:line="360" w:lineRule="auto"/>
              <w:ind w:firstLine="480" w:firstLineChars="200"/>
              <w:textAlignment w:val="baseline"/>
              <w:rPr>
                <w:rFonts w:hint="eastAsia"/>
                <w:bCs/>
                <w:color w:val="auto"/>
                <w:kern w:val="28"/>
                <w:sz w:val="24"/>
              </w:rPr>
            </w:pPr>
            <w:r>
              <w:rPr>
                <w:rFonts w:hint="eastAsia"/>
                <w:bCs/>
                <w:color w:val="auto"/>
                <w:kern w:val="28"/>
                <w:sz w:val="24"/>
              </w:rPr>
              <w:t>⑥加强重污染天气防范应对。加强重污染天气预警，严格落实预警管控要求，及时实施应急响应措施，切实降低重污染天气不利影响。建立健全“点位长”制和“网格长”制。</w:t>
            </w:r>
          </w:p>
          <w:p>
            <w:pPr>
              <w:spacing w:line="360" w:lineRule="auto"/>
              <w:ind w:firstLine="480" w:firstLineChars="200"/>
              <w:textAlignment w:val="baseline"/>
              <w:rPr>
                <w:bCs/>
                <w:color w:val="auto"/>
                <w:kern w:val="28"/>
                <w:sz w:val="24"/>
              </w:rPr>
            </w:pPr>
            <w:r>
              <w:rPr>
                <w:rFonts w:hint="eastAsia"/>
                <w:bCs/>
                <w:color w:val="auto"/>
                <w:kern w:val="28"/>
                <w:sz w:val="24"/>
              </w:rPr>
              <w:t>根据《2019年常州市环境质量状况公报》：2019年，常州全市空气质量较2018年总体改善。因此，通过上述工作的不断推进实施，常州市与金坛区环境空气质量将得到持续改善。</w:t>
            </w:r>
          </w:p>
          <w:p>
            <w:pPr>
              <w:spacing w:line="360" w:lineRule="auto"/>
              <w:ind w:firstLine="480" w:firstLineChars="200"/>
              <w:textAlignment w:val="baseline"/>
              <w:rPr>
                <w:b/>
                <w:color w:val="auto"/>
                <w:kern w:val="28"/>
                <w:sz w:val="24"/>
              </w:rPr>
            </w:pPr>
            <w:r>
              <w:rPr>
                <w:b/>
                <w:color w:val="auto"/>
                <w:kern w:val="28"/>
                <w:sz w:val="24"/>
              </w:rPr>
              <w:t>2、地表水环境质量现状</w:t>
            </w:r>
          </w:p>
          <w:p>
            <w:pPr>
              <w:shd w:val="clear" w:color="auto" w:fill="FFFFFF"/>
              <w:spacing w:line="360" w:lineRule="auto"/>
              <w:ind w:firstLine="480" w:firstLineChars="200"/>
              <w:rPr>
                <w:color w:val="auto"/>
                <w:sz w:val="24"/>
                <w:szCs w:val="24"/>
              </w:rPr>
            </w:pPr>
            <w:r>
              <w:rPr>
                <w:rFonts w:hint="eastAsia"/>
                <w:color w:val="auto"/>
                <w:sz w:val="24"/>
                <w:szCs w:val="24"/>
              </w:rPr>
              <w:t>根据《常州市生态环境质量报告》（2019），2019年，常州市地表水监测断面，按年均水质评价，无Ⅰ类水质断面，Ⅱ类水质断面4个，占比为8.5%，Ⅲ类水质断面30个，占比为63.8%，Ⅳ类水质断面6个，占比为12.8%，Ⅴ类水质断面6个，占比为12.8%，劣Ⅴ类水质断面1个，占2.1%。主要污染指标为总磷、氨氮和化学需氧量，超Ⅲ类断面比比例分别为23.4%、4.3%和4.3%，年均浓度分别为0.131mg/L、0.48mg/L、15mg/L。</w:t>
            </w:r>
          </w:p>
          <w:p>
            <w:pPr>
              <w:autoSpaceDE w:val="0"/>
              <w:autoSpaceDN w:val="0"/>
              <w:adjustRightInd w:val="0"/>
              <w:spacing w:line="360" w:lineRule="auto"/>
              <w:ind w:firstLine="480" w:firstLineChars="200"/>
              <w:rPr>
                <w:color w:val="auto"/>
                <w:kern w:val="0"/>
                <w:sz w:val="24"/>
              </w:rPr>
            </w:pPr>
            <w:r>
              <w:rPr>
                <w:color w:val="auto"/>
                <w:kern w:val="0"/>
                <w:sz w:val="24"/>
              </w:rPr>
              <w:t>本项目纳污水体为尧塘河，水质基本满足《地表水环境质量标准》（GB3838-2002）中</w:t>
            </w:r>
            <w:r>
              <w:rPr>
                <w:rFonts w:hint="eastAsia" w:ascii="宋体" w:hAnsi="宋体" w:cs="宋体"/>
                <w:color w:val="auto"/>
                <w:kern w:val="0"/>
                <w:sz w:val="24"/>
              </w:rPr>
              <w:t>Ⅳ</w:t>
            </w:r>
            <w:r>
              <w:rPr>
                <w:color w:val="auto"/>
                <w:kern w:val="0"/>
                <w:sz w:val="24"/>
              </w:rPr>
              <w:t>类标准</w:t>
            </w:r>
            <w:r>
              <w:rPr>
                <w:rFonts w:hint="eastAsia"/>
                <w:color w:val="auto"/>
                <w:kern w:val="0"/>
                <w:sz w:val="24"/>
              </w:rPr>
              <w:t>，因此判定</w:t>
            </w:r>
            <w:r>
              <w:rPr>
                <w:color w:val="auto"/>
                <w:kern w:val="0"/>
                <w:sz w:val="24"/>
              </w:rPr>
              <w:t>为达标区。</w:t>
            </w:r>
          </w:p>
          <w:p>
            <w:pPr>
              <w:shd w:val="clear" w:color="auto" w:fill="FFFFFF"/>
              <w:spacing w:line="360" w:lineRule="auto"/>
              <w:ind w:firstLine="480" w:firstLineChars="200"/>
              <w:rPr>
                <w:color w:val="auto"/>
                <w:sz w:val="24"/>
                <w:szCs w:val="24"/>
              </w:rPr>
            </w:pPr>
            <w:r>
              <w:rPr>
                <w:rFonts w:hint="eastAsia"/>
                <w:color w:val="auto"/>
                <w:sz w:val="24"/>
                <w:szCs w:val="24"/>
              </w:rPr>
              <w:t>本项目纳污河流为尧塘河，尧塘河地表水环境质量现状引用《江苏省兴荣兆邦金属股份有限公司年产6万吨小直径薄壁高效散热铜管项目环境影响报告》中地表水W1、W2点位历史检测数据，在尧塘河二污厂排污口上游500米处和下游1000米处pH值、化学需氧量、悬浮物、氨氮、总磷、动植物油类的历史数据。检测时间为2018年8月28日~8月30日，检测报告编号“CQHH181200”</w:t>
            </w:r>
            <w:r>
              <w:rPr>
                <w:color w:val="auto"/>
                <w:sz w:val="24"/>
                <w:szCs w:val="24"/>
              </w:rPr>
              <w:t>。</w:t>
            </w:r>
          </w:p>
          <w:p>
            <w:pPr>
              <w:shd w:val="clear" w:color="auto" w:fill="FFFFFF"/>
              <w:spacing w:line="360" w:lineRule="auto"/>
              <w:ind w:firstLine="480" w:firstLineChars="200"/>
              <w:rPr>
                <w:color w:val="auto"/>
                <w:sz w:val="24"/>
                <w:szCs w:val="24"/>
              </w:rPr>
            </w:pPr>
            <w:r>
              <w:rPr>
                <w:color w:val="auto"/>
                <w:sz w:val="24"/>
                <w:szCs w:val="24"/>
              </w:rPr>
              <w:t>监测数据详见表3-</w:t>
            </w:r>
            <w:r>
              <w:rPr>
                <w:rFonts w:hint="eastAsia"/>
                <w:color w:val="auto"/>
                <w:sz w:val="24"/>
                <w:szCs w:val="24"/>
              </w:rPr>
              <w:t>4</w:t>
            </w:r>
            <w:r>
              <w:rPr>
                <w:color w:val="auto"/>
                <w:sz w:val="24"/>
                <w:szCs w:val="24"/>
              </w:rPr>
              <w:t>（监测报告见附件）。</w:t>
            </w:r>
          </w:p>
          <w:p>
            <w:pPr>
              <w:jc w:val="center"/>
              <w:rPr>
                <w:b/>
                <w:bCs/>
                <w:color w:val="auto"/>
                <w:szCs w:val="21"/>
              </w:rPr>
            </w:pPr>
            <w:r>
              <w:rPr>
                <w:b/>
                <w:bCs/>
                <w:color w:val="auto"/>
                <w:szCs w:val="21"/>
              </w:rPr>
              <w:t>表3-</w:t>
            </w:r>
            <w:r>
              <w:rPr>
                <w:rFonts w:hint="eastAsia"/>
                <w:b/>
                <w:bCs/>
                <w:color w:val="auto"/>
                <w:szCs w:val="21"/>
              </w:rPr>
              <w:t>4</w:t>
            </w:r>
            <w:r>
              <w:rPr>
                <w:b/>
                <w:bCs/>
                <w:color w:val="auto"/>
                <w:szCs w:val="21"/>
              </w:rPr>
              <w:t xml:space="preserve"> 水质监测结果 </w:t>
            </w:r>
            <w:r>
              <w:rPr>
                <w:rFonts w:hint="eastAsia"/>
                <w:b/>
                <w:bCs/>
                <w:color w:val="auto"/>
                <w:szCs w:val="21"/>
              </w:rPr>
              <w:t xml:space="preserve"> </w:t>
            </w:r>
            <w:r>
              <w:rPr>
                <w:b/>
                <w:bCs/>
                <w:color w:val="auto"/>
                <w:szCs w:val="21"/>
              </w:rPr>
              <w:t xml:space="preserve"> 单位：mg/L，pH无量纲</w:t>
            </w:r>
          </w:p>
          <w:tbl>
            <w:tblPr>
              <w:tblStyle w:val="57"/>
              <w:tblW w:w="0" w:type="auto"/>
              <w:tblInd w:w="5"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949"/>
              <w:gridCol w:w="1391"/>
              <w:gridCol w:w="915"/>
              <w:gridCol w:w="990"/>
              <w:gridCol w:w="946"/>
              <w:gridCol w:w="1038"/>
              <w:gridCol w:w="1039"/>
              <w:gridCol w:w="1039"/>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restart"/>
                  <w:tcBorders>
                    <w:tl2br w:val="nil"/>
                    <w:tr2bl w:val="nil"/>
                  </w:tcBorders>
                  <w:vAlign w:val="center"/>
                </w:tcPr>
                <w:p>
                  <w:pPr>
                    <w:jc w:val="center"/>
                    <w:rPr>
                      <w:b/>
                      <w:bCs/>
                      <w:color w:val="auto"/>
                      <w:szCs w:val="21"/>
                    </w:rPr>
                  </w:pPr>
                  <w:r>
                    <w:rPr>
                      <w:b/>
                      <w:bCs/>
                      <w:color w:val="auto"/>
                      <w:szCs w:val="21"/>
                    </w:rPr>
                    <w:t>采样地点</w:t>
                  </w:r>
                </w:p>
              </w:tc>
              <w:tc>
                <w:tcPr>
                  <w:tcW w:w="1391" w:type="dxa"/>
                  <w:vMerge w:val="restart"/>
                  <w:tcBorders>
                    <w:tl2br w:val="nil"/>
                    <w:tr2bl w:val="nil"/>
                  </w:tcBorders>
                  <w:vAlign w:val="center"/>
                </w:tcPr>
                <w:p>
                  <w:pPr>
                    <w:jc w:val="center"/>
                    <w:rPr>
                      <w:b/>
                      <w:bCs/>
                      <w:color w:val="auto"/>
                      <w:szCs w:val="21"/>
                    </w:rPr>
                  </w:pPr>
                  <w:r>
                    <w:rPr>
                      <w:b/>
                      <w:bCs/>
                      <w:color w:val="auto"/>
                      <w:szCs w:val="21"/>
                    </w:rPr>
                    <w:t>检测项目</w:t>
                  </w:r>
                </w:p>
              </w:tc>
              <w:tc>
                <w:tcPr>
                  <w:tcW w:w="5967" w:type="dxa"/>
                  <w:gridSpan w:val="6"/>
                  <w:tcBorders>
                    <w:tl2br w:val="nil"/>
                    <w:tr2bl w:val="nil"/>
                  </w:tcBorders>
                  <w:vAlign w:val="center"/>
                </w:tcPr>
                <w:p>
                  <w:pPr>
                    <w:jc w:val="center"/>
                    <w:rPr>
                      <w:b/>
                      <w:bCs/>
                      <w:color w:val="auto"/>
                      <w:szCs w:val="21"/>
                    </w:rPr>
                  </w:pPr>
                  <w:r>
                    <w:rPr>
                      <w:b/>
                      <w:bCs/>
                      <w:color w:val="auto"/>
                      <w:szCs w:val="21"/>
                    </w:rPr>
                    <w:t>检测结果（mg/L）</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b/>
                      <w:bCs/>
                      <w:color w:val="auto"/>
                      <w:szCs w:val="21"/>
                    </w:rPr>
                  </w:pPr>
                </w:p>
              </w:tc>
              <w:tc>
                <w:tcPr>
                  <w:tcW w:w="1391" w:type="dxa"/>
                  <w:vMerge w:val="continue"/>
                  <w:tcBorders>
                    <w:tl2br w:val="nil"/>
                    <w:tr2bl w:val="nil"/>
                  </w:tcBorders>
                  <w:vAlign w:val="center"/>
                </w:tcPr>
                <w:p>
                  <w:pPr>
                    <w:jc w:val="center"/>
                    <w:rPr>
                      <w:b/>
                      <w:bCs/>
                      <w:color w:val="auto"/>
                      <w:szCs w:val="21"/>
                    </w:rPr>
                  </w:pPr>
                </w:p>
              </w:tc>
              <w:tc>
                <w:tcPr>
                  <w:tcW w:w="1905" w:type="dxa"/>
                  <w:gridSpan w:val="2"/>
                  <w:tcBorders>
                    <w:tl2br w:val="nil"/>
                    <w:tr2bl w:val="nil"/>
                  </w:tcBorders>
                  <w:vAlign w:val="center"/>
                </w:tcPr>
                <w:p>
                  <w:pPr>
                    <w:jc w:val="center"/>
                    <w:rPr>
                      <w:b/>
                      <w:bCs/>
                      <w:color w:val="auto"/>
                      <w:szCs w:val="21"/>
                    </w:rPr>
                  </w:pPr>
                  <w:r>
                    <w:rPr>
                      <w:b/>
                      <w:bCs/>
                      <w:color w:val="auto"/>
                      <w:szCs w:val="21"/>
                    </w:rPr>
                    <w:t>2018年08月28日</w:t>
                  </w:r>
                </w:p>
              </w:tc>
              <w:tc>
                <w:tcPr>
                  <w:tcW w:w="1984" w:type="dxa"/>
                  <w:gridSpan w:val="2"/>
                  <w:tcBorders>
                    <w:tl2br w:val="nil"/>
                    <w:tr2bl w:val="nil"/>
                  </w:tcBorders>
                  <w:vAlign w:val="center"/>
                </w:tcPr>
                <w:p>
                  <w:pPr>
                    <w:jc w:val="center"/>
                    <w:rPr>
                      <w:b/>
                      <w:bCs/>
                      <w:color w:val="auto"/>
                      <w:szCs w:val="21"/>
                    </w:rPr>
                  </w:pPr>
                  <w:r>
                    <w:rPr>
                      <w:b/>
                      <w:bCs/>
                      <w:color w:val="auto"/>
                      <w:szCs w:val="21"/>
                    </w:rPr>
                    <w:t>2018年08月29日</w:t>
                  </w:r>
                </w:p>
              </w:tc>
              <w:tc>
                <w:tcPr>
                  <w:tcW w:w="2078" w:type="dxa"/>
                  <w:gridSpan w:val="2"/>
                  <w:tcBorders>
                    <w:tl2br w:val="nil"/>
                    <w:tr2bl w:val="nil"/>
                  </w:tcBorders>
                  <w:vAlign w:val="center"/>
                </w:tcPr>
                <w:p>
                  <w:pPr>
                    <w:jc w:val="center"/>
                    <w:rPr>
                      <w:b/>
                      <w:bCs/>
                      <w:color w:val="auto"/>
                      <w:szCs w:val="21"/>
                    </w:rPr>
                  </w:pPr>
                  <w:r>
                    <w:rPr>
                      <w:b/>
                      <w:bCs/>
                      <w:color w:val="auto"/>
                      <w:szCs w:val="21"/>
                    </w:rPr>
                    <w:t>2018年08月30日</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b/>
                      <w:bCs/>
                      <w:color w:val="auto"/>
                      <w:szCs w:val="21"/>
                    </w:rPr>
                  </w:pPr>
                </w:p>
              </w:tc>
              <w:tc>
                <w:tcPr>
                  <w:tcW w:w="1391" w:type="dxa"/>
                  <w:vMerge w:val="continue"/>
                  <w:tcBorders>
                    <w:tl2br w:val="nil"/>
                    <w:tr2bl w:val="nil"/>
                  </w:tcBorders>
                  <w:vAlign w:val="center"/>
                </w:tcPr>
                <w:p>
                  <w:pPr>
                    <w:jc w:val="center"/>
                    <w:rPr>
                      <w:b/>
                      <w:bCs/>
                      <w:color w:val="auto"/>
                      <w:szCs w:val="21"/>
                    </w:rPr>
                  </w:pPr>
                </w:p>
              </w:tc>
              <w:tc>
                <w:tcPr>
                  <w:tcW w:w="915" w:type="dxa"/>
                  <w:tcBorders>
                    <w:tl2br w:val="nil"/>
                    <w:tr2bl w:val="nil"/>
                  </w:tcBorders>
                  <w:vAlign w:val="center"/>
                </w:tcPr>
                <w:p>
                  <w:pPr>
                    <w:jc w:val="center"/>
                    <w:rPr>
                      <w:b/>
                      <w:bCs/>
                      <w:color w:val="auto"/>
                      <w:szCs w:val="21"/>
                    </w:rPr>
                  </w:pPr>
                  <w:r>
                    <w:rPr>
                      <w:b/>
                      <w:bCs/>
                      <w:color w:val="auto"/>
                      <w:szCs w:val="21"/>
                    </w:rPr>
                    <w:t>上午</w:t>
                  </w:r>
                </w:p>
              </w:tc>
              <w:tc>
                <w:tcPr>
                  <w:tcW w:w="990" w:type="dxa"/>
                  <w:tcBorders>
                    <w:tl2br w:val="nil"/>
                    <w:tr2bl w:val="nil"/>
                  </w:tcBorders>
                  <w:vAlign w:val="center"/>
                </w:tcPr>
                <w:p>
                  <w:pPr>
                    <w:jc w:val="center"/>
                    <w:rPr>
                      <w:b/>
                      <w:bCs/>
                      <w:color w:val="auto"/>
                      <w:szCs w:val="21"/>
                    </w:rPr>
                  </w:pPr>
                  <w:r>
                    <w:rPr>
                      <w:b/>
                      <w:bCs/>
                      <w:color w:val="auto"/>
                      <w:szCs w:val="21"/>
                    </w:rPr>
                    <w:t>下午</w:t>
                  </w:r>
                </w:p>
              </w:tc>
              <w:tc>
                <w:tcPr>
                  <w:tcW w:w="946" w:type="dxa"/>
                  <w:tcBorders>
                    <w:tl2br w:val="nil"/>
                    <w:tr2bl w:val="nil"/>
                  </w:tcBorders>
                  <w:vAlign w:val="center"/>
                </w:tcPr>
                <w:p>
                  <w:pPr>
                    <w:jc w:val="center"/>
                    <w:rPr>
                      <w:b/>
                      <w:bCs/>
                      <w:color w:val="auto"/>
                      <w:szCs w:val="21"/>
                    </w:rPr>
                  </w:pPr>
                  <w:r>
                    <w:rPr>
                      <w:b/>
                      <w:bCs/>
                      <w:color w:val="auto"/>
                      <w:szCs w:val="21"/>
                    </w:rPr>
                    <w:t>上午</w:t>
                  </w:r>
                </w:p>
              </w:tc>
              <w:tc>
                <w:tcPr>
                  <w:tcW w:w="1038" w:type="dxa"/>
                  <w:tcBorders>
                    <w:tl2br w:val="nil"/>
                    <w:tr2bl w:val="nil"/>
                  </w:tcBorders>
                  <w:vAlign w:val="center"/>
                </w:tcPr>
                <w:p>
                  <w:pPr>
                    <w:jc w:val="center"/>
                    <w:rPr>
                      <w:b/>
                      <w:bCs/>
                      <w:color w:val="auto"/>
                      <w:szCs w:val="21"/>
                    </w:rPr>
                  </w:pPr>
                  <w:r>
                    <w:rPr>
                      <w:b/>
                      <w:bCs/>
                      <w:color w:val="auto"/>
                      <w:szCs w:val="21"/>
                    </w:rPr>
                    <w:t>下午</w:t>
                  </w:r>
                </w:p>
              </w:tc>
              <w:tc>
                <w:tcPr>
                  <w:tcW w:w="1039" w:type="dxa"/>
                  <w:tcBorders>
                    <w:tl2br w:val="nil"/>
                    <w:tr2bl w:val="nil"/>
                  </w:tcBorders>
                  <w:vAlign w:val="center"/>
                </w:tcPr>
                <w:p>
                  <w:pPr>
                    <w:jc w:val="center"/>
                    <w:rPr>
                      <w:b/>
                      <w:bCs/>
                      <w:color w:val="auto"/>
                      <w:szCs w:val="21"/>
                    </w:rPr>
                  </w:pPr>
                  <w:r>
                    <w:rPr>
                      <w:b/>
                      <w:bCs/>
                      <w:color w:val="auto"/>
                      <w:szCs w:val="21"/>
                    </w:rPr>
                    <w:t>上午</w:t>
                  </w:r>
                </w:p>
              </w:tc>
              <w:tc>
                <w:tcPr>
                  <w:tcW w:w="1039" w:type="dxa"/>
                  <w:tcBorders>
                    <w:tl2br w:val="nil"/>
                    <w:tr2bl w:val="nil"/>
                  </w:tcBorders>
                  <w:vAlign w:val="center"/>
                </w:tcPr>
                <w:p>
                  <w:pPr>
                    <w:jc w:val="center"/>
                    <w:rPr>
                      <w:b/>
                      <w:bCs/>
                      <w:color w:val="auto"/>
                      <w:szCs w:val="21"/>
                    </w:rPr>
                  </w:pPr>
                  <w:r>
                    <w:rPr>
                      <w:b/>
                      <w:bCs/>
                      <w:color w:val="auto"/>
                      <w:szCs w:val="21"/>
                    </w:rPr>
                    <w:t>下午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restart"/>
                  <w:tcBorders>
                    <w:tl2br w:val="nil"/>
                    <w:tr2bl w:val="nil"/>
                  </w:tcBorders>
                  <w:vAlign w:val="center"/>
                </w:tcPr>
                <w:p>
                  <w:pPr>
                    <w:jc w:val="center"/>
                    <w:rPr>
                      <w:color w:val="auto"/>
                      <w:szCs w:val="21"/>
                    </w:rPr>
                  </w:pPr>
                  <w:r>
                    <w:rPr>
                      <w:color w:val="auto"/>
                      <w:szCs w:val="21"/>
                    </w:rPr>
                    <w:t>尧塘河W1金坛</w:t>
                  </w:r>
                  <w:r>
                    <w:rPr>
                      <w:rFonts w:hint="eastAsia"/>
                      <w:color w:val="auto"/>
                      <w:szCs w:val="21"/>
                    </w:rPr>
                    <w:t>区</w:t>
                  </w:r>
                  <w:r>
                    <w:rPr>
                      <w:color w:val="auto"/>
                      <w:szCs w:val="21"/>
                    </w:rPr>
                    <w:t>第二污水处理厂排口上游500m</w:t>
                  </w:r>
                </w:p>
              </w:tc>
              <w:tc>
                <w:tcPr>
                  <w:tcW w:w="1391" w:type="dxa"/>
                  <w:tcBorders>
                    <w:tl2br w:val="nil"/>
                    <w:tr2bl w:val="nil"/>
                  </w:tcBorders>
                  <w:vAlign w:val="center"/>
                </w:tcPr>
                <w:p>
                  <w:pPr>
                    <w:jc w:val="center"/>
                    <w:rPr>
                      <w:color w:val="auto"/>
                      <w:szCs w:val="21"/>
                    </w:rPr>
                  </w:pPr>
                  <w:r>
                    <w:rPr>
                      <w:color w:val="auto"/>
                      <w:szCs w:val="21"/>
                    </w:rPr>
                    <w:t>样品状态</w:t>
                  </w:r>
                </w:p>
              </w:tc>
              <w:tc>
                <w:tcPr>
                  <w:tcW w:w="915" w:type="dxa"/>
                  <w:tcBorders>
                    <w:tl2br w:val="nil"/>
                    <w:tr2bl w:val="nil"/>
                  </w:tcBorders>
                  <w:vAlign w:val="center"/>
                </w:tcPr>
                <w:p>
                  <w:pPr>
                    <w:jc w:val="center"/>
                    <w:rPr>
                      <w:color w:val="auto"/>
                      <w:szCs w:val="21"/>
                    </w:rPr>
                  </w:pPr>
                  <w:r>
                    <w:rPr>
                      <w:rFonts w:hint="eastAsia"/>
                      <w:color w:val="auto"/>
                      <w:szCs w:val="21"/>
                    </w:rPr>
                    <w:t>无色无嗅</w:t>
                  </w:r>
                </w:p>
              </w:tc>
              <w:tc>
                <w:tcPr>
                  <w:tcW w:w="990" w:type="dxa"/>
                  <w:tcBorders>
                    <w:tl2br w:val="nil"/>
                    <w:tr2bl w:val="nil"/>
                  </w:tcBorders>
                  <w:vAlign w:val="center"/>
                </w:tcPr>
                <w:p>
                  <w:pPr>
                    <w:jc w:val="center"/>
                    <w:rPr>
                      <w:color w:val="auto"/>
                      <w:szCs w:val="21"/>
                    </w:rPr>
                  </w:pPr>
                  <w:r>
                    <w:rPr>
                      <w:rFonts w:hint="eastAsia"/>
                      <w:color w:val="auto"/>
                      <w:szCs w:val="21"/>
                    </w:rPr>
                    <w:t>无色无嗅</w:t>
                  </w:r>
                </w:p>
              </w:tc>
              <w:tc>
                <w:tcPr>
                  <w:tcW w:w="946" w:type="dxa"/>
                  <w:tcBorders>
                    <w:tl2br w:val="nil"/>
                    <w:tr2bl w:val="nil"/>
                  </w:tcBorders>
                  <w:vAlign w:val="center"/>
                </w:tcPr>
                <w:p>
                  <w:pPr>
                    <w:jc w:val="center"/>
                    <w:rPr>
                      <w:color w:val="auto"/>
                      <w:szCs w:val="21"/>
                    </w:rPr>
                  </w:pPr>
                  <w:r>
                    <w:rPr>
                      <w:rFonts w:hint="eastAsia"/>
                      <w:color w:val="auto"/>
                      <w:szCs w:val="21"/>
                    </w:rPr>
                    <w:t>无色无嗅</w:t>
                  </w:r>
                </w:p>
              </w:tc>
              <w:tc>
                <w:tcPr>
                  <w:tcW w:w="1038" w:type="dxa"/>
                  <w:tcBorders>
                    <w:tl2br w:val="nil"/>
                    <w:tr2bl w:val="nil"/>
                  </w:tcBorders>
                  <w:vAlign w:val="center"/>
                </w:tcPr>
                <w:p>
                  <w:pPr>
                    <w:jc w:val="center"/>
                    <w:rPr>
                      <w:color w:val="auto"/>
                      <w:szCs w:val="21"/>
                    </w:rPr>
                  </w:pPr>
                  <w:r>
                    <w:rPr>
                      <w:rFonts w:hint="eastAsia"/>
                      <w:color w:val="auto"/>
                      <w:szCs w:val="21"/>
                    </w:rPr>
                    <w:t>无色无嗅</w:t>
                  </w:r>
                </w:p>
              </w:tc>
              <w:tc>
                <w:tcPr>
                  <w:tcW w:w="1039" w:type="dxa"/>
                  <w:tcBorders>
                    <w:tl2br w:val="nil"/>
                    <w:tr2bl w:val="nil"/>
                  </w:tcBorders>
                  <w:vAlign w:val="center"/>
                </w:tcPr>
                <w:p>
                  <w:pPr>
                    <w:jc w:val="center"/>
                    <w:rPr>
                      <w:color w:val="auto"/>
                      <w:szCs w:val="21"/>
                    </w:rPr>
                  </w:pPr>
                  <w:r>
                    <w:rPr>
                      <w:rFonts w:hint="eastAsia"/>
                      <w:color w:val="auto"/>
                      <w:szCs w:val="21"/>
                    </w:rPr>
                    <w:t>无色无嗅</w:t>
                  </w:r>
                </w:p>
              </w:tc>
              <w:tc>
                <w:tcPr>
                  <w:tcW w:w="1039" w:type="dxa"/>
                  <w:tcBorders>
                    <w:tl2br w:val="nil"/>
                    <w:tr2bl w:val="nil"/>
                  </w:tcBorders>
                  <w:vAlign w:val="center"/>
                </w:tcPr>
                <w:p>
                  <w:pPr>
                    <w:jc w:val="center"/>
                    <w:rPr>
                      <w:color w:val="auto"/>
                      <w:szCs w:val="21"/>
                    </w:rPr>
                  </w:pPr>
                  <w:r>
                    <w:rPr>
                      <w:rFonts w:hint="eastAsia"/>
                      <w:color w:val="auto"/>
                      <w:szCs w:val="21"/>
                    </w:rPr>
                    <w:t>无色无嗅</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水温（℃）</w:t>
                  </w:r>
                </w:p>
              </w:tc>
              <w:tc>
                <w:tcPr>
                  <w:tcW w:w="915" w:type="dxa"/>
                  <w:tcBorders>
                    <w:tl2br w:val="nil"/>
                    <w:tr2bl w:val="nil"/>
                  </w:tcBorders>
                  <w:vAlign w:val="center"/>
                </w:tcPr>
                <w:p>
                  <w:pPr>
                    <w:jc w:val="center"/>
                    <w:rPr>
                      <w:color w:val="auto"/>
                      <w:szCs w:val="21"/>
                    </w:rPr>
                  </w:pPr>
                  <w:r>
                    <w:rPr>
                      <w:rFonts w:hint="eastAsia"/>
                      <w:color w:val="auto"/>
                      <w:szCs w:val="21"/>
                    </w:rPr>
                    <w:t>24.1</w:t>
                  </w:r>
                </w:p>
              </w:tc>
              <w:tc>
                <w:tcPr>
                  <w:tcW w:w="990" w:type="dxa"/>
                  <w:tcBorders>
                    <w:tl2br w:val="nil"/>
                    <w:tr2bl w:val="nil"/>
                  </w:tcBorders>
                  <w:vAlign w:val="center"/>
                </w:tcPr>
                <w:p>
                  <w:pPr>
                    <w:jc w:val="center"/>
                    <w:rPr>
                      <w:color w:val="auto"/>
                      <w:szCs w:val="21"/>
                    </w:rPr>
                  </w:pPr>
                  <w:r>
                    <w:rPr>
                      <w:rFonts w:hint="eastAsia"/>
                      <w:color w:val="auto"/>
                      <w:szCs w:val="21"/>
                    </w:rPr>
                    <w:t>24.4</w:t>
                  </w:r>
                </w:p>
              </w:tc>
              <w:tc>
                <w:tcPr>
                  <w:tcW w:w="946" w:type="dxa"/>
                  <w:tcBorders>
                    <w:tl2br w:val="nil"/>
                    <w:tr2bl w:val="nil"/>
                  </w:tcBorders>
                  <w:vAlign w:val="center"/>
                </w:tcPr>
                <w:p>
                  <w:pPr>
                    <w:jc w:val="center"/>
                    <w:rPr>
                      <w:color w:val="auto"/>
                      <w:szCs w:val="21"/>
                    </w:rPr>
                  </w:pPr>
                  <w:r>
                    <w:rPr>
                      <w:rFonts w:hint="eastAsia"/>
                      <w:color w:val="auto"/>
                      <w:szCs w:val="21"/>
                    </w:rPr>
                    <w:t>24.0</w:t>
                  </w:r>
                </w:p>
              </w:tc>
              <w:tc>
                <w:tcPr>
                  <w:tcW w:w="1038" w:type="dxa"/>
                  <w:tcBorders>
                    <w:tl2br w:val="nil"/>
                    <w:tr2bl w:val="nil"/>
                  </w:tcBorders>
                  <w:vAlign w:val="center"/>
                </w:tcPr>
                <w:p>
                  <w:pPr>
                    <w:jc w:val="center"/>
                    <w:rPr>
                      <w:color w:val="auto"/>
                      <w:szCs w:val="21"/>
                    </w:rPr>
                  </w:pPr>
                  <w:r>
                    <w:rPr>
                      <w:rFonts w:hint="eastAsia"/>
                      <w:color w:val="auto"/>
                      <w:szCs w:val="21"/>
                    </w:rPr>
                    <w:t>24.2</w:t>
                  </w:r>
                </w:p>
              </w:tc>
              <w:tc>
                <w:tcPr>
                  <w:tcW w:w="1039" w:type="dxa"/>
                  <w:tcBorders>
                    <w:tl2br w:val="nil"/>
                    <w:tr2bl w:val="nil"/>
                  </w:tcBorders>
                  <w:vAlign w:val="center"/>
                </w:tcPr>
                <w:p>
                  <w:pPr>
                    <w:jc w:val="center"/>
                    <w:rPr>
                      <w:color w:val="auto"/>
                      <w:szCs w:val="21"/>
                    </w:rPr>
                  </w:pPr>
                  <w:r>
                    <w:rPr>
                      <w:rFonts w:hint="eastAsia"/>
                      <w:color w:val="auto"/>
                      <w:szCs w:val="21"/>
                    </w:rPr>
                    <w:t>24.2</w:t>
                  </w:r>
                </w:p>
              </w:tc>
              <w:tc>
                <w:tcPr>
                  <w:tcW w:w="1039" w:type="dxa"/>
                  <w:tcBorders>
                    <w:tl2br w:val="nil"/>
                    <w:tr2bl w:val="nil"/>
                  </w:tcBorders>
                  <w:vAlign w:val="center"/>
                </w:tcPr>
                <w:p>
                  <w:pPr>
                    <w:jc w:val="center"/>
                    <w:rPr>
                      <w:color w:val="auto"/>
                      <w:szCs w:val="21"/>
                    </w:rPr>
                  </w:pPr>
                  <w:r>
                    <w:rPr>
                      <w:rFonts w:hint="eastAsia"/>
                      <w:color w:val="auto"/>
                      <w:szCs w:val="21"/>
                    </w:rPr>
                    <w:t>24.4</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pH值（无量纲）</w:t>
                  </w:r>
                </w:p>
              </w:tc>
              <w:tc>
                <w:tcPr>
                  <w:tcW w:w="915" w:type="dxa"/>
                  <w:tcBorders>
                    <w:tl2br w:val="nil"/>
                    <w:tr2bl w:val="nil"/>
                  </w:tcBorders>
                  <w:vAlign w:val="center"/>
                </w:tcPr>
                <w:p>
                  <w:pPr>
                    <w:jc w:val="center"/>
                    <w:rPr>
                      <w:color w:val="auto"/>
                      <w:szCs w:val="21"/>
                    </w:rPr>
                  </w:pPr>
                  <w:r>
                    <w:rPr>
                      <w:rFonts w:hint="eastAsia"/>
                      <w:color w:val="auto"/>
                      <w:szCs w:val="21"/>
                    </w:rPr>
                    <w:t>8.38</w:t>
                  </w:r>
                </w:p>
              </w:tc>
              <w:tc>
                <w:tcPr>
                  <w:tcW w:w="990" w:type="dxa"/>
                  <w:tcBorders>
                    <w:tl2br w:val="nil"/>
                    <w:tr2bl w:val="nil"/>
                  </w:tcBorders>
                  <w:vAlign w:val="center"/>
                </w:tcPr>
                <w:p>
                  <w:pPr>
                    <w:jc w:val="center"/>
                    <w:rPr>
                      <w:color w:val="auto"/>
                      <w:szCs w:val="21"/>
                    </w:rPr>
                  </w:pPr>
                  <w:r>
                    <w:rPr>
                      <w:rFonts w:hint="eastAsia"/>
                      <w:color w:val="auto"/>
                      <w:szCs w:val="21"/>
                    </w:rPr>
                    <w:t>8.47</w:t>
                  </w:r>
                </w:p>
              </w:tc>
              <w:tc>
                <w:tcPr>
                  <w:tcW w:w="946" w:type="dxa"/>
                  <w:tcBorders>
                    <w:tl2br w:val="nil"/>
                    <w:tr2bl w:val="nil"/>
                  </w:tcBorders>
                  <w:vAlign w:val="center"/>
                </w:tcPr>
                <w:p>
                  <w:pPr>
                    <w:jc w:val="center"/>
                    <w:rPr>
                      <w:color w:val="auto"/>
                      <w:szCs w:val="21"/>
                    </w:rPr>
                  </w:pPr>
                  <w:r>
                    <w:rPr>
                      <w:rFonts w:hint="eastAsia"/>
                      <w:color w:val="auto"/>
                      <w:szCs w:val="21"/>
                    </w:rPr>
                    <w:t>8.45</w:t>
                  </w:r>
                </w:p>
              </w:tc>
              <w:tc>
                <w:tcPr>
                  <w:tcW w:w="1038" w:type="dxa"/>
                  <w:tcBorders>
                    <w:tl2br w:val="nil"/>
                    <w:tr2bl w:val="nil"/>
                  </w:tcBorders>
                  <w:vAlign w:val="center"/>
                </w:tcPr>
                <w:p>
                  <w:pPr>
                    <w:jc w:val="center"/>
                    <w:rPr>
                      <w:color w:val="auto"/>
                      <w:szCs w:val="21"/>
                    </w:rPr>
                  </w:pPr>
                  <w:r>
                    <w:rPr>
                      <w:rFonts w:hint="eastAsia"/>
                      <w:color w:val="auto"/>
                      <w:szCs w:val="21"/>
                    </w:rPr>
                    <w:t>8.50</w:t>
                  </w:r>
                </w:p>
              </w:tc>
              <w:tc>
                <w:tcPr>
                  <w:tcW w:w="1039" w:type="dxa"/>
                  <w:tcBorders>
                    <w:tl2br w:val="nil"/>
                    <w:tr2bl w:val="nil"/>
                  </w:tcBorders>
                  <w:vAlign w:val="center"/>
                </w:tcPr>
                <w:p>
                  <w:pPr>
                    <w:jc w:val="center"/>
                    <w:rPr>
                      <w:color w:val="auto"/>
                      <w:szCs w:val="21"/>
                    </w:rPr>
                  </w:pPr>
                  <w:r>
                    <w:rPr>
                      <w:rFonts w:hint="eastAsia"/>
                      <w:color w:val="auto"/>
                      <w:szCs w:val="21"/>
                    </w:rPr>
                    <w:t>8.41</w:t>
                  </w:r>
                </w:p>
              </w:tc>
              <w:tc>
                <w:tcPr>
                  <w:tcW w:w="1039" w:type="dxa"/>
                  <w:tcBorders>
                    <w:tl2br w:val="nil"/>
                    <w:tr2bl w:val="nil"/>
                  </w:tcBorders>
                  <w:vAlign w:val="center"/>
                </w:tcPr>
                <w:p>
                  <w:pPr>
                    <w:jc w:val="center"/>
                    <w:rPr>
                      <w:color w:val="auto"/>
                      <w:szCs w:val="21"/>
                    </w:rPr>
                  </w:pPr>
                  <w:r>
                    <w:rPr>
                      <w:rFonts w:hint="eastAsia"/>
                      <w:color w:val="auto"/>
                      <w:szCs w:val="21"/>
                    </w:rPr>
                    <w:t>8.38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化学需氧量</w:t>
                  </w:r>
                </w:p>
              </w:tc>
              <w:tc>
                <w:tcPr>
                  <w:tcW w:w="915" w:type="dxa"/>
                  <w:tcBorders>
                    <w:tl2br w:val="nil"/>
                    <w:tr2bl w:val="nil"/>
                  </w:tcBorders>
                  <w:vAlign w:val="center"/>
                </w:tcPr>
                <w:p>
                  <w:pPr>
                    <w:jc w:val="center"/>
                    <w:rPr>
                      <w:color w:val="auto"/>
                      <w:szCs w:val="21"/>
                    </w:rPr>
                  </w:pPr>
                  <w:r>
                    <w:rPr>
                      <w:rFonts w:hint="eastAsia"/>
                      <w:color w:val="auto"/>
                      <w:szCs w:val="21"/>
                    </w:rPr>
                    <w:t>14</w:t>
                  </w:r>
                </w:p>
              </w:tc>
              <w:tc>
                <w:tcPr>
                  <w:tcW w:w="990" w:type="dxa"/>
                  <w:tcBorders>
                    <w:tl2br w:val="nil"/>
                    <w:tr2bl w:val="nil"/>
                  </w:tcBorders>
                  <w:vAlign w:val="center"/>
                </w:tcPr>
                <w:p>
                  <w:pPr>
                    <w:jc w:val="center"/>
                    <w:rPr>
                      <w:color w:val="auto"/>
                      <w:szCs w:val="21"/>
                    </w:rPr>
                  </w:pPr>
                  <w:r>
                    <w:rPr>
                      <w:rFonts w:hint="eastAsia"/>
                      <w:color w:val="auto"/>
                      <w:szCs w:val="21"/>
                    </w:rPr>
                    <w:t>17</w:t>
                  </w:r>
                </w:p>
              </w:tc>
              <w:tc>
                <w:tcPr>
                  <w:tcW w:w="946" w:type="dxa"/>
                  <w:tcBorders>
                    <w:tl2br w:val="nil"/>
                    <w:tr2bl w:val="nil"/>
                  </w:tcBorders>
                  <w:vAlign w:val="center"/>
                </w:tcPr>
                <w:p>
                  <w:pPr>
                    <w:jc w:val="center"/>
                    <w:rPr>
                      <w:color w:val="auto"/>
                      <w:szCs w:val="21"/>
                    </w:rPr>
                  </w:pPr>
                  <w:r>
                    <w:rPr>
                      <w:rFonts w:hint="eastAsia"/>
                      <w:color w:val="auto"/>
                      <w:szCs w:val="21"/>
                    </w:rPr>
                    <w:t>16</w:t>
                  </w:r>
                </w:p>
              </w:tc>
              <w:tc>
                <w:tcPr>
                  <w:tcW w:w="1038" w:type="dxa"/>
                  <w:tcBorders>
                    <w:tl2br w:val="nil"/>
                    <w:tr2bl w:val="nil"/>
                  </w:tcBorders>
                  <w:vAlign w:val="center"/>
                </w:tcPr>
                <w:p>
                  <w:pPr>
                    <w:jc w:val="center"/>
                    <w:rPr>
                      <w:color w:val="auto"/>
                      <w:szCs w:val="21"/>
                    </w:rPr>
                  </w:pPr>
                  <w:r>
                    <w:rPr>
                      <w:rFonts w:hint="eastAsia"/>
                      <w:color w:val="auto"/>
                      <w:szCs w:val="21"/>
                    </w:rPr>
                    <w:t>15</w:t>
                  </w:r>
                </w:p>
              </w:tc>
              <w:tc>
                <w:tcPr>
                  <w:tcW w:w="1039" w:type="dxa"/>
                  <w:tcBorders>
                    <w:tl2br w:val="nil"/>
                    <w:tr2bl w:val="nil"/>
                  </w:tcBorders>
                  <w:vAlign w:val="center"/>
                </w:tcPr>
                <w:p>
                  <w:pPr>
                    <w:jc w:val="center"/>
                    <w:rPr>
                      <w:color w:val="auto"/>
                      <w:szCs w:val="21"/>
                    </w:rPr>
                  </w:pPr>
                  <w:r>
                    <w:rPr>
                      <w:rFonts w:hint="eastAsia"/>
                      <w:color w:val="auto"/>
                      <w:szCs w:val="21"/>
                    </w:rPr>
                    <w:t>18</w:t>
                  </w:r>
                </w:p>
              </w:tc>
              <w:tc>
                <w:tcPr>
                  <w:tcW w:w="1039" w:type="dxa"/>
                  <w:tcBorders>
                    <w:tl2br w:val="nil"/>
                    <w:tr2bl w:val="nil"/>
                  </w:tcBorders>
                  <w:vAlign w:val="center"/>
                </w:tcPr>
                <w:p>
                  <w:pPr>
                    <w:jc w:val="center"/>
                    <w:rPr>
                      <w:color w:val="auto"/>
                      <w:szCs w:val="21"/>
                    </w:rPr>
                  </w:pPr>
                  <w:r>
                    <w:rPr>
                      <w:rFonts w:hint="eastAsia"/>
                      <w:color w:val="auto"/>
                      <w:szCs w:val="21"/>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悬浮物</w:t>
                  </w:r>
                </w:p>
              </w:tc>
              <w:tc>
                <w:tcPr>
                  <w:tcW w:w="915" w:type="dxa"/>
                  <w:tcBorders>
                    <w:tl2br w:val="nil"/>
                    <w:tr2bl w:val="nil"/>
                  </w:tcBorders>
                  <w:vAlign w:val="center"/>
                </w:tcPr>
                <w:p>
                  <w:pPr>
                    <w:jc w:val="center"/>
                    <w:rPr>
                      <w:color w:val="auto"/>
                      <w:szCs w:val="21"/>
                    </w:rPr>
                  </w:pPr>
                  <w:r>
                    <w:rPr>
                      <w:rFonts w:hint="eastAsia"/>
                      <w:color w:val="auto"/>
                      <w:szCs w:val="21"/>
                    </w:rPr>
                    <w:t>7</w:t>
                  </w:r>
                </w:p>
              </w:tc>
              <w:tc>
                <w:tcPr>
                  <w:tcW w:w="990" w:type="dxa"/>
                  <w:tcBorders>
                    <w:tl2br w:val="nil"/>
                    <w:tr2bl w:val="nil"/>
                  </w:tcBorders>
                  <w:vAlign w:val="center"/>
                </w:tcPr>
                <w:p>
                  <w:pPr>
                    <w:jc w:val="center"/>
                    <w:rPr>
                      <w:color w:val="auto"/>
                      <w:szCs w:val="21"/>
                    </w:rPr>
                  </w:pPr>
                  <w:r>
                    <w:rPr>
                      <w:rFonts w:hint="eastAsia"/>
                      <w:color w:val="auto"/>
                      <w:szCs w:val="21"/>
                    </w:rPr>
                    <w:t>9</w:t>
                  </w:r>
                </w:p>
              </w:tc>
              <w:tc>
                <w:tcPr>
                  <w:tcW w:w="946" w:type="dxa"/>
                  <w:tcBorders>
                    <w:tl2br w:val="nil"/>
                    <w:tr2bl w:val="nil"/>
                  </w:tcBorders>
                  <w:vAlign w:val="center"/>
                </w:tcPr>
                <w:p>
                  <w:pPr>
                    <w:jc w:val="center"/>
                    <w:rPr>
                      <w:color w:val="auto"/>
                      <w:szCs w:val="21"/>
                    </w:rPr>
                  </w:pPr>
                  <w:r>
                    <w:rPr>
                      <w:rFonts w:hint="eastAsia"/>
                      <w:color w:val="auto"/>
                      <w:szCs w:val="21"/>
                    </w:rPr>
                    <w:t>9</w:t>
                  </w:r>
                </w:p>
              </w:tc>
              <w:tc>
                <w:tcPr>
                  <w:tcW w:w="1038" w:type="dxa"/>
                  <w:tcBorders>
                    <w:tl2br w:val="nil"/>
                    <w:tr2bl w:val="nil"/>
                  </w:tcBorders>
                  <w:vAlign w:val="center"/>
                </w:tcPr>
                <w:p>
                  <w:pPr>
                    <w:jc w:val="center"/>
                    <w:rPr>
                      <w:color w:val="auto"/>
                      <w:szCs w:val="21"/>
                    </w:rPr>
                  </w:pPr>
                  <w:r>
                    <w:rPr>
                      <w:rFonts w:hint="eastAsia"/>
                      <w:color w:val="auto"/>
                      <w:szCs w:val="21"/>
                    </w:rPr>
                    <w:t>8</w:t>
                  </w:r>
                </w:p>
              </w:tc>
              <w:tc>
                <w:tcPr>
                  <w:tcW w:w="1039" w:type="dxa"/>
                  <w:tcBorders>
                    <w:tl2br w:val="nil"/>
                    <w:tr2bl w:val="nil"/>
                  </w:tcBorders>
                  <w:vAlign w:val="center"/>
                </w:tcPr>
                <w:p>
                  <w:pPr>
                    <w:jc w:val="center"/>
                    <w:rPr>
                      <w:color w:val="auto"/>
                      <w:szCs w:val="21"/>
                    </w:rPr>
                  </w:pPr>
                  <w:r>
                    <w:rPr>
                      <w:rFonts w:hint="eastAsia"/>
                      <w:color w:val="auto"/>
                      <w:szCs w:val="21"/>
                    </w:rPr>
                    <w:t>11</w:t>
                  </w:r>
                </w:p>
              </w:tc>
              <w:tc>
                <w:tcPr>
                  <w:tcW w:w="1039" w:type="dxa"/>
                  <w:tcBorders>
                    <w:tl2br w:val="nil"/>
                    <w:tr2bl w:val="nil"/>
                  </w:tcBorders>
                  <w:vAlign w:val="center"/>
                </w:tcPr>
                <w:p>
                  <w:pPr>
                    <w:jc w:val="center"/>
                    <w:rPr>
                      <w:color w:val="auto"/>
                      <w:szCs w:val="21"/>
                    </w:rPr>
                  </w:pPr>
                  <w:r>
                    <w:rPr>
                      <w:rFonts w:hint="eastAsia"/>
                      <w:color w:val="auto"/>
                      <w:szCs w:val="21"/>
                    </w:rPr>
                    <w:t>10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氨氮</w:t>
                  </w:r>
                </w:p>
              </w:tc>
              <w:tc>
                <w:tcPr>
                  <w:tcW w:w="915" w:type="dxa"/>
                  <w:tcBorders>
                    <w:tl2br w:val="nil"/>
                    <w:tr2bl w:val="nil"/>
                  </w:tcBorders>
                  <w:vAlign w:val="center"/>
                </w:tcPr>
                <w:p>
                  <w:pPr>
                    <w:jc w:val="center"/>
                    <w:rPr>
                      <w:color w:val="auto"/>
                      <w:szCs w:val="21"/>
                    </w:rPr>
                  </w:pPr>
                  <w:r>
                    <w:rPr>
                      <w:rFonts w:hint="eastAsia"/>
                      <w:color w:val="auto"/>
                      <w:szCs w:val="21"/>
                    </w:rPr>
                    <w:t>0.602</w:t>
                  </w:r>
                </w:p>
              </w:tc>
              <w:tc>
                <w:tcPr>
                  <w:tcW w:w="990" w:type="dxa"/>
                  <w:tcBorders>
                    <w:tl2br w:val="nil"/>
                    <w:tr2bl w:val="nil"/>
                  </w:tcBorders>
                  <w:vAlign w:val="center"/>
                </w:tcPr>
                <w:p>
                  <w:pPr>
                    <w:jc w:val="center"/>
                    <w:rPr>
                      <w:color w:val="auto"/>
                      <w:szCs w:val="21"/>
                    </w:rPr>
                  </w:pPr>
                  <w:r>
                    <w:rPr>
                      <w:rFonts w:hint="eastAsia"/>
                      <w:color w:val="auto"/>
                      <w:szCs w:val="21"/>
                    </w:rPr>
                    <w:t>0.597</w:t>
                  </w:r>
                </w:p>
              </w:tc>
              <w:tc>
                <w:tcPr>
                  <w:tcW w:w="946" w:type="dxa"/>
                  <w:tcBorders>
                    <w:tl2br w:val="nil"/>
                    <w:tr2bl w:val="nil"/>
                  </w:tcBorders>
                  <w:vAlign w:val="center"/>
                </w:tcPr>
                <w:p>
                  <w:pPr>
                    <w:jc w:val="center"/>
                    <w:rPr>
                      <w:color w:val="auto"/>
                      <w:szCs w:val="21"/>
                    </w:rPr>
                  </w:pPr>
                  <w:r>
                    <w:rPr>
                      <w:rFonts w:hint="eastAsia"/>
                      <w:color w:val="auto"/>
                      <w:szCs w:val="21"/>
                    </w:rPr>
                    <w:t>0.592</w:t>
                  </w:r>
                </w:p>
              </w:tc>
              <w:tc>
                <w:tcPr>
                  <w:tcW w:w="1038" w:type="dxa"/>
                  <w:tcBorders>
                    <w:tl2br w:val="nil"/>
                    <w:tr2bl w:val="nil"/>
                  </w:tcBorders>
                  <w:vAlign w:val="center"/>
                </w:tcPr>
                <w:p>
                  <w:pPr>
                    <w:jc w:val="center"/>
                    <w:rPr>
                      <w:color w:val="auto"/>
                      <w:szCs w:val="21"/>
                    </w:rPr>
                  </w:pPr>
                  <w:r>
                    <w:rPr>
                      <w:rFonts w:hint="eastAsia"/>
                      <w:color w:val="auto"/>
                      <w:szCs w:val="21"/>
                    </w:rPr>
                    <w:t>0.608</w:t>
                  </w:r>
                </w:p>
              </w:tc>
              <w:tc>
                <w:tcPr>
                  <w:tcW w:w="1039" w:type="dxa"/>
                  <w:tcBorders>
                    <w:tl2br w:val="nil"/>
                    <w:tr2bl w:val="nil"/>
                  </w:tcBorders>
                  <w:vAlign w:val="center"/>
                </w:tcPr>
                <w:p>
                  <w:pPr>
                    <w:jc w:val="center"/>
                    <w:rPr>
                      <w:color w:val="auto"/>
                      <w:szCs w:val="21"/>
                    </w:rPr>
                  </w:pPr>
                  <w:r>
                    <w:rPr>
                      <w:rFonts w:hint="eastAsia"/>
                      <w:color w:val="auto"/>
                      <w:szCs w:val="21"/>
                    </w:rPr>
                    <w:t>0.791</w:t>
                  </w:r>
                </w:p>
              </w:tc>
              <w:tc>
                <w:tcPr>
                  <w:tcW w:w="1039" w:type="dxa"/>
                  <w:tcBorders>
                    <w:tl2br w:val="nil"/>
                    <w:tr2bl w:val="nil"/>
                  </w:tcBorders>
                  <w:vAlign w:val="center"/>
                </w:tcPr>
                <w:p>
                  <w:pPr>
                    <w:jc w:val="center"/>
                    <w:rPr>
                      <w:color w:val="auto"/>
                      <w:szCs w:val="21"/>
                    </w:rPr>
                  </w:pPr>
                  <w:r>
                    <w:rPr>
                      <w:rFonts w:hint="eastAsia"/>
                      <w:color w:val="auto"/>
                      <w:szCs w:val="21"/>
                    </w:rPr>
                    <w:t>0.793</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总磷</w:t>
                  </w:r>
                </w:p>
              </w:tc>
              <w:tc>
                <w:tcPr>
                  <w:tcW w:w="915" w:type="dxa"/>
                  <w:tcBorders>
                    <w:tl2br w:val="nil"/>
                    <w:tr2bl w:val="nil"/>
                  </w:tcBorders>
                  <w:vAlign w:val="center"/>
                </w:tcPr>
                <w:p>
                  <w:pPr>
                    <w:jc w:val="center"/>
                    <w:rPr>
                      <w:color w:val="auto"/>
                      <w:szCs w:val="21"/>
                    </w:rPr>
                  </w:pPr>
                  <w:r>
                    <w:rPr>
                      <w:rFonts w:hint="eastAsia"/>
                      <w:color w:val="auto"/>
                      <w:szCs w:val="21"/>
                    </w:rPr>
                    <w:t>0.159</w:t>
                  </w:r>
                </w:p>
              </w:tc>
              <w:tc>
                <w:tcPr>
                  <w:tcW w:w="990" w:type="dxa"/>
                  <w:tcBorders>
                    <w:tl2br w:val="nil"/>
                    <w:tr2bl w:val="nil"/>
                  </w:tcBorders>
                  <w:vAlign w:val="center"/>
                </w:tcPr>
                <w:p>
                  <w:pPr>
                    <w:jc w:val="center"/>
                    <w:rPr>
                      <w:color w:val="auto"/>
                      <w:szCs w:val="21"/>
                    </w:rPr>
                  </w:pPr>
                  <w:r>
                    <w:rPr>
                      <w:rFonts w:hint="eastAsia"/>
                      <w:color w:val="auto"/>
                      <w:szCs w:val="21"/>
                    </w:rPr>
                    <w:t>0.174</w:t>
                  </w:r>
                </w:p>
              </w:tc>
              <w:tc>
                <w:tcPr>
                  <w:tcW w:w="946" w:type="dxa"/>
                  <w:tcBorders>
                    <w:tl2br w:val="nil"/>
                    <w:tr2bl w:val="nil"/>
                  </w:tcBorders>
                  <w:vAlign w:val="center"/>
                </w:tcPr>
                <w:p>
                  <w:pPr>
                    <w:jc w:val="center"/>
                    <w:rPr>
                      <w:color w:val="auto"/>
                      <w:szCs w:val="21"/>
                    </w:rPr>
                  </w:pPr>
                  <w:r>
                    <w:rPr>
                      <w:rFonts w:hint="eastAsia"/>
                      <w:color w:val="auto"/>
                      <w:szCs w:val="21"/>
                    </w:rPr>
                    <w:t>0.169</w:t>
                  </w:r>
                </w:p>
              </w:tc>
              <w:tc>
                <w:tcPr>
                  <w:tcW w:w="1038" w:type="dxa"/>
                  <w:tcBorders>
                    <w:tl2br w:val="nil"/>
                    <w:tr2bl w:val="nil"/>
                  </w:tcBorders>
                  <w:vAlign w:val="center"/>
                </w:tcPr>
                <w:p>
                  <w:pPr>
                    <w:jc w:val="center"/>
                    <w:rPr>
                      <w:color w:val="auto"/>
                      <w:szCs w:val="21"/>
                    </w:rPr>
                  </w:pPr>
                  <w:r>
                    <w:rPr>
                      <w:rFonts w:hint="eastAsia"/>
                      <w:color w:val="auto"/>
                      <w:szCs w:val="21"/>
                    </w:rPr>
                    <w:t>0.152</w:t>
                  </w:r>
                </w:p>
              </w:tc>
              <w:tc>
                <w:tcPr>
                  <w:tcW w:w="1039" w:type="dxa"/>
                  <w:tcBorders>
                    <w:tl2br w:val="nil"/>
                    <w:tr2bl w:val="nil"/>
                  </w:tcBorders>
                  <w:vAlign w:val="center"/>
                </w:tcPr>
                <w:p>
                  <w:pPr>
                    <w:jc w:val="center"/>
                    <w:rPr>
                      <w:color w:val="auto"/>
                      <w:szCs w:val="21"/>
                    </w:rPr>
                  </w:pPr>
                  <w:r>
                    <w:rPr>
                      <w:rFonts w:hint="eastAsia"/>
                      <w:color w:val="auto"/>
                      <w:szCs w:val="21"/>
                    </w:rPr>
                    <w:t>0.188</w:t>
                  </w:r>
                </w:p>
              </w:tc>
              <w:tc>
                <w:tcPr>
                  <w:tcW w:w="1039" w:type="dxa"/>
                  <w:tcBorders>
                    <w:tl2br w:val="nil"/>
                    <w:tr2bl w:val="nil"/>
                  </w:tcBorders>
                  <w:vAlign w:val="center"/>
                </w:tcPr>
                <w:p>
                  <w:pPr>
                    <w:jc w:val="center"/>
                    <w:rPr>
                      <w:color w:val="auto"/>
                      <w:szCs w:val="21"/>
                    </w:rPr>
                  </w:pPr>
                  <w:r>
                    <w:rPr>
                      <w:rFonts w:hint="eastAsia"/>
                      <w:color w:val="auto"/>
                      <w:szCs w:val="21"/>
                    </w:rPr>
                    <w:t>0.158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动植物油</w:t>
                  </w:r>
                  <w:r>
                    <w:rPr>
                      <w:rFonts w:hint="eastAsia"/>
                      <w:color w:val="auto"/>
                      <w:szCs w:val="21"/>
                    </w:rPr>
                    <w:t>类</w:t>
                  </w:r>
                </w:p>
              </w:tc>
              <w:tc>
                <w:tcPr>
                  <w:tcW w:w="915" w:type="dxa"/>
                  <w:tcBorders>
                    <w:tl2br w:val="nil"/>
                    <w:tr2bl w:val="nil"/>
                  </w:tcBorders>
                  <w:vAlign w:val="center"/>
                </w:tcPr>
                <w:p>
                  <w:pPr>
                    <w:jc w:val="center"/>
                    <w:rPr>
                      <w:color w:val="auto"/>
                      <w:szCs w:val="21"/>
                    </w:rPr>
                  </w:pPr>
                  <w:r>
                    <w:rPr>
                      <w:rFonts w:hint="eastAsia"/>
                      <w:color w:val="auto"/>
                      <w:szCs w:val="21"/>
                    </w:rPr>
                    <w:t>0.03</w:t>
                  </w:r>
                </w:p>
              </w:tc>
              <w:tc>
                <w:tcPr>
                  <w:tcW w:w="990" w:type="dxa"/>
                  <w:tcBorders>
                    <w:tl2br w:val="nil"/>
                    <w:tr2bl w:val="nil"/>
                  </w:tcBorders>
                  <w:vAlign w:val="center"/>
                </w:tcPr>
                <w:p>
                  <w:pPr>
                    <w:jc w:val="center"/>
                    <w:rPr>
                      <w:color w:val="auto"/>
                      <w:szCs w:val="21"/>
                    </w:rPr>
                  </w:pPr>
                  <w:r>
                    <w:rPr>
                      <w:rFonts w:hint="eastAsia"/>
                      <w:color w:val="auto"/>
                      <w:szCs w:val="21"/>
                    </w:rPr>
                    <w:t>0.02</w:t>
                  </w:r>
                </w:p>
              </w:tc>
              <w:tc>
                <w:tcPr>
                  <w:tcW w:w="946" w:type="dxa"/>
                  <w:tcBorders>
                    <w:tl2br w:val="nil"/>
                    <w:tr2bl w:val="nil"/>
                  </w:tcBorders>
                  <w:vAlign w:val="center"/>
                </w:tcPr>
                <w:p>
                  <w:pPr>
                    <w:jc w:val="center"/>
                    <w:rPr>
                      <w:color w:val="auto"/>
                      <w:szCs w:val="21"/>
                    </w:rPr>
                  </w:pPr>
                  <w:r>
                    <w:rPr>
                      <w:rFonts w:hint="eastAsia"/>
                      <w:color w:val="auto"/>
                      <w:szCs w:val="21"/>
                    </w:rPr>
                    <w:t>0.02</w:t>
                  </w:r>
                </w:p>
              </w:tc>
              <w:tc>
                <w:tcPr>
                  <w:tcW w:w="1038" w:type="dxa"/>
                  <w:tcBorders>
                    <w:tl2br w:val="nil"/>
                    <w:tr2bl w:val="nil"/>
                  </w:tcBorders>
                  <w:vAlign w:val="center"/>
                </w:tcPr>
                <w:p>
                  <w:pPr>
                    <w:jc w:val="center"/>
                    <w:rPr>
                      <w:color w:val="auto"/>
                      <w:szCs w:val="21"/>
                    </w:rPr>
                  </w:pPr>
                  <w:r>
                    <w:rPr>
                      <w:rFonts w:hint="eastAsia"/>
                      <w:color w:val="auto"/>
                      <w:szCs w:val="21"/>
                    </w:rPr>
                    <w:t>0.03</w:t>
                  </w:r>
                </w:p>
              </w:tc>
              <w:tc>
                <w:tcPr>
                  <w:tcW w:w="1039" w:type="dxa"/>
                  <w:tcBorders>
                    <w:tl2br w:val="nil"/>
                    <w:tr2bl w:val="nil"/>
                  </w:tcBorders>
                  <w:vAlign w:val="center"/>
                </w:tcPr>
                <w:p>
                  <w:pPr>
                    <w:jc w:val="center"/>
                    <w:rPr>
                      <w:color w:val="auto"/>
                      <w:szCs w:val="21"/>
                    </w:rPr>
                  </w:pPr>
                  <w:r>
                    <w:rPr>
                      <w:rFonts w:hint="eastAsia"/>
                      <w:color w:val="auto"/>
                      <w:szCs w:val="21"/>
                    </w:rPr>
                    <w:t>0.02</w:t>
                  </w:r>
                </w:p>
              </w:tc>
              <w:tc>
                <w:tcPr>
                  <w:tcW w:w="1039" w:type="dxa"/>
                  <w:tcBorders>
                    <w:tl2br w:val="nil"/>
                    <w:tr2bl w:val="nil"/>
                  </w:tcBorders>
                  <w:vAlign w:val="center"/>
                </w:tcPr>
                <w:p>
                  <w:pPr>
                    <w:jc w:val="center"/>
                    <w:rPr>
                      <w:color w:val="auto"/>
                      <w:szCs w:val="21"/>
                    </w:rPr>
                  </w:pPr>
                  <w:r>
                    <w:rPr>
                      <w:rFonts w:hint="eastAsia"/>
                      <w:color w:val="auto"/>
                      <w:szCs w:val="21"/>
                    </w:rPr>
                    <w:t>0.03</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restart"/>
                  <w:tcBorders>
                    <w:tl2br w:val="nil"/>
                    <w:tr2bl w:val="nil"/>
                  </w:tcBorders>
                  <w:vAlign w:val="center"/>
                </w:tcPr>
                <w:p>
                  <w:pPr>
                    <w:jc w:val="center"/>
                    <w:rPr>
                      <w:color w:val="auto"/>
                      <w:szCs w:val="21"/>
                    </w:rPr>
                  </w:pPr>
                  <w:r>
                    <w:rPr>
                      <w:color w:val="auto"/>
                      <w:szCs w:val="21"/>
                    </w:rPr>
                    <w:t>尧塘河W</w:t>
                  </w:r>
                  <w:r>
                    <w:rPr>
                      <w:rFonts w:hint="eastAsia"/>
                      <w:color w:val="auto"/>
                      <w:szCs w:val="21"/>
                    </w:rPr>
                    <w:t>2</w:t>
                  </w:r>
                  <w:r>
                    <w:rPr>
                      <w:color w:val="auto"/>
                      <w:szCs w:val="21"/>
                    </w:rPr>
                    <w:t>金坛</w:t>
                  </w:r>
                  <w:r>
                    <w:rPr>
                      <w:rFonts w:hint="eastAsia"/>
                      <w:color w:val="auto"/>
                      <w:szCs w:val="21"/>
                    </w:rPr>
                    <w:t>区</w:t>
                  </w:r>
                  <w:r>
                    <w:rPr>
                      <w:color w:val="auto"/>
                      <w:szCs w:val="21"/>
                    </w:rPr>
                    <w:t>第二污水处理厂排口</w:t>
                  </w:r>
                  <w:r>
                    <w:rPr>
                      <w:rFonts w:hint="eastAsia"/>
                      <w:color w:val="auto"/>
                      <w:szCs w:val="21"/>
                    </w:rPr>
                    <w:t>下</w:t>
                  </w:r>
                  <w:r>
                    <w:rPr>
                      <w:color w:val="auto"/>
                      <w:szCs w:val="21"/>
                    </w:rPr>
                    <w:t>游</w:t>
                  </w:r>
                  <w:r>
                    <w:rPr>
                      <w:rFonts w:hint="eastAsia"/>
                      <w:color w:val="auto"/>
                      <w:szCs w:val="21"/>
                    </w:rPr>
                    <w:t>1000</w:t>
                  </w:r>
                  <w:r>
                    <w:rPr>
                      <w:color w:val="auto"/>
                      <w:szCs w:val="21"/>
                    </w:rPr>
                    <w:t>m</w:t>
                  </w:r>
                </w:p>
              </w:tc>
              <w:tc>
                <w:tcPr>
                  <w:tcW w:w="1391" w:type="dxa"/>
                  <w:tcBorders>
                    <w:tl2br w:val="nil"/>
                    <w:tr2bl w:val="nil"/>
                  </w:tcBorders>
                  <w:vAlign w:val="center"/>
                </w:tcPr>
                <w:p>
                  <w:pPr>
                    <w:jc w:val="center"/>
                    <w:rPr>
                      <w:color w:val="auto"/>
                      <w:szCs w:val="21"/>
                    </w:rPr>
                  </w:pPr>
                  <w:r>
                    <w:rPr>
                      <w:color w:val="auto"/>
                      <w:szCs w:val="21"/>
                    </w:rPr>
                    <w:t>样品状态</w:t>
                  </w:r>
                </w:p>
              </w:tc>
              <w:tc>
                <w:tcPr>
                  <w:tcW w:w="915" w:type="dxa"/>
                  <w:tcBorders>
                    <w:tl2br w:val="nil"/>
                    <w:tr2bl w:val="nil"/>
                  </w:tcBorders>
                  <w:vAlign w:val="center"/>
                </w:tcPr>
                <w:p>
                  <w:pPr>
                    <w:jc w:val="center"/>
                    <w:rPr>
                      <w:color w:val="auto"/>
                      <w:szCs w:val="21"/>
                    </w:rPr>
                  </w:pPr>
                  <w:r>
                    <w:rPr>
                      <w:rFonts w:hint="eastAsia"/>
                      <w:color w:val="auto"/>
                      <w:szCs w:val="21"/>
                    </w:rPr>
                    <w:t>无色无嗅</w:t>
                  </w:r>
                </w:p>
              </w:tc>
              <w:tc>
                <w:tcPr>
                  <w:tcW w:w="990" w:type="dxa"/>
                  <w:tcBorders>
                    <w:tl2br w:val="nil"/>
                    <w:tr2bl w:val="nil"/>
                  </w:tcBorders>
                  <w:vAlign w:val="center"/>
                </w:tcPr>
                <w:p>
                  <w:pPr>
                    <w:jc w:val="center"/>
                    <w:rPr>
                      <w:color w:val="auto"/>
                      <w:szCs w:val="21"/>
                    </w:rPr>
                  </w:pPr>
                  <w:r>
                    <w:rPr>
                      <w:rFonts w:hint="eastAsia"/>
                      <w:color w:val="auto"/>
                      <w:szCs w:val="21"/>
                    </w:rPr>
                    <w:t>无色无嗅</w:t>
                  </w:r>
                </w:p>
              </w:tc>
              <w:tc>
                <w:tcPr>
                  <w:tcW w:w="946" w:type="dxa"/>
                  <w:tcBorders>
                    <w:tl2br w:val="nil"/>
                    <w:tr2bl w:val="nil"/>
                  </w:tcBorders>
                  <w:vAlign w:val="center"/>
                </w:tcPr>
                <w:p>
                  <w:pPr>
                    <w:jc w:val="center"/>
                    <w:rPr>
                      <w:color w:val="auto"/>
                      <w:szCs w:val="21"/>
                    </w:rPr>
                  </w:pPr>
                  <w:r>
                    <w:rPr>
                      <w:rFonts w:hint="eastAsia"/>
                      <w:color w:val="auto"/>
                      <w:szCs w:val="21"/>
                    </w:rPr>
                    <w:t>无色无嗅</w:t>
                  </w:r>
                </w:p>
              </w:tc>
              <w:tc>
                <w:tcPr>
                  <w:tcW w:w="1038" w:type="dxa"/>
                  <w:tcBorders>
                    <w:tl2br w:val="nil"/>
                    <w:tr2bl w:val="nil"/>
                  </w:tcBorders>
                  <w:vAlign w:val="center"/>
                </w:tcPr>
                <w:p>
                  <w:pPr>
                    <w:jc w:val="center"/>
                    <w:rPr>
                      <w:color w:val="auto"/>
                      <w:szCs w:val="21"/>
                    </w:rPr>
                  </w:pPr>
                  <w:r>
                    <w:rPr>
                      <w:rFonts w:hint="eastAsia"/>
                      <w:color w:val="auto"/>
                      <w:szCs w:val="21"/>
                    </w:rPr>
                    <w:t>无色无嗅</w:t>
                  </w:r>
                </w:p>
              </w:tc>
              <w:tc>
                <w:tcPr>
                  <w:tcW w:w="1039" w:type="dxa"/>
                  <w:tcBorders>
                    <w:tl2br w:val="nil"/>
                    <w:tr2bl w:val="nil"/>
                  </w:tcBorders>
                  <w:vAlign w:val="center"/>
                </w:tcPr>
                <w:p>
                  <w:pPr>
                    <w:jc w:val="center"/>
                    <w:rPr>
                      <w:color w:val="auto"/>
                      <w:szCs w:val="21"/>
                    </w:rPr>
                  </w:pPr>
                  <w:r>
                    <w:rPr>
                      <w:rFonts w:hint="eastAsia"/>
                      <w:color w:val="auto"/>
                      <w:szCs w:val="21"/>
                    </w:rPr>
                    <w:t>无色无嗅</w:t>
                  </w:r>
                </w:p>
              </w:tc>
              <w:tc>
                <w:tcPr>
                  <w:tcW w:w="1039" w:type="dxa"/>
                  <w:tcBorders>
                    <w:tl2br w:val="nil"/>
                    <w:tr2bl w:val="nil"/>
                  </w:tcBorders>
                  <w:vAlign w:val="center"/>
                </w:tcPr>
                <w:p>
                  <w:pPr>
                    <w:jc w:val="center"/>
                    <w:rPr>
                      <w:color w:val="auto"/>
                      <w:szCs w:val="21"/>
                    </w:rPr>
                  </w:pPr>
                  <w:r>
                    <w:rPr>
                      <w:rFonts w:hint="eastAsia"/>
                      <w:color w:val="auto"/>
                      <w:szCs w:val="21"/>
                    </w:rPr>
                    <w:t>无色无嗅</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水温（℃）</w:t>
                  </w:r>
                </w:p>
              </w:tc>
              <w:tc>
                <w:tcPr>
                  <w:tcW w:w="915" w:type="dxa"/>
                  <w:tcBorders>
                    <w:tl2br w:val="nil"/>
                    <w:tr2bl w:val="nil"/>
                  </w:tcBorders>
                  <w:vAlign w:val="center"/>
                </w:tcPr>
                <w:p>
                  <w:pPr>
                    <w:jc w:val="center"/>
                    <w:rPr>
                      <w:color w:val="auto"/>
                      <w:szCs w:val="21"/>
                    </w:rPr>
                  </w:pPr>
                  <w:r>
                    <w:rPr>
                      <w:rFonts w:hint="eastAsia"/>
                      <w:color w:val="auto"/>
                      <w:szCs w:val="21"/>
                    </w:rPr>
                    <w:t>24.0</w:t>
                  </w:r>
                </w:p>
              </w:tc>
              <w:tc>
                <w:tcPr>
                  <w:tcW w:w="990" w:type="dxa"/>
                  <w:tcBorders>
                    <w:tl2br w:val="nil"/>
                    <w:tr2bl w:val="nil"/>
                  </w:tcBorders>
                  <w:vAlign w:val="center"/>
                </w:tcPr>
                <w:p>
                  <w:pPr>
                    <w:jc w:val="center"/>
                    <w:rPr>
                      <w:color w:val="auto"/>
                      <w:szCs w:val="21"/>
                    </w:rPr>
                  </w:pPr>
                  <w:r>
                    <w:rPr>
                      <w:rFonts w:hint="eastAsia"/>
                      <w:color w:val="auto"/>
                      <w:szCs w:val="21"/>
                    </w:rPr>
                    <w:t>24.2</w:t>
                  </w:r>
                </w:p>
              </w:tc>
              <w:tc>
                <w:tcPr>
                  <w:tcW w:w="946" w:type="dxa"/>
                  <w:tcBorders>
                    <w:tl2br w:val="nil"/>
                    <w:tr2bl w:val="nil"/>
                  </w:tcBorders>
                  <w:vAlign w:val="center"/>
                </w:tcPr>
                <w:p>
                  <w:pPr>
                    <w:jc w:val="center"/>
                    <w:rPr>
                      <w:color w:val="auto"/>
                      <w:szCs w:val="21"/>
                    </w:rPr>
                  </w:pPr>
                  <w:r>
                    <w:rPr>
                      <w:rFonts w:hint="eastAsia"/>
                      <w:color w:val="auto"/>
                      <w:szCs w:val="21"/>
                    </w:rPr>
                    <w:t>23.9</w:t>
                  </w:r>
                </w:p>
              </w:tc>
              <w:tc>
                <w:tcPr>
                  <w:tcW w:w="1038" w:type="dxa"/>
                  <w:tcBorders>
                    <w:tl2br w:val="nil"/>
                    <w:tr2bl w:val="nil"/>
                  </w:tcBorders>
                  <w:vAlign w:val="center"/>
                </w:tcPr>
                <w:p>
                  <w:pPr>
                    <w:jc w:val="center"/>
                    <w:rPr>
                      <w:color w:val="auto"/>
                      <w:szCs w:val="21"/>
                    </w:rPr>
                  </w:pPr>
                  <w:r>
                    <w:rPr>
                      <w:rFonts w:hint="eastAsia"/>
                      <w:color w:val="auto"/>
                      <w:szCs w:val="21"/>
                    </w:rPr>
                    <w:t>24.2</w:t>
                  </w:r>
                </w:p>
              </w:tc>
              <w:tc>
                <w:tcPr>
                  <w:tcW w:w="1039" w:type="dxa"/>
                  <w:tcBorders>
                    <w:tl2br w:val="nil"/>
                    <w:tr2bl w:val="nil"/>
                  </w:tcBorders>
                  <w:vAlign w:val="center"/>
                </w:tcPr>
                <w:p>
                  <w:pPr>
                    <w:jc w:val="center"/>
                    <w:rPr>
                      <w:color w:val="auto"/>
                      <w:szCs w:val="21"/>
                    </w:rPr>
                  </w:pPr>
                  <w:r>
                    <w:rPr>
                      <w:rFonts w:hint="eastAsia"/>
                      <w:color w:val="auto"/>
                      <w:szCs w:val="21"/>
                    </w:rPr>
                    <w:t>24.1</w:t>
                  </w:r>
                </w:p>
              </w:tc>
              <w:tc>
                <w:tcPr>
                  <w:tcW w:w="1039" w:type="dxa"/>
                  <w:tcBorders>
                    <w:tl2br w:val="nil"/>
                    <w:tr2bl w:val="nil"/>
                  </w:tcBorders>
                  <w:vAlign w:val="center"/>
                </w:tcPr>
                <w:p>
                  <w:pPr>
                    <w:jc w:val="center"/>
                    <w:rPr>
                      <w:color w:val="auto"/>
                      <w:szCs w:val="21"/>
                    </w:rPr>
                  </w:pPr>
                  <w:r>
                    <w:rPr>
                      <w:rFonts w:hint="eastAsia"/>
                      <w:color w:val="auto"/>
                      <w:szCs w:val="21"/>
                    </w:rPr>
                    <w:t>24.3</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pH值（无量纲）</w:t>
                  </w:r>
                </w:p>
              </w:tc>
              <w:tc>
                <w:tcPr>
                  <w:tcW w:w="915" w:type="dxa"/>
                  <w:tcBorders>
                    <w:tl2br w:val="nil"/>
                    <w:tr2bl w:val="nil"/>
                  </w:tcBorders>
                  <w:vAlign w:val="center"/>
                </w:tcPr>
                <w:p>
                  <w:pPr>
                    <w:jc w:val="center"/>
                    <w:rPr>
                      <w:color w:val="auto"/>
                      <w:szCs w:val="21"/>
                    </w:rPr>
                  </w:pPr>
                  <w:r>
                    <w:rPr>
                      <w:rFonts w:hint="eastAsia"/>
                      <w:color w:val="auto"/>
                      <w:szCs w:val="21"/>
                    </w:rPr>
                    <w:t>8.41</w:t>
                  </w:r>
                </w:p>
              </w:tc>
              <w:tc>
                <w:tcPr>
                  <w:tcW w:w="990" w:type="dxa"/>
                  <w:tcBorders>
                    <w:tl2br w:val="nil"/>
                    <w:tr2bl w:val="nil"/>
                  </w:tcBorders>
                  <w:vAlign w:val="center"/>
                </w:tcPr>
                <w:p>
                  <w:pPr>
                    <w:jc w:val="center"/>
                    <w:rPr>
                      <w:color w:val="auto"/>
                      <w:szCs w:val="21"/>
                    </w:rPr>
                  </w:pPr>
                  <w:r>
                    <w:rPr>
                      <w:rFonts w:hint="eastAsia"/>
                      <w:color w:val="auto"/>
                      <w:szCs w:val="21"/>
                    </w:rPr>
                    <w:t>8.41</w:t>
                  </w:r>
                </w:p>
              </w:tc>
              <w:tc>
                <w:tcPr>
                  <w:tcW w:w="946" w:type="dxa"/>
                  <w:tcBorders>
                    <w:tl2br w:val="nil"/>
                    <w:tr2bl w:val="nil"/>
                  </w:tcBorders>
                  <w:vAlign w:val="center"/>
                </w:tcPr>
                <w:p>
                  <w:pPr>
                    <w:jc w:val="center"/>
                    <w:rPr>
                      <w:color w:val="auto"/>
                      <w:szCs w:val="21"/>
                    </w:rPr>
                  </w:pPr>
                  <w:r>
                    <w:rPr>
                      <w:rFonts w:hint="eastAsia"/>
                      <w:color w:val="auto"/>
                      <w:szCs w:val="21"/>
                    </w:rPr>
                    <w:t>8.49</w:t>
                  </w:r>
                </w:p>
              </w:tc>
              <w:tc>
                <w:tcPr>
                  <w:tcW w:w="1038" w:type="dxa"/>
                  <w:tcBorders>
                    <w:tl2br w:val="nil"/>
                    <w:tr2bl w:val="nil"/>
                  </w:tcBorders>
                  <w:vAlign w:val="center"/>
                </w:tcPr>
                <w:p>
                  <w:pPr>
                    <w:jc w:val="center"/>
                    <w:rPr>
                      <w:color w:val="auto"/>
                      <w:szCs w:val="21"/>
                    </w:rPr>
                  </w:pPr>
                  <w:r>
                    <w:rPr>
                      <w:rFonts w:hint="eastAsia"/>
                      <w:color w:val="auto"/>
                      <w:szCs w:val="21"/>
                    </w:rPr>
                    <w:t>8.57</w:t>
                  </w:r>
                </w:p>
              </w:tc>
              <w:tc>
                <w:tcPr>
                  <w:tcW w:w="1039" w:type="dxa"/>
                  <w:tcBorders>
                    <w:tl2br w:val="nil"/>
                    <w:tr2bl w:val="nil"/>
                  </w:tcBorders>
                  <w:vAlign w:val="center"/>
                </w:tcPr>
                <w:p>
                  <w:pPr>
                    <w:jc w:val="center"/>
                    <w:rPr>
                      <w:color w:val="auto"/>
                      <w:szCs w:val="21"/>
                    </w:rPr>
                  </w:pPr>
                  <w:r>
                    <w:rPr>
                      <w:rFonts w:hint="eastAsia"/>
                      <w:color w:val="auto"/>
                      <w:szCs w:val="21"/>
                    </w:rPr>
                    <w:t>8.42</w:t>
                  </w:r>
                </w:p>
              </w:tc>
              <w:tc>
                <w:tcPr>
                  <w:tcW w:w="1039" w:type="dxa"/>
                  <w:tcBorders>
                    <w:tl2br w:val="nil"/>
                    <w:tr2bl w:val="nil"/>
                  </w:tcBorders>
                  <w:vAlign w:val="center"/>
                </w:tcPr>
                <w:p>
                  <w:pPr>
                    <w:jc w:val="center"/>
                    <w:rPr>
                      <w:color w:val="auto"/>
                      <w:szCs w:val="21"/>
                    </w:rPr>
                  </w:pPr>
                  <w:r>
                    <w:rPr>
                      <w:rFonts w:hint="eastAsia"/>
                      <w:color w:val="auto"/>
                      <w:szCs w:val="21"/>
                    </w:rPr>
                    <w:t>8.41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化学需氧量</w:t>
                  </w:r>
                </w:p>
              </w:tc>
              <w:tc>
                <w:tcPr>
                  <w:tcW w:w="915" w:type="dxa"/>
                  <w:tcBorders>
                    <w:tl2br w:val="nil"/>
                    <w:tr2bl w:val="nil"/>
                  </w:tcBorders>
                  <w:vAlign w:val="center"/>
                </w:tcPr>
                <w:p>
                  <w:pPr>
                    <w:jc w:val="center"/>
                    <w:rPr>
                      <w:color w:val="auto"/>
                      <w:szCs w:val="21"/>
                    </w:rPr>
                  </w:pPr>
                  <w:r>
                    <w:rPr>
                      <w:rFonts w:hint="eastAsia"/>
                      <w:color w:val="auto"/>
                      <w:szCs w:val="21"/>
                    </w:rPr>
                    <w:t>16</w:t>
                  </w:r>
                </w:p>
              </w:tc>
              <w:tc>
                <w:tcPr>
                  <w:tcW w:w="990" w:type="dxa"/>
                  <w:tcBorders>
                    <w:tl2br w:val="nil"/>
                    <w:tr2bl w:val="nil"/>
                  </w:tcBorders>
                  <w:vAlign w:val="center"/>
                </w:tcPr>
                <w:p>
                  <w:pPr>
                    <w:jc w:val="center"/>
                    <w:rPr>
                      <w:color w:val="auto"/>
                      <w:szCs w:val="21"/>
                    </w:rPr>
                  </w:pPr>
                  <w:r>
                    <w:rPr>
                      <w:rFonts w:hint="eastAsia"/>
                      <w:color w:val="auto"/>
                      <w:szCs w:val="21"/>
                    </w:rPr>
                    <w:t>15</w:t>
                  </w:r>
                </w:p>
              </w:tc>
              <w:tc>
                <w:tcPr>
                  <w:tcW w:w="946" w:type="dxa"/>
                  <w:tcBorders>
                    <w:tl2br w:val="nil"/>
                    <w:tr2bl w:val="nil"/>
                  </w:tcBorders>
                  <w:vAlign w:val="center"/>
                </w:tcPr>
                <w:p>
                  <w:pPr>
                    <w:jc w:val="center"/>
                    <w:rPr>
                      <w:color w:val="auto"/>
                      <w:szCs w:val="21"/>
                    </w:rPr>
                  </w:pPr>
                  <w:r>
                    <w:rPr>
                      <w:rFonts w:hint="eastAsia"/>
                      <w:color w:val="auto"/>
                      <w:szCs w:val="21"/>
                    </w:rPr>
                    <w:t>16</w:t>
                  </w:r>
                </w:p>
              </w:tc>
              <w:tc>
                <w:tcPr>
                  <w:tcW w:w="1038" w:type="dxa"/>
                  <w:tcBorders>
                    <w:tl2br w:val="nil"/>
                    <w:tr2bl w:val="nil"/>
                  </w:tcBorders>
                  <w:vAlign w:val="center"/>
                </w:tcPr>
                <w:p>
                  <w:pPr>
                    <w:jc w:val="center"/>
                    <w:rPr>
                      <w:color w:val="auto"/>
                      <w:szCs w:val="21"/>
                    </w:rPr>
                  </w:pPr>
                  <w:r>
                    <w:rPr>
                      <w:rFonts w:hint="eastAsia"/>
                      <w:color w:val="auto"/>
                      <w:szCs w:val="21"/>
                    </w:rPr>
                    <w:t>15</w:t>
                  </w:r>
                </w:p>
              </w:tc>
              <w:tc>
                <w:tcPr>
                  <w:tcW w:w="1039" w:type="dxa"/>
                  <w:tcBorders>
                    <w:tl2br w:val="nil"/>
                    <w:tr2bl w:val="nil"/>
                  </w:tcBorders>
                  <w:vAlign w:val="center"/>
                </w:tcPr>
                <w:p>
                  <w:pPr>
                    <w:jc w:val="center"/>
                    <w:rPr>
                      <w:color w:val="auto"/>
                      <w:szCs w:val="21"/>
                    </w:rPr>
                  </w:pPr>
                  <w:r>
                    <w:rPr>
                      <w:rFonts w:hint="eastAsia"/>
                      <w:color w:val="auto"/>
                      <w:szCs w:val="21"/>
                    </w:rPr>
                    <w:t>16</w:t>
                  </w:r>
                </w:p>
              </w:tc>
              <w:tc>
                <w:tcPr>
                  <w:tcW w:w="1039" w:type="dxa"/>
                  <w:tcBorders>
                    <w:tl2br w:val="nil"/>
                    <w:tr2bl w:val="nil"/>
                  </w:tcBorders>
                  <w:vAlign w:val="center"/>
                </w:tcPr>
                <w:p>
                  <w:pPr>
                    <w:jc w:val="center"/>
                    <w:rPr>
                      <w:color w:val="auto"/>
                      <w:szCs w:val="21"/>
                    </w:rPr>
                  </w:pPr>
                  <w:r>
                    <w:rPr>
                      <w:rFonts w:hint="eastAsia"/>
                      <w:color w:val="auto"/>
                      <w:szCs w:val="21"/>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悬浮物</w:t>
                  </w:r>
                </w:p>
              </w:tc>
              <w:tc>
                <w:tcPr>
                  <w:tcW w:w="915" w:type="dxa"/>
                  <w:tcBorders>
                    <w:tl2br w:val="nil"/>
                    <w:tr2bl w:val="nil"/>
                  </w:tcBorders>
                  <w:vAlign w:val="center"/>
                </w:tcPr>
                <w:p>
                  <w:pPr>
                    <w:jc w:val="center"/>
                    <w:rPr>
                      <w:color w:val="auto"/>
                      <w:szCs w:val="21"/>
                    </w:rPr>
                  </w:pPr>
                  <w:r>
                    <w:rPr>
                      <w:rFonts w:hint="eastAsia"/>
                      <w:color w:val="auto"/>
                      <w:szCs w:val="21"/>
                    </w:rPr>
                    <w:t>8</w:t>
                  </w:r>
                </w:p>
              </w:tc>
              <w:tc>
                <w:tcPr>
                  <w:tcW w:w="990" w:type="dxa"/>
                  <w:tcBorders>
                    <w:tl2br w:val="nil"/>
                    <w:tr2bl w:val="nil"/>
                  </w:tcBorders>
                  <w:vAlign w:val="center"/>
                </w:tcPr>
                <w:p>
                  <w:pPr>
                    <w:jc w:val="center"/>
                    <w:rPr>
                      <w:color w:val="auto"/>
                      <w:szCs w:val="21"/>
                    </w:rPr>
                  </w:pPr>
                  <w:r>
                    <w:rPr>
                      <w:rFonts w:hint="eastAsia"/>
                      <w:color w:val="auto"/>
                      <w:szCs w:val="21"/>
                    </w:rPr>
                    <w:t>10</w:t>
                  </w:r>
                </w:p>
              </w:tc>
              <w:tc>
                <w:tcPr>
                  <w:tcW w:w="946" w:type="dxa"/>
                  <w:tcBorders>
                    <w:tl2br w:val="nil"/>
                    <w:tr2bl w:val="nil"/>
                  </w:tcBorders>
                  <w:vAlign w:val="center"/>
                </w:tcPr>
                <w:p>
                  <w:pPr>
                    <w:jc w:val="center"/>
                    <w:rPr>
                      <w:color w:val="auto"/>
                      <w:szCs w:val="21"/>
                    </w:rPr>
                  </w:pPr>
                  <w:r>
                    <w:rPr>
                      <w:rFonts w:hint="eastAsia"/>
                      <w:color w:val="auto"/>
                      <w:szCs w:val="21"/>
                    </w:rPr>
                    <w:t>11</w:t>
                  </w:r>
                </w:p>
              </w:tc>
              <w:tc>
                <w:tcPr>
                  <w:tcW w:w="1038" w:type="dxa"/>
                  <w:tcBorders>
                    <w:tl2br w:val="nil"/>
                    <w:tr2bl w:val="nil"/>
                  </w:tcBorders>
                  <w:vAlign w:val="center"/>
                </w:tcPr>
                <w:p>
                  <w:pPr>
                    <w:jc w:val="center"/>
                    <w:rPr>
                      <w:color w:val="auto"/>
                      <w:szCs w:val="21"/>
                    </w:rPr>
                  </w:pPr>
                  <w:r>
                    <w:rPr>
                      <w:rFonts w:hint="eastAsia"/>
                      <w:color w:val="auto"/>
                      <w:szCs w:val="21"/>
                    </w:rPr>
                    <w:t>7</w:t>
                  </w:r>
                </w:p>
              </w:tc>
              <w:tc>
                <w:tcPr>
                  <w:tcW w:w="1039" w:type="dxa"/>
                  <w:tcBorders>
                    <w:tl2br w:val="nil"/>
                    <w:tr2bl w:val="nil"/>
                  </w:tcBorders>
                  <w:vAlign w:val="center"/>
                </w:tcPr>
                <w:p>
                  <w:pPr>
                    <w:jc w:val="center"/>
                    <w:rPr>
                      <w:color w:val="auto"/>
                      <w:szCs w:val="21"/>
                    </w:rPr>
                  </w:pPr>
                  <w:r>
                    <w:rPr>
                      <w:rFonts w:hint="eastAsia"/>
                      <w:color w:val="auto"/>
                      <w:szCs w:val="21"/>
                    </w:rPr>
                    <w:t>12</w:t>
                  </w:r>
                </w:p>
              </w:tc>
              <w:tc>
                <w:tcPr>
                  <w:tcW w:w="1039" w:type="dxa"/>
                  <w:tcBorders>
                    <w:tl2br w:val="nil"/>
                    <w:tr2bl w:val="nil"/>
                  </w:tcBorders>
                  <w:vAlign w:val="center"/>
                </w:tcPr>
                <w:p>
                  <w:pPr>
                    <w:jc w:val="center"/>
                    <w:rPr>
                      <w:color w:val="auto"/>
                      <w:szCs w:val="21"/>
                    </w:rPr>
                  </w:pPr>
                  <w:r>
                    <w:rPr>
                      <w:rFonts w:hint="eastAsia"/>
                      <w:color w:val="auto"/>
                      <w:szCs w:val="21"/>
                    </w:rPr>
                    <w:t>11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氨氮</w:t>
                  </w:r>
                </w:p>
              </w:tc>
              <w:tc>
                <w:tcPr>
                  <w:tcW w:w="915" w:type="dxa"/>
                  <w:tcBorders>
                    <w:tl2br w:val="nil"/>
                    <w:tr2bl w:val="nil"/>
                  </w:tcBorders>
                  <w:vAlign w:val="center"/>
                </w:tcPr>
                <w:p>
                  <w:pPr>
                    <w:jc w:val="center"/>
                    <w:rPr>
                      <w:color w:val="auto"/>
                      <w:szCs w:val="21"/>
                    </w:rPr>
                  </w:pPr>
                  <w:r>
                    <w:rPr>
                      <w:rFonts w:hint="eastAsia"/>
                      <w:color w:val="auto"/>
                      <w:szCs w:val="21"/>
                    </w:rPr>
                    <w:t>0.605</w:t>
                  </w:r>
                </w:p>
              </w:tc>
              <w:tc>
                <w:tcPr>
                  <w:tcW w:w="990" w:type="dxa"/>
                  <w:tcBorders>
                    <w:tl2br w:val="nil"/>
                    <w:tr2bl w:val="nil"/>
                  </w:tcBorders>
                  <w:vAlign w:val="center"/>
                </w:tcPr>
                <w:p>
                  <w:pPr>
                    <w:jc w:val="center"/>
                    <w:rPr>
                      <w:color w:val="auto"/>
                      <w:szCs w:val="21"/>
                    </w:rPr>
                  </w:pPr>
                  <w:r>
                    <w:rPr>
                      <w:rFonts w:hint="eastAsia"/>
                      <w:color w:val="auto"/>
                      <w:szCs w:val="21"/>
                    </w:rPr>
                    <w:t>0.600</w:t>
                  </w:r>
                </w:p>
              </w:tc>
              <w:tc>
                <w:tcPr>
                  <w:tcW w:w="946" w:type="dxa"/>
                  <w:tcBorders>
                    <w:tl2br w:val="nil"/>
                    <w:tr2bl w:val="nil"/>
                  </w:tcBorders>
                  <w:vAlign w:val="center"/>
                </w:tcPr>
                <w:p>
                  <w:pPr>
                    <w:jc w:val="center"/>
                    <w:rPr>
                      <w:color w:val="auto"/>
                      <w:szCs w:val="21"/>
                    </w:rPr>
                  </w:pPr>
                  <w:r>
                    <w:rPr>
                      <w:rFonts w:hint="eastAsia"/>
                      <w:color w:val="auto"/>
                      <w:szCs w:val="21"/>
                    </w:rPr>
                    <w:t>0.594</w:t>
                  </w:r>
                </w:p>
              </w:tc>
              <w:tc>
                <w:tcPr>
                  <w:tcW w:w="1038" w:type="dxa"/>
                  <w:tcBorders>
                    <w:tl2br w:val="nil"/>
                    <w:tr2bl w:val="nil"/>
                  </w:tcBorders>
                  <w:vAlign w:val="center"/>
                </w:tcPr>
                <w:p>
                  <w:pPr>
                    <w:jc w:val="center"/>
                    <w:rPr>
                      <w:color w:val="auto"/>
                      <w:szCs w:val="21"/>
                    </w:rPr>
                  </w:pPr>
                  <w:r>
                    <w:rPr>
                      <w:rFonts w:hint="eastAsia"/>
                      <w:color w:val="auto"/>
                      <w:szCs w:val="21"/>
                    </w:rPr>
                    <w:t>0.596</w:t>
                  </w:r>
                </w:p>
              </w:tc>
              <w:tc>
                <w:tcPr>
                  <w:tcW w:w="1039" w:type="dxa"/>
                  <w:tcBorders>
                    <w:tl2br w:val="nil"/>
                    <w:tr2bl w:val="nil"/>
                  </w:tcBorders>
                  <w:vAlign w:val="center"/>
                </w:tcPr>
                <w:p>
                  <w:pPr>
                    <w:jc w:val="center"/>
                    <w:rPr>
                      <w:color w:val="auto"/>
                      <w:szCs w:val="21"/>
                    </w:rPr>
                  </w:pPr>
                  <w:r>
                    <w:rPr>
                      <w:rFonts w:hint="eastAsia"/>
                      <w:color w:val="auto"/>
                      <w:szCs w:val="21"/>
                    </w:rPr>
                    <w:t>0.761</w:t>
                  </w:r>
                </w:p>
              </w:tc>
              <w:tc>
                <w:tcPr>
                  <w:tcW w:w="1039" w:type="dxa"/>
                  <w:tcBorders>
                    <w:tl2br w:val="nil"/>
                    <w:tr2bl w:val="nil"/>
                  </w:tcBorders>
                  <w:vAlign w:val="center"/>
                </w:tcPr>
                <w:p>
                  <w:pPr>
                    <w:jc w:val="center"/>
                    <w:rPr>
                      <w:color w:val="auto"/>
                      <w:szCs w:val="21"/>
                    </w:rPr>
                  </w:pPr>
                  <w:r>
                    <w:rPr>
                      <w:rFonts w:hint="eastAsia"/>
                      <w:color w:val="auto"/>
                      <w:szCs w:val="21"/>
                    </w:rPr>
                    <w:t>0.778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总磷</w:t>
                  </w:r>
                </w:p>
              </w:tc>
              <w:tc>
                <w:tcPr>
                  <w:tcW w:w="915" w:type="dxa"/>
                  <w:tcBorders>
                    <w:tl2br w:val="nil"/>
                    <w:tr2bl w:val="nil"/>
                  </w:tcBorders>
                  <w:vAlign w:val="center"/>
                </w:tcPr>
                <w:p>
                  <w:pPr>
                    <w:jc w:val="center"/>
                    <w:rPr>
                      <w:color w:val="auto"/>
                      <w:szCs w:val="21"/>
                    </w:rPr>
                  </w:pPr>
                  <w:r>
                    <w:rPr>
                      <w:rFonts w:hint="eastAsia"/>
                      <w:color w:val="auto"/>
                      <w:szCs w:val="21"/>
                    </w:rPr>
                    <w:t>0.190</w:t>
                  </w:r>
                </w:p>
              </w:tc>
              <w:tc>
                <w:tcPr>
                  <w:tcW w:w="990" w:type="dxa"/>
                  <w:tcBorders>
                    <w:tl2br w:val="nil"/>
                    <w:tr2bl w:val="nil"/>
                  </w:tcBorders>
                  <w:vAlign w:val="center"/>
                </w:tcPr>
                <w:p>
                  <w:pPr>
                    <w:jc w:val="center"/>
                    <w:rPr>
                      <w:color w:val="auto"/>
                      <w:szCs w:val="21"/>
                    </w:rPr>
                  </w:pPr>
                  <w:r>
                    <w:rPr>
                      <w:rFonts w:hint="eastAsia"/>
                      <w:color w:val="auto"/>
                      <w:szCs w:val="21"/>
                    </w:rPr>
                    <w:t>0.177</w:t>
                  </w:r>
                </w:p>
              </w:tc>
              <w:tc>
                <w:tcPr>
                  <w:tcW w:w="946" w:type="dxa"/>
                  <w:tcBorders>
                    <w:tl2br w:val="nil"/>
                    <w:tr2bl w:val="nil"/>
                  </w:tcBorders>
                  <w:vAlign w:val="center"/>
                </w:tcPr>
                <w:p>
                  <w:pPr>
                    <w:jc w:val="center"/>
                    <w:rPr>
                      <w:color w:val="auto"/>
                      <w:szCs w:val="21"/>
                    </w:rPr>
                  </w:pPr>
                  <w:r>
                    <w:rPr>
                      <w:rFonts w:hint="eastAsia"/>
                      <w:color w:val="auto"/>
                      <w:szCs w:val="21"/>
                    </w:rPr>
                    <w:t>0.167</w:t>
                  </w:r>
                </w:p>
              </w:tc>
              <w:tc>
                <w:tcPr>
                  <w:tcW w:w="1038" w:type="dxa"/>
                  <w:tcBorders>
                    <w:tl2br w:val="nil"/>
                    <w:tr2bl w:val="nil"/>
                  </w:tcBorders>
                  <w:vAlign w:val="center"/>
                </w:tcPr>
                <w:p>
                  <w:pPr>
                    <w:jc w:val="center"/>
                    <w:rPr>
                      <w:color w:val="auto"/>
                      <w:szCs w:val="21"/>
                    </w:rPr>
                  </w:pPr>
                  <w:r>
                    <w:rPr>
                      <w:rFonts w:hint="eastAsia"/>
                      <w:color w:val="auto"/>
                      <w:szCs w:val="21"/>
                    </w:rPr>
                    <w:t>0.184</w:t>
                  </w:r>
                </w:p>
              </w:tc>
              <w:tc>
                <w:tcPr>
                  <w:tcW w:w="1039" w:type="dxa"/>
                  <w:tcBorders>
                    <w:tl2br w:val="nil"/>
                    <w:tr2bl w:val="nil"/>
                  </w:tcBorders>
                  <w:vAlign w:val="center"/>
                </w:tcPr>
                <w:p>
                  <w:pPr>
                    <w:jc w:val="center"/>
                    <w:rPr>
                      <w:color w:val="auto"/>
                      <w:szCs w:val="21"/>
                    </w:rPr>
                  </w:pPr>
                  <w:r>
                    <w:rPr>
                      <w:rFonts w:hint="eastAsia"/>
                      <w:color w:val="auto"/>
                      <w:szCs w:val="21"/>
                    </w:rPr>
                    <w:t>0.179</w:t>
                  </w:r>
                </w:p>
              </w:tc>
              <w:tc>
                <w:tcPr>
                  <w:tcW w:w="1039" w:type="dxa"/>
                  <w:tcBorders>
                    <w:tl2br w:val="nil"/>
                    <w:tr2bl w:val="nil"/>
                  </w:tcBorders>
                  <w:vAlign w:val="center"/>
                </w:tcPr>
                <w:p>
                  <w:pPr>
                    <w:jc w:val="center"/>
                    <w:rPr>
                      <w:color w:val="auto"/>
                      <w:szCs w:val="21"/>
                    </w:rPr>
                  </w:pPr>
                  <w:r>
                    <w:rPr>
                      <w:rFonts w:hint="eastAsia"/>
                      <w:color w:val="auto"/>
                      <w:szCs w:val="21"/>
                    </w:rPr>
                    <w:t>0.187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vMerge w:val="continue"/>
                  <w:tcBorders>
                    <w:tl2br w:val="nil"/>
                    <w:tr2bl w:val="nil"/>
                  </w:tcBorders>
                  <w:vAlign w:val="center"/>
                </w:tcPr>
                <w:p>
                  <w:pPr>
                    <w:jc w:val="center"/>
                    <w:rPr>
                      <w:color w:val="auto"/>
                      <w:szCs w:val="21"/>
                    </w:rPr>
                  </w:pPr>
                </w:p>
              </w:tc>
              <w:tc>
                <w:tcPr>
                  <w:tcW w:w="1391" w:type="dxa"/>
                  <w:tcBorders>
                    <w:tl2br w:val="nil"/>
                    <w:tr2bl w:val="nil"/>
                  </w:tcBorders>
                  <w:vAlign w:val="center"/>
                </w:tcPr>
                <w:p>
                  <w:pPr>
                    <w:jc w:val="center"/>
                    <w:rPr>
                      <w:color w:val="auto"/>
                      <w:szCs w:val="21"/>
                    </w:rPr>
                  </w:pPr>
                  <w:r>
                    <w:rPr>
                      <w:color w:val="auto"/>
                      <w:szCs w:val="21"/>
                    </w:rPr>
                    <w:t>动植物油</w:t>
                  </w:r>
                  <w:r>
                    <w:rPr>
                      <w:rFonts w:hint="eastAsia"/>
                      <w:color w:val="auto"/>
                      <w:szCs w:val="21"/>
                    </w:rPr>
                    <w:t>类</w:t>
                  </w:r>
                </w:p>
              </w:tc>
              <w:tc>
                <w:tcPr>
                  <w:tcW w:w="915" w:type="dxa"/>
                  <w:tcBorders>
                    <w:tl2br w:val="nil"/>
                    <w:tr2bl w:val="nil"/>
                  </w:tcBorders>
                  <w:vAlign w:val="center"/>
                </w:tcPr>
                <w:p>
                  <w:pPr>
                    <w:jc w:val="center"/>
                    <w:rPr>
                      <w:color w:val="auto"/>
                      <w:szCs w:val="21"/>
                    </w:rPr>
                  </w:pPr>
                  <w:r>
                    <w:rPr>
                      <w:rFonts w:hint="eastAsia"/>
                      <w:color w:val="auto"/>
                      <w:szCs w:val="21"/>
                    </w:rPr>
                    <w:t>0.18</w:t>
                  </w:r>
                </w:p>
              </w:tc>
              <w:tc>
                <w:tcPr>
                  <w:tcW w:w="990" w:type="dxa"/>
                  <w:tcBorders>
                    <w:tl2br w:val="nil"/>
                    <w:tr2bl w:val="nil"/>
                  </w:tcBorders>
                  <w:vAlign w:val="center"/>
                </w:tcPr>
                <w:p>
                  <w:pPr>
                    <w:jc w:val="center"/>
                    <w:rPr>
                      <w:color w:val="auto"/>
                      <w:szCs w:val="21"/>
                    </w:rPr>
                  </w:pPr>
                  <w:r>
                    <w:rPr>
                      <w:rFonts w:hint="eastAsia"/>
                      <w:color w:val="auto"/>
                      <w:szCs w:val="21"/>
                    </w:rPr>
                    <w:t>0.17</w:t>
                  </w:r>
                </w:p>
              </w:tc>
              <w:tc>
                <w:tcPr>
                  <w:tcW w:w="946" w:type="dxa"/>
                  <w:tcBorders>
                    <w:tl2br w:val="nil"/>
                    <w:tr2bl w:val="nil"/>
                  </w:tcBorders>
                  <w:vAlign w:val="center"/>
                </w:tcPr>
                <w:p>
                  <w:pPr>
                    <w:jc w:val="center"/>
                    <w:rPr>
                      <w:color w:val="auto"/>
                      <w:szCs w:val="21"/>
                    </w:rPr>
                  </w:pPr>
                  <w:r>
                    <w:rPr>
                      <w:rFonts w:hint="eastAsia"/>
                      <w:color w:val="auto"/>
                      <w:szCs w:val="21"/>
                    </w:rPr>
                    <w:t>0.11</w:t>
                  </w:r>
                </w:p>
              </w:tc>
              <w:tc>
                <w:tcPr>
                  <w:tcW w:w="1038" w:type="dxa"/>
                  <w:tcBorders>
                    <w:tl2br w:val="nil"/>
                    <w:tr2bl w:val="nil"/>
                  </w:tcBorders>
                  <w:vAlign w:val="center"/>
                </w:tcPr>
                <w:p>
                  <w:pPr>
                    <w:jc w:val="center"/>
                    <w:rPr>
                      <w:color w:val="auto"/>
                      <w:szCs w:val="21"/>
                    </w:rPr>
                  </w:pPr>
                  <w:r>
                    <w:rPr>
                      <w:rFonts w:hint="eastAsia"/>
                      <w:color w:val="auto"/>
                      <w:szCs w:val="21"/>
                    </w:rPr>
                    <w:t>0.10</w:t>
                  </w:r>
                </w:p>
              </w:tc>
              <w:tc>
                <w:tcPr>
                  <w:tcW w:w="1039" w:type="dxa"/>
                  <w:tcBorders>
                    <w:tl2br w:val="nil"/>
                    <w:tr2bl w:val="nil"/>
                  </w:tcBorders>
                  <w:vAlign w:val="center"/>
                </w:tcPr>
                <w:p>
                  <w:pPr>
                    <w:jc w:val="center"/>
                    <w:rPr>
                      <w:color w:val="auto"/>
                      <w:szCs w:val="21"/>
                    </w:rPr>
                  </w:pPr>
                  <w:r>
                    <w:rPr>
                      <w:rFonts w:hint="eastAsia"/>
                      <w:color w:val="auto"/>
                      <w:szCs w:val="21"/>
                    </w:rPr>
                    <w:t>0.10</w:t>
                  </w:r>
                </w:p>
              </w:tc>
              <w:tc>
                <w:tcPr>
                  <w:tcW w:w="1039" w:type="dxa"/>
                  <w:tcBorders>
                    <w:tl2br w:val="nil"/>
                    <w:tr2bl w:val="nil"/>
                  </w:tcBorders>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tcBorders>
                    <w:tl2br w:val="nil"/>
                    <w:tr2bl w:val="nil"/>
                  </w:tcBorders>
                  <w:vAlign w:val="center"/>
                </w:tcPr>
                <w:p>
                  <w:pPr>
                    <w:jc w:val="center"/>
                    <w:rPr>
                      <w:color w:val="auto"/>
                      <w:szCs w:val="21"/>
                    </w:rPr>
                  </w:pPr>
                  <w:r>
                    <w:rPr>
                      <w:rFonts w:hint="eastAsia"/>
                      <w:color w:val="auto"/>
                      <w:szCs w:val="21"/>
                    </w:rPr>
                    <w:t>执行标准</w:t>
                  </w:r>
                </w:p>
              </w:tc>
              <w:tc>
                <w:tcPr>
                  <w:tcW w:w="7358" w:type="dxa"/>
                  <w:gridSpan w:val="7"/>
                  <w:tcBorders>
                    <w:tl2br w:val="nil"/>
                    <w:tr2bl w:val="nil"/>
                  </w:tcBorders>
                  <w:vAlign w:val="center"/>
                </w:tcPr>
                <w:p>
                  <w:pPr>
                    <w:rPr>
                      <w:color w:val="auto"/>
                      <w:szCs w:val="21"/>
                    </w:rPr>
                  </w:pPr>
                  <w:r>
                    <w:rPr>
                      <w:color w:val="auto"/>
                      <w:szCs w:val="21"/>
                    </w:rPr>
                    <w:t>《地表水环境质量标准》（GB3838-2002）Ⅳ类标准</w:t>
                  </w:r>
                  <w:r>
                    <w:rPr>
                      <w:rFonts w:hint="eastAsia"/>
                      <w:color w:val="auto"/>
                      <w:szCs w:val="21"/>
                    </w:rPr>
                    <w:t>和</w:t>
                  </w:r>
                  <w:r>
                    <w:rPr>
                      <w:color w:val="auto"/>
                      <w:szCs w:val="21"/>
                    </w:rPr>
                    <w:t>《地表水资源质量标准》</w:t>
                  </w:r>
                </w:p>
                <w:p>
                  <w:pPr>
                    <w:jc w:val="center"/>
                    <w:rPr>
                      <w:color w:val="auto"/>
                      <w:szCs w:val="21"/>
                    </w:rPr>
                  </w:pPr>
                  <w:r>
                    <w:rPr>
                      <w:color w:val="auto"/>
                      <w:szCs w:val="21"/>
                    </w:rPr>
                    <w:t>（SL63-94）</w:t>
                  </w:r>
                  <w:r>
                    <w:rPr>
                      <w:rFonts w:hint="eastAsia"/>
                      <w:color w:val="auto"/>
                      <w:szCs w:val="21"/>
                    </w:rPr>
                    <w:t>四级标准：pH：6~9（无量纲）；COD：30mg/L；NH</w:t>
                  </w:r>
                  <w:r>
                    <w:rPr>
                      <w:rFonts w:hint="eastAsia"/>
                      <w:color w:val="auto"/>
                      <w:szCs w:val="21"/>
                      <w:vertAlign w:val="subscript"/>
                    </w:rPr>
                    <w:t>3</w:t>
                  </w:r>
                  <w:r>
                    <w:rPr>
                      <w:rFonts w:hint="eastAsia"/>
                      <w:color w:val="auto"/>
                      <w:szCs w:val="21"/>
                    </w:rPr>
                    <w:t>-H：1.5mg/L；TP：0.3mg/L；SS：60mg/L</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949" w:type="dxa"/>
                  <w:tcBorders>
                    <w:tl2br w:val="nil"/>
                    <w:tr2bl w:val="nil"/>
                  </w:tcBorders>
                  <w:vAlign w:val="center"/>
                </w:tcPr>
                <w:p>
                  <w:pPr>
                    <w:jc w:val="center"/>
                    <w:rPr>
                      <w:color w:val="auto"/>
                      <w:szCs w:val="21"/>
                    </w:rPr>
                  </w:pPr>
                  <w:r>
                    <w:rPr>
                      <w:color w:val="auto"/>
                      <w:szCs w:val="21"/>
                    </w:rPr>
                    <w:t>备注</w:t>
                  </w:r>
                </w:p>
              </w:tc>
              <w:tc>
                <w:tcPr>
                  <w:tcW w:w="7358" w:type="dxa"/>
                  <w:gridSpan w:val="7"/>
                  <w:tcBorders>
                    <w:tl2br w:val="nil"/>
                    <w:tr2bl w:val="nil"/>
                  </w:tcBorders>
                  <w:vAlign w:val="center"/>
                </w:tcPr>
                <w:p>
                  <w:pPr>
                    <w:jc w:val="center"/>
                    <w:rPr>
                      <w:color w:val="auto"/>
                      <w:szCs w:val="21"/>
                    </w:rPr>
                  </w:pPr>
                  <w:r>
                    <w:rPr>
                      <w:color w:val="auto"/>
                      <w:szCs w:val="21"/>
                    </w:rPr>
                    <w:t>引用历史检测数据，报告编号：CQHH181200</w:t>
                  </w:r>
                  <w:r>
                    <w:rPr>
                      <w:rFonts w:hint="eastAsia"/>
                      <w:color w:val="auto"/>
                      <w:szCs w:val="21"/>
                    </w:rPr>
                    <w:t>，</w:t>
                  </w:r>
                  <w:r>
                    <w:rPr>
                      <w:color w:val="auto"/>
                      <w:szCs w:val="21"/>
                    </w:rPr>
                    <w:t>引用历史点位名称为尧塘河W1金坛</w:t>
                  </w:r>
                  <w:r>
                    <w:rPr>
                      <w:rFonts w:hint="eastAsia"/>
                      <w:color w:val="auto"/>
                      <w:szCs w:val="21"/>
                    </w:rPr>
                    <w:t>区</w:t>
                  </w:r>
                  <w:r>
                    <w:rPr>
                      <w:color w:val="auto"/>
                      <w:szCs w:val="21"/>
                    </w:rPr>
                    <w:t>第二污水处理厂上游500m、W2金坛</w:t>
                  </w:r>
                  <w:r>
                    <w:rPr>
                      <w:rFonts w:hint="eastAsia"/>
                      <w:color w:val="auto"/>
                      <w:szCs w:val="21"/>
                    </w:rPr>
                    <w:t>区</w:t>
                  </w:r>
                  <w:r>
                    <w:rPr>
                      <w:color w:val="auto"/>
                      <w:szCs w:val="21"/>
                    </w:rPr>
                    <w:t>第二污水处理厂下游1000m</w:t>
                  </w:r>
                </w:p>
              </w:tc>
            </w:tr>
          </w:tbl>
          <w:p>
            <w:pPr>
              <w:spacing w:line="360" w:lineRule="auto"/>
              <w:ind w:firstLine="480" w:firstLineChars="200"/>
              <w:textAlignment w:val="baseline"/>
              <w:rPr>
                <w:color w:val="auto"/>
                <w:sz w:val="24"/>
                <w:szCs w:val="24"/>
              </w:rPr>
            </w:pPr>
            <w:r>
              <w:rPr>
                <w:color w:val="auto"/>
                <w:sz w:val="24"/>
                <w:szCs w:val="24"/>
              </w:rPr>
              <w:t>监测数据表明，尧塘河现状监测因子均能满足《地表水环境质量标准》（GB3838-2002）中Ⅳ类标准。因此，项目地表水评价范围水环境水质良好，达Ⅳ类功能区要求。</w:t>
            </w:r>
          </w:p>
          <w:p>
            <w:pPr>
              <w:spacing w:line="360" w:lineRule="auto"/>
              <w:ind w:firstLine="480" w:firstLineChars="200"/>
              <w:textAlignment w:val="baseline"/>
              <w:rPr>
                <w:b/>
                <w:color w:val="auto"/>
                <w:kern w:val="28"/>
                <w:sz w:val="24"/>
              </w:rPr>
            </w:pPr>
            <w:r>
              <w:rPr>
                <w:b/>
                <w:color w:val="auto"/>
                <w:kern w:val="28"/>
                <w:sz w:val="24"/>
              </w:rPr>
              <w:t>3、噪声环境质量现状</w:t>
            </w:r>
          </w:p>
          <w:p>
            <w:pPr>
              <w:spacing w:line="360" w:lineRule="auto"/>
              <w:ind w:firstLine="480" w:firstLineChars="200"/>
              <w:rPr>
                <w:color w:val="auto"/>
                <w:sz w:val="24"/>
                <w:szCs w:val="24"/>
              </w:rPr>
            </w:pPr>
            <w:r>
              <w:rPr>
                <w:color w:val="auto"/>
                <w:sz w:val="24"/>
                <w:szCs w:val="24"/>
              </w:rPr>
              <w:t>本项目委托青山绿水（江苏）检验检测有限公司对</w:t>
            </w:r>
            <w:r>
              <w:rPr>
                <w:rFonts w:hint="eastAsia"/>
                <w:color w:val="auto"/>
                <w:sz w:val="24"/>
                <w:szCs w:val="24"/>
                <w:lang w:eastAsia="zh-CN"/>
              </w:rPr>
              <w:t>常州科荣经编有限公司厂界四周</w:t>
            </w:r>
            <w:r>
              <w:rPr>
                <w:color w:val="auto"/>
                <w:sz w:val="24"/>
                <w:szCs w:val="24"/>
              </w:rPr>
              <w:t>声环境质量现状进行检测，监测时间为</w:t>
            </w:r>
            <w:r>
              <w:rPr>
                <w:rFonts w:hint="eastAsia"/>
                <w:color w:val="auto"/>
                <w:sz w:val="24"/>
                <w:szCs w:val="24"/>
              </w:rPr>
              <w:t>2020</w:t>
            </w:r>
            <w:r>
              <w:rPr>
                <w:color w:val="auto"/>
                <w:sz w:val="24"/>
                <w:szCs w:val="24"/>
              </w:rPr>
              <w:t>年</w:t>
            </w:r>
            <w:r>
              <w:rPr>
                <w:rFonts w:hint="eastAsia"/>
                <w:color w:val="auto"/>
                <w:sz w:val="24"/>
                <w:szCs w:val="24"/>
                <w:lang w:val="en-US" w:eastAsia="zh-CN"/>
              </w:rPr>
              <w:t>11</w:t>
            </w:r>
            <w:r>
              <w:rPr>
                <w:color w:val="auto"/>
                <w:sz w:val="24"/>
                <w:szCs w:val="24"/>
              </w:rPr>
              <w:t>月</w:t>
            </w:r>
            <w:r>
              <w:rPr>
                <w:rFonts w:hint="eastAsia"/>
                <w:color w:val="auto"/>
                <w:sz w:val="24"/>
                <w:szCs w:val="24"/>
                <w:lang w:val="en-US" w:eastAsia="zh-CN"/>
              </w:rPr>
              <w:t>04</w:t>
            </w:r>
            <w:r>
              <w:rPr>
                <w:color w:val="auto"/>
                <w:sz w:val="24"/>
                <w:szCs w:val="24"/>
              </w:rPr>
              <w:t>日</w:t>
            </w:r>
            <w:r>
              <w:rPr>
                <w:rFonts w:hint="eastAsia"/>
                <w:color w:val="auto"/>
                <w:sz w:val="24"/>
                <w:szCs w:val="24"/>
              </w:rPr>
              <w:t>-2020</w:t>
            </w:r>
            <w:r>
              <w:rPr>
                <w:color w:val="auto"/>
                <w:sz w:val="24"/>
                <w:szCs w:val="24"/>
              </w:rPr>
              <w:t>年</w:t>
            </w:r>
            <w:r>
              <w:rPr>
                <w:rFonts w:hint="eastAsia"/>
                <w:color w:val="auto"/>
                <w:sz w:val="24"/>
                <w:szCs w:val="24"/>
                <w:lang w:val="en-US" w:eastAsia="zh-CN"/>
              </w:rPr>
              <w:t>11</w:t>
            </w:r>
            <w:r>
              <w:rPr>
                <w:color w:val="auto"/>
                <w:sz w:val="24"/>
                <w:szCs w:val="24"/>
              </w:rPr>
              <w:t>月</w:t>
            </w:r>
            <w:r>
              <w:rPr>
                <w:rFonts w:hint="eastAsia"/>
                <w:color w:val="auto"/>
                <w:sz w:val="24"/>
                <w:szCs w:val="24"/>
                <w:lang w:val="en-US" w:eastAsia="zh-CN"/>
              </w:rPr>
              <w:t>06</w:t>
            </w:r>
            <w:r>
              <w:rPr>
                <w:color w:val="auto"/>
                <w:sz w:val="24"/>
                <w:szCs w:val="24"/>
              </w:rPr>
              <w:t>日。监测数据如下表3-</w:t>
            </w:r>
            <w:r>
              <w:rPr>
                <w:rFonts w:hint="eastAsia"/>
                <w:color w:val="auto"/>
                <w:sz w:val="24"/>
                <w:szCs w:val="24"/>
              </w:rPr>
              <w:t>5</w:t>
            </w:r>
            <w:r>
              <w:rPr>
                <w:color w:val="auto"/>
                <w:sz w:val="24"/>
                <w:szCs w:val="24"/>
              </w:rPr>
              <w:t>（检测报告见附件</w:t>
            </w:r>
            <w:r>
              <w:rPr>
                <w:rFonts w:hint="eastAsia"/>
                <w:color w:val="auto"/>
                <w:sz w:val="24"/>
                <w:szCs w:val="24"/>
              </w:rPr>
              <w:t>，编号为CQHH200</w:t>
            </w:r>
            <w:r>
              <w:rPr>
                <w:rFonts w:hint="eastAsia"/>
                <w:color w:val="auto"/>
                <w:sz w:val="24"/>
                <w:szCs w:val="24"/>
                <w:lang w:val="en-US" w:eastAsia="zh-CN"/>
              </w:rPr>
              <w:t>016</w:t>
            </w:r>
            <w:r>
              <w:rPr>
                <w:color w:val="auto"/>
                <w:sz w:val="24"/>
                <w:szCs w:val="24"/>
              </w:rPr>
              <w:t>）。</w:t>
            </w:r>
          </w:p>
          <w:p>
            <w:pPr>
              <w:spacing w:line="440" w:lineRule="exact"/>
              <w:ind w:firstLine="445" w:firstLineChars="212"/>
              <w:jc w:val="center"/>
              <w:rPr>
                <w:b/>
                <w:color w:val="auto"/>
                <w:szCs w:val="21"/>
              </w:rPr>
            </w:pPr>
            <w:r>
              <w:rPr>
                <w:b/>
                <w:color w:val="auto"/>
                <w:szCs w:val="21"/>
              </w:rPr>
              <w:t>表3-</w:t>
            </w:r>
            <w:r>
              <w:rPr>
                <w:rFonts w:hint="eastAsia"/>
                <w:b/>
                <w:color w:val="auto"/>
                <w:szCs w:val="21"/>
              </w:rPr>
              <w:t>5</w:t>
            </w:r>
            <w:r>
              <w:rPr>
                <w:b/>
                <w:color w:val="auto"/>
                <w:szCs w:val="21"/>
              </w:rPr>
              <w:t xml:space="preserve">  噪声现状监测结果  单位：dB（A）</w:t>
            </w:r>
          </w:p>
          <w:tbl>
            <w:tblPr>
              <w:tblStyle w:val="56"/>
              <w:tblW w:w="831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08"/>
              <w:gridCol w:w="1747"/>
              <w:gridCol w:w="1943"/>
              <w:gridCol w:w="2190"/>
              <w:gridCol w:w="738"/>
              <w:gridCol w:w="88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Align w:val="center"/>
                </w:tcPr>
                <w:p>
                  <w:pPr>
                    <w:spacing w:line="320" w:lineRule="exact"/>
                    <w:jc w:val="center"/>
                    <w:rPr>
                      <w:b/>
                      <w:color w:val="auto"/>
                      <w:szCs w:val="21"/>
                    </w:rPr>
                  </w:pPr>
                  <w:r>
                    <w:rPr>
                      <w:b/>
                      <w:color w:val="auto"/>
                      <w:szCs w:val="21"/>
                    </w:rPr>
                    <w:t>监测时段</w:t>
                  </w:r>
                </w:p>
              </w:tc>
              <w:tc>
                <w:tcPr>
                  <w:tcW w:w="1747" w:type="dxa"/>
                  <w:vAlign w:val="center"/>
                </w:tcPr>
                <w:p>
                  <w:pPr>
                    <w:spacing w:line="320" w:lineRule="exact"/>
                    <w:jc w:val="center"/>
                    <w:rPr>
                      <w:b/>
                      <w:color w:val="auto"/>
                      <w:szCs w:val="21"/>
                    </w:rPr>
                  </w:pPr>
                  <w:r>
                    <w:rPr>
                      <w:b/>
                      <w:color w:val="auto"/>
                      <w:szCs w:val="21"/>
                    </w:rPr>
                    <w:t>监测点位</w:t>
                  </w:r>
                </w:p>
              </w:tc>
              <w:tc>
                <w:tcPr>
                  <w:tcW w:w="1943" w:type="dxa"/>
                  <w:vAlign w:val="center"/>
                </w:tcPr>
                <w:p>
                  <w:pPr>
                    <w:spacing w:line="320" w:lineRule="exact"/>
                    <w:jc w:val="center"/>
                    <w:rPr>
                      <w:b/>
                      <w:color w:val="auto"/>
                      <w:szCs w:val="21"/>
                    </w:rPr>
                  </w:pPr>
                  <w:r>
                    <w:rPr>
                      <w:rFonts w:hint="eastAsia"/>
                      <w:color w:val="auto"/>
                      <w:sz w:val="24"/>
                      <w:szCs w:val="24"/>
                      <w:lang w:val="en-US" w:eastAsia="zh-CN"/>
                    </w:rPr>
                    <w:t>11</w:t>
                  </w:r>
                  <w:r>
                    <w:rPr>
                      <w:color w:val="auto"/>
                      <w:sz w:val="24"/>
                      <w:szCs w:val="24"/>
                    </w:rPr>
                    <w:t>月</w:t>
                  </w:r>
                  <w:r>
                    <w:rPr>
                      <w:rFonts w:hint="eastAsia"/>
                      <w:color w:val="auto"/>
                      <w:sz w:val="24"/>
                      <w:szCs w:val="24"/>
                      <w:lang w:val="en-US" w:eastAsia="zh-CN"/>
                    </w:rPr>
                    <w:t>04</w:t>
                  </w:r>
                  <w:r>
                    <w:rPr>
                      <w:color w:val="auto"/>
                      <w:sz w:val="24"/>
                      <w:szCs w:val="24"/>
                    </w:rPr>
                    <w:t>日</w:t>
                  </w:r>
                  <w:r>
                    <w:rPr>
                      <w:rFonts w:hint="eastAsia"/>
                      <w:color w:val="auto"/>
                      <w:sz w:val="24"/>
                      <w:szCs w:val="24"/>
                    </w:rPr>
                    <w:t>-</w:t>
                  </w:r>
                  <w:r>
                    <w:rPr>
                      <w:rFonts w:hint="eastAsia"/>
                      <w:color w:val="auto"/>
                      <w:sz w:val="24"/>
                      <w:szCs w:val="24"/>
                      <w:lang w:val="en-US" w:eastAsia="zh-CN"/>
                    </w:rPr>
                    <w:t>05</w:t>
                  </w:r>
                  <w:r>
                    <w:rPr>
                      <w:rFonts w:hint="eastAsia"/>
                      <w:color w:val="auto"/>
                      <w:sz w:val="24"/>
                      <w:szCs w:val="24"/>
                    </w:rPr>
                    <w:t>日</w:t>
                  </w:r>
                </w:p>
              </w:tc>
              <w:tc>
                <w:tcPr>
                  <w:tcW w:w="2190" w:type="dxa"/>
                  <w:vAlign w:val="center"/>
                </w:tcPr>
                <w:p>
                  <w:pPr>
                    <w:spacing w:line="320" w:lineRule="exact"/>
                    <w:jc w:val="center"/>
                    <w:rPr>
                      <w:b/>
                      <w:color w:val="auto"/>
                      <w:szCs w:val="21"/>
                    </w:rPr>
                  </w:pPr>
                  <w:r>
                    <w:rPr>
                      <w:rFonts w:hint="eastAsia"/>
                      <w:color w:val="auto"/>
                      <w:sz w:val="24"/>
                      <w:szCs w:val="24"/>
                      <w:lang w:val="en-US" w:eastAsia="zh-CN"/>
                    </w:rPr>
                    <w:t>11</w:t>
                  </w:r>
                  <w:r>
                    <w:rPr>
                      <w:color w:val="auto"/>
                      <w:sz w:val="24"/>
                      <w:szCs w:val="24"/>
                    </w:rPr>
                    <w:t>月</w:t>
                  </w:r>
                  <w:r>
                    <w:rPr>
                      <w:rFonts w:hint="eastAsia"/>
                      <w:color w:val="auto"/>
                      <w:sz w:val="24"/>
                      <w:szCs w:val="24"/>
                      <w:lang w:val="en-US" w:eastAsia="zh-CN"/>
                    </w:rPr>
                    <w:t>05</w:t>
                  </w:r>
                  <w:r>
                    <w:rPr>
                      <w:color w:val="auto"/>
                      <w:sz w:val="24"/>
                      <w:szCs w:val="24"/>
                    </w:rPr>
                    <w:t>日</w:t>
                  </w:r>
                  <w:r>
                    <w:rPr>
                      <w:rFonts w:hint="eastAsia"/>
                      <w:color w:val="auto"/>
                      <w:sz w:val="24"/>
                      <w:szCs w:val="24"/>
                    </w:rPr>
                    <w:t>-</w:t>
                  </w:r>
                  <w:r>
                    <w:rPr>
                      <w:rFonts w:hint="eastAsia"/>
                      <w:color w:val="auto"/>
                      <w:sz w:val="24"/>
                      <w:szCs w:val="24"/>
                      <w:lang w:val="en-US" w:eastAsia="zh-CN"/>
                    </w:rPr>
                    <w:t>06</w:t>
                  </w:r>
                  <w:r>
                    <w:rPr>
                      <w:rFonts w:hint="eastAsia"/>
                      <w:color w:val="auto"/>
                      <w:sz w:val="24"/>
                      <w:szCs w:val="24"/>
                    </w:rPr>
                    <w:t>日</w:t>
                  </w:r>
                </w:p>
              </w:tc>
              <w:tc>
                <w:tcPr>
                  <w:tcW w:w="738" w:type="dxa"/>
                  <w:vAlign w:val="center"/>
                </w:tcPr>
                <w:p>
                  <w:pPr>
                    <w:spacing w:line="320" w:lineRule="exact"/>
                    <w:jc w:val="center"/>
                    <w:rPr>
                      <w:b/>
                      <w:color w:val="auto"/>
                      <w:szCs w:val="21"/>
                    </w:rPr>
                  </w:pPr>
                  <w:r>
                    <w:rPr>
                      <w:b/>
                      <w:color w:val="auto"/>
                      <w:szCs w:val="21"/>
                    </w:rPr>
                    <w:t>执行标准</w:t>
                  </w:r>
                </w:p>
              </w:tc>
              <w:tc>
                <w:tcPr>
                  <w:tcW w:w="886" w:type="dxa"/>
                  <w:vAlign w:val="center"/>
                </w:tcPr>
                <w:p>
                  <w:pPr>
                    <w:spacing w:line="320" w:lineRule="exact"/>
                    <w:jc w:val="center"/>
                    <w:rPr>
                      <w:b/>
                      <w:color w:val="auto"/>
                      <w:szCs w:val="21"/>
                    </w:rPr>
                  </w:pPr>
                  <w:r>
                    <w:rPr>
                      <w:b/>
                      <w:color w:val="auto"/>
                      <w:szCs w:val="21"/>
                    </w:rPr>
                    <w:t>是否超标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restart"/>
                  <w:vAlign w:val="center"/>
                </w:tcPr>
                <w:p>
                  <w:pPr>
                    <w:spacing w:line="320" w:lineRule="exact"/>
                    <w:jc w:val="center"/>
                    <w:rPr>
                      <w:color w:val="auto"/>
                      <w:szCs w:val="21"/>
                    </w:rPr>
                  </w:pPr>
                  <w:r>
                    <w:rPr>
                      <w:color w:val="auto"/>
                      <w:szCs w:val="21"/>
                    </w:rPr>
                    <w:t>昼间</w:t>
                  </w:r>
                </w:p>
              </w:tc>
              <w:tc>
                <w:tcPr>
                  <w:tcW w:w="1747" w:type="dxa"/>
                  <w:vAlign w:val="center"/>
                </w:tcPr>
                <w:p>
                  <w:pPr>
                    <w:spacing w:line="320" w:lineRule="exact"/>
                    <w:jc w:val="center"/>
                    <w:rPr>
                      <w:color w:val="auto"/>
                      <w:szCs w:val="21"/>
                    </w:rPr>
                  </w:pPr>
                  <w:r>
                    <w:rPr>
                      <w:color w:val="auto"/>
                      <w:szCs w:val="21"/>
                    </w:rPr>
                    <w:t>N1（东厂界）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55</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55</w:t>
                  </w:r>
                </w:p>
              </w:tc>
              <w:tc>
                <w:tcPr>
                  <w:tcW w:w="738" w:type="dxa"/>
                  <w:vMerge w:val="restart"/>
                  <w:vAlign w:val="center"/>
                </w:tcPr>
                <w:p>
                  <w:pPr>
                    <w:spacing w:line="320" w:lineRule="exact"/>
                    <w:jc w:val="center"/>
                    <w:rPr>
                      <w:rFonts w:hint="default" w:eastAsia="宋体"/>
                      <w:color w:val="auto"/>
                      <w:lang w:val="en-US" w:eastAsia="zh-CN"/>
                    </w:rPr>
                  </w:pPr>
                  <w:r>
                    <w:rPr>
                      <w:rFonts w:hint="eastAsia"/>
                      <w:color w:val="auto"/>
                      <w:lang w:val="en-US" w:eastAsia="zh-CN"/>
                    </w:rPr>
                    <w:t>60</w:t>
                  </w: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N2（南厂界）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54</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53</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N3（西厂界）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54</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54</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N4（北厂界）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53</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51</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08" w:type="dxa"/>
                  <w:vMerge w:val="restart"/>
                  <w:vAlign w:val="center"/>
                </w:tcPr>
                <w:p>
                  <w:pPr>
                    <w:spacing w:line="320" w:lineRule="exact"/>
                    <w:jc w:val="center"/>
                    <w:rPr>
                      <w:color w:val="auto"/>
                      <w:szCs w:val="21"/>
                    </w:rPr>
                  </w:pPr>
                  <w:r>
                    <w:rPr>
                      <w:color w:val="auto"/>
                      <w:szCs w:val="21"/>
                    </w:rPr>
                    <w:t>夜间</w:t>
                  </w:r>
                </w:p>
              </w:tc>
              <w:tc>
                <w:tcPr>
                  <w:tcW w:w="1747" w:type="dxa"/>
                  <w:vAlign w:val="center"/>
                </w:tcPr>
                <w:p>
                  <w:pPr>
                    <w:spacing w:line="320" w:lineRule="exact"/>
                    <w:jc w:val="center"/>
                    <w:rPr>
                      <w:color w:val="auto"/>
                      <w:szCs w:val="21"/>
                    </w:rPr>
                  </w:pPr>
                  <w:r>
                    <w:rPr>
                      <w:color w:val="auto"/>
                      <w:szCs w:val="21"/>
                    </w:rPr>
                    <w:t>N1（东厂界）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46</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46</w:t>
                  </w:r>
                </w:p>
              </w:tc>
              <w:tc>
                <w:tcPr>
                  <w:tcW w:w="738" w:type="dxa"/>
                  <w:vMerge w:val="restart"/>
                  <w:vAlign w:val="center"/>
                </w:tcPr>
                <w:p>
                  <w:pPr>
                    <w:spacing w:line="320" w:lineRule="exact"/>
                    <w:jc w:val="center"/>
                    <w:rPr>
                      <w:rFonts w:hint="default" w:eastAsia="宋体"/>
                      <w:color w:val="auto"/>
                      <w:szCs w:val="21"/>
                      <w:lang w:val="en-US" w:eastAsia="zh-CN"/>
                    </w:rPr>
                  </w:pPr>
                  <w:r>
                    <w:rPr>
                      <w:rFonts w:hint="eastAsia"/>
                      <w:color w:val="auto"/>
                      <w:szCs w:val="21"/>
                      <w:lang w:val="en-US" w:eastAsia="zh-CN"/>
                    </w:rPr>
                    <w:t>50</w:t>
                  </w: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N2（南厂界）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44</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45</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N3（西厂界）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43</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45</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Merge w:val="continue"/>
                  <w:vAlign w:val="center"/>
                </w:tcPr>
                <w:p>
                  <w:pPr>
                    <w:spacing w:line="320" w:lineRule="exact"/>
                    <w:jc w:val="center"/>
                    <w:rPr>
                      <w:color w:val="auto"/>
                      <w:szCs w:val="21"/>
                    </w:rPr>
                  </w:pPr>
                </w:p>
              </w:tc>
              <w:tc>
                <w:tcPr>
                  <w:tcW w:w="1747" w:type="dxa"/>
                  <w:vAlign w:val="center"/>
                </w:tcPr>
                <w:p>
                  <w:pPr>
                    <w:spacing w:line="320" w:lineRule="exact"/>
                    <w:jc w:val="center"/>
                    <w:rPr>
                      <w:color w:val="auto"/>
                      <w:szCs w:val="21"/>
                    </w:rPr>
                  </w:pPr>
                  <w:r>
                    <w:rPr>
                      <w:color w:val="auto"/>
                      <w:szCs w:val="21"/>
                    </w:rPr>
                    <w:t>N4（北厂界）</w:t>
                  </w:r>
                </w:p>
              </w:tc>
              <w:tc>
                <w:tcPr>
                  <w:tcW w:w="1943"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43</w:t>
                  </w:r>
                </w:p>
              </w:tc>
              <w:tc>
                <w:tcPr>
                  <w:tcW w:w="2190" w:type="dxa"/>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43</w:t>
                  </w:r>
                </w:p>
              </w:tc>
              <w:tc>
                <w:tcPr>
                  <w:tcW w:w="738" w:type="dxa"/>
                  <w:vMerge w:val="continue"/>
                  <w:vAlign w:val="center"/>
                </w:tcPr>
                <w:p>
                  <w:pPr>
                    <w:spacing w:line="320" w:lineRule="exact"/>
                    <w:jc w:val="center"/>
                    <w:rPr>
                      <w:color w:val="auto"/>
                      <w:szCs w:val="21"/>
                    </w:rPr>
                  </w:pPr>
                </w:p>
              </w:tc>
              <w:tc>
                <w:tcPr>
                  <w:tcW w:w="886" w:type="dxa"/>
                  <w:vAlign w:val="center"/>
                </w:tcPr>
                <w:p>
                  <w:pPr>
                    <w:spacing w:line="320" w:lineRule="exact"/>
                    <w:jc w:val="center"/>
                    <w:rPr>
                      <w:color w:val="auto"/>
                      <w:szCs w:val="21"/>
                    </w:rPr>
                  </w:pPr>
                  <w:r>
                    <w:rPr>
                      <w:color w:val="auto"/>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08" w:type="dxa"/>
                  <w:vAlign w:val="center"/>
                </w:tcPr>
                <w:p>
                  <w:pPr>
                    <w:spacing w:line="320" w:lineRule="exact"/>
                    <w:jc w:val="center"/>
                    <w:rPr>
                      <w:color w:val="auto"/>
                      <w:szCs w:val="21"/>
                    </w:rPr>
                  </w:pPr>
                  <w:r>
                    <w:rPr>
                      <w:rFonts w:hint="eastAsia"/>
                      <w:color w:val="auto"/>
                      <w:szCs w:val="21"/>
                    </w:rPr>
                    <w:t>备注</w:t>
                  </w:r>
                </w:p>
              </w:tc>
              <w:tc>
                <w:tcPr>
                  <w:tcW w:w="7504" w:type="dxa"/>
                  <w:gridSpan w:val="5"/>
                  <w:vAlign w:val="center"/>
                </w:tcPr>
                <w:p>
                  <w:pPr>
                    <w:spacing w:line="320" w:lineRule="exact"/>
                    <w:jc w:val="center"/>
                    <w:rPr>
                      <w:color w:val="auto"/>
                      <w:szCs w:val="21"/>
                    </w:rPr>
                  </w:pPr>
                  <w:r>
                    <w:rPr>
                      <w:rFonts w:hint="eastAsia"/>
                      <w:color w:val="auto"/>
                      <w:szCs w:val="21"/>
                    </w:rPr>
                    <w:t>检测期间：天气均为晴，风速2.3~2.</w:t>
                  </w:r>
                  <w:r>
                    <w:rPr>
                      <w:rFonts w:hint="eastAsia"/>
                      <w:color w:val="auto"/>
                      <w:szCs w:val="21"/>
                      <w:lang w:val="en-US" w:eastAsia="zh-CN"/>
                    </w:rPr>
                    <w:t>6</w:t>
                  </w:r>
                  <w:r>
                    <w:rPr>
                      <w:rFonts w:hint="eastAsia"/>
                      <w:color w:val="auto"/>
                      <w:szCs w:val="21"/>
                    </w:rPr>
                    <w:t>m/s。</w:t>
                  </w:r>
                </w:p>
              </w:tc>
            </w:tr>
          </w:tbl>
          <w:p>
            <w:pPr>
              <w:spacing w:line="360" w:lineRule="auto"/>
              <w:ind w:firstLine="508" w:firstLineChars="212"/>
              <w:rPr>
                <w:rFonts w:hint="eastAsia"/>
                <w:color w:val="auto"/>
                <w:kern w:val="0"/>
                <w:sz w:val="24"/>
                <w:szCs w:val="24"/>
                <w:lang w:eastAsia="zh-CN"/>
              </w:rPr>
            </w:pPr>
            <w:r>
              <w:rPr>
                <w:rFonts w:hint="eastAsia"/>
                <w:color w:val="auto"/>
                <w:sz w:val="24"/>
                <w:szCs w:val="24"/>
              </w:rPr>
              <w:t>根据上述监测数据可知，</w:t>
            </w:r>
            <w:r>
              <w:rPr>
                <w:rFonts w:hint="eastAsia"/>
                <w:color w:val="auto"/>
                <w:sz w:val="24"/>
                <w:szCs w:val="24"/>
                <w:lang w:eastAsia="zh-CN"/>
              </w:rPr>
              <w:t>常州科荣经编有限公司</w:t>
            </w:r>
            <w:r>
              <w:rPr>
                <w:color w:val="auto"/>
                <w:sz w:val="24"/>
                <w:szCs w:val="24"/>
              </w:rPr>
              <w:t>厂界四周声环境达到《声环境质量标准》（GB3096-2008）中的</w:t>
            </w:r>
            <w:r>
              <w:rPr>
                <w:rFonts w:hint="eastAsia"/>
                <w:color w:val="auto"/>
                <w:sz w:val="24"/>
                <w:szCs w:val="24"/>
                <w:lang w:val="en-US" w:eastAsia="zh-CN"/>
              </w:rPr>
              <w:t>2</w:t>
            </w:r>
            <w:r>
              <w:rPr>
                <w:color w:val="auto"/>
                <w:sz w:val="24"/>
                <w:szCs w:val="24"/>
              </w:rPr>
              <w:t>类</w:t>
            </w:r>
            <w:r>
              <w:rPr>
                <w:rFonts w:hint="eastAsia"/>
                <w:color w:val="auto"/>
                <w:sz w:val="24"/>
                <w:szCs w:val="24"/>
              </w:rPr>
              <w:t>区限值</w:t>
            </w:r>
            <w:r>
              <w:rPr>
                <w:color w:val="auto"/>
                <w:sz w:val="24"/>
                <w:szCs w:val="24"/>
              </w:rPr>
              <w:t>，</w:t>
            </w:r>
            <w:r>
              <w:rPr>
                <w:color w:val="auto"/>
                <w:kern w:val="0"/>
                <w:sz w:val="24"/>
                <w:szCs w:val="24"/>
              </w:rPr>
              <w:t>即：昼间≤6</w:t>
            </w:r>
            <w:r>
              <w:rPr>
                <w:rFonts w:hint="eastAsia"/>
                <w:color w:val="auto"/>
                <w:kern w:val="0"/>
                <w:sz w:val="24"/>
                <w:szCs w:val="24"/>
                <w:lang w:val="en-US" w:eastAsia="zh-CN"/>
              </w:rPr>
              <w:t>0</w:t>
            </w:r>
            <w:r>
              <w:rPr>
                <w:color w:val="auto"/>
                <w:kern w:val="0"/>
                <w:sz w:val="24"/>
                <w:szCs w:val="24"/>
              </w:rPr>
              <w:t>dB(A)、夜间≤5</w:t>
            </w:r>
            <w:r>
              <w:rPr>
                <w:rFonts w:hint="eastAsia"/>
                <w:color w:val="auto"/>
                <w:kern w:val="0"/>
                <w:sz w:val="24"/>
                <w:szCs w:val="24"/>
                <w:lang w:val="en-US" w:eastAsia="zh-CN"/>
              </w:rPr>
              <w:t>0</w:t>
            </w:r>
            <w:r>
              <w:rPr>
                <w:color w:val="auto"/>
                <w:kern w:val="0"/>
                <w:sz w:val="24"/>
                <w:szCs w:val="24"/>
              </w:rPr>
              <w:t>dB(A)</w:t>
            </w:r>
            <w:r>
              <w:rPr>
                <w:rFonts w:hint="eastAsia"/>
                <w:color w:val="auto"/>
                <w:kern w:val="0"/>
                <w:sz w:val="24"/>
                <w:szCs w:val="24"/>
                <w:lang w:eastAsia="zh-CN"/>
              </w:rPr>
              <w:t>。</w:t>
            </w:r>
          </w:p>
          <w:p>
            <w:pPr>
              <w:spacing w:line="360" w:lineRule="auto"/>
              <w:ind w:firstLine="480" w:firstLineChars="200"/>
              <w:textAlignment w:val="baseline"/>
              <w:rPr>
                <w:b/>
                <w:color w:val="auto"/>
                <w:kern w:val="28"/>
                <w:sz w:val="24"/>
              </w:rPr>
            </w:pPr>
            <w:r>
              <w:rPr>
                <w:rFonts w:hint="eastAsia"/>
                <w:b/>
                <w:bCs/>
                <w:color w:val="auto"/>
                <w:kern w:val="0"/>
                <w:sz w:val="24"/>
                <w:szCs w:val="24"/>
              </w:rPr>
              <w:t>4</w:t>
            </w:r>
            <w:r>
              <w:rPr>
                <w:b/>
                <w:bCs/>
                <w:color w:val="auto"/>
                <w:kern w:val="28"/>
                <w:sz w:val="24"/>
              </w:rPr>
              <w:t>、</w:t>
            </w:r>
            <w:r>
              <w:rPr>
                <w:rFonts w:hint="eastAsia"/>
                <w:b/>
                <w:color w:val="auto"/>
                <w:kern w:val="28"/>
                <w:sz w:val="24"/>
              </w:rPr>
              <w:t>土壤</w:t>
            </w:r>
            <w:r>
              <w:rPr>
                <w:b/>
                <w:color w:val="auto"/>
                <w:kern w:val="28"/>
                <w:sz w:val="24"/>
              </w:rPr>
              <w:t>环境质量现状</w:t>
            </w:r>
          </w:p>
          <w:p>
            <w:pPr>
              <w:numPr>
                <w:ilvl w:val="0"/>
                <w:numId w:val="0"/>
              </w:numPr>
              <w:spacing w:line="360" w:lineRule="auto"/>
              <w:ind w:firstLine="480" w:firstLineChars="200"/>
              <w:rPr>
                <w:rFonts w:hint="eastAsia" w:ascii="Times New Roman" w:hAnsi="Times New Roman" w:eastAsia="宋体" w:cs="Times New Roman"/>
                <w:color w:val="auto"/>
                <w:sz w:val="24"/>
                <w:szCs w:val="24"/>
                <w:lang w:val="en-US" w:eastAsia="zh-CN"/>
              </w:rPr>
            </w:pPr>
            <w:r>
              <w:rPr>
                <w:color w:val="auto"/>
                <w:sz w:val="24"/>
                <w:szCs w:val="24"/>
              </w:rPr>
              <w:t>本项目委托</w:t>
            </w:r>
            <w:r>
              <w:rPr>
                <w:rFonts w:hint="eastAsia"/>
                <w:color w:val="auto"/>
                <w:sz w:val="24"/>
                <w:szCs w:val="24"/>
                <w:lang w:eastAsia="zh-CN"/>
              </w:rPr>
              <w:t>青山绿水（江苏）检验检测有限公司</w:t>
            </w:r>
            <w:r>
              <w:rPr>
                <w:color w:val="auto"/>
                <w:sz w:val="24"/>
                <w:szCs w:val="24"/>
              </w:rPr>
              <w:t>对项目厂界</w:t>
            </w:r>
            <w:r>
              <w:rPr>
                <w:rFonts w:hint="eastAsia"/>
                <w:color w:val="auto"/>
                <w:sz w:val="24"/>
                <w:szCs w:val="24"/>
                <w:lang w:val="en-US" w:eastAsia="zh-CN"/>
              </w:rPr>
              <w:t>200m范围内</w:t>
            </w:r>
            <w:r>
              <w:rPr>
                <w:rFonts w:hint="eastAsia"/>
                <w:color w:val="auto"/>
                <w:sz w:val="24"/>
                <w:szCs w:val="24"/>
                <w:lang w:eastAsia="zh-CN"/>
              </w:rPr>
              <w:t>土壤现状进行检测</w:t>
            </w:r>
            <w:r>
              <w:rPr>
                <w:color w:val="auto"/>
                <w:sz w:val="24"/>
                <w:szCs w:val="24"/>
              </w:rPr>
              <w:t>，检测编号为：“</w:t>
            </w:r>
            <w:r>
              <w:rPr>
                <w:rFonts w:hint="eastAsia"/>
                <w:bCs/>
                <w:color w:val="auto"/>
                <w:sz w:val="24"/>
                <w:lang w:val="en-US" w:eastAsia="zh-CN"/>
              </w:rPr>
              <w:t>CQTH200016</w:t>
            </w:r>
            <w:r>
              <w:rPr>
                <w:color w:val="auto"/>
                <w:sz w:val="24"/>
                <w:szCs w:val="24"/>
              </w:rPr>
              <w:t>”</w:t>
            </w:r>
            <w:r>
              <w:rPr>
                <w:rFonts w:hint="eastAsia"/>
                <w:color w:val="auto"/>
                <w:sz w:val="24"/>
                <w:szCs w:val="24"/>
                <w:lang w:eastAsia="zh-CN"/>
              </w:rPr>
              <w:t>，</w:t>
            </w:r>
            <w:r>
              <w:rPr>
                <w:rFonts w:hint="eastAsia" w:ascii="Times New Roman" w:hAnsi="Times New Roman" w:eastAsia="宋体" w:cs="Times New Roman"/>
                <w:color w:val="auto"/>
                <w:sz w:val="24"/>
                <w:szCs w:val="24"/>
                <w:lang w:val="en-US" w:eastAsia="zh-CN"/>
              </w:rPr>
              <w:t>检测数据如下表3-6至表3-</w:t>
            </w:r>
            <w:r>
              <w:rPr>
                <w:rFonts w:hint="eastAsia" w:cs="Times New Roman"/>
                <w:color w:val="auto"/>
                <w:sz w:val="24"/>
                <w:szCs w:val="24"/>
                <w:lang w:val="en-US" w:eastAsia="zh-CN"/>
              </w:rPr>
              <w:t>9</w:t>
            </w:r>
            <w:r>
              <w:rPr>
                <w:rFonts w:hint="eastAsia" w:ascii="Times New Roman" w:hAnsi="Times New Roman" w:eastAsia="宋体" w:cs="Times New Roman"/>
                <w:color w:val="auto"/>
                <w:sz w:val="24"/>
                <w:szCs w:val="24"/>
                <w:lang w:val="en-US" w:eastAsia="zh-CN"/>
              </w:rPr>
              <w:t>（检测报告见附件）。</w:t>
            </w:r>
          </w:p>
          <w:p>
            <w:pPr>
              <w:tabs>
                <w:tab w:val="left" w:pos="6510"/>
              </w:tabs>
              <w:jc w:val="center"/>
              <w:rPr>
                <w:rFonts w:hint="eastAsia"/>
                <w:b/>
                <w:bCs/>
                <w:color w:val="auto"/>
                <w:szCs w:val="21"/>
              </w:rPr>
            </w:pPr>
            <w:r>
              <w:rPr>
                <w:rFonts w:hint="eastAsia"/>
                <w:b/>
                <w:bCs/>
                <w:color w:val="auto"/>
                <w:szCs w:val="21"/>
              </w:rPr>
              <w:t>表3-6  土壤</w:t>
            </w:r>
            <w:r>
              <w:rPr>
                <w:rFonts w:hint="eastAsia"/>
                <w:b/>
                <w:bCs/>
                <w:color w:val="auto"/>
                <w:szCs w:val="21"/>
                <w:lang w:val="en-US" w:eastAsia="zh-CN"/>
              </w:rPr>
              <w:t>石油烃（C</w:t>
            </w:r>
            <w:r>
              <w:rPr>
                <w:rFonts w:hint="eastAsia"/>
                <w:b/>
                <w:bCs/>
                <w:color w:val="auto"/>
                <w:szCs w:val="21"/>
                <w:vertAlign w:val="subscript"/>
                <w:lang w:val="en-US" w:eastAsia="zh-CN"/>
              </w:rPr>
              <w:t>10</w:t>
            </w:r>
            <w:r>
              <w:rPr>
                <w:rFonts w:hint="eastAsia"/>
                <w:b/>
                <w:bCs/>
                <w:color w:val="auto"/>
                <w:szCs w:val="21"/>
                <w:lang w:val="en-US" w:eastAsia="zh-CN"/>
              </w:rPr>
              <w:t>-C</w:t>
            </w:r>
            <w:r>
              <w:rPr>
                <w:rFonts w:hint="eastAsia"/>
                <w:b/>
                <w:bCs/>
                <w:color w:val="auto"/>
                <w:szCs w:val="21"/>
                <w:vertAlign w:val="subscript"/>
                <w:lang w:val="en-US" w:eastAsia="zh-CN"/>
              </w:rPr>
              <w:t>40</w:t>
            </w:r>
            <w:r>
              <w:rPr>
                <w:rFonts w:hint="eastAsia"/>
                <w:b/>
                <w:bCs/>
                <w:color w:val="auto"/>
                <w:szCs w:val="21"/>
                <w:lang w:val="en-US" w:eastAsia="zh-CN"/>
              </w:rPr>
              <w:t>）</w:t>
            </w:r>
            <w:r>
              <w:rPr>
                <w:rFonts w:hint="eastAsia"/>
                <w:b/>
                <w:bCs/>
                <w:color w:val="auto"/>
                <w:szCs w:val="21"/>
              </w:rPr>
              <w:t>现状检测结果</w:t>
            </w:r>
          </w:p>
          <w:tbl>
            <w:tblPr>
              <w:tblStyle w:val="57"/>
              <w:tblW w:w="0" w:type="auto"/>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55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vMerge w:val="restart"/>
                  <w:tcBorders>
                    <w:tl2br w:val="nil"/>
                    <w:tr2bl w:val="nil"/>
                  </w:tcBorders>
                  <w:vAlign w:val="center"/>
                </w:tcPr>
                <w:p>
                  <w:pPr>
                    <w:pStyle w:val="2"/>
                    <w:jc w:val="center"/>
                    <w:rPr>
                      <w:rFonts w:hint="default" w:eastAsia="宋体"/>
                      <w:b/>
                      <w:bCs/>
                      <w:color w:val="auto"/>
                      <w:szCs w:val="21"/>
                      <w:vertAlign w:val="baseline"/>
                      <w:lang w:val="en-US" w:eastAsia="zh-CN"/>
                    </w:rPr>
                  </w:pPr>
                  <w:r>
                    <w:rPr>
                      <w:rFonts w:hint="eastAsia"/>
                      <w:b/>
                      <w:bCs/>
                      <w:color w:val="auto"/>
                      <w:szCs w:val="21"/>
                      <w:vertAlign w:val="baseline"/>
                      <w:lang w:val="en-US" w:eastAsia="zh-CN"/>
                    </w:rPr>
                    <w:t>采样地点</w:t>
                  </w:r>
                </w:p>
              </w:tc>
              <w:tc>
                <w:tcPr>
                  <w:tcW w:w="5534" w:type="dxa"/>
                  <w:tcBorders>
                    <w:tl2br w:val="nil"/>
                    <w:tr2bl w:val="nil"/>
                  </w:tcBorders>
                  <w:vAlign w:val="center"/>
                </w:tcPr>
                <w:p>
                  <w:pPr>
                    <w:pStyle w:val="2"/>
                    <w:jc w:val="center"/>
                    <w:rPr>
                      <w:rFonts w:hint="eastAsia"/>
                      <w:b/>
                      <w:bCs/>
                      <w:color w:val="auto"/>
                      <w:szCs w:val="21"/>
                      <w:vertAlign w:val="baseline"/>
                    </w:rPr>
                  </w:pPr>
                  <w:r>
                    <w:rPr>
                      <w:rFonts w:hint="eastAsia"/>
                      <w:b/>
                      <w:bCs/>
                      <w:color w:val="auto"/>
                      <w:szCs w:val="21"/>
                      <w:vertAlign w:val="baseline"/>
                      <w:lang w:val="en-US" w:eastAsia="zh-CN"/>
                    </w:rPr>
                    <w:t>检测结果（mg/kg）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vMerge w:val="continue"/>
                  <w:tcBorders>
                    <w:tl2br w:val="nil"/>
                    <w:tr2bl w:val="nil"/>
                  </w:tcBorders>
                  <w:vAlign w:val="center"/>
                </w:tcPr>
                <w:p>
                  <w:pPr>
                    <w:pStyle w:val="2"/>
                    <w:jc w:val="center"/>
                    <w:rPr>
                      <w:rFonts w:hint="eastAsia"/>
                      <w:b/>
                      <w:bCs/>
                      <w:color w:val="auto"/>
                      <w:szCs w:val="21"/>
                      <w:vertAlign w:val="baseline"/>
                      <w:lang w:val="en-US" w:eastAsia="zh-CN"/>
                    </w:rPr>
                  </w:pPr>
                </w:p>
              </w:tc>
              <w:tc>
                <w:tcPr>
                  <w:tcW w:w="5534" w:type="dxa"/>
                  <w:tcBorders>
                    <w:tl2br w:val="nil"/>
                    <w:tr2bl w:val="nil"/>
                  </w:tcBorders>
                  <w:vAlign w:val="center"/>
                </w:tcPr>
                <w:p>
                  <w:pPr>
                    <w:pStyle w:val="2"/>
                    <w:jc w:val="center"/>
                    <w:rPr>
                      <w:rFonts w:hint="eastAsia"/>
                      <w:b/>
                      <w:bCs/>
                      <w:color w:val="auto"/>
                      <w:szCs w:val="21"/>
                      <w:vertAlign w:val="baseline"/>
                    </w:rPr>
                  </w:pPr>
                  <w:r>
                    <w:rPr>
                      <w:rFonts w:hint="eastAsia"/>
                      <w:b/>
                      <w:bCs/>
                      <w:color w:val="auto"/>
                      <w:szCs w:val="21"/>
                      <w:vertAlign w:val="baseline"/>
                      <w:lang w:val="en-US" w:eastAsia="zh-CN"/>
                    </w:rPr>
                    <w:t>采样日期：2020年11月04日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T1（0-0.5m）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b w:val="0"/>
                      <w:bCs w:val="0"/>
                      <w:color w:val="auto"/>
                      <w:szCs w:val="21"/>
                      <w:vertAlign w:val="baseline"/>
                      <w:lang w:val="en-US" w:eastAsia="zh-CN"/>
                    </w:rPr>
                  </w:pPr>
                  <w:r>
                    <w:rPr>
                      <w:rFonts w:hint="eastAsia"/>
                      <w:b w:val="0"/>
                      <w:bCs w:val="0"/>
                      <w:color w:val="auto"/>
                      <w:szCs w:val="21"/>
                      <w:vertAlign w:val="baseline"/>
                      <w:lang w:val="en-US" w:eastAsia="zh-CN"/>
                    </w:rPr>
                    <w:t>T1（0.5-1.5m）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b w:val="0"/>
                      <w:bCs w:val="0"/>
                      <w:color w:val="auto"/>
                      <w:szCs w:val="21"/>
                      <w:vertAlign w:val="baseline"/>
                      <w:lang w:val="en-US" w:eastAsia="zh-CN"/>
                    </w:rPr>
                  </w:pPr>
                  <w:r>
                    <w:rPr>
                      <w:rFonts w:hint="eastAsia"/>
                      <w:b w:val="0"/>
                      <w:bCs w:val="0"/>
                      <w:color w:val="auto"/>
                      <w:szCs w:val="21"/>
                      <w:vertAlign w:val="baseline"/>
                      <w:lang w:val="en-US" w:eastAsia="zh-CN"/>
                    </w:rPr>
                    <w:t>T1（1.5-3.0m）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T2（0-0.5m）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117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T2（0.5-1.5m）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T2（1.5-3.0m）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T3（0-0.5m）</w:t>
                  </w:r>
                </w:p>
              </w:tc>
              <w:tc>
                <w:tcPr>
                  <w:tcW w:w="5534" w:type="dxa"/>
                  <w:tcBorders>
                    <w:tl2br w:val="nil"/>
                    <w:tr2bl w:val="nil"/>
                  </w:tcBorders>
                  <w:vAlign w:val="center"/>
                </w:tcPr>
                <w:p>
                  <w:pPr>
                    <w:pStyle w:val="2"/>
                    <w:jc w:val="center"/>
                    <w:rPr>
                      <w:rFonts w:hint="eastAsia" w:eastAsia="宋体"/>
                      <w:b w:val="0"/>
                      <w:bCs w:val="0"/>
                      <w:color w:val="auto"/>
                      <w:szCs w:val="21"/>
                      <w:vertAlign w:val="baseline"/>
                      <w:lang w:val="en-US" w:eastAsia="zh-CN"/>
                    </w:rPr>
                  </w:pPr>
                  <w:r>
                    <w:rPr>
                      <w:rFonts w:hint="eastAsia"/>
                      <w:b w:val="0"/>
                      <w:bCs w:val="0"/>
                      <w:color w:val="auto"/>
                      <w:szCs w:val="21"/>
                      <w:vertAlign w:val="baseline"/>
                      <w:lang w:val="en-US" w:eastAsia="zh-CN"/>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trPr>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T3（0.5-1.5m）</w:t>
                  </w:r>
                </w:p>
              </w:tc>
              <w:tc>
                <w:tcPr>
                  <w:tcW w:w="5534" w:type="dxa"/>
                  <w:tcBorders>
                    <w:tl2br w:val="nil"/>
                    <w:tr2bl w:val="nil"/>
                  </w:tcBorders>
                  <w:vAlign w:val="center"/>
                </w:tcPr>
                <w:p>
                  <w:pPr>
                    <w:pStyle w:val="2"/>
                    <w:jc w:val="center"/>
                    <w:rPr>
                      <w:rFonts w:hint="eastAsia" w:eastAsia="宋体"/>
                      <w:b w:val="0"/>
                      <w:bCs w:val="0"/>
                      <w:color w:val="auto"/>
                      <w:szCs w:val="21"/>
                      <w:vertAlign w:val="baseline"/>
                      <w:lang w:val="en-US" w:eastAsia="zh-CN"/>
                    </w:rPr>
                  </w:pPr>
                  <w:r>
                    <w:rPr>
                      <w:rFonts w:hint="eastAsia"/>
                      <w:b w:val="0"/>
                      <w:bCs w:val="0"/>
                      <w:color w:val="auto"/>
                      <w:szCs w:val="21"/>
                      <w:vertAlign w:val="baseline"/>
                      <w:lang w:val="en-US" w:eastAsia="zh-CN"/>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T3（1.5-3.0m）</w:t>
                  </w:r>
                </w:p>
              </w:tc>
              <w:tc>
                <w:tcPr>
                  <w:tcW w:w="5534" w:type="dxa"/>
                  <w:tcBorders>
                    <w:tl2br w:val="nil"/>
                    <w:tr2bl w:val="nil"/>
                  </w:tcBorders>
                  <w:vAlign w:val="center"/>
                </w:tcPr>
                <w:p>
                  <w:pPr>
                    <w:pStyle w:val="2"/>
                    <w:jc w:val="center"/>
                    <w:rPr>
                      <w:rFonts w:hint="eastAsia" w:eastAsia="宋体"/>
                      <w:b w:val="0"/>
                      <w:bCs w:val="0"/>
                      <w:color w:val="auto"/>
                      <w:szCs w:val="21"/>
                      <w:vertAlign w:val="baseline"/>
                      <w:lang w:val="en-US" w:eastAsia="zh-CN"/>
                    </w:rPr>
                  </w:pPr>
                  <w:r>
                    <w:rPr>
                      <w:rFonts w:hint="eastAsia"/>
                      <w:b w:val="0"/>
                      <w:bCs w:val="0"/>
                      <w:color w:val="auto"/>
                      <w:szCs w:val="21"/>
                      <w:vertAlign w:val="baseline"/>
                      <w:lang w:val="en-US" w:eastAsia="zh-CN"/>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768" w:type="dxa"/>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T4（0-0.2m）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T5（0-0.2m）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val="0"/>
                      <w:bCs w:val="0"/>
                      <w:color w:val="auto"/>
                      <w:szCs w:val="21"/>
                      <w:vertAlign w:val="baseline"/>
                      <w:lang w:val="en-US" w:eastAsia="zh-CN"/>
                    </w:rPr>
                  </w:pPr>
                  <w:r>
                    <w:rPr>
                      <w:rFonts w:hint="eastAsia"/>
                      <w:b w:val="0"/>
                      <w:bCs w:val="0"/>
                      <w:color w:val="auto"/>
                      <w:szCs w:val="21"/>
                      <w:vertAlign w:val="baseline"/>
                      <w:lang w:val="en-US" w:eastAsia="zh-CN"/>
                    </w:rPr>
                    <w:t>T6（0-0.2m）</w:t>
                  </w:r>
                </w:p>
              </w:tc>
              <w:tc>
                <w:tcPr>
                  <w:tcW w:w="5534" w:type="dxa"/>
                  <w:tcBorders>
                    <w:tl2br w:val="nil"/>
                    <w:tr2bl w:val="nil"/>
                  </w:tcBorders>
                  <w:vAlign w:val="center"/>
                </w:tcPr>
                <w:p>
                  <w:pPr>
                    <w:pStyle w:val="2"/>
                    <w:jc w:val="center"/>
                    <w:rPr>
                      <w:rFonts w:hint="default" w:eastAsia="宋体"/>
                      <w:b w:val="0"/>
                      <w:bCs w:val="0"/>
                      <w:color w:val="auto"/>
                      <w:szCs w:val="21"/>
                      <w:vertAlign w:val="baseline"/>
                      <w:lang w:val="en-US" w:eastAsia="zh-CN"/>
                    </w:rPr>
                  </w:pPr>
                  <w:r>
                    <w:rPr>
                      <w:rFonts w:hint="eastAsia"/>
                      <w:b w:val="0"/>
                      <w:bCs w:val="0"/>
                      <w:color w:val="auto"/>
                      <w:szCs w:val="21"/>
                      <w:vertAlign w:val="baseline"/>
                      <w:lang w:val="en-US" w:eastAsia="zh-CN"/>
                    </w:rPr>
                    <w:t>23</w:t>
                  </w:r>
                </w:p>
              </w:tc>
            </w:tr>
          </w:tbl>
          <w:p>
            <w:pPr>
              <w:pStyle w:val="2"/>
              <w:rPr>
                <w:rFonts w:hint="eastAsia"/>
                <w:b/>
                <w:bCs/>
                <w:color w:val="auto"/>
                <w:szCs w:val="21"/>
              </w:rPr>
            </w:pPr>
          </w:p>
          <w:p>
            <w:pPr>
              <w:tabs>
                <w:tab w:val="left" w:pos="6510"/>
              </w:tabs>
              <w:jc w:val="center"/>
              <w:rPr>
                <w:rFonts w:hint="eastAsia"/>
                <w:b/>
                <w:bCs/>
                <w:color w:val="auto"/>
                <w:szCs w:val="21"/>
              </w:rPr>
            </w:pPr>
            <w:r>
              <w:rPr>
                <w:rFonts w:hint="eastAsia"/>
                <w:b/>
                <w:bCs/>
                <w:color w:val="auto"/>
                <w:szCs w:val="21"/>
              </w:rPr>
              <w:t>表3-</w:t>
            </w:r>
            <w:r>
              <w:rPr>
                <w:rFonts w:hint="eastAsia"/>
                <w:b/>
                <w:bCs/>
                <w:color w:val="auto"/>
                <w:szCs w:val="21"/>
                <w:lang w:val="en-US" w:eastAsia="zh-CN"/>
              </w:rPr>
              <w:t>7</w:t>
            </w:r>
            <w:r>
              <w:rPr>
                <w:rFonts w:hint="eastAsia"/>
                <w:b/>
                <w:bCs/>
                <w:color w:val="auto"/>
                <w:szCs w:val="21"/>
              </w:rPr>
              <w:t xml:space="preserve">  土壤现状检测结果</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64"/>
              <w:gridCol w:w="525"/>
              <w:gridCol w:w="626"/>
              <w:gridCol w:w="1504"/>
              <w:gridCol w:w="1485"/>
              <w:gridCol w:w="1455"/>
              <w:gridCol w:w="18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519" w:type="pct"/>
                  <w:vMerge w:val="restart"/>
                  <w:vAlign w:val="center"/>
                </w:tcPr>
                <w:p>
                  <w:pPr>
                    <w:jc w:val="center"/>
                    <w:rPr>
                      <w:b/>
                      <w:bCs/>
                      <w:color w:val="auto"/>
                      <w:szCs w:val="21"/>
                    </w:rPr>
                  </w:pPr>
                  <w:r>
                    <w:rPr>
                      <w:rFonts w:hint="eastAsia"/>
                      <w:b/>
                      <w:bCs/>
                      <w:color w:val="auto"/>
                      <w:szCs w:val="21"/>
                    </w:rPr>
                    <w:t>采样日期：</w:t>
                  </w:r>
                </w:p>
              </w:tc>
              <w:tc>
                <w:tcPr>
                  <w:tcW w:w="315" w:type="pct"/>
                  <w:vMerge w:val="restart"/>
                  <w:vAlign w:val="center"/>
                </w:tcPr>
                <w:p>
                  <w:pPr>
                    <w:jc w:val="center"/>
                    <w:rPr>
                      <w:b/>
                      <w:bCs/>
                      <w:color w:val="auto"/>
                      <w:szCs w:val="21"/>
                    </w:rPr>
                  </w:pPr>
                  <w:r>
                    <w:rPr>
                      <w:rFonts w:hint="eastAsia"/>
                      <w:b/>
                      <w:bCs/>
                      <w:color w:val="auto"/>
                      <w:szCs w:val="21"/>
                      <w:lang w:eastAsia="zh-CN"/>
                    </w:rPr>
                    <w:t>检测项目</w:t>
                  </w:r>
                </w:p>
              </w:tc>
              <w:tc>
                <w:tcPr>
                  <w:tcW w:w="376" w:type="pct"/>
                  <w:vMerge w:val="restart"/>
                  <w:vAlign w:val="center"/>
                </w:tcPr>
                <w:p>
                  <w:pPr>
                    <w:jc w:val="center"/>
                    <w:rPr>
                      <w:rFonts w:hint="eastAsia" w:eastAsia="宋体"/>
                      <w:b/>
                      <w:bCs/>
                      <w:color w:val="auto"/>
                      <w:szCs w:val="21"/>
                      <w:lang w:eastAsia="zh-CN"/>
                    </w:rPr>
                  </w:pPr>
                  <w:r>
                    <w:rPr>
                      <w:rFonts w:hint="eastAsia"/>
                      <w:b/>
                      <w:bCs/>
                      <w:color w:val="auto"/>
                      <w:szCs w:val="21"/>
                      <w:lang w:eastAsia="zh-CN"/>
                    </w:rPr>
                    <w:t>检出限</w:t>
                  </w:r>
                </w:p>
              </w:tc>
              <w:tc>
                <w:tcPr>
                  <w:tcW w:w="3787" w:type="pct"/>
                  <w:gridSpan w:val="4"/>
                  <w:vAlign w:val="center"/>
                </w:tcPr>
                <w:p>
                  <w:pPr>
                    <w:jc w:val="center"/>
                    <w:rPr>
                      <w:rFonts w:hint="eastAsia"/>
                      <w:b/>
                      <w:bCs/>
                      <w:color w:val="auto"/>
                      <w:szCs w:val="21"/>
                    </w:rPr>
                  </w:pPr>
                  <w:r>
                    <w:rPr>
                      <w:rFonts w:hint="eastAsia"/>
                      <w:b/>
                      <w:bCs/>
                      <w:color w:val="auto"/>
                      <w:szCs w:val="21"/>
                    </w:rPr>
                    <w:t>检测结果（mg/kg）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jc w:val="center"/>
                    <w:rPr>
                      <w:b/>
                      <w:bCs/>
                      <w:color w:val="auto"/>
                      <w:szCs w:val="21"/>
                    </w:rPr>
                  </w:pPr>
                </w:p>
              </w:tc>
              <w:tc>
                <w:tcPr>
                  <w:tcW w:w="315" w:type="pct"/>
                  <w:vMerge w:val="continue"/>
                  <w:vAlign w:val="center"/>
                </w:tcPr>
                <w:p>
                  <w:pPr>
                    <w:jc w:val="center"/>
                    <w:rPr>
                      <w:b/>
                      <w:bCs/>
                      <w:color w:val="auto"/>
                      <w:szCs w:val="21"/>
                    </w:rPr>
                  </w:pPr>
                </w:p>
              </w:tc>
              <w:tc>
                <w:tcPr>
                  <w:tcW w:w="376" w:type="pct"/>
                  <w:vMerge w:val="continue"/>
                  <w:vAlign w:val="center"/>
                </w:tcPr>
                <w:p>
                  <w:pPr>
                    <w:jc w:val="center"/>
                    <w:rPr>
                      <w:rFonts w:hint="eastAsia"/>
                      <w:b/>
                      <w:bCs/>
                      <w:color w:val="auto"/>
                      <w:szCs w:val="21"/>
                    </w:rPr>
                  </w:pPr>
                </w:p>
              </w:tc>
              <w:tc>
                <w:tcPr>
                  <w:tcW w:w="905" w:type="pct"/>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T1（0-0.5m）</w:t>
                  </w:r>
                </w:p>
              </w:tc>
              <w:tc>
                <w:tcPr>
                  <w:tcW w:w="893" w:type="pct"/>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T1（0.5-1.5m）</w:t>
                  </w:r>
                </w:p>
              </w:tc>
              <w:tc>
                <w:tcPr>
                  <w:tcW w:w="875" w:type="pct"/>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T1（1.5-3.0m）</w:t>
                  </w:r>
                </w:p>
              </w:tc>
              <w:tc>
                <w:tcPr>
                  <w:tcW w:w="1113" w:type="pct"/>
                  <w:vAlign w:val="center"/>
                </w:tcPr>
                <w:p>
                  <w:pPr>
                    <w:jc w:val="center"/>
                    <w:rPr>
                      <w:rFonts w:hint="eastAsia"/>
                      <w:b/>
                      <w:bCs/>
                      <w:color w:val="auto"/>
                      <w:szCs w:val="21"/>
                      <w:vertAlign w:val="baseline"/>
                      <w:lang w:val="en-US" w:eastAsia="zh-CN"/>
                    </w:rPr>
                  </w:pPr>
                  <w:r>
                    <w:rPr>
                      <w:rFonts w:hint="eastAsia"/>
                      <w:b/>
                      <w:bCs/>
                      <w:color w:val="auto"/>
                      <w:szCs w:val="21"/>
                      <w:vertAlign w:val="baseline"/>
                      <w:lang w:val="en-US" w:eastAsia="zh-CN"/>
                    </w:rPr>
                    <w:t>T5（0-0.2m）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restart"/>
                  <w:vAlign w:val="center"/>
                </w:tcPr>
                <w:p>
                  <w:pPr>
                    <w:spacing w:before="62" w:beforeLines="20" w:after="62" w:afterLines="20"/>
                    <w:jc w:val="center"/>
                    <w:rPr>
                      <w:rFonts w:hint="default" w:eastAsia="宋体"/>
                      <w:color w:val="auto"/>
                      <w:szCs w:val="21"/>
                      <w:lang w:val="en-US" w:eastAsia="zh-CN"/>
                    </w:rPr>
                  </w:pPr>
                  <w:r>
                    <w:rPr>
                      <w:rFonts w:hint="eastAsia"/>
                      <w:b/>
                      <w:bCs/>
                      <w:color w:val="auto"/>
                      <w:szCs w:val="21"/>
                    </w:rPr>
                    <w:t>20</w:t>
                  </w:r>
                  <w:r>
                    <w:rPr>
                      <w:rFonts w:hint="eastAsia"/>
                      <w:b/>
                      <w:bCs/>
                      <w:color w:val="auto"/>
                      <w:szCs w:val="21"/>
                      <w:lang w:val="en-US" w:eastAsia="zh-CN"/>
                    </w:rPr>
                    <w:t>20</w:t>
                  </w:r>
                  <w:r>
                    <w:rPr>
                      <w:rFonts w:hint="eastAsia"/>
                      <w:b/>
                      <w:bCs/>
                      <w:color w:val="auto"/>
                      <w:szCs w:val="21"/>
                    </w:rPr>
                    <w:t>年</w:t>
                  </w:r>
                  <w:r>
                    <w:rPr>
                      <w:rFonts w:hint="eastAsia"/>
                      <w:b/>
                      <w:bCs/>
                      <w:color w:val="auto"/>
                      <w:szCs w:val="21"/>
                      <w:lang w:val="en-US" w:eastAsia="zh-CN"/>
                    </w:rPr>
                    <w:t>11</w:t>
                  </w:r>
                  <w:r>
                    <w:rPr>
                      <w:rFonts w:hint="eastAsia"/>
                      <w:b/>
                      <w:bCs/>
                      <w:color w:val="auto"/>
                      <w:szCs w:val="21"/>
                    </w:rPr>
                    <w:t>月</w:t>
                  </w:r>
                  <w:r>
                    <w:rPr>
                      <w:rFonts w:hint="eastAsia"/>
                      <w:b/>
                      <w:bCs/>
                      <w:color w:val="auto"/>
                      <w:szCs w:val="21"/>
                      <w:lang w:val="en-US" w:eastAsia="zh-CN"/>
                    </w:rPr>
                    <w:t>04</w:t>
                  </w:r>
                  <w:r>
                    <w:rPr>
                      <w:rFonts w:hint="eastAsia"/>
                      <w:b/>
                      <w:bCs/>
                      <w:color w:val="auto"/>
                      <w:szCs w:val="21"/>
                    </w:rPr>
                    <w:t>日</w:t>
                  </w:r>
                </w:p>
              </w:tc>
              <w:tc>
                <w:tcPr>
                  <w:tcW w:w="315"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pH值</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7.47</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7.91</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7.85</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7.72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color w:val="auto"/>
                      <w:szCs w:val="21"/>
                    </w:rPr>
                  </w:pPr>
                </w:p>
              </w:tc>
              <w:tc>
                <w:tcPr>
                  <w:tcW w:w="315" w:type="pct"/>
                  <w:vAlign w:val="center"/>
                </w:tcPr>
                <w:p>
                  <w:pPr>
                    <w:spacing w:before="62" w:beforeLines="20" w:after="62" w:afterLines="20"/>
                    <w:jc w:val="center"/>
                    <w:rPr>
                      <w:rFonts w:ascii="Times New Roman" w:hAnsi="Times New Roman" w:eastAsia="宋体" w:cs="Times New Roman"/>
                      <w:color w:val="auto"/>
                      <w:kern w:val="2"/>
                      <w:sz w:val="21"/>
                      <w:szCs w:val="21"/>
                      <w:lang w:val="en-US" w:eastAsia="zh-CN" w:bidi="ar-SA"/>
                    </w:rPr>
                  </w:pPr>
                  <w:r>
                    <w:rPr>
                      <w:rFonts w:hint="eastAsia"/>
                      <w:b/>
                      <w:bCs/>
                      <w:color w:val="auto"/>
                      <w:szCs w:val="21"/>
                    </w:rPr>
                    <w:t>铜</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33</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27</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29</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rFonts w:hint="default"/>
                      <w:color w:val="auto"/>
                      <w:szCs w:val="21"/>
                      <w:lang w:val="en-US"/>
                    </w:rPr>
                  </w:pPr>
                </w:p>
              </w:tc>
              <w:tc>
                <w:tcPr>
                  <w:tcW w:w="315"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b/>
                      <w:bCs/>
                      <w:color w:val="auto"/>
                      <w:szCs w:val="21"/>
                    </w:rPr>
                    <w:t>镍</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0.3</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36</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35</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38</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rFonts w:hint="eastAsia" w:eastAsia="宋体"/>
                      <w:color w:val="auto"/>
                      <w:szCs w:val="21"/>
                      <w:lang w:eastAsia="zh-CN"/>
                    </w:rPr>
                  </w:pPr>
                </w:p>
              </w:tc>
              <w:tc>
                <w:tcPr>
                  <w:tcW w:w="315" w:type="pct"/>
                  <w:vAlign w:val="center"/>
                </w:tcPr>
                <w:p>
                  <w:pPr>
                    <w:spacing w:before="62" w:beforeLines="20" w:after="62" w:afterLines="20"/>
                    <w:jc w:val="center"/>
                    <w:rPr>
                      <w:rFonts w:hint="eastAsia" w:ascii="Times New Roman" w:hAnsi="Times New Roman" w:eastAsia="宋体" w:cs="Times New Roman"/>
                      <w:color w:val="auto"/>
                      <w:kern w:val="2"/>
                      <w:sz w:val="21"/>
                      <w:szCs w:val="21"/>
                      <w:lang w:val="en-US" w:eastAsia="zh-CN" w:bidi="ar-SA"/>
                    </w:rPr>
                  </w:pPr>
                  <w:r>
                    <w:rPr>
                      <w:rFonts w:hint="eastAsia"/>
                      <w:b/>
                      <w:bCs/>
                      <w:color w:val="auto"/>
                      <w:szCs w:val="21"/>
                    </w:rPr>
                    <w:t>铅</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0.1</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22.1</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20.1</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21.9</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21.8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519" w:type="pct"/>
                  <w:vMerge w:val="continue"/>
                  <w:vAlign w:val="center"/>
                </w:tcPr>
                <w:p>
                  <w:pPr>
                    <w:spacing w:before="62" w:beforeLines="20" w:after="62" w:afterLines="20"/>
                    <w:jc w:val="center"/>
                    <w:rPr>
                      <w:rFonts w:hint="eastAsia"/>
                      <w:color w:val="auto"/>
                      <w:szCs w:val="21"/>
                      <w:lang w:eastAsia="zh-CN"/>
                    </w:rPr>
                  </w:pPr>
                </w:p>
              </w:tc>
              <w:tc>
                <w:tcPr>
                  <w:tcW w:w="315" w:type="pct"/>
                  <w:vAlign w:val="center"/>
                </w:tcPr>
                <w:p>
                  <w:pPr>
                    <w:spacing w:before="62" w:beforeLines="20" w:after="62" w:afterLines="20"/>
                    <w:jc w:val="center"/>
                    <w:rPr>
                      <w:rFonts w:hint="eastAsia" w:ascii="Times New Roman" w:hAnsi="Times New Roman" w:eastAsia="宋体" w:cs="Times New Roman"/>
                      <w:color w:val="auto"/>
                      <w:kern w:val="2"/>
                      <w:sz w:val="21"/>
                      <w:szCs w:val="21"/>
                      <w:lang w:val="en-US" w:eastAsia="zh-CN" w:bidi="ar-SA"/>
                    </w:rPr>
                  </w:pPr>
                  <w:r>
                    <w:rPr>
                      <w:rFonts w:hint="eastAsia"/>
                      <w:b/>
                      <w:bCs/>
                      <w:color w:val="auto"/>
                      <w:szCs w:val="21"/>
                    </w:rPr>
                    <w:t>镉</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0.01</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0.12</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0.11</w:t>
                  </w:r>
                </w:p>
              </w:tc>
              <w:tc>
                <w:tcPr>
                  <w:tcW w:w="875" w:type="pct"/>
                  <w:vAlign w:val="center"/>
                </w:tcPr>
                <w:p>
                  <w:pPr>
                    <w:pStyle w:val="21"/>
                    <w:jc w:val="center"/>
                    <w:rPr>
                      <w:rFonts w:hint="default"/>
                      <w:color w:val="auto"/>
                      <w:lang w:val="en-US" w:eastAsia="zh-CN"/>
                    </w:rPr>
                  </w:pPr>
                  <w:r>
                    <w:rPr>
                      <w:rFonts w:hint="eastAsia"/>
                      <w:color w:val="auto"/>
                      <w:lang w:val="en-US" w:eastAsia="zh-CN"/>
                    </w:rPr>
                    <w:t>0.12</w:t>
                  </w:r>
                </w:p>
              </w:tc>
              <w:tc>
                <w:tcPr>
                  <w:tcW w:w="1113" w:type="pct"/>
                  <w:vAlign w:val="center"/>
                </w:tcPr>
                <w:p>
                  <w:pPr>
                    <w:pStyle w:val="21"/>
                    <w:jc w:val="center"/>
                    <w:rPr>
                      <w:rFonts w:hint="default"/>
                      <w:color w:val="auto"/>
                      <w:lang w:val="en-US" w:eastAsia="zh-CN"/>
                    </w:rPr>
                  </w:pPr>
                  <w:r>
                    <w:rPr>
                      <w:rFonts w:hint="eastAsia"/>
                      <w:color w:val="auto"/>
                      <w:lang w:val="en-US" w:eastAsia="zh-CN"/>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rFonts w:hint="eastAsia"/>
                      <w:color w:val="auto"/>
                      <w:szCs w:val="21"/>
                      <w:lang w:eastAsia="zh-CN"/>
                    </w:rPr>
                  </w:pPr>
                </w:p>
              </w:tc>
              <w:tc>
                <w:tcPr>
                  <w:tcW w:w="315" w:type="pct"/>
                  <w:vAlign w:val="center"/>
                </w:tcPr>
                <w:p>
                  <w:pPr>
                    <w:spacing w:before="62" w:beforeLines="20" w:after="62" w:afterLines="20"/>
                    <w:jc w:val="center"/>
                    <w:rPr>
                      <w:rFonts w:hint="eastAsia" w:ascii="Times New Roman" w:hAnsi="Times New Roman" w:eastAsia="宋体" w:cs="Times New Roman"/>
                      <w:color w:val="auto"/>
                      <w:kern w:val="2"/>
                      <w:sz w:val="21"/>
                      <w:szCs w:val="21"/>
                      <w:lang w:val="en-US" w:eastAsia="zh-CN" w:bidi="ar-SA"/>
                    </w:rPr>
                  </w:pPr>
                  <w:r>
                    <w:rPr>
                      <w:rFonts w:hint="eastAsia"/>
                      <w:b/>
                      <w:bCs/>
                      <w:color w:val="auto"/>
                      <w:szCs w:val="21"/>
                    </w:rPr>
                    <w:t>砷</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0.01</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10.4</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11.5</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11.5</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9.56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rFonts w:hint="eastAsia"/>
                      <w:color w:val="auto"/>
                      <w:szCs w:val="21"/>
                      <w:lang w:eastAsia="zh-CN"/>
                    </w:rPr>
                  </w:pPr>
                </w:p>
              </w:tc>
              <w:tc>
                <w:tcPr>
                  <w:tcW w:w="315" w:type="pct"/>
                  <w:vAlign w:val="center"/>
                </w:tcPr>
                <w:p>
                  <w:pPr>
                    <w:spacing w:before="62" w:beforeLines="20" w:after="62" w:afterLines="20"/>
                    <w:jc w:val="center"/>
                    <w:rPr>
                      <w:rFonts w:hint="eastAsia" w:ascii="Times New Roman" w:hAnsi="Times New Roman" w:eastAsia="宋体" w:cs="Times New Roman"/>
                      <w:color w:val="auto"/>
                      <w:kern w:val="2"/>
                      <w:sz w:val="21"/>
                      <w:szCs w:val="21"/>
                      <w:lang w:val="en-US" w:eastAsia="zh-CN" w:bidi="ar-SA"/>
                    </w:rPr>
                  </w:pPr>
                  <w:r>
                    <w:rPr>
                      <w:rFonts w:hint="eastAsia"/>
                      <w:b/>
                      <w:bCs/>
                      <w:color w:val="auto"/>
                      <w:szCs w:val="21"/>
                    </w:rPr>
                    <w:t>汞</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0.002</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0.046</w:t>
                  </w:r>
                </w:p>
              </w:tc>
              <w:tc>
                <w:tcPr>
                  <w:tcW w:w="893" w:type="pct"/>
                  <w:vAlign w:val="center"/>
                </w:tcPr>
                <w:p>
                  <w:pPr>
                    <w:spacing w:before="62" w:beforeLines="20" w:after="62" w:afterLines="20"/>
                    <w:jc w:val="center"/>
                    <w:rPr>
                      <w:rFonts w:hint="default"/>
                      <w:color w:val="auto"/>
                      <w:lang w:val="en-US" w:eastAsia="zh-CN"/>
                    </w:rPr>
                  </w:pPr>
                  <w:r>
                    <w:rPr>
                      <w:rFonts w:hint="eastAsia"/>
                      <w:color w:val="auto"/>
                      <w:lang w:val="en-US" w:eastAsia="zh-CN"/>
                    </w:rPr>
                    <w:t>0.024</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0.020</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0.059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spacing w:before="62" w:beforeLines="20" w:after="62" w:afterLines="20"/>
                    <w:jc w:val="center"/>
                    <w:rPr>
                      <w:rFonts w:hint="eastAsia"/>
                      <w:color w:val="auto"/>
                      <w:szCs w:val="21"/>
                      <w:lang w:eastAsia="zh-CN"/>
                    </w:rPr>
                  </w:pPr>
                </w:p>
              </w:tc>
              <w:tc>
                <w:tcPr>
                  <w:tcW w:w="315" w:type="pct"/>
                  <w:vAlign w:val="center"/>
                </w:tcPr>
                <w:p>
                  <w:pPr>
                    <w:spacing w:before="62" w:beforeLines="20" w:after="62" w:afterLines="20"/>
                    <w:jc w:val="center"/>
                    <w:rPr>
                      <w:rFonts w:hint="eastAsia" w:ascii="Times New Roman" w:hAnsi="Times New Roman" w:eastAsia="宋体" w:cs="Times New Roman"/>
                      <w:color w:val="auto"/>
                      <w:kern w:val="2"/>
                      <w:sz w:val="21"/>
                      <w:szCs w:val="21"/>
                      <w:lang w:val="en-US" w:eastAsia="zh-CN" w:bidi="ar-SA"/>
                    </w:rPr>
                  </w:pPr>
                  <w:r>
                    <w:rPr>
                      <w:rFonts w:hint="eastAsia"/>
                      <w:b/>
                      <w:bCs/>
                      <w:color w:val="auto"/>
                      <w:szCs w:val="21"/>
                    </w:rPr>
                    <w:t>六价铬</w:t>
                  </w:r>
                </w:p>
              </w:tc>
              <w:tc>
                <w:tcPr>
                  <w:tcW w:w="376" w:type="pct"/>
                  <w:vAlign w:val="center"/>
                </w:tcPr>
                <w:p>
                  <w:pPr>
                    <w:spacing w:before="62" w:beforeLines="20" w:after="62"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0.5</w:t>
                  </w:r>
                </w:p>
              </w:tc>
              <w:tc>
                <w:tcPr>
                  <w:tcW w:w="90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ND</w:t>
                  </w:r>
                </w:p>
              </w:tc>
              <w:tc>
                <w:tcPr>
                  <w:tcW w:w="893"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ND</w:t>
                  </w:r>
                </w:p>
              </w:tc>
              <w:tc>
                <w:tcPr>
                  <w:tcW w:w="875" w:type="pct"/>
                  <w:vAlign w:val="center"/>
                </w:tcPr>
                <w:p>
                  <w:pPr>
                    <w:spacing w:before="62" w:beforeLines="20" w:after="62" w:afterLines="20"/>
                    <w:jc w:val="center"/>
                    <w:rPr>
                      <w:rFonts w:hint="default" w:eastAsia="宋体"/>
                      <w:color w:val="auto"/>
                      <w:szCs w:val="21"/>
                      <w:lang w:val="en-US" w:eastAsia="zh-CN"/>
                    </w:rPr>
                  </w:pPr>
                  <w:r>
                    <w:rPr>
                      <w:rFonts w:hint="eastAsia"/>
                      <w:color w:val="auto"/>
                      <w:szCs w:val="21"/>
                      <w:lang w:val="en-US" w:eastAsia="zh-CN"/>
                    </w:rPr>
                    <w:t>ND</w:t>
                  </w:r>
                </w:p>
              </w:tc>
              <w:tc>
                <w:tcPr>
                  <w:tcW w:w="1113" w:type="pct"/>
                  <w:vAlign w:val="center"/>
                </w:tcPr>
                <w:p>
                  <w:pPr>
                    <w:spacing w:before="62" w:beforeLines="20" w:after="62" w:afterLines="20"/>
                    <w:jc w:val="center"/>
                    <w:rPr>
                      <w:rFonts w:hint="default"/>
                      <w:color w:val="auto"/>
                      <w:szCs w:val="21"/>
                      <w:lang w:val="en-US" w:eastAsia="zh-CN"/>
                    </w:rPr>
                  </w:pPr>
                  <w:r>
                    <w:rPr>
                      <w:rFonts w:hint="eastAsia"/>
                      <w:color w:val="auto"/>
                      <w:szCs w:val="21"/>
                      <w:lang w:val="en-US" w:eastAsia="zh-CN"/>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Align w:val="center"/>
                </w:tcPr>
                <w:p>
                  <w:pPr>
                    <w:spacing w:before="62" w:beforeLines="20" w:after="62" w:afterLines="20"/>
                    <w:jc w:val="center"/>
                    <w:rPr>
                      <w:rFonts w:hint="eastAsia"/>
                      <w:color w:val="auto"/>
                      <w:szCs w:val="21"/>
                      <w:lang w:eastAsia="zh-CN"/>
                    </w:rPr>
                  </w:pPr>
                  <w:r>
                    <w:rPr>
                      <w:rFonts w:hint="eastAsia"/>
                      <w:color w:val="auto"/>
                      <w:szCs w:val="21"/>
                      <w:lang w:eastAsia="zh-CN"/>
                    </w:rPr>
                    <w:t>备注</w:t>
                  </w:r>
                </w:p>
              </w:tc>
              <w:tc>
                <w:tcPr>
                  <w:tcW w:w="4480" w:type="pct"/>
                  <w:gridSpan w:val="6"/>
                  <w:vAlign w:val="center"/>
                </w:tcPr>
                <w:p>
                  <w:pPr>
                    <w:spacing w:before="62" w:beforeLines="20" w:after="62" w:afterLines="20"/>
                    <w:jc w:val="center"/>
                    <w:rPr>
                      <w:rFonts w:hint="eastAsia"/>
                      <w:color w:val="auto"/>
                      <w:szCs w:val="21"/>
                    </w:rPr>
                  </w:pPr>
                  <w:r>
                    <w:rPr>
                      <w:rFonts w:hint="eastAsia"/>
                      <w:color w:val="auto"/>
                      <w:szCs w:val="21"/>
                    </w:rPr>
                    <w:t>ND 为未检出</w:t>
                  </w:r>
                </w:p>
              </w:tc>
            </w:tr>
          </w:tbl>
          <w:p>
            <w:pPr>
              <w:tabs>
                <w:tab w:val="left" w:pos="6510"/>
              </w:tabs>
              <w:ind w:firstLine="420" w:firstLineChars="200"/>
              <w:jc w:val="center"/>
              <w:rPr>
                <w:b/>
                <w:bCs/>
                <w:color w:val="auto"/>
                <w:szCs w:val="21"/>
              </w:rPr>
            </w:pPr>
            <w:r>
              <w:rPr>
                <w:rFonts w:hint="eastAsia"/>
                <w:b/>
                <w:bCs/>
                <w:color w:val="auto"/>
                <w:szCs w:val="21"/>
              </w:rPr>
              <w:t>表3-</w:t>
            </w:r>
            <w:r>
              <w:rPr>
                <w:rFonts w:hint="eastAsia"/>
                <w:b/>
                <w:bCs/>
                <w:color w:val="auto"/>
                <w:szCs w:val="21"/>
                <w:lang w:val="en-US" w:eastAsia="zh-CN"/>
              </w:rPr>
              <w:t>8</w:t>
            </w:r>
            <w:r>
              <w:rPr>
                <w:rFonts w:hint="eastAsia"/>
                <w:b/>
                <w:bCs/>
                <w:color w:val="auto"/>
                <w:szCs w:val="21"/>
              </w:rPr>
              <w:t xml:space="preserve"> 土壤中半挥发性有机物现状检测结果</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548"/>
              <w:gridCol w:w="1302"/>
              <w:gridCol w:w="1302"/>
              <w:gridCol w:w="1302"/>
              <w:gridCol w:w="1305"/>
              <w:gridCol w:w="8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28" w:type="pct"/>
                  <w:gridSpan w:val="2"/>
                  <w:vMerge w:val="restart"/>
                  <w:vAlign w:val="center"/>
                </w:tcPr>
                <w:p>
                  <w:pPr>
                    <w:jc w:val="center"/>
                    <w:rPr>
                      <w:b/>
                      <w:bCs/>
                      <w:color w:val="auto"/>
                      <w:szCs w:val="21"/>
                    </w:rPr>
                  </w:pPr>
                  <w:r>
                    <w:rPr>
                      <w:rFonts w:hint="eastAsia"/>
                      <w:b/>
                      <w:bCs/>
                      <w:color w:val="auto"/>
                      <w:szCs w:val="21"/>
                    </w:rPr>
                    <w:t>检测项目</w:t>
                  </w:r>
                </w:p>
              </w:tc>
              <w:tc>
                <w:tcPr>
                  <w:tcW w:w="3671" w:type="pct"/>
                  <w:gridSpan w:val="5"/>
                  <w:vAlign w:val="center"/>
                </w:tcPr>
                <w:p>
                  <w:pPr>
                    <w:jc w:val="center"/>
                    <w:rPr>
                      <w:rFonts w:hint="eastAsia"/>
                      <w:b/>
                      <w:bCs/>
                      <w:color w:val="auto"/>
                      <w:szCs w:val="21"/>
                    </w:rPr>
                  </w:pPr>
                  <w:r>
                    <w:rPr>
                      <w:rFonts w:hint="eastAsia"/>
                      <w:b/>
                      <w:bCs/>
                      <w:color w:val="auto"/>
                      <w:szCs w:val="21"/>
                    </w:rPr>
                    <w:t>检测结果（mg/kg）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1328" w:type="pct"/>
                  <w:gridSpan w:val="2"/>
                  <w:vMerge w:val="continue"/>
                  <w:vAlign w:val="center"/>
                </w:tcPr>
                <w:p>
                  <w:pPr>
                    <w:jc w:val="center"/>
                    <w:rPr>
                      <w:b/>
                      <w:bCs/>
                      <w:color w:val="auto"/>
                      <w:szCs w:val="21"/>
                    </w:rPr>
                  </w:pPr>
                </w:p>
              </w:tc>
              <w:tc>
                <w:tcPr>
                  <w:tcW w:w="3135" w:type="pct"/>
                  <w:gridSpan w:val="4"/>
                  <w:vAlign w:val="center"/>
                </w:tcPr>
                <w:p>
                  <w:pPr>
                    <w:jc w:val="center"/>
                    <w:rPr>
                      <w:rFonts w:hint="eastAsia"/>
                      <w:b/>
                      <w:bCs/>
                      <w:color w:val="auto"/>
                      <w:szCs w:val="21"/>
                    </w:rPr>
                  </w:pPr>
                  <w:r>
                    <w:rPr>
                      <w:rFonts w:hint="eastAsia"/>
                      <w:b/>
                      <w:bCs/>
                      <w:color w:val="auto"/>
                      <w:szCs w:val="21"/>
                    </w:rPr>
                    <w:t>采样日期：20</w:t>
                  </w:r>
                  <w:r>
                    <w:rPr>
                      <w:rFonts w:hint="eastAsia"/>
                      <w:b/>
                      <w:bCs/>
                      <w:color w:val="auto"/>
                      <w:szCs w:val="21"/>
                      <w:lang w:val="en-US" w:eastAsia="zh-CN"/>
                    </w:rPr>
                    <w:t>20</w:t>
                  </w:r>
                  <w:r>
                    <w:rPr>
                      <w:rFonts w:hint="eastAsia"/>
                      <w:b/>
                      <w:bCs/>
                      <w:color w:val="auto"/>
                      <w:szCs w:val="21"/>
                    </w:rPr>
                    <w:t>年</w:t>
                  </w:r>
                  <w:r>
                    <w:rPr>
                      <w:rFonts w:hint="eastAsia"/>
                      <w:b/>
                      <w:bCs/>
                      <w:color w:val="auto"/>
                      <w:szCs w:val="21"/>
                      <w:lang w:val="en-US" w:eastAsia="zh-CN"/>
                    </w:rPr>
                    <w:t>11</w:t>
                  </w:r>
                  <w:r>
                    <w:rPr>
                      <w:rFonts w:hint="eastAsia"/>
                      <w:b/>
                      <w:bCs/>
                      <w:color w:val="auto"/>
                      <w:szCs w:val="21"/>
                    </w:rPr>
                    <w:t>月</w:t>
                  </w:r>
                  <w:r>
                    <w:rPr>
                      <w:rFonts w:hint="eastAsia"/>
                      <w:b/>
                      <w:bCs/>
                      <w:color w:val="auto"/>
                      <w:szCs w:val="21"/>
                      <w:lang w:val="en-US" w:eastAsia="zh-CN"/>
                    </w:rPr>
                    <w:t>04</w:t>
                  </w:r>
                  <w:r>
                    <w:rPr>
                      <w:rFonts w:hint="eastAsia"/>
                      <w:b/>
                      <w:bCs/>
                      <w:color w:val="auto"/>
                      <w:szCs w:val="21"/>
                    </w:rPr>
                    <w:t>日</w:t>
                  </w:r>
                </w:p>
              </w:tc>
              <w:tc>
                <w:tcPr>
                  <w:tcW w:w="536" w:type="pct"/>
                  <w:vMerge w:val="restart"/>
                  <w:vAlign w:val="center"/>
                </w:tcPr>
                <w:p>
                  <w:pPr>
                    <w:jc w:val="center"/>
                    <w:rPr>
                      <w:rFonts w:hint="eastAsia"/>
                      <w:b/>
                      <w:bCs/>
                      <w:color w:val="auto"/>
                      <w:szCs w:val="21"/>
                    </w:rPr>
                  </w:pPr>
                  <w:r>
                    <w:rPr>
                      <w:rFonts w:hint="eastAsia"/>
                      <w:b/>
                      <w:bCs/>
                      <w:color w:val="auto"/>
                      <w:szCs w:val="21"/>
                    </w:rPr>
                    <w:t>检出限mg/kg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1328" w:type="pct"/>
                  <w:gridSpan w:val="2"/>
                  <w:vMerge w:val="continue"/>
                  <w:vAlign w:val="center"/>
                </w:tcPr>
                <w:p>
                  <w:pPr>
                    <w:jc w:val="center"/>
                    <w:rPr>
                      <w:b/>
                      <w:bCs/>
                      <w:color w:val="auto"/>
                      <w:szCs w:val="21"/>
                    </w:rPr>
                  </w:pPr>
                </w:p>
              </w:tc>
              <w:tc>
                <w:tcPr>
                  <w:tcW w:w="1302" w:type="dxa"/>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T1（0-0.5m）</w:t>
                  </w:r>
                </w:p>
              </w:tc>
              <w:tc>
                <w:tcPr>
                  <w:tcW w:w="1302" w:type="dxa"/>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T1（0.5-1.5m）</w:t>
                  </w:r>
                </w:p>
              </w:tc>
              <w:tc>
                <w:tcPr>
                  <w:tcW w:w="1302" w:type="dxa"/>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T1（1.5-3.0m）</w:t>
                  </w:r>
                </w:p>
              </w:tc>
              <w:tc>
                <w:tcPr>
                  <w:tcW w:w="1305" w:type="dxa"/>
                  <w:vAlign w:val="center"/>
                </w:tcPr>
                <w:p>
                  <w:pPr>
                    <w:jc w:val="center"/>
                    <w:rPr>
                      <w:rFonts w:hint="default" w:eastAsia="宋体"/>
                      <w:b/>
                      <w:bCs/>
                      <w:color w:val="auto"/>
                      <w:szCs w:val="21"/>
                      <w:lang w:val="en-US" w:eastAsia="zh-CN"/>
                    </w:rPr>
                  </w:pPr>
                  <w:r>
                    <w:rPr>
                      <w:rFonts w:hint="eastAsia"/>
                      <w:b/>
                      <w:bCs/>
                      <w:color w:val="auto"/>
                      <w:szCs w:val="21"/>
                      <w:vertAlign w:val="baseline"/>
                      <w:lang w:val="en-US" w:eastAsia="zh-CN"/>
                    </w:rPr>
                    <w:t>T5（0-0.2m）</w:t>
                  </w:r>
                </w:p>
              </w:tc>
              <w:tc>
                <w:tcPr>
                  <w:tcW w:w="536" w:type="pct"/>
                  <w:vMerge w:val="continue"/>
                  <w:vAlign w:val="center"/>
                </w:tcPr>
                <w:p>
                  <w:pPr>
                    <w:jc w:val="center"/>
                    <w:rPr>
                      <w:b/>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jc w:val="center"/>
                    <w:rPr>
                      <w:color w:val="auto"/>
                      <w:szCs w:val="21"/>
                    </w:rPr>
                  </w:pPr>
                  <w:r>
                    <w:rPr>
                      <w:rFonts w:hint="eastAsia"/>
                      <w:color w:val="auto"/>
                      <w:szCs w:val="21"/>
                    </w:rPr>
                    <w:t>1</w:t>
                  </w:r>
                </w:p>
              </w:tc>
              <w:tc>
                <w:tcPr>
                  <w:tcW w:w="931" w:type="pct"/>
                  <w:vAlign w:val="center"/>
                </w:tcPr>
                <w:p>
                  <w:pPr>
                    <w:jc w:val="center"/>
                    <w:rPr>
                      <w:color w:val="auto"/>
                      <w:szCs w:val="21"/>
                    </w:rPr>
                  </w:pPr>
                  <w:r>
                    <w:rPr>
                      <w:rFonts w:hint="eastAsia"/>
                      <w:color w:val="auto"/>
                      <w:szCs w:val="21"/>
                    </w:rPr>
                    <w:t>苯胺</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rFonts w:hint="eastAsia" w:eastAsia="宋体"/>
                      <w:color w:val="auto"/>
                      <w:szCs w:val="21"/>
                      <w:lang w:eastAsia="zh-CN"/>
                    </w:rPr>
                  </w:pPr>
                  <w:r>
                    <w:rPr>
                      <w:rFonts w:hint="eastAsia"/>
                      <w:color w:val="auto"/>
                      <w:szCs w:val="21"/>
                    </w:rPr>
                    <w:t>0.</w:t>
                  </w:r>
                  <w:r>
                    <w:rPr>
                      <w:rFonts w:hint="eastAsia"/>
                      <w:color w:val="auto"/>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jc w:val="center"/>
                    <w:rPr>
                      <w:color w:val="auto"/>
                      <w:szCs w:val="21"/>
                    </w:rPr>
                  </w:pPr>
                  <w:r>
                    <w:rPr>
                      <w:rFonts w:hint="eastAsia"/>
                      <w:color w:val="auto"/>
                      <w:szCs w:val="21"/>
                    </w:rPr>
                    <w:t>2</w:t>
                  </w:r>
                </w:p>
              </w:tc>
              <w:tc>
                <w:tcPr>
                  <w:tcW w:w="931" w:type="pct"/>
                  <w:vAlign w:val="center"/>
                </w:tcPr>
                <w:p>
                  <w:pPr>
                    <w:jc w:val="center"/>
                    <w:rPr>
                      <w:color w:val="auto"/>
                      <w:szCs w:val="21"/>
                    </w:rPr>
                  </w:pPr>
                  <w:r>
                    <w:rPr>
                      <w:rFonts w:hint="eastAsia"/>
                      <w:color w:val="auto"/>
                      <w:szCs w:val="21"/>
                    </w:rPr>
                    <w:t>2-氯苯酚</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396" w:type="pct"/>
                  <w:vAlign w:val="center"/>
                </w:tcPr>
                <w:p>
                  <w:pPr>
                    <w:jc w:val="center"/>
                    <w:rPr>
                      <w:color w:val="auto"/>
                      <w:szCs w:val="21"/>
                    </w:rPr>
                  </w:pPr>
                  <w:r>
                    <w:rPr>
                      <w:rFonts w:hint="eastAsia"/>
                      <w:color w:val="auto"/>
                      <w:szCs w:val="21"/>
                    </w:rPr>
                    <w:t>3</w:t>
                  </w:r>
                </w:p>
              </w:tc>
              <w:tc>
                <w:tcPr>
                  <w:tcW w:w="931" w:type="pct"/>
                  <w:vAlign w:val="center"/>
                </w:tcPr>
                <w:p>
                  <w:pPr>
                    <w:jc w:val="center"/>
                    <w:rPr>
                      <w:color w:val="auto"/>
                      <w:szCs w:val="21"/>
                    </w:rPr>
                  </w:pPr>
                  <w:r>
                    <w:rPr>
                      <w:rFonts w:hint="eastAsia"/>
                      <w:color w:val="auto"/>
                      <w:szCs w:val="21"/>
                    </w:rPr>
                    <w:t>硝基苯</w:t>
                  </w:r>
                </w:p>
              </w:tc>
              <w:tc>
                <w:tcPr>
                  <w:tcW w:w="783" w:type="pct"/>
                  <w:vAlign w:val="center"/>
                </w:tcPr>
                <w:p>
                  <w:pPr>
                    <w:jc w:val="center"/>
                    <w:rPr>
                      <w:rFonts w:hint="default" w:eastAsia="宋体"/>
                      <w:color w:val="auto"/>
                      <w:szCs w:val="21"/>
                      <w:lang w:val="en-US" w:eastAsia="zh-CN"/>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396" w:type="pct"/>
                  <w:vAlign w:val="center"/>
                </w:tcPr>
                <w:p>
                  <w:pPr>
                    <w:jc w:val="center"/>
                    <w:rPr>
                      <w:color w:val="auto"/>
                      <w:szCs w:val="21"/>
                    </w:rPr>
                  </w:pPr>
                  <w:r>
                    <w:rPr>
                      <w:rFonts w:hint="eastAsia"/>
                      <w:color w:val="auto"/>
                      <w:szCs w:val="21"/>
                    </w:rPr>
                    <w:t>4</w:t>
                  </w:r>
                </w:p>
              </w:tc>
              <w:tc>
                <w:tcPr>
                  <w:tcW w:w="931" w:type="pct"/>
                  <w:vAlign w:val="center"/>
                </w:tcPr>
                <w:p>
                  <w:pPr>
                    <w:jc w:val="center"/>
                    <w:rPr>
                      <w:color w:val="auto"/>
                      <w:szCs w:val="21"/>
                    </w:rPr>
                  </w:pPr>
                  <w:r>
                    <w:rPr>
                      <w:color w:val="auto"/>
                      <w:szCs w:val="21"/>
                    </w:rPr>
                    <w:t>萘</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jc w:val="center"/>
                    <w:rPr>
                      <w:color w:val="auto"/>
                      <w:szCs w:val="21"/>
                    </w:rPr>
                  </w:pPr>
                  <w:r>
                    <w:rPr>
                      <w:rFonts w:hint="eastAsia"/>
                      <w:color w:val="auto"/>
                      <w:szCs w:val="21"/>
                    </w:rPr>
                    <w:t>5</w:t>
                  </w:r>
                </w:p>
              </w:tc>
              <w:tc>
                <w:tcPr>
                  <w:tcW w:w="931" w:type="pct"/>
                  <w:vAlign w:val="center"/>
                </w:tcPr>
                <w:p>
                  <w:pPr>
                    <w:jc w:val="center"/>
                    <w:rPr>
                      <w:color w:val="auto"/>
                      <w:szCs w:val="21"/>
                    </w:rPr>
                  </w:pPr>
                  <w:r>
                    <w:rPr>
                      <w:color w:val="auto"/>
                      <w:szCs w:val="21"/>
                    </w:rPr>
                    <w:t xml:space="preserve">苯并[a]蒽 </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jc w:val="center"/>
                    <w:rPr>
                      <w:color w:val="auto"/>
                      <w:szCs w:val="21"/>
                    </w:rPr>
                  </w:pPr>
                  <w:r>
                    <w:rPr>
                      <w:rFonts w:hint="eastAsia"/>
                      <w:color w:val="auto"/>
                      <w:szCs w:val="21"/>
                    </w:rPr>
                    <w:t>6</w:t>
                  </w:r>
                </w:p>
              </w:tc>
              <w:tc>
                <w:tcPr>
                  <w:tcW w:w="931" w:type="pct"/>
                  <w:vAlign w:val="center"/>
                </w:tcPr>
                <w:p>
                  <w:pPr>
                    <w:jc w:val="center"/>
                    <w:rPr>
                      <w:color w:val="auto"/>
                      <w:szCs w:val="21"/>
                    </w:rPr>
                  </w:pPr>
                  <w:r>
                    <w:rPr>
                      <w:color w:val="auto"/>
                      <w:szCs w:val="21"/>
                    </w:rPr>
                    <w:t>䓛</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adjustRightInd w:val="0"/>
                    <w:snapToGrid w:val="0"/>
                    <w:jc w:val="center"/>
                    <w:rPr>
                      <w:color w:val="auto"/>
                      <w:szCs w:val="21"/>
                    </w:rPr>
                  </w:pPr>
                  <w:r>
                    <w:rPr>
                      <w:rFonts w:hint="eastAsia"/>
                      <w:color w:val="auto"/>
                      <w:szCs w:val="21"/>
                    </w:rPr>
                    <w:t>7</w:t>
                  </w:r>
                </w:p>
              </w:tc>
              <w:tc>
                <w:tcPr>
                  <w:tcW w:w="931" w:type="pct"/>
                  <w:vAlign w:val="center"/>
                </w:tcPr>
                <w:p>
                  <w:pPr>
                    <w:adjustRightInd w:val="0"/>
                    <w:snapToGrid w:val="0"/>
                    <w:jc w:val="center"/>
                    <w:rPr>
                      <w:color w:val="auto"/>
                      <w:szCs w:val="21"/>
                    </w:rPr>
                  </w:pPr>
                  <w:r>
                    <w:rPr>
                      <w:color w:val="auto"/>
                      <w:szCs w:val="21"/>
                    </w:rPr>
                    <w:t xml:space="preserve">苯并[b]荧蒽 </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adjustRightInd w:val="0"/>
                    <w:snapToGrid w:val="0"/>
                    <w:jc w:val="center"/>
                    <w:rPr>
                      <w:color w:val="auto"/>
                      <w:szCs w:val="21"/>
                    </w:rPr>
                  </w:pPr>
                  <w:r>
                    <w:rPr>
                      <w:rFonts w:hint="eastAsia"/>
                      <w:color w:val="auto"/>
                      <w:szCs w:val="21"/>
                    </w:rPr>
                    <w:t>8</w:t>
                  </w:r>
                </w:p>
              </w:tc>
              <w:tc>
                <w:tcPr>
                  <w:tcW w:w="931" w:type="pct"/>
                  <w:vAlign w:val="center"/>
                </w:tcPr>
                <w:p>
                  <w:pPr>
                    <w:adjustRightInd w:val="0"/>
                    <w:snapToGrid w:val="0"/>
                    <w:jc w:val="center"/>
                    <w:rPr>
                      <w:color w:val="auto"/>
                      <w:szCs w:val="21"/>
                    </w:rPr>
                  </w:pPr>
                  <w:r>
                    <w:rPr>
                      <w:color w:val="auto"/>
                      <w:szCs w:val="21"/>
                    </w:rPr>
                    <w:t>苯并[k]荧蒽</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jc w:val="center"/>
                    <w:rPr>
                      <w:color w:val="auto"/>
                      <w:szCs w:val="21"/>
                    </w:rPr>
                  </w:pPr>
                  <w:r>
                    <w:rPr>
                      <w:rFonts w:hint="eastAsia"/>
                      <w:color w:val="auto"/>
                      <w:szCs w:val="21"/>
                    </w:rPr>
                    <w:t>9</w:t>
                  </w:r>
                </w:p>
              </w:tc>
              <w:tc>
                <w:tcPr>
                  <w:tcW w:w="931" w:type="pct"/>
                  <w:vAlign w:val="center"/>
                </w:tcPr>
                <w:p>
                  <w:pPr>
                    <w:jc w:val="center"/>
                    <w:rPr>
                      <w:color w:val="auto"/>
                      <w:szCs w:val="21"/>
                    </w:rPr>
                  </w:pPr>
                  <w:r>
                    <w:rPr>
                      <w:color w:val="auto"/>
                      <w:szCs w:val="21"/>
                    </w:rPr>
                    <w:t xml:space="preserve">苯并[a]芘 </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adjustRightInd w:val="0"/>
                    <w:snapToGrid w:val="0"/>
                    <w:jc w:val="center"/>
                    <w:rPr>
                      <w:color w:val="auto"/>
                      <w:szCs w:val="21"/>
                    </w:rPr>
                  </w:pPr>
                  <w:r>
                    <w:rPr>
                      <w:rFonts w:hint="eastAsia"/>
                      <w:color w:val="auto"/>
                      <w:szCs w:val="21"/>
                    </w:rPr>
                    <w:t>10</w:t>
                  </w:r>
                </w:p>
              </w:tc>
              <w:tc>
                <w:tcPr>
                  <w:tcW w:w="931" w:type="pct"/>
                  <w:vAlign w:val="center"/>
                </w:tcPr>
                <w:p>
                  <w:pPr>
                    <w:adjustRightInd w:val="0"/>
                    <w:snapToGrid w:val="0"/>
                    <w:jc w:val="center"/>
                    <w:rPr>
                      <w:color w:val="auto"/>
                      <w:szCs w:val="21"/>
                    </w:rPr>
                  </w:pPr>
                  <w:r>
                    <w:rPr>
                      <w:color w:val="auto"/>
                      <w:szCs w:val="21"/>
                    </w:rPr>
                    <w:t>茚并[1,2,3-cd]芘</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adjustRightInd w:val="0"/>
                    <w:snapToGrid w:val="0"/>
                    <w:jc w:val="center"/>
                    <w:rPr>
                      <w:color w:val="auto"/>
                      <w:szCs w:val="21"/>
                    </w:rPr>
                  </w:pPr>
                  <w:r>
                    <w:rPr>
                      <w:rFonts w:hint="eastAsia"/>
                      <w:color w:val="auto"/>
                      <w:szCs w:val="21"/>
                    </w:rPr>
                    <w:t>11</w:t>
                  </w:r>
                </w:p>
              </w:tc>
              <w:tc>
                <w:tcPr>
                  <w:tcW w:w="931" w:type="pct"/>
                  <w:vAlign w:val="center"/>
                </w:tcPr>
                <w:p>
                  <w:pPr>
                    <w:adjustRightInd w:val="0"/>
                    <w:snapToGrid w:val="0"/>
                    <w:jc w:val="center"/>
                    <w:rPr>
                      <w:color w:val="auto"/>
                      <w:szCs w:val="21"/>
                    </w:rPr>
                  </w:pPr>
                  <w:r>
                    <w:rPr>
                      <w:color w:val="auto"/>
                      <w:szCs w:val="21"/>
                    </w:rPr>
                    <w:t xml:space="preserve">二苯并[a、h]蒽 </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3" w:type="pct"/>
                  <w:vAlign w:val="center"/>
                </w:tcPr>
                <w:p>
                  <w:pPr>
                    <w:jc w:val="center"/>
                    <w:rPr>
                      <w:color w:val="auto"/>
                      <w:szCs w:val="21"/>
                    </w:rPr>
                  </w:pPr>
                  <w:r>
                    <w:rPr>
                      <w:rFonts w:hint="eastAsia"/>
                      <w:color w:val="auto"/>
                      <w:szCs w:val="21"/>
                      <w:lang w:val="en-US" w:eastAsia="zh-CN"/>
                    </w:rPr>
                    <w:t>ND</w:t>
                  </w:r>
                </w:p>
              </w:tc>
              <w:tc>
                <w:tcPr>
                  <w:tcW w:w="785" w:type="pct"/>
                  <w:vAlign w:val="center"/>
                </w:tcPr>
                <w:p>
                  <w:pPr>
                    <w:jc w:val="center"/>
                    <w:rPr>
                      <w:color w:val="auto"/>
                      <w:szCs w:val="21"/>
                    </w:rPr>
                  </w:pPr>
                  <w:r>
                    <w:rPr>
                      <w:rFonts w:hint="eastAsia"/>
                      <w:color w:val="auto"/>
                      <w:szCs w:val="21"/>
                      <w:lang w:val="en-US" w:eastAsia="zh-CN"/>
                    </w:rPr>
                    <w:t>ND</w:t>
                  </w:r>
                </w:p>
              </w:tc>
              <w:tc>
                <w:tcPr>
                  <w:tcW w:w="536" w:type="pct"/>
                  <w:vAlign w:val="center"/>
                </w:tcPr>
                <w:p>
                  <w:pPr>
                    <w:jc w:val="center"/>
                    <w:rPr>
                      <w:color w:val="auto"/>
                      <w:szCs w:val="21"/>
                    </w:rPr>
                  </w:pPr>
                  <w:r>
                    <w:rPr>
                      <w:rFonts w:hint="eastAsia"/>
                      <w:color w:val="auto"/>
                      <w:szCs w:val="21"/>
                    </w:rPr>
                    <w:t>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pPr>
                    <w:adjustRightInd w:val="0"/>
                    <w:snapToGrid w:val="0"/>
                    <w:jc w:val="center"/>
                    <w:rPr>
                      <w:rFonts w:hint="eastAsia" w:eastAsia="宋体"/>
                      <w:color w:val="auto"/>
                      <w:szCs w:val="21"/>
                      <w:lang w:eastAsia="zh-CN"/>
                    </w:rPr>
                  </w:pPr>
                  <w:r>
                    <w:rPr>
                      <w:rFonts w:hint="eastAsia"/>
                      <w:color w:val="auto"/>
                      <w:szCs w:val="21"/>
                      <w:lang w:eastAsia="zh-CN"/>
                    </w:rPr>
                    <w:t>备注</w:t>
                  </w:r>
                </w:p>
              </w:tc>
              <w:tc>
                <w:tcPr>
                  <w:tcW w:w="4603" w:type="pct"/>
                  <w:gridSpan w:val="6"/>
                  <w:vAlign w:val="center"/>
                </w:tcPr>
                <w:p>
                  <w:pPr>
                    <w:jc w:val="center"/>
                    <w:rPr>
                      <w:rFonts w:hint="eastAsia"/>
                      <w:color w:val="auto"/>
                      <w:szCs w:val="21"/>
                    </w:rPr>
                  </w:pPr>
                  <w:r>
                    <w:rPr>
                      <w:rFonts w:hint="eastAsia"/>
                      <w:color w:val="auto"/>
                      <w:szCs w:val="21"/>
                    </w:rPr>
                    <w:t>ND 为未检出</w:t>
                  </w:r>
                </w:p>
              </w:tc>
            </w:tr>
          </w:tbl>
          <w:p>
            <w:pPr>
              <w:tabs>
                <w:tab w:val="left" w:pos="6510"/>
              </w:tabs>
              <w:jc w:val="center"/>
              <w:rPr>
                <w:b/>
                <w:bCs/>
                <w:color w:val="auto"/>
                <w:szCs w:val="21"/>
              </w:rPr>
            </w:pPr>
            <w:r>
              <w:rPr>
                <w:rFonts w:hint="eastAsia"/>
                <w:b/>
                <w:bCs/>
                <w:color w:val="auto"/>
                <w:szCs w:val="21"/>
              </w:rPr>
              <w:t>表3-</w:t>
            </w:r>
            <w:r>
              <w:rPr>
                <w:rFonts w:hint="eastAsia"/>
                <w:b/>
                <w:bCs/>
                <w:color w:val="auto"/>
                <w:szCs w:val="21"/>
                <w:lang w:val="en-US" w:eastAsia="zh-CN"/>
              </w:rPr>
              <w:t>9</w:t>
            </w:r>
            <w:r>
              <w:rPr>
                <w:rFonts w:hint="eastAsia"/>
                <w:b/>
                <w:bCs/>
                <w:color w:val="auto"/>
                <w:szCs w:val="21"/>
              </w:rPr>
              <w:t xml:space="preserve"> 土壤中挥发性有机物现状检测结果</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37"/>
              <w:gridCol w:w="2069"/>
              <w:gridCol w:w="1123"/>
              <w:gridCol w:w="1265"/>
              <w:gridCol w:w="981"/>
              <w:gridCol w:w="1124"/>
              <w:gridCol w:w="111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gridSpan w:val="2"/>
                  <w:vMerge w:val="restart"/>
                  <w:vAlign w:val="center"/>
                </w:tcPr>
                <w:p>
                  <w:pPr>
                    <w:jc w:val="center"/>
                    <w:rPr>
                      <w:b/>
                      <w:bCs/>
                      <w:color w:val="auto"/>
                      <w:szCs w:val="21"/>
                    </w:rPr>
                  </w:pPr>
                  <w:r>
                    <w:rPr>
                      <w:rFonts w:hint="eastAsia"/>
                      <w:b/>
                      <w:bCs/>
                      <w:color w:val="auto"/>
                      <w:szCs w:val="21"/>
                    </w:rPr>
                    <w:t>检测项目</w:t>
                  </w:r>
                </w:p>
              </w:tc>
              <w:tc>
                <w:tcPr>
                  <w:tcW w:w="2703" w:type="pct"/>
                  <w:gridSpan w:val="4"/>
                  <w:vAlign w:val="center"/>
                </w:tcPr>
                <w:p>
                  <w:pPr>
                    <w:jc w:val="center"/>
                    <w:rPr>
                      <w:rFonts w:hint="eastAsia"/>
                      <w:b/>
                      <w:bCs/>
                      <w:color w:val="auto"/>
                      <w:szCs w:val="21"/>
                    </w:rPr>
                  </w:pPr>
                  <w:r>
                    <w:rPr>
                      <w:rFonts w:hint="eastAsia"/>
                      <w:b/>
                      <w:bCs/>
                      <w:color w:val="auto"/>
                      <w:szCs w:val="21"/>
                    </w:rPr>
                    <w:t>检测结果（mg/kg）</w:t>
                  </w:r>
                </w:p>
              </w:tc>
              <w:tc>
                <w:tcPr>
                  <w:tcW w:w="667" w:type="pct"/>
                  <w:vMerge w:val="restart"/>
                  <w:vAlign w:val="center"/>
                </w:tcPr>
                <w:p>
                  <w:pPr>
                    <w:jc w:val="center"/>
                    <w:rPr>
                      <w:rFonts w:hint="eastAsia"/>
                      <w:b/>
                      <w:bCs/>
                      <w:color w:val="auto"/>
                      <w:szCs w:val="21"/>
                    </w:rPr>
                  </w:pPr>
                  <w:r>
                    <w:rPr>
                      <w:rFonts w:hint="eastAsia"/>
                      <w:b/>
                      <w:bCs/>
                      <w:color w:val="auto"/>
                      <w:szCs w:val="21"/>
                    </w:rPr>
                    <w:t>检出限mg/kg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28" w:type="pct"/>
                  <w:gridSpan w:val="2"/>
                  <w:vMerge w:val="continue"/>
                  <w:vAlign w:val="center"/>
                </w:tcPr>
                <w:p>
                  <w:pPr>
                    <w:jc w:val="center"/>
                    <w:rPr>
                      <w:b/>
                      <w:bCs/>
                      <w:color w:val="auto"/>
                      <w:szCs w:val="21"/>
                    </w:rPr>
                  </w:pPr>
                </w:p>
              </w:tc>
              <w:tc>
                <w:tcPr>
                  <w:tcW w:w="2703" w:type="pct"/>
                  <w:gridSpan w:val="4"/>
                  <w:vAlign w:val="center"/>
                </w:tcPr>
                <w:p>
                  <w:pPr>
                    <w:jc w:val="center"/>
                    <w:rPr>
                      <w:rFonts w:hint="eastAsia"/>
                      <w:b/>
                      <w:bCs/>
                      <w:color w:val="auto"/>
                      <w:szCs w:val="21"/>
                    </w:rPr>
                  </w:pPr>
                  <w:r>
                    <w:rPr>
                      <w:rFonts w:hint="eastAsia"/>
                      <w:b/>
                      <w:bCs/>
                      <w:color w:val="auto"/>
                      <w:szCs w:val="21"/>
                    </w:rPr>
                    <w:t>采样日期：20</w:t>
                  </w:r>
                  <w:r>
                    <w:rPr>
                      <w:rFonts w:hint="eastAsia"/>
                      <w:b/>
                      <w:bCs/>
                      <w:color w:val="auto"/>
                      <w:szCs w:val="21"/>
                      <w:lang w:val="en-US" w:eastAsia="zh-CN"/>
                    </w:rPr>
                    <w:t>20</w:t>
                  </w:r>
                  <w:r>
                    <w:rPr>
                      <w:rFonts w:hint="eastAsia"/>
                      <w:b/>
                      <w:bCs/>
                      <w:color w:val="auto"/>
                      <w:szCs w:val="21"/>
                    </w:rPr>
                    <w:t>年</w:t>
                  </w:r>
                  <w:r>
                    <w:rPr>
                      <w:rFonts w:hint="eastAsia"/>
                      <w:b/>
                      <w:bCs/>
                      <w:color w:val="auto"/>
                      <w:szCs w:val="21"/>
                      <w:lang w:val="en-US" w:eastAsia="zh-CN"/>
                    </w:rPr>
                    <w:t>11</w:t>
                  </w:r>
                  <w:r>
                    <w:rPr>
                      <w:rFonts w:hint="eastAsia"/>
                      <w:b/>
                      <w:bCs/>
                      <w:color w:val="auto"/>
                      <w:szCs w:val="21"/>
                    </w:rPr>
                    <w:t>月</w:t>
                  </w:r>
                  <w:r>
                    <w:rPr>
                      <w:rFonts w:hint="eastAsia"/>
                      <w:b/>
                      <w:bCs/>
                      <w:color w:val="auto"/>
                      <w:szCs w:val="21"/>
                      <w:lang w:val="en-US" w:eastAsia="zh-CN"/>
                    </w:rPr>
                    <w:t>04</w:t>
                  </w:r>
                  <w:r>
                    <w:rPr>
                      <w:rFonts w:hint="eastAsia"/>
                      <w:b/>
                      <w:bCs/>
                      <w:color w:val="auto"/>
                      <w:szCs w:val="21"/>
                    </w:rPr>
                    <w:t>日</w:t>
                  </w:r>
                </w:p>
              </w:tc>
              <w:tc>
                <w:tcPr>
                  <w:tcW w:w="667" w:type="pct"/>
                  <w:vMerge w:val="continue"/>
                  <w:vAlign w:val="center"/>
                </w:tcPr>
                <w:p>
                  <w:pPr>
                    <w:jc w:val="center"/>
                    <w:rPr>
                      <w:rFonts w:hint="eastAsia"/>
                      <w:b/>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28" w:type="pct"/>
                  <w:gridSpan w:val="2"/>
                  <w:vMerge w:val="continue"/>
                  <w:vAlign w:val="center"/>
                </w:tcPr>
                <w:p>
                  <w:pPr>
                    <w:jc w:val="center"/>
                    <w:rPr>
                      <w:b/>
                      <w:bCs/>
                      <w:color w:val="auto"/>
                      <w:szCs w:val="21"/>
                    </w:rPr>
                  </w:pPr>
                </w:p>
              </w:tc>
              <w:tc>
                <w:tcPr>
                  <w:tcW w:w="675" w:type="pct"/>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szCs w:val="21"/>
                      <w:vertAlign w:val="baseline"/>
                      <w:lang w:val="en-US" w:eastAsia="zh-CN"/>
                    </w:rPr>
                    <w:t>T1（0-0.5m）</w:t>
                  </w:r>
                </w:p>
              </w:tc>
              <w:tc>
                <w:tcPr>
                  <w:tcW w:w="761" w:type="pct"/>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szCs w:val="21"/>
                      <w:vertAlign w:val="baseline"/>
                      <w:lang w:val="en-US" w:eastAsia="zh-CN"/>
                    </w:rPr>
                    <w:t>T1（0.5-1.5m）</w:t>
                  </w:r>
                </w:p>
              </w:tc>
              <w:tc>
                <w:tcPr>
                  <w:tcW w:w="590" w:type="pct"/>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szCs w:val="21"/>
                      <w:vertAlign w:val="baseline"/>
                      <w:lang w:val="en-US" w:eastAsia="zh-CN"/>
                    </w:rPr>
                    <w:t>T1（1.5-3.0m）</w:t>
                  </w:r>
                </w:p>
              </w:tc>
              <w:tc>
                <w:tcPr>
                  <w:tcW w:w="676" w:type="pct"/>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szCs w:val="21"/>
                      <w:vertAlign w:val="baseline"/>
                      <w:lang w:val="en-US" w:eastAsia="zh-CN"/>
                    </w:rPr>
                    <w:t>T5（0-0.2m）</w:t>
                  </w:r>
                </w:p>
              </w:tc>
              <w:tc>
                <w:tcPr>
                  <w:tcW w:w="667" w:type="pct"/>
                  <w:vMerge w:val="continue"/>
                  <w:vAlign w:val="center"/>
                </w:tcPr>
                <w:p>
                  <w:pPr>
                    <w:jc w:val="center"/>
                    <w:rPr>
                      <w:b/>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jc w:val="center"/>
                    <w:rPr>
                      <w:color w:val="auto"/>
                      <w:szCs w:val="21"/>
                    </w:rPr>
                  </w:pPr>
                  <w:r>
                    <w:rPr>
                      <w:rFonts w:hint="eastAsia"/>
                      <w:color w:val="auto"/>
                      <w:szCs w:val="21"/>
                    </w:rPr>
                    <w:t>1</w:t>
                  </w:r>
                </w:p>
              </w:tc>
              <w:tc>
                <w:tcPr>
                  <w:tcW w:w="1245" w:type="pct"/>
                  <w:vAlign w:val="center"/>
                </w:tcPr>
                <w:p>
                  <w:pPr>
                    <w:jc w:val="center"/>
                    <w:rPr>
                      <w:color w:val="auto"/>
                      <w:szCs w:val="21"/>
                    </w:rPr>
                  </w:pPr>
                  <w:r>
                    <w:rPr>
                      <w:color w:val="auto"/>
                      <w:szCs w:val="21"/>
                    </w:rPr>
                    <w:t>氯甲烷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1.0</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jc w:val="center"/>
                    <w:rPr>
                      <w:color w:val="auto"/>
                      <w:szCs w:val="21"/>
                    </w:rPr>
                  </w:pPr>
                  <w:r>
                    <w:rPr>
                      <w:rFonts w:hint="eastAsia"/>
                      <w:color w:val="auto"/>
                      <w:szCs w:val="21"/>
                    </w:rPr>
                    <w:t>2</w:t>
                  </w:r>
                </w:p>
              </w:tc>
              <w:tc>
                <w:tcPr>
                  <w:tcW w:w="1245" w:type="pct"/>
                  <w:vAlign w:val="center"/>
                </w:tcPr>
                <w:p>
                  <w:pPr>
                    <w:jc w:val="center"/>
                    <w:rPr>
                      <w:color w:val="auto"/>
                      <w:szCs w:val="21"/>
                    </w:rPr>
                  </w:pPr>
                  <w:r>
                    <w:rPr>
                      <w:color w:val="auto"/>
                      <w:szCs w:val="21"/>
                    </w:rPr>
                    <w:t>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1.0</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383" w:type="pct"/>
                  <w:vAlign w:val="center"/>
                </w:tcPr>
                <w:p>
                  <w:pPr>
                    <w:jc w:val="center"/>
                    <w:rPr>
                      <w:color w:val="auto"/>
                      <w:szCs w:val="21"/>
                    </w:rPr>
                  </w:pPr>
                  <w:r>
                    <w:rPr>
                      <w:rFonts w:hint="eastAsia"/>
                      <w:color w:val="auto"/>
                      <w:szCs w:val="21"/>
                    </w:rPr>
                    <w:t>3</w:t>
                  </w:r>
                </w:p>
              </w:tc>
              <w:tc>
                <w:tcPr>
                  <w:tcW w:w="1245" w:type="pct"/>
                  <w:vAlign w:val="center"/>
                </w:tcPr>
                <w:p>
                  <w:pPr>
                    <w:jc w:val="center"/>
                    <w:rPr>
                      <w:color w:val="auto"/>
                      <w:szCs w:val="21"/>
                    </w:rPr>
                  </w:pPr>
                  <w:r>
                    <w:rPr>
                      <w:color w:val="auto"/>
                      <w:szCs w:val="21"/>
                    </w:rPr>
                    <w:t>1,1-二氯乙烯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1.0</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383" w:type="pct"/>
                  <w:vAlign w:val="center"/>
                </w:tcPr>
                <w:p>
                  <w:pPr>
                    <w:jc w:val="center"/>
                    <w:rPr>
                      <w:color w:val="auto"/>
                      <w:szCs w:val="21"/>
                    </w:rPr>
                  </w:pPr>
                  <w:r>
                    <w:rPr>
                      <w:rFonts w:hint="eastAsia"/>
                      <w:color w:val="auto"/>
                      <w:szCs w:val="21"/>
                    </w:rPr>
                    <w:t>4</w:t>
                  </w:r>
                </w:p>
              </w:tc>
              <w:tc>
                <w:tcPr>
                  <w:tcW w:w="1245" w:type="pct"/>
                  <w:vAlign w:val="center"/>
                </w:tcPr>
                <w:p>
                  <w:pPr>
                    <w:jc w:val="center"/>
                    <w:rPr>
                      <w:color w:val="auto"/>
                      <w:szCs w:val="21"/>
                    </w:rPr>
                  </w:pPr>
                  <w:r>
                    <w:rPr>
                      <w:color w:val="auto"/>
                      <w:szCs w:val="21"/>
                    </w:rPr>
                    <w:t>二氯甲烷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1.5</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jc w:val="center"/>
                    <w:rPr>
                      <w:color w:val="auto"/>
                      <w:szCs w:val="21"/>
                    </w:rPr>
                  </w:pPr>
                  <w:r>
                    <w:rPr>
                      <w:rFonts w:hint="eastAsia"/>
                      <w:color w:val="auto"/>
                      <w:szCs w:val="21"/>
                    </w:rPr>
                    <w:t>5</w:t>
                  </w:r>
                </w:p>
              </w:tc>
              <w:tc>
                <w:tcPr>
                  <w:tcW w:w="1245" w:type="pct"/>
                  <w:vAlign w:val="center"/>
                </w:tcPr>
                <w:p>
                  <w:pPr>
                    <w:jc w:val="center"/>
                    <w:rPr>
                      <w:color w:val="auto"/>
                      <w:szCs w:val="21"/>
                    </w:rPr>
                  </w:pPr>
                  <w:r>
                    <w:rPr>
                      <w:color w:val="auto"/>
                      <w:szCs w:val="21"/>
                    </w:rPr>
                    <w:t>反-1,2-二氯乙烯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1.4</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jc w:val="center"/>
                    <w:rPr>
                      <w:color w:val="auto"/>
                      <w:szCs w:val="21"/>
                    </w:rPr>
                  </w:pPr>
                  <w:r>
                    <w:rPr>
                      <w:rFonts w:hint="eastAsia"/>
                      <w:color w:val="auto"/>
                      <w:szCs w:val="21"/>
                    </w:rPr>
                    <w:t>6</w:t>
                  </w:r>
                </w:p>
              </w:tc>
              <w:tc>
                <w:tcPr>
                  <w:tcW w:w="1245" w:type="pct"/>
                  <w:vAlign w:val="center"/>
                </w:tcPr>
                <w:p>
                  <w:pPr>
                    <w:jc w:val="center"/>
                    <w:rPr>
                      <w:color w:val="auto"/>
                      <w:szCs w:val="21"/>
                    </w:rPr>
                  </w:pPr>
                  <w:r>
                    <w:rPr>
                      <w:color w:val="auto"/>
                      <w:szCs w:val="21"/>
                    </w:rPr>
                    <w:t>1,1-二氯乙烷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7</w:t>
                  </w:r>
                </w:p>
              </w:tc>
              <w:tc>
                <w:tcPr>
                  <w:tcW w:w="1245" w:type="pct"/>
                  <w:vAlign w:val="center"/>
                </w:tcPr>
                <w:p>
                  <w:pPr>
                    <w:adjustRightInd w:val="0"/>
                    <w:snapToGrid w:val="0"/>
                    <w:jc w:val="center"/>
                    <w:rPr>
                      <w:color w:val="auto"/>
                      <w:szCs w:val="21"/>
                    </w:rPr>
                  </w:pPr>
                  <w:r>
                    <w:rPr>
                      <w:color w:val="auto"/>
                      <w:szCs w:val="21"/>
                    </w:rPr>
                    <w:t>顺-1,2-二氯乙烯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1.3</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8</w:t>
                  </w:r>
                </w:p>
              </w:tc>
              <w:tc>
                <w:tcPr>
                  <w:tcW w:w="1245" w:type="pct"/>
                  <w:vAlign w:val="center"/>
                </w:tcPr>
                <w:p>
                  <w:pPr>
                    <w:adjustRightInd w:val="0"/>
                    <w:snapToGrid w:val="0"/>
                    <w:jc w:val="center"/>
                    <w:rPr>
                      <w:color w:val="auto"/>
                      <w:szCs w:val="21"/>
                    </w:rPr>
                  </w:pPr>
                  <w:r>
                    <w:rPr>
                      <w:color w:val="auto"/>
                      <w:szCs w:val="21"/>
                    </w:rPr>
                    <w:t>氯仿</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1.1</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jc w:val="center"/>
                    <w:rPr>
                      <w:color w:val="auto"/>
                      <w:szCs w:val="21"/>
                    </w:rPr>
                  </w:pPr>
                  <w:r>
                    <w:rPr>
                      <w:rFonts w:hint="eastAsia"/>
                      <w:color w:val="auto"/>
                      <w:szCs w:val="21"/>
                    </w:rPr>
                    <w:t>9</w:t>
                  </w:r>
                </w:p>
              </w:tc>
              <w:tc>
                <w:tcPr>
                  <w:tcW w:w="1245" w:type="pct"/>
                  <w:vAlign w:val="center"/>
                </w:tcPr>
                <w:p>
                  <w:pPr>
                    <w:jc w:val="center"/>
                    <w:rPr>
                      <w:color w:val="auto"/>
                      <w:szCs w:val="21"/>
                    </w:rPr>
                  </w:pPr>
                  <w:r>
                    <w:rPr>
                      <w:color w:val="auto"/>
                      <w:szCs w:val="21"/>
                    </w:rPr>
                    <w:t>1,1,1-三氯乙烷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1.3</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10</w:t>
                  </w:r>
                </w:p>
              </w:tc>
              <w:tc>
                <w:tcPr>
                  <w:tcW w:w="1245" w:type="pct"/>
                  <w:vAlign w:val="center"/>
                </w:tcPr>
                <w:p>
                  <w:pPr>
                    <w:adjustRightInd w:val="0"/>
                    <w:snapToGrid w:val="0"/>
                    <w:jc w:val="center"/>
                    <w:rPr>
                      <w:color w:val="auto"/>
                      <w:szCs w:val="21"/>
                    </w:rPr>
                  </w:pPr>
                  <w:r>
                    <w:rPr>
                      <w:color w:val="auto"/>
                      <w:szCs w:val="21"/>
                    </w:rPr>
                    <w:t>四氯化碳</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1.3</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11</w:t>
                  </w:r>
                </w:p>
              </w:tc>
              <w:tc>
                <w:tcPr>
                  <w:tcW w:w="1245" w:type="pct"/>
                  <w:vAlign w:val="center"/>
                </w:tcPr>
                <w:p>
                  <w:pPr>
                    <w:adjustRightInd w:val="0"/>
                    <w:snapToGrid w:val="0"/>
                    <w:jc w:val="center"/>
                    <w:rPr>
                      <w:color w:val="auto"/>
                      <w:szCs w:val="21"/>
                    </w:rPr>
                  </w:pPr>
                  <w:r>
                    <w:rPr>
                      <w:color w:val="auto"/>
                      <w:szCs w:val="21"/>
                    </w:rPr>
                    <w:t>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1.9</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12</w:t>
                  </w:r>
                </w:p>
              </w:tc>
              <w:tc>
                <w:tcPr>
                  <w:tcW w:w="1245" w:type="pct"/>
                  <w:vAlign w:val="center"/>
                </w:tcPr>
                <w:p>
                  <w:pPr>
                    <w:adjustRightInd w:val="0"/>
                    <w:snapToGrid w:val="0"/>
                    <w:jc w:val="center"/>
                    <w:rPr>
                      <w:color w:val="auto"/>
                      <w:szCs w:val="21"/>
                    </w:rPr>
                  </w:pPr>
                  <w:r>
                    <w:rPr>
                      <w:color w:val="auto"/>
                      <w:szCs w:val="21"/>
                    </w:rPr>
                    <w:t>1,2-二氯乙烷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1.3</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13</w:t>
                  </w:r>
                </w:p>
              </w:tc>
              <w:tc>
                <w:tcPr>
                  <w:tcW w:w="1245" w:type="pct"/>
                  <w:vAlign w:val="center"/>
                </w:tcPr>
                <w:p>
                  <w:pPr>
                    <w:adjustRightInd w:val="0"/>
                    <w:snapToGrid w:val="0"/>
                    <w:jc w:val="center"/>
                    <w:rPr>
                      <w:color w:val="auto"/>
                      <w:szCs w:val="21"/>
                    </w:rPr>
                  </w:pPr>
                  <w:r>
                    <w:rPr>
                      <w:color w:val="auto"/>
                      <w:szCs w:val="21"/>
                    </w:rPr>
                    <w:t>三氯乙烯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14</w:t>
                  </w:r>
                </w:p>
              </w:tc>
              <w:tc>
                <w:tcPr>
                  <w:tcW w:w="1245" w:type="pct"/>
                  <w:vAlign w:val="center"/>
                </w:tcPr>
                <w:p>
                  <w:pPr>
                    <w:adjustRightInd w:val="0"/>
                    <w:snapToGrid w:val="0"/>
                    <w:jc w:val="center"/>
                    <w:rPr>
                      <w:color w:val="auto"/>
                      <w:szCs w:val="21"/>
                    </w:rPr>
                  </w:pPr>
                  <w:r>
                    <w:rPr>
                      <w:color w:val="auto"/>
                      <w:szCs w:val="21"/>
                    </w:rPr>
                    <w:t>1,2-二氯丙烷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1.1</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15</w:t>
                  </w:r>
                </w:p>
              </w:tc>
              <w:tc>
                <w:tcPr>
                  <w:tcW w:w="1245" w:type="pct"/>
                  <w:vAlign w:val="center"/>
                </w:tcPr>
                <w:p>
                  <w:pPr>
                    <w:adjustRightInd w:val="0"/>
                    <w:snapToGrid w:val="0"/>
                    <w:jc w:val="center"/>
                    <w:rPr>
                      <w:color w:val="auto"/>
                      <w:szCs w:val="21"/>
                    </w:rPr>
                  </w:pPr>
                  <w:r>
                    <w:rPr>
                      <w:color w:val="auto"/>
                      <w:szCs w:val="21"/>
                    </w:rPr>
                    <w:t>甲苯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1.3</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16</w:t>
                  </w:r>
                </w:p>
              </w:tc>
              <w:tc>
                <w:tcPr>
                  <w:tcW w:w="1245" w:type="pct"/>
                  <w:vAlign w:val="center"/>
                </w:tcPr>
                <w:p>
                  <w:pPr>
                    <w:adjustRightInd w:val="0"/>
                    <w:snapToGrid w:val="0"/>
                    <w:jc w:val="center"/>
                    <w:rPr>
                      <w:color w:val="auto"/>
                      <w:szCs w:val="21"/>
                    </w:rPr>
                  </w:pPr>
                  <w:r>
                    <w:rPr>
                      <w:color w:val="auto"/>
                      <w:szCs w:val="21"/>
                    </w:rPr>
                    <w:t>1,1,2-三氯乙烷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17</w:t>
                  </w:r>
                </w:p>
              </w:tc>
              <w:tc>
                <w:tcPr>
                  <w:tcW w:w="1245" w:type="pct"/>
                  <w:vAlign w:val="center"/>
                </w:tcPr>
                <w:p>
                  <w:pPr>
                    <w:adjustRightInd w:val="0"/>
                    <w:snapToGrid w:val="0"/>
                    <w:jc w:val="center"/>
                    <w:rPr>
                      <w:color w:val="auto"/>
                      <w:szCs w:val="21"/>
                    </w:rPr>
                  </w:pPr>
                  <w:r>
                    <w:rPr>
                      <w:color w:val="auto"/>
                      <w:szCs w:val="21"/>
                    </w:rPr>
                    <w:t>四氯乙烯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1.4</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18</w:t>
                  </w:r>
                </w:p>
              </w:tc>
              <w:tc>
                <w:tcPr>
                  <w:tcW w:w="1245" w:type="pct"/>
                  <w:vAlign w:val="center"/>
                </w:tcPr>
                <w:p>
                  <w:pPr>
                    <w:adjustRightInd w:val="0"/>
                    <w:snapToGrid w:val="0"/>
                    <w:jc w:val="center"/>
                    <w:rPr>
                      <w:color w:val="auto"/>
                      <w:szCs w:val="21"/>
                    </w:rPr>
                  </w:pPr>
                  <w:r>
                    <w:rPr>
                      <w:color w:val="auto"/>
                      <w:szCs w:val="21"/>
                    </w:rPr>
                    <w:t>氯苯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19</w:t>
                  </w:r>
                </w:p>
              </w:tc>
              <w:tc>
                <w:tcPr>
                  <w:tcW w:w="1245" w:type="pct"/>
                  <w:vAlign w:val="center"/>
                </w:tcPr>
                <w:p>
                  <w:pPr>
                    <w:adjustRightInd w:val="0"/>
                    <w:snapToGrid w:val="0"/>
                    <w:jc w:val="center"/>
                    <w:rPr>
                      <w:color w:val="auto"/>
                      <w:szCs w:val="21"/>
                    </w:rPr>
                  </w:pPr>
                  <w:r>
                    <w:rPr>
                      <w:color w:val="auto"/>
                      <w:szCs w:val="21"/>
                    </w:rPr>
                    <w:t>1,1,</w:t>
                  </w:r>
                  <w:r>
                    <w:rPr>
                      <w:rFonts w:hint="eastAsia"/>
                      <w:color w:val="auto"/>
                      <w:szCs w:val="21"/>
                    </w:rPr>
                    <w:t>1</w:t>
                  </w:r>
                  <w:r>
                    <w:rPr>
                      <w:color w:val="auto"/>
                      <w:szCs w:val="21"/>
                    </w:rPr>
                    <w:t>,2-四氯乙烷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20</w:t>
                  </w:r>
                </w:p>
              </w:tc>
              <w:tc>
                <w:tcPr>
                  <w:tcW w:w="1245" w:type="pct"/>
                  <w:vAlign w:val="center"/>
                </w:tcPr>
                <w:p>
                  <w:pPr>
                    <w:adjustRightInd w:val="0"/>
                    <w:snapToGrid w:val="0"/>
                    <w:jc w:val="center"/>
                    <w:rPr>
                      <w:color w:val="auto"/>
                      <w:szCs w:val="21"/>
                    </w:rPr>
                  </w:pPr>
                  <w:r>
                    <w:rPr>
                      <w:color w:val="auto"/>
                      <w:szCs w:val="21"/>
                    </w:rPr>
                    <w:t>1,2,3-三氯丙烷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21</w:t>
                  </w:r>
                </w:p>
              </w:tc>
              <w:tc>
                <w:tcPr>
                  <w:tcW w:w="1245" w:type="pct"/>
                  <w:vAlign w:val="center"/>
                </w:tcPr>
                <w:p>
                  <w:pPr>
                    <w:adjustRightInd w:val="0"/>
                    <w:snapToGrid w:val="0"/>
                    <w:jc w:val="center"/>
                    <w:rPr>
                      <w:color w:val="auto"/>
                      <w:szCs w:val="21"/>
                    </w:rPr>
                  </w:pPr>
                  <w:r>
                    <w:rPr>
                      <w:color w:val="auto"/>
                      <w:szCs w:val="21"/>
                    </w:rPr>
                    <w:t>间二甲苯+对二甲苯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22</w:t>
                  </w:r>
                </w:p>
              </w:tc>
              <w:tc>
                <w:tcPr>
                  <w:tcW w:w="1245" w:type="pct"/>
                  <w:vAlign w:val="center"/>
                </w:tcPr>
                <w:p>
                  <w:pPr>
                    <w:adjustRightInd w:val="0"/>
                    <w:snapToGrid w:val="0"/>
                    <w:jc w:val="center"/>
                    <w:rPr>
                      <w:color w:val="auto"/>
                      <w:szCs w:val="21"/>
                    </w:rPr>
                  </w:pPr>
                  <w:r>
                    <w:rPr>
                      <w:color w:val="auto"/>
                      <w:szCs w:val="21"/>
                    </w:rPr>
                    <w:t>邻二甲苯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23</w:t>
                  </w:r>
                </w:p>
              </w:tc>
              <w:tc>
                <w:tcPr>
                  <w:tcW w:w="1245" w:type="pct"/>
                  <w:vAlign w:val="center"/>
                </w:tcPr>
                <w:p>
                  <w:pPr>
                    <w:adjustRightInd w:val="0"/>
                    <w:snapToGrid w:val="0"/>
                    <w:jc w:val="center"/>
                    <w:rPr>
                      <w:color w:val="auto"/>
                      <w:szCs w:val="21"/>
                    </w:rPr>
                  </w:pPr>
                  <w:r>
                    <w:rPr>
                      <w:rFonts w:hint="eastAsia"/>
                      <w:color w:val="auto"/>
                      <w:szCs w:val="21"/>
                    </w:rPr>
                    <w:t>苯乙烯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1.1</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24</w:t>
                  </w:r>
                </w:p>
              </w:tc>
              <w:tc>
                <w:tcPr>
                  <w:tcW w:w="1245" w:type="pct"/>
                  <w:vAlign w:val="center"/>
                </w:tcPr>
                <w:p>
                  <w:pPr>
                    <w:adjustRightInd w:val="0"/>
                    <w:snapToGrid w:val="0"/>
                    <w:jc w:val="center"/>
                    <w:rPr>
                      <w:color w:val="auto"/>
                      <w:szCs w:val="21"/>
                    </w:rPr>
                  </w:pPr>
                  <w:r>
                    <w:rPr>
                      <w:color w:val="auto"/>
                      <w:szCs w:val="21"/>
                    </w:rPr>
                    <w:t>1,1,</w:t>
                  </w:r>
                  <w:r>
                    <w:rPr>
                      <w:rFonts w:hint="eastAsia"/>
                      <w:color w:val="auto"/>
                      <w:szCs w:val="21"/>
                    </w:rPr>
                    <w:t>2</w:t>
                  </w:r>
                  <w:r>
                    <w:rPr>
                      <w:color w:val="auto"/>
                      <w:szCs w:val="21"/>
                    </w:rPr>
                    <w:t>,2-四氯乙烷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25</w:t>
                  </w:r>
                </w:p>
              </w:tc>
              <w:tc>
                <w:tcPr>
                  <w:tcW w:w="1245" w:type="pct"/>
                  <w:vAlign w:val="center"/>
                </w:tcPr>
                <w:p>
                  <w:pPr>
                    <w:adjustRightInd w:val="0"/>
                    <w:snapToGrid w:val="0"/>
                    <w:jc w:val="center"/>
                    <w:rPr>
                      <w:color w:val="auto"/>
                      <w:szCs w:val="21"/>
                    </w:rPr>
                  </w:pPr>
                  <w:r>
                    <w:rPr>
                      <w:color w:val="auto"/>
                      <w:szCs w:val="21"/>
                    </w:rPr>
                    <w:t>1,2,3-三氯丙烷</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1.2</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26</w:t>
                  </w:r>
                </w:p>
              </w:tc>
              <w:tc>
                <w:tcPr>
                  <w:tcW w:w="1245" w:type="pct"/>
                  <w:vAlign w:val="center"/>
                </w:tcPr>
                <w:p>
                  <w:pPr>
                    <w:adjustRightInd w:val="0"/>
                    <w:snapToGrid w:val="0"/>
                    <w:jc w:val="center"/>
                    <w:rPr>
                      <w:color w:val="auto"/>
                      <w:szCs w:val="21"/>
                    </w:rPr>
                  </w:pPr>
                  <w:r>
                    <w:rPr>
                      <w:color w:val="auto"/>
                      <w:szCs w:val="21"/>
                    </w:rPr>
                    <w:t>1,</w:t>
                  </w:r>
                  <w:r>
                    <w:rPr>
                      <w:rFonts w:hint="eastAsia"/>
                      <w:color w:val="auto"/>
                      <w:szCs w:val="21"/>
                    </w:rPr>
                    <w:t>4</w:t>
                  </w:r>
                  <w:r>
                    <w:rPr>
                      <w:color w:val="auto"/>
                      <w:szCs w:val="21"/>
                    </w:rPr>
                    <w:t>-二氯苯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color w:val="auto"/>
                      <w:szCs w:val="21"/>
                    </w:rPr>
                  </w:pPr>
                  <w:r>
                    <w:rPr>
                      <w:rFonts w:hint="eastAsia"/>
                      <w:color w:val="auto"/>
                      <w:szCs w:val="21"/>
                    </w:rPr>
                    <w:t>1.5</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color w:val="auto"/>
                      <w:szCs w:val="21"/>
                    </w:rPr>
                  </w:pPr>
                  <w:r>
                    <w:rPr>
                      <w:rFonts w:hint="eastAsia"/>
                      <w:color w:val="auto"/>
                      <w:szCs w:val="21"/>
                    </w:rPr>
                    <w:t>27</w:t>
                  </w:r>
                </w:p>
              </w:tc>
              <w:tc>
                <w:tcPr>
                  <w:tcW w:w="1245" w:type="pct"/>
                  <w:vAlign w:val="center"/>
                </w:tcPr>
                <w:p>
                  <w:pPr>
                    <w:adjustRightInd w:val="0"/>
                    <w:snapToGrid w:val="0"/>
                    <w:jc w:val="center"/>
                    <w:rPr>
                      <w:color w:val="auto"/>
                      <w:szCs w:val="21"/>
                    </w:rPr>
                  </w:pPr>
                  <w:r>
                    <w:rPr>
                      <w:color w:val="auto"/>
                      <w:szCs w:val="21"/>
                    </w:rPr>
                    <w:t>1,</w:t>
                  </w:r>
                  <w:r>
                    <w:rPr>
                      <w:rFonts w:hint="eastAsia"/>
                      <w:color w:val="auto"/>
                      <w:szCs w:val="21"/>
                    </w:rPr>
                    <w:t>2</w:t>
                  </w:r>
                  <w:r>
                    <w:rPr>
                      <w:color w:val="auto"/>
                      <w:szCs w:val="21"/>
                    </w:rPr>
                    <w:t>-二氯苯</w:t>
                  </w:r>
                </w:p>
              </w:tc>
              <w:tc>
                <w:tcPr>
                  <w:tcW w:w="675" w:type="pct"/>
                  <w:vAlign w:val="center"/>
                </w:tcPr>
                <w:p>
                  <w:pPr>
                    <w:jc w:val="center"/>
                    <w:rPr>
                      <w:color w:val="auto"/>
                      <w:szCs w:val="21"/>
                    </w:rPr>
                  </w:pPr>
                  <w:r>
                    <w:rPr>
                      <w:rFonts w:hint="eastAsia"/>
                      <w:color w:val="auto"/>
                      <w:szCs w:val="21"/>
                      <w:lang w:val="en-US" w:eastAsia="zh-CN"/>
                    </w:rPr>
                    <w:t>ND</w:t>
                  </w:r>
                </w:p>
              </w:tc>
              <w:tc>
                <w:tcPr>
                  <w:tcW w:w="761" w:type="pct"/>
                  <w:vAlign w:val="center"/>
                </w:tcPr>
                <w:p>
                  <w:pPr>
                    <w:jc w:val="center"/>
                    <w:rPr>
                      <w:color w:val="auto"/>
                      <w:szCs w:val="21"/>
                    </w:rPr>
                  </w:pPr>
                  <w:r>
                    <w:rPr>
                      <w:rFonts w:hint="eastAsia"/>
                      <w:color w:val="auto"/>
                      <w:szCs w:val="21"/>
                      <w:lang w:val="en-US" w:eastAsia="zh-CN"/>
                    </w:rPr>
                    <w:t>ND</w:t>
                  </w:r>
                </w:p>
              </w:tc>
              <w:tc>
                <w:tcPr>
                  <w:tcW w:w="590" w:type="pct"/>
                  <w:vAlign w:val="center"/>
                </w:tcPr>
                <w:p>
                  <w:pPr>
                    <w:jc w:val="center"/>
                    <w:rPr>
                      <w:color w:val="auto"/>
                      <w:szCs w:val="21"/>
                    </w:rPr>
                  </w:pPr>
                  <w:r>
                    <w:rPr>
                      <w:rFonts w:hint="eastAsia"/>
                      <w:color w:val="auto"/>
                      <w:szCs w:val="21"/>
                      <w:lang w:val="en-US" w:eastAsia="zh-CN"/>
                    </w:rPr>
                    <w:t>ND</w:t>
                  </w:r>
                </w:p>
              </w:tc>
              <w:tc>
                <w:tcPr>
                  <w:tcW w:w="676" w:type="pct"/>
                  <w:vAlign w:val="center"/>
                </w:tcPr>
                <w:p>
                  <w:pPr>
                    <w:jc w:val="center"/>
                    <w:rPr>
                      <w:color w:val="auto"/>
                      <w:szCs w:val="21"/>
                    </w:rPr>
                  </w:pPr>
                  <w:r>
                    <w:rPr>
                      <w:rFonts w:hint="eastAsia"/>
                      <w:color w:val="auto"/>
                      <w:szCs w:val="21"/>
                      <w:lang w:val="en-US" w:eastAsia="zh-CN"/>
                    </w:rPr>
                    <w:t>ND</w:t>
                  </w:r>
                </w:p>
              </w:tc>
              <w:tc>
                <w:tcPr>
                  <w:tcW w:w="667" w:type="pct"/>
                  <w:vAlign w:val="center"/>
                </w:tcPr>
                <w:p>
                  <w:pPr>
                    <w:jc w:val="center"/>
                    <w:rPr>
                      <w:b/>
                      <w:bCs/>
                      <w:color w:val="auto"/>
                      <w:szCs w:val="21"/>
                    </w:rPr>
                  </w:pPr>
                  <w:r>
                    <w:rPr>
                      <w:rFonts w:hint="eastAsia"/>
                      <w:color w:val="auto"/>
                      <w:szCs w:val="21"/>
                    </w:rPr>
                    <w:t>1.5</w:t>
                  </w:r>
                  <w:r>
                    <w:rPr>
                      <w:rFonts w:ascii="Arial" w:hAnsi="Arial" w:cs="Arial"/>
                      <w:color w:val="auto"/>
                      <w:szCs w:val="21"/>
                    </w:rPr>
                    <w:t>×</w:t>
                  </w:r>
                  <w:r>
                    <w:rPr>
                      <w:rFonts w:hint="eastAsia"/>
                      <w:color w:val="auto"/>
                      <w:szCs w:val="21"/>
                    </w:rPr>
                    <w:t>10</w:t>
                  </w:r>
                  <w:r>
                    <w:rPr>
                      <w:rFonts w:hint="eastAsia"/>
                      <w:color w:val="auto"/>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3" w:type="pct"/>
                  <w:vAlign w:val="center"/>
                </w:tcPr>
                <w:p>
                  <w:pPr>
                    <w:adjustRightInd w:val="0"/>
                    <w:snapToGrid w:val="0"/>
                    <w:jc w:val="center"/>
                    <w:rPr>
                      <w:rFonts w:hint="eastAsia" w:eastAsia="宋体"/>
                      <w:color w:val="auto"/>
                      <w:szCs w:val="21"/>
                      <w:lang w:eastAsia="zh-CN"/>
                    </w:rPr>
                  </w:pPr>
                  <w:r>
                    <w:rPr>
                      <w:rFonts w:hint="eastAsia"/>
                      <w:color w:val="auto"/>
                      <w:szCs w:val="21"/>
                      <w:lang w:eastAsia="zh-CN"/>
                    </w:rPr>
                    <w:t>备注</w:t>
                  </w:r>
                </w:p>
              </w:tc>
              <w:tc>
                <w:tcPr>
                  <w:tcW w:w="4616" w:type="pct"/>
                  <w:gridSpan w:val="6"/>
                  <w:vAlign w:val="center"/>
                </w:tcPr>
                <w:p>
                  <w:pPr>
                    <w:jc w:val="center"/>
                    <w:rPr>
                      <w:rFonts w:hint="eastAsia"/>
                      <w:color w:val="auto"/>
                      <w:szCs w:val="21"/>
                    </w:rPr>
                  </w:pPr>
                  <w:r>
                    <w:rPr>
                      <w:rFonts w:hint="eastAsia"/>
                      <w:color w:val="auto"/>
                      <w:szCs w:val="21"/>
                    </w:rPr>
                    <w:t>ND 为未检出</w:t>
                  </w:r>
                </w:p>
              </w:tc>
            </w:tr>
          </w:tbl>
          <w:p>
            <w:pPr>
              <w:spacing w:line="360" w:lineRule="auto"/>
              <w:ind w:firstLine="508" w:firstLineChars="212"/>
              <w:rPr>
                <w:rFonts w:hint="eastAsia" w:eastAsia="宋体"/>
                <w:color w:val="auto"/>
                <w:kern w:val="0"/>
                <w:sz w:val="24"/>
                <w:szCs w:val="24"/>
                <w:lang w:eastAsia="zh-CN"/>
              </w:rPr>
            </w:pPr>
            <w:r>
              <w:rPr>
                <w:rFonts w:hint="eastAsia"/>
                <w:color w:val="auto"/>
                <w:kern w:val="0"/>
                <w:sz w:val="24"/>
              </w:rPr>
              <w:t>检测结果表明，项目所在地土壤环境现状监测因子均能满足《土壤环境质量 建设用地土壤污染风险管控标准（试行）》（GB36600-2018）》</w:t>
            </w:r>
            <w:r>
              <w:rPr>
                <w:rFonts w:hint="eastAsia"/>
                <w:color w:val="auto"/>
                <w:kern w:val="0"/>
                <w:sz w:val="24"/>
                <w:lang w:eastAsia="zh-CN"/>
              </w:rPr>
              <w:t>表</w:t>
            </w:r>
            <w:r>
              <w:rPr>
                <w:rFonts w:hint="eastAsia"/>
                <w:color w:val="auto"/>
                <w:kern w:val="0"/>
                <w:sz w:val="24"/>
                <w:lang w:val="en-US" w:eastAsia="zh-CN"/>
              </w:rPr>
              <w:t>1</w:t>
            </w:r>
            <w:r>
              <w:rPr>
                <w:rFonts w:hint="eastAsia"/>
                <w:color w:val="auto"/>
                <w:kern w:val="0"/>
                <w:sz w:val="24"/>
              </w:rPr>
              <w:t>中的第二类用地风险筛选值标准。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452" w:hRule="atLeast"/>
          <w:jc w:val="center"/>
        </w:trPr>
        <w:tc>
          <w:tcPr>
            <w:tcW w:w="8528" w:type="dxa"/>
          </w:tcPr>
          <w:p>
            <w:pPr>
              <w:keepNext w:val="0"/>
              <w:keepLines w:val="0"/>
              <w:pageBreakBefore w:val="0"/>
              <w:widowControl w:val="0"/>
              <w:kinsoku/>
              <w:wordWrap/>
              <w:overflowPunct/>
              <w:topLinePunct w:val="0"/>
              <w:autoSpaceDE/>
              <w:autoSpaceDN/>
              <w:bidi w:val="0"/>
              <w:adjustRightInd w:val="0"/>
              <w:snapToGrid w:val="0"/>
              <w:spacing w:line="360" w:lineRule="auto"/>
              <w:textAlignment w:val="auto"/>
              <w:rPr>
                <w:b/>
                <w:bCs/>
                <w:color w:val="auto"/>
                <w:sz w:val="24"/>
                <w:szCs w:val="24"/>
              </w:rPr>
            </w:pPr>
            <w:r>
              <w:rPr>
                <w:b/>
                <w:bCs/>
                <w:color w:val="auto"/>
                <w:sz w:val="24"/>
                <w:szCs w:val="24"/>
              </w:rPr>
              <w:t>主要环境保护目标(列出名单及保护级别)：</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szCs w:val="24"/>
              </w:rPr>
            </w:pPr>
            <w:r>
              <w:rPr>
                <w:rFonts w:hint="eastAsia"/>
                <w:color w:val="auto"/>
                <w:sz w:val="24"/>
                <w:szCs w:val="24"/>
              </w:rPr>
              <w:t>项目位于常州市金坛区龙湖路2号，四周主要为工业企业，周边300米范围内没有大气环境保护目标，距离本项目最近的大气环境保护目标为西侧的小下云小区，约</w:t>
            </w:r>
            <w:r>
              <w:rPr>
                <w:rFonts w:hint="eastAsia"/>
                <w:color w:val="auto"/>
                <w:sz w:val="24"/>
                <w:szCs w:val="24"/>
                <w:lang w:val="en-US" w:eastAsia="zh-CN"/>
              </w:rPr>
              <w:t>360</w:t>
            </w:r>
            <w:r>
              <w:rPr>
                <w:rFonts w:hint="eastAsia"/>
                <w:color w:val="auto"/>
                <w:sz w:val="24"/>
                <w:szCs w:val="24"/>
              </w:rPr>
              <w:t>m</w:t>
            </w:r>
            <w:r>
              <w:rPr>
                <w:color w:val="auto"/>
                <w:sz w:val="24"/>
                <w:szCs w:val="24"/>
              </w:rPr>
              <w:t>，项目厂区周围</w:t>
            </w:r>
            <w:r>
              <w:rPr>
                <w:rFonts w:hint="eastAsia"/>
                <w:color w:val="auto"/>
                <w:sz w:val="24"/>
                <w:szCs w:val="24"/>
              </w:rPr>
              <w:t>主要</w:t>
            </w:r>
            <w:r>
              <w:rPr>
                <w:color w:val="auto"/>
                <w:sz w:val="24"/>
                <w:szCs w:val="24"/>
              </w:rPr>
              <w:t>环境保护目标见表3-</w:t>
            </w:r>
            <w:r>
              <w:rPr>
                <w:rFonts w:hint="eastAsia"/>
                <w:color w:val="auto"/>
                <w:sz w:val="24"/>
                <w:szCs w:val="24"/>
                <w:lang w:val="en-US" w:eastAsia="zh-CN"/>
              </w:rPr>
              <w:t>10</w:t>
            </w:r>
            <w:r>
              <w:rPr>
                <w:color w:val="auto"/>
                <w:sz w:val="24"/>
                <w:szCs w:val="24"/>
              </w:rPr>
              <w:t>和表3-</w:t>
            </w:r>
            <w:r>
              <w:rPr>
                <w:rFonts w:hint="eastAsia"/>
                <w:color w:val="auto"/>
                <w:sz w:val="24"/>
                <w:szCs w:val="24"/>
                <w:lang w:val="en-US" w:eastAsia="zh-CN"/>
              </w:rPr>
              <w:t>11</w:t>
            </w:r>
            <w:r>
              <w:rPr>
                <w:color w:val="auto"/>
                <w:sz w:val="24"/>
                <w:szCs w:val="24"/>
              </w:rPr>
              <w:t>。</w:t>
            </w:r>
          </w:p>
          <w:p>
            <w:pPr>
              <w:jc w:val="center"/>
              <w:rPr>
                <w:b/>
                <w:bCs/>
                <w:color w:val="auto"/>
              </w:rPr>
            </w:pPr>
            <w:r>
              <w:rPr>
                <w:b/>
                <w:bCs/>
                <w:color w:val="auto"/>
              </w:rPr>
              <w:t>表3-</w:t>
            </w:r>
            <w:r>
              <w:rPr>
                <w:rFonts w:hint="eastAsia"/>
                <w:b/>
                <w:bCs/>
                <w:color w:val="auto"/>
                <w:lang w:val="en-US" w:eastAsia="zh-CN"/>
              </w:rPr>
              <w:t>10</w:t>
            </w:r>
            <w:r>
              <w:rPr>
                <w:b/>
                <w:bCs/>
                <w:color w:val="auto"/>
              </w:rPr>
              <w:t xml:space="preserve">  </w:t>
            </w:r>
            <w:r>
              <w:rPr>
                <w:rFonts w:hint="eastAsia"/>
                <w:b/>
                <w:bCs/>
                <w:color w:val="auto"/>
              </w:rPr>
              <w:t>主要</w:t>
            </w:r>
            <w:r>
              <w:rPr>
                <w:b/>
                <w:bCs/>
                <w:color w:val="auto"/>
              </w:rPr>
              <w:t>环境空气保护目标一览表</w:t>
            </w:r>
          </w:p>
          <w:tbl>
            <w:tblPr>
              <w:tblStyle w:val="56"/>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81"/>
              <w:gridCol w:w="1363"/>
              <w:gridCol w:w="1245"/>
              <w:gridCol w:w="647"/>
              <w:gridCol w:w="730"/>
              <w:gridCol w:w="816"/>
              <w:gridCol w:w="677"/>
              <w:gridCol w:w="961"/>
              <w:gridCol w:w="889"/>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7" w:hRule="atLeast"/>
                <w:tblHeader/>
                <w:jc w:val="center"/>
              </w:trPr>
              <w:tc>
                <w:tcPr>
                  <w:tcW w:w="590"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名称</w:t>
                  </w:r>
                </w:p>
              </w:tc>
              <w:tc>
                <w:tcPr>
                  <w:tcW w:w="1569" w:type="pct"/>
                  <w:gridSpan w:val="2"/>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坐标</w:t>
                  </w:r>
                </w:p>
              </w:tc>
              <w:tc>
                <w:tcPr>
                  <w:tcW w:w="389"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保护对象</w:t>
                  </w:r>
                </w:p>
              </w:tc>
              <w:tc>
                <w:tcPr>
                  <w:tcW w:w="439"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保护内容</w:t>
                  </w:r>
                </w:p>
              </w:tc>
              <w:tc>
                <w:tcPr>
                  <w:tcW w:w="491"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rFonts w:hint="eastAsia"/>
                      <w:color w:val="auto"/>
                    </w:rPr>
                    <w:t>保护规模</w:t>
                  </w:r>
                </w:p>
              </w:tc>
              <w:tc>
                <w:tcPr>
                  <w:tcW w:w="407"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环境功能区</w:t>
                  </w:r>
                </w:p>
              </w:tc>
              <w:tc>
                <w:tcPr>
                  <w:tcW w:w="578"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相对厂址方位</w:t>
                  </w:r>
                </w:p>
              </w:tc>
              <w:tc>
                <w:tcPr>
                  <w:tcW w:w="534"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相对厂界距离（m）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26" w:hRule="atLeast"/>
                <w:jc w:val="center"/>
              </w:trPr>
              <w:tc>
                <w:tcPr>
                  <w:tcW w:w="590" w:type="pct"/>
                  <w:vMerge w:val="continue"/>
                  <w:shd w:val="clear" w:color="auto" w:fill="FFFFFF"/>
                  <w:vAlign w:val="center"/>
                </w:tcPr>
                <w:p>
                  <w:pPr>
                    <w:rPr>
                      <w:color w:val="auto"/>
                    </w:rPr>
                  </w:pPr>
                </w:p>
              </w:tc>
              <w:tc>
                <w:tcPr>
                  <w:tcW w:w="820" w:type="pc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X</w:t>
                  </w:r>
                </w:p>
              </w:tc>
              <w:tc>
                <w:tcPr>
                  <w:tcW w:w="749" w:type="pc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Y</w:t>
                  </w:r>
                </w:p>
              </w:tc>
              <w:tc>
                <w:tcPr>
                  <w:tcW w:w="389" w:type="pct"/>
                  <w:vMerge w:val="continue"/>
                  <w:shd w:val="clear" w:color="auto" w:fill="FFFFFF"/>
                  <w:vAlign w:val="center"/>
                </w:tcPr>
                <w:p>
                  <w:pPr>
                    <w:rPr>
                      <w:color w:val="auto"/>
                    </w:rPr>
                  </w:pPr>
                </w:p>
              </w:tc>
              <w:tc>
                <w:tcPr>
                  <w:tcW w:w="439" w:type="pct"/>
                  <w:vMerge w:val="continue"/>
                  <w:shd w:val="clear" w:color="auto" w:fill="FFFFFF"/>
                  <w:vAlign w:val="center"/>
                </w:tcPr>
                <w:p>
                  <w:pPr>
                    <w:rPr>
                      <w:color w:val="auto"/>
                    </w:rPr>
                  </w:pPr>
                </w:p>
              </w:tc>
              <w:tc>
                <w:tcPr>
                  <w:tcW w:w="491" w:type="pct"/>
                  <w:vMerge w:val="continue"/>
                  <w:shd w:val="clear" w:color="auto" w:fill="FFFFFF"/>
                  <w:vAlign w:val="center"/>
                </w:tcPr>
                <w:p>
                  <w:pPr>
                    <w:rPr>
                      <w:color w:val="auto"/>
                    </w:rPr>
                  </w:pPr>
                </w:p>
              </w:tc>
              <w:tc>
                <w:tcPr>
                  <w:tcW w:w="407" w:type="pct"/>
                  <w:vMerge w:val="continue"/>
                  <w:shd w:val="clear" w:color="auto" w:fill="FFFFFF"/>
                  <w:vAlign w:val="center"/>
                </w:tcPr>
                <w:p>
                  <w:pPr>
                    <w:rPr>
                      <w:color w:val="auto"/>
                    </w:rPr>
                  </w:pPr>
                </w:p>
              </w:tc>
              <w:tc>
                <w:tcPr>
                  <w:tcW w:w="578" w:type="pct"/>
                  <w:vMerge w:val="continue"/>
                  <w:shd w:val="clear" w:color="auto" w:fill="FFFFFF"/>
                  <w:vAlign w:val="center"/>
                </w:tcPr>
                <w:p>
                  <w:pPr>
                    <w:rPr>
                      <w:color w:val="auto"/>
                    </w:rPr>
                  </w:pPr>
                </w:p>
              </w:tc>
              <w:tc>
                <w:tcPr>
                  <w:tcW w:w="534" w:type="pct"/>
                  <w:vMerge w:val="continue"/>
                  <w:shd w:val="clear" w:color="auto" w:fill="FFFFFF"/>
                  <w:vAlign w:val="center"/>
                </w:tcPr>
                <w:p>
                  <w:pPr>
                    <w:rPr>
                      <w:color w:val="auto"/>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小卞云小区</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119.646771</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31.756787</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约1000人</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360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香格里拉山庄</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119.642679</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31.756061</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半岛珑庭</w:t>
                  </w:r>
                </w:p>
              </w:tc>
              <w:tc>
                <w:tcPr>
                  <w:tcW w:w="82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119.636237</w:t>
                  </w:r>
                </w:p>
              </w:tc>
              <w:tc>
                <w:tcPr>
                  <w:tcW w:w="74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31.754215</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东城（河头镇）</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119.657001</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31.750570</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18000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980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东南庄</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119.656518</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31.747974</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pStyle w:val="50"/>
                    <w:widowControl w:val="0"/>
                    <w:adjustRightInd w:val="0"/>
                    <w:snapToGrid w:val="0"/>
                    <w:spacing w:before="0" w:line="240" w:lineRule="auto"/>
                    <w:ind w:firstLine="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1205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金坛区河头小学</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119.659677</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31.752410</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学校</w:t>
                  </w:r>
                </w:p>
              </w:tc>
              <w:tc>
                <w:tcPr>
                  <w:tcW w:w="43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800</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500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金坛市河头中学</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119.661668</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31.752539</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学校</w:t>
                  </w:r>
                </w:p>
              </w:tc>
              <w:tc>
                <w:tcPr>
                  <w:tcW w:w="43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1300</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800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1150</w:t>
                  </w:r>
                </w:p>
              </w:tc>
            </w:tr>
          </w:tbl>
          <w:p>
            <w:pPr>
              <w:jc w:val="center"/>
              <w:rPr>
                <w:b/>
                <w:bCs/>
                <w:color w:val="auto"/>
              </w:rPr>
            </w:pPr>
            <w:r>
              <w:rPr>
                <w:b/>
                <w:bCs/>
                <w:color w:val="auto"/>
              </w:rPr>
              <w:t>表3-</w:t>
            </w:r>
            <w:r>
              <w:rPr>
                <w:rFonts w:hint="eastAsia"/>
                <w:b/>
                <w:bCs/>
                <w:color w:val="auto"/>
                <w:lang w:val="en-US" w:eastAsia="zh-CN"/>
              </w:rPr>
              <w:t>11</w:t>
            </w:r>
            <w:r>
              <w:rPr>
                <w:b/>
                <w:bCs/>
                <w:color w:val="auto"/>
              </w:rPr>
              <w:t xml:space="preserve"> 主要环境保护目标</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945"/>
              <w:gridCol w:w="694"/>
              <w:gridCol w:w="813"/>
              <w:gridCol w:w="1226"/>
              <w:gridCol w:w="25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Align w:val="center"/>
                </w:tcPr>
                <w:p>
                  <w:pPr>
                    <w:jc w:val="center"/>
                    <w:rPr>
                      <w:color w:val="auto"/>
                    </w:rPr>
                  </w:pPr>
                  <w:r>
                    <w:rPr>
                      <w:color w:val="auto"/>
                    </w:rPr>
                    <w:t>环境要素</w:t>
                  </w:r>
                </w:p>
              </w:tc>
              <w:tc>
                <w:tcPr>
                  <w:tcW w:w="1945" w:type="dxa"/>
                  <w:vAlign w:val="center"/>
                </w:tcPr>
                <w:p>
                  <w:pPr>
                    <w:jc w:val="center"/>
                    <w:rPr>
                      <w:color w:val="auto"/>
                    </w:rPr>
                  </w:pPr>
                  <w:r>
                    <w:rPr>
                      <w:color w:val="auto"/>
                    </w:rPr>
                    <w:t>环境保护对象名称</w:t>
                  </w:r>
                </w:p>
              </w:tc>
              <w:tc>
                <w:tcPr>
                  <w:tcW w:w="694" w:type="dxa"/>
                  <w:vAlign w:val="center"/>
                </w:tcPr>
                <w:p>
                  <w:pPr>
                    <w:jc w:val="center"/>
                    <w:rPr>
                      <w:color w:val="auto"/>
                    </w:rPr>
                  </w:pPr>
                  <w:r>
                    <w:rPr>
                      <w:color w:val="auto"/>
                    </w:rPr>
                    <w:t>方位</w:t>
                  </w:r>
                </w:p>
              </w:tc>
              <w:tc>
                <w:tcPr>
                  <w:tcW w:w="813" w:type="dxa"/>
                  <w:vAlign w:val="center"/>
                </w:tcPr>
                <w:p>
                  <w:pPr>
                    <w:jc w:val="center"/>
                    <w:rPr>
                      <w:color w:val="auto"/>
                    </w:rPr>
                  </w:pPr>
                  <w:r>
                    <w:rPr>
                      <w:color w:val="auto"/>
                    </w:rPr>
                    <w:t>距离（m）</w:t>
                  </w:r>
                </w:p>
              </w:tc>
              <w:tc>
                <w:tcPr>
                  <w:tcW w:w="1226" w:type="dxa"/>
                  <w:vAlign w:val="center"/>
                </w:tcPr>
                <w:p>
                  <w:pPr>
                    <w:jc w:val="center"/>
                    <w:rPr>
                      <w:color w:val="auto"/>
                    </w:rPr>
                  </w:pPr>
                  <w:r>
                    <w:rPr>
                      <w:color w:val="auto"/>
                    </w:rPr>
                    <w:t>规模</w:t>
                  </w:r>
                </w:p>
              </w:tc>
              <w:tc>
                <w:tcPr>
                  <w:tcW w:w="2568" w:type="dxa"/>
                  <w:vAlign w:val="center"/>
                </w:tcPr>
                <w:p>
                  <w:pPr>
                    <w:jc w:val="center"/>
                    <w:rPr>
                      <w:color w:val="auto"/>
                    </w:rPr>
                  </w:pPr>
                  <w:r>
                    <w:rPr>
                      <w:color w:val="auto"/>
                    </w:rPr>
                    <w:t>环境功能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Align w:val="center"/>
                </w:tcPr>
                <w:p>
                  <w:pPr>
                    <w:jc w:val="center"/>
                    <w:rPr>
                      <w:color w:val="auto"/>
                    </w:rPr>
                  </w:pPr>
                  <w:r>
                    <w:rPr>
                      <w:color w:val="auto"/>
                    </w:rPr>
                    <w:t>水环境</w:t>
                  </w:r>
                </w:p>
              </w:tc>
              <w:tc>
                <w:tcPr>
                  <w:tcW w:w="1945" w:type="dxa"/>
                  <w:vAlign w:val="center"/>
                </w:tcPr>
                <w:p>
                  <w:pPr>
                    <w:pStyle w:val="449"/>
                    <w:rPr>
                      <w:rFonts w:hint="eastAsia"/>
                      <w:color w:val="auto"/>
                      <w:lang w:eastAsia="zh-CN"/>
                    </w:rPr>
                  </w:pPr>
                  <w:r>
                    <w:rPr>
                      <w:rFonts w:hint="eastAsia"/>
                      <w:color w:val="auto"/>
                      <w:lang w:eastAsia="zh-CN"/>
                    </w:rPr>
                    <w:t>尧塘河</w:t>
                  </w:r>
                </w:p>
              </w:tc>
              <w:tc>
                <w:tcPr>
                  <w:tcW w:w="694" w:type="dxa"/>
                  <w:vAlign w:val="center"/>
                </w:tcPr>
                <w:p>
                  <w:pPr>
                    <w:pStyle w:val="449"/>
                    <w:rPr>
                      <w:color w:val="auto"/>
                    </w:rPr>
                  </w:pPr>
                  <w:r>
                    <w:rPr>
                      <w:rFonts w:hint="eastAsia"/>
                      <w:color w:val="auto"/>
                    </w:rPr>
                    <w:t>S</w:t>
                  </w:r>
                </w:p>
              </w:tc>
              <w:tc>
                <w:tcPr>
                  <w:tcW w:w="813" w:type="dxa"/>
                  <w:vAlign w:val="center"/>
                </w:tcPr>
                <w:p>
                  <w:pPr>
                    <w:pStyle w:val="449"/>
                    <w:rPr>
                      <w:rFonts w:hint="default"/>
                      <w:color w:val="auto"/>
                      <w:lang w:val="en-US" w:eastAsia="zh-CN"/>
                    </w:rPr>
                  </w:pPr>
                  <w:r>
                    <w:rPr>
                      <w:rFonts w:hint="eastAsia"/>
                      <w:color w:val="auto"/>
                      <w:lang w:val="en-US" w:eastAsia="zh-CN"/>
                    </w:rPr>
                    <w:t>600</w:t>
                  </w:r>
                </w:p>
              </w:tc>
              <w:tc>
                <w:tcPr>
                  <w:tcW w:w="1226" w:type="dxa"/>
                  <w:vAlign w:val="center"/>
                </w:tcPr>
                <w:p>
                  <w:pPr>
                    <w:pStyle w:val="449"/>
                    <w:rPr>
                      <w:color w:val="auto"/>
                    </w:rPr>
                  </w:pPr>
                  <w:r>
                    <w:rPr>
                      <w:rFonts w:hint="eastAsia"/>
                      <w:color w:val="auto"/>
                    </w:rPr>
                    <w:t>小</w:t>
                  </w:r>
                </w:p>
              </w:tc>
              <w:tc>
                <w:tcPr>
                  <w:tcW w:w="2568" w:type="dxa"/>
                  <w:vAlign w:val="center"/>
                </w:tcPr>
                <w:p>
                  <w:pPr>
                    <w:jc w:val="center"/>
                    <w:rPr>
                      <w:color w:val="auto"/>
                    </w:rPr>
                  </w:pPr>
                  <w:r>
                    <w:rPr>
                      <w:color w:val="auto"/>
                    </w:rPr>
                    <w:t>《地表水环境质量标准》（GB3838-2002）</w:t>
                  </w:r>
                  <w:r>
                    <w:rPr>
                      <w:rFonts w:hint="eastAsia"/>
                      <w:color w:val="auto"/>
                    </w:rPr>
                    <w:t>Ⅳ</w:t>
                  </w:r>
                  <w:r>
                    <w:rPr>
                      <w:color w:val="auto"/>
                    </w:rPr>
                    <w:t>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Align w:val="center"/>
                </w:tcPr>
                <w:p>
                  <w:pPr>
                    <w:jc w:val="center"/>
                    <w:rPr>
                      <w:color w:val="auto"/>
                    </w:rPr>
                  </w:pPr>
                  <w:r>
                    <w:rPr>
                      <w:color w:val="auto"/>
                    </w:rPr>
                    <w:t>声环境</w:t>
                  </w:r>
                </w:p>
              </w:tc>
              <w:tc>
                <w:tcPr>
                  <w:tcW w:w="1945" w:type="dxa"/>
                  <w:vAlign w:val="center"/>
                </w:tcPr>
                <w:p>
                  <w:pPr>
                    <w:pStyle w:val="449"/>
                    <w:rPr>
                      <w:rFonts w:hint="eastAsia"/>
                      <w:color w:val="auto"/>
                      <w:lang w:eastAsia="zh-CN"/>
                    </w:rPr>
                  </w:pPr>
                  <w:r>
                    <w:rPr>
                      <w:color w:val="auto"/>
                    </w:rPr>
                    <w:t>厂界</w:t>
                  </w:r>
                </w:p>
              </w:tc>
              <w:tc>
                <w:tcPr>
                  <w:tcW w:w="2733" w:type="dxa"/>
                  <w:gridSpan w:val="3"/>
                  <w:vAlign w:val="center"/>
                </w:tcPr>
                <w:p>
                  <w:pPr>
                    <w:jc w:val="center"/>
                    <w:rPr>
                      <w:rFonts w:hint="eastAsia"/>
                      <w:color w:val="auto"/>
                      <w:lang w:val="en-US" w:eastAsia="zh-CN"/>
                    </w:rPr>
                  </w:pPr>
                  <w:r>
                    <w:rPr>
                      <w:rFonts w:hint="eastAsia"/>
                      <w:color w:val="auto"/>
                    </w:rPr>
                    <w:t>厂界外200</w:t>
                  </w:r>
                  <w:r>
                    <w:rPr>
                      <w:color w:val="auto"/>
                    </w:rPr>
                    <w:t>m</w:t>
                  </w:r>
                  <w:r>
                    <w:rPr>
                      <w:rFonts w:hint="eastAsia"/>
                      <w:color w:val="auto"/>
                    </w:rPr>
                    <w:t>范围内</w:t>
                  </w:r>
                </w:p>
              </w:tc>
              <w:tc>
                <w:tcPr>
                  <w:tcW w:w="2568" w:type="dxa"/>
                  <w:vAlign w:val="center"/>
                </w:tcPr>
                <w:p>
                  <w:pPr>
                    <w:jc w:val="center"/>
                    <w:rPr>
                      <w:color w:val="auto"/>
                      <w:lang w:val="en-US" w:eastAsia="zh-CN"/>
                    </w:rPr>
                  </w:pPr>
                  <w:r>
                    <w:rPr>
                      <w:color w:val="auto"/>
                    </w:rPr>
                    <w:t>《声环境质量标准》(GB3096-2008)中的</w:t>
                  </w:r>
                  <w:r>
                    <w:rPr>
                      <w:rFonts w:hint="eastAsia"/>
                      <w:color w:val="auto"/>
                      <w:lang w:val="en-US" w:eastAsia="zh-CN"/>
                    </w:rPr>
                    <w:t>2</w:t>
                  </w:r>
                  <w:r>
                    <w:rPr>
                      <w:color w:val="auto"/>
                    </w:rPr>
                    <w:t>类</w:t>
                  </w:r>
                  <w:r>
                    <w:rPr>
                      <w:rFonts w:hint="eastAsia"/>
                      <w:color w:val="auto"/>
                    </w:rPr>
                    <w:t>区限值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Merge w:val="restart"/>
                  <w:vAlign w:val="center"/>
                </w:tcPr>
                <w:p>
                  <w:pPr>
                    <w:jc w:val="center"/>
                    <w:rPr>
                      <w:color w:val="auto"/>
                    </w:rPr>
                  </w:pPr>
                  <w:r>
                    <w:rPr>
                      <w:rFonts w:hint="eastAsia"/>
                      <w:color w:val="auto"/>
                    </w:rPr>
                    <w:t>生态环境</w:t>
                  </w:r>
                </w:p>
              </w:tc>
              <w:tc>
                <w:tcPr>
                  <w:tcW w:w="1945" w:type="dxa"/>
                  <w:vAlign w:val="center"/>
                </w:tcPr>
                <w:p>
                  <w:pPr>
                    <w:jc w:val="center"/>
                    <w:rPr>
                      <w:color w:val="auto"/>
                    </w:rPr>
                  </w:pPr>
                  <w:r>
                    <w:rPr>
                      <w:rFonts w:hint="eastAsia"/>
                      <w:color w:val="auto"/>
                    </w:rPr>
                    <w:t>丹金溧漕河（金坛</w:t>
                  </w:r>
                </w:p>
                <w:p>
                  <w:pPr>
                    <w:jc w:val="center"/>
                    <w:rPr>
                      <w:color w:val="auto"/>
                    </w:rPr>
                  </w:pPr>
                  <w:r>
                    <w:rPr>
                      <w:rFonts w:hint="eastAsia"/>
                      <w:color w:val="auto"/>
                    </w:rPr>
                    <w:t>区）洪水调蓄区</w:t>
                  </w:r>
                </w:p>
              </w:tc>
              <w:tc>
                <w:tcPr>
                  <w:tcW w:w="694" w:type="dxa"/>
                  <w:vAlign w:val="center"/>
                </w:tcPr>
                <w:p>
                  <w:pPr>
                    <w:jc w:val="center"/>
                    <w:rPr>
                      <w:rFonts w:hint="eastAsia"/>
                      <w:color w:val="auto"/>
                      <w:lang w:val="en-US" w:eastAsia="zh-CN"/>
                    </w:rPr>
                  </w:pPr>
                  <w:r>
                    <w:rPr>
                      <w:rFonts w:hint="eastAsia"/>
                      <w:color w:val="auto"/>
                    </w:rPr>
                    <w:t>E</w:t>
                  </w:r>
                  <w:r>
                    <w:rPr>
                      <w:rFonts w:hint="eastAsia"/>
                      <w:color w:val="auto"/>
                      <w:lang w:val="en-US" w:eastAsia="zh-CN"/>
                    </w:rPr>
                    <w:t>W</w:t>
                  </w:r>
                </w:p>
              </w:tc>
              <w:tc>
                <w:tcPr>
                  <w:tcW w:w="813" w:type="dxa"/>
                  <w:vAlign w:val="center"/>
                </w:tcPr>
                <w:p>
                  <w:pPr>
                    <w:jc w:val="center"/>
                    <w:rPr>
                      <w:rFonts w:hint="default"/>
                      <w:color w:val="auto"/>
                      <w:lang w:val="en-US" w:eastAsia="zh-CN"/>
                    </w:rPr>
                  </w:pPr>
                  <w:r>
                    <w:rPr>
                      <w:rFonts w:hint="eastAsia"/>
                      <w:color w:val="auto"/>
                      <w:lang w:val="en-US" w:eastAsia="zh-CN"/>
                    </w:rPr>
                    <w:t>6400</w:t>
                  </w:r>
                </w:p>
              </w:tc>
              <w:tc>
                <w:tcPr>
                  <w:tcW w:w="1226" w:type="dxa"/>
                  <w:vAlign w:val="center"/>
                </w:tcPr>
                <w:p>
                  <w:pPr>
                    <w:jc w:val="center"/>
                    <w:rPr>
                      <w:color w:val="auto"/>
                    </w:rPr>
                  </w:pPr>
                  <w:r>
                    <w:rPr>
                      <w:rFonts w:hint="eastAsia"/>
                      <w:color w:val="auto"/>
                    </w:rPr>
                    <w:t>2.50平方公里</w:t>
                  </w:r>
                </w:p>
              </w:tc>
              <w:tc>
                <w:tcPr>
                  <w:tcW w:w="2568" w:type="dxa"/>
                  <w:vAlign w:val="center"/>
                </w:tcPr>
                <w:p>
                  <w:pPr>
                    <w:jc w:val="center"/>
                    <w:rPr>
                      <w:color w:val="auto"/>
                    </w:rPr>
                  </w:pPr>
                  <w:r>
                    <w:rPr>
                      <w:rFonts w:hint="eastAsia"/>
                      <w:color w:val="auto"/>
                    </w:rPr>
                    <w:t>洪水调蓄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Merge w:val="continue"/>
                  <w:vAlign w:val="center"/>
                </w:tcPr>
                <w:p>
                  <w:pPr>
                    <w:jc w:val="center"/>
                    <w:rPr>
                      <w:color w:val="auto"/>
                    </w:rPr>
                  </w:pPr>
                </w:p>
              </w:tc>
              <w:tc>
                <w:tcPr>
                  <w:tcW w:w="1945" w:type="dxa"/>
                  <w:vAlign w:val="center"/>
                </w:tcPr>
                <w:p>
                  <w:pPr>
                    <w:jc w:val="center"/>
                    <w:rPr>
                      <w:color w:val="auto"/>
                    </w:rPr>
                  </w:pPr>
                  <w:r>
                    <w:rPr>
                      <w:rFonts w:hint="eastAsia"/>
                      <w:color w:val="auto"/>
                    </w:rPr>
                    <w:t>钱资荡重要湿地</w:t>
                  </w:r>
                </w:p>
              </w:tc>
              <w:tc>
                <w:tcPr>
                  <w:tcW w:w="694" w:type="dxa"/>
                  <w:vAlign w:val="center"/>
                </w:tcPr>
                <w:p>
                  <w:pPr>
                    <w:jc w:val="center"/>
                    <w:rPr>
                      <w:color w:val="auto"/>
                    </w:rPr>
                  </w:pPr>
                  <w:r>
                    <w:rPr>
                      <w:rFonts w:hint="eastAsia"/>
                      <w:color w:val="auto"/>
                    </w:rPr>
                    <w:t>S</w:t>
                  </w:r>
                </w:p>
              </w:tc>
              <w:tc>
                <w:tcPr>
                  <w:tcW w:w="813" w:type="dxa"/>
                  <w:vAlign w:val="center"/>
                </w:tcPr>
                <w:p>
                  <w:pPr>
                    <w:jc w:val="center"/>
                    <w:rPr>
                      <w:rFonts w:hint="default"/>
                      <w:color w:val="auto"/>
                      <w:lang w:val="en-US" w:eastAsia="zh-CN"/>
                    </w:rPr>
                  </w:pPr>
                  <w:r>
                    <w:rPr>
                      <w:rFonts w:hint="eastAsia"/>
                      <w:color w:val="auto"/>
                      <w:lang w:val="en-US" w:eastAsia="zh-CN"/>
                    </w:rPr>
                    <w:t>7000</w:t>
                  </w:r>
                </w:p>
              </w:tc>
              <w:tc>
                <w:tcPr>
                  <w:tcW w:w="1226" w:type="dxa"/>
                  <w:vAlign w:val="center"/>
                </w:tcPr>
                <w:p>
                  <w:pPr>
                    <w:jc w:val="center"/>
                    <w:rPr>
                      <w:color w:val="auto"/>
                    </w:rPr>
                  </w:pPr>
                  <w:r>
                    <w:rPr>
                      <w:rFonts w:hint="eastAsia"/>
                      <w:color w:val="auto"/>
                    </w:rPr>
                    <w:t>4.61平方公里</w:t>
                  </w:r>
                </w:p>
              </w:tc>
              <w:tc>
                <w:tcPr>
                  <w:tcW w:w="2568" w:type="dxa"/>
                  <w:vAlign w:val="center"/>
                </w:tcPr>
                <w:p>
                  <w:pPr>
                    <w:jc w:val="center"/>
                    <w:rPr>
                      <w:color w:val="auto"/>
                    </w:rPr>
                  </w:pPr>
                  <w:r>
                    <w:rPr>
                      <w:rFonts w:hint="eastAsia"/>
                      <w:color w:val="auto"/>
                    </w:rPr>
                    <w:t>湿地生态系统保护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Align w:val="center"/>
                </w:tcPr>
                <w:p>
                  <w:pPr>
                    <w:jc w:val="center"/>
                    <w:rPr>
                      <w:color w:val="auto"/>
                    </w:rPr>
                  </w:pPr>
                  <w:r>
                    <w:rPr>
                      <w:rFonts w:hint="eastAsia"/>
                      <w:color w:val="auto"/>
                    </w:rPr>
                    <w:t>土壤环境</w:t>
                  </w:r>
                </w:p>
              </w:tc>
              <w:tc>
                <w:tcPr>
                  <w:tcW w:w="4678" w:type="dxa"/>
                  <w:gridSpan w:val="4"/>
                  <w:vAlign w:val="center"/>
                </w:tcPr>
                <w:p>
                  <w:pPr>
                    <w:jc w:val="center"/>
                    <w:rPr>
                      <w:rFonts w:hint="default"/>
                      <w:color w:val="auto"/>
                      <w:lang w:val="en-US" w:eastAsia="zh-CN"/>
                    </w:rPr>
                  </w:pPr>
                  <w:r>
                    <w:rPr>
                      <w:rFonts w:hint="eastAsia"/>
                      <w:color w:val="auto"/>
                    </w:rPr>
                    <w:t>项目所在区域</w:t>
                  </w:r>
                  <w:r>
                    <w:rPr>
                      <w:rFonts w:hint="eastAsia"/>
                      <w:color w:val="auto"/>
                      <w:lang w:eastAsia="zh-CN"/>
                    </w:rPr>
                    <w:t>周围</w:t>
                  </w:r>
                  <w:r>
                    <w:rPr>
                      <w:rFonts w:hint="eastAsia"/>
                      <w:color w:val="auto"/>
                      <w:lang w:val="en-US" w:eastAsia="zh-CN"/>
                    </w:rPr>
                    <w:t>200m范围</w:t>
                  </w:r>
                </w:p>
              </w:tc>
              <w:tc>
                <w:tcPr>
                  <w:tcW w:w="2568" w:type="dxa"/>
                  <w:vAlign w:val="center"/>
                </w:tcPr>
                <w:p>
                  <w:pPr>
                    <w:jc w:val="center"/>
                    <w:rPr>
                      <w:color w:val="auto"/>
                    </w:rPr>
                  </w:pPr>
                  <w:r>
                    <w:rPr>
                      <w:rFonts w:hint="eastAsia"/>
                      <w:color w:val="auto"/>
                    </w:rPr>
                    <w:t>《土壤环境质量 建设用地土壤污染风险管控标准（试行）》（GB36600-2018）》第二类用地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66" w:type="dxa"/>
                  <w:vAlign w:val="center"/>
                </w:tcPr>
                <w:p>
                  <w:pPr>
                    <w:spacing w:before="62" w:beforeLines="20" w:after="62" w:afterLines="20"/>
                    <w:jc w:val="center"/>
                    <w:rPr>
                      <w:color w:val="auto"/>
                    </w:rPr>
                  </w:pPr>
                  <w:r>
                    <w:rPr>
                      <w:rFonts w:hint="eastAsia"/>
                      <w:color w:val="auto"/>
                    </w:rPr>
                    <w:t>地下水</w:t>
                  </w:r>
                </w:p>
              </w:tc>
              <w:tc>
                <w:tcPr>
                  <w:tcW w:w="4678" w:type="dxa"/>
                  <w:gridSpan w:val="4"/>
                  <w:vAlign w:val="center"/>
                </w:tcPr>
                <w:p>
                  <w:pPr>
                    <w:spacing w:before="62" w:beforeLines="20" w:after="62" w:afterLines="20"/>
                    <w:jc w:val="center"/>
                    <w:rPr>
                      <w:color w:val="auto"/>
                    </w:rPr>
                  </w:pPr>
                  <w:r>
                    <w:rPr>
                      <w:rFonts w:hint="eastAsia"/>
                      <w:color w:val="auto"/>
                    </w:rPr>
                    <w:t>项目所在区域地下水环境</w:t>
                  </w:r>
                </w:p>
              </w:tc>
              <w:tc>
                <w:tcPr>
                  <w:tcW w:w="2568" w:type="dxa"/>
                  <w:vAlign w:val="center"/>
                </w:tcPr>
                <w:p>
                  <w:pPr>
                    <w:spacing w:before="62" w:beforeLines="20" w:after="62" w:afterLines="20"/>
                    <w:jc w:val="center"/>
                    <w:rPr>
                      <w:color w:val="auto"/>
                    </w:rPr>
                  </w:pPr>
                  <w:r>
                    <w:rPr>
                      <w:rFonts w:hint="eastAsia"/>
                      <w:color w:val="auto"/>
                    </w:rPr>
                    <w:t>/</w:t>
                  </w:r>
                </w:p>
              </w:tc>
            </w:tr>
          </w:tbl>
          <w:p>
            <w:pPr>
              <w:snapToGrid w:val="0"/>
              <w:rPr>
                <w:color w:val="auto"/>
              </w:rPr>
            </w:pPr>
          </w:p>
          <w:p>
            <w:pPr>
              <w:pStyle w:val="6"/>
              <w:numPr>
                <w:ilvl w:val="3"/>
                <w:numId w:val="0"/>
              </w:numPr>
              <w:ind w:left="2551" w:leftChars="0"/>
              <w:rPr>
                <w:color w:val="auto"/>
              </w:rPr>
            </w:pPr>
          </w:p>
        </w:tc>
      </w:tr>
    </w:tbl>
    <w:p>
      <w:pPr>
        <w:pStyle w:val="312"/>
        <w:rPr>
          <w:rFonts w:ascii="Times New Roman" w:hAnsi="Times New Roman"/>
          <w:color w:val="auto"/>
        </w:rPr>
        <w:sectPr>
          <w:footerReference r:id="rId10" w:type="first"/>
          <w:headerReference r:id="rId8" w:type="default"/>
          <w:footerReference r:id="rId9" w:type="default"/>
          <w:pgSz w:w="11906" w:h="16838"/>
          <w:pgMar w:top="1440" w:right="1797" w:bottom="1440" w:left="1797" w:header="851" w:footer="992" w:gutter="0"/>
          <w:pgBorders>
            <w:top w:val="none" w:sz="0" w:space="0"/>
            <w:left w:val="none" w:sz="0" w:space="0"/>
            <w:bottom w:val="none" w:sz="0" w:space="0"/>
            <w:right w:val="none" w:sz="0" w:space="0"/>
          </w:pgBorders>
          <w:cols w:space="720" w:num="1"/>
          <w:docGrid w:type="linesAndChars" w:linePitch="312" w:charSpace="0"/>
        </w:sectPr>
      </w:pPr>
    </w:p>
    <w:p>
      <w:pPr>
        <w:pStyle w:val="312"/>
        <w:rPr>
          <w:rFonts w:ascii="Times New Roman" w:hAnsi="Times New Roman"/>
          <w:color w:val="auto"/>
        </w:rPr>
      </w:pPr>
      <w:r>
        <w:rPr>
          <w:rFonts w:ascii="Times New Roman" w:hAnsi="Times New Roman"/>
          <w:color w:val="auto"/>
        </w:rPr>
        <w:t>评价适用标准</w:t>
      </w:r>
    </w:p>
    <w:tbl>
      <w:tblPr>
        <w:tblStyle w:val="56"/>
        <w:tblW w:w="852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97"/>
        <w:gridCol w:w="803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012" w:hRule="atLeast"/>
          <w:jc w:val="center"/>
        </w:trPr>
        <w:tc>
          <w:tcPr>
            <w:tcW w:w="497" w:type="dxa"/>
            <w:vAlign w:val="center"/>
          </w:tcPr>
          <w:p>
            <w:pPr>
              <w:snapToGrid w:val="0"/>
              <w:jc w:val="center"/>
              <w:rPr>
                <w:color w:val="auto"/>
                <w:sz w:val="24"/>
              </w:rPr>
            </w:pPr>
            <w:r>
              <w:rPr>
                <w:color w:val="auto"/>
                <w:sz w:val="24"/>
              </w:rPr>
              <w:t>环</w:t>
            </w:r>
          </w:p>
          <w:p>
            <w:pPr>
              <w:snapToGrid w:val="0"/>
              <w:jc w:val="center"/>
              <w:rPr>
                <w:color w:val="auto"/>
                <w:sz w:val="24"/>
              </w:rPr>
            </w:pPr>
          </w:p>
          <w:p>
            <w:pPr>
              <w:snapToGrid w:val="0"/>
              <w:jc w:val="center"/>
              <w:rPr>
                <w:color w:val="auto"/>
                <w:sz w:val="24"/>
              </w:rPr>
            </w:pPr>
            <w:r>
              <w:rPr>
                <w:color w:val="auto"/>
                <w:sz w:val="24"/>
              </w:rPr>
              <w:t>境</w:t>
            </w:r>
          </w:p>
          <w:p>
            <w:pPr>
              <w:snapToGrid w:val="0"/>
              <w:jc w:val="center"/>
              <w:rPr>
                <w:color w:val="auto"/>
                <w:sz w:val="24"/>
              </w:rPr>
            </w:pPr>
          </w:p>
          <w:p>
            <w:pPr>
              <w:snapToGrid w:val="0"/>
              <w:jc w:val="center"/>
              <w:rPr>
                <w:color w:val="auto"/>
                <w:sz w:val="24"/>
              </w:rPr>
            </w:pPr>
            <w:r>
              <w:rPr>
                <w:color w:val="auto"/>
                <w:sz w:val="24"/>
              </w:rPr>
              <w:t>质</w:t>
            </w:r>
          </w:p>
          <w:p>
            <w:pPr>
              <w:snapToGrid w:val="0"/>
              <w:jc w:val="center"/>
              <w:rPr>
                <w:color w:val="auto"/>
                <w:sz w:val="24"/>
              </w:rPr>
            </w:pPr>
          </w:p>
          <w:p>
            <w:pPr>
              <w:snapToGrid w:val="0"/>
              <w:jc w:val="center"/>
              <w:rPr>
                <w:color w:val="auto"/>
                <w:sz w:val="24"/>
              </w:rPr>
            </w:pPr>
            <w:r>
              <w:rPr>
                <w:color w:val="auto"/>
                <w:sz w:val="24"/>
              </w:rPr>
              <w:t>量</w:t>
            </w:r>
          </w:p>
          <w:p>
            <w:pPr>
              <w:snapToGrid w:val="0"/>
              <w:jc w:val="center"/>
              <w:rPr>
                <w:color w:val="auto"/>
                <w:sz w:val="24"/>
              </w:rPr>
            </w:pPr>
          </w:p>
          <w:p>
            <w:pPr>
              <w:snapToGrid w:val="0"/>
              <w:jc w:val="center"/>
              <w:rPr>
                <w:color w:val="auto"/>
                <w:sz w:val="24"/>
              </w:rPr>
            </w:pPr>
            <w:r>
              <w:rPr>
                <w:color w:val="auto"/>
                <w:sz w:val="24"/>
              </w:rPr>
              <w:t>标</w:t>
            </w:r>
          </w:p>
          <w:p>
            <w:pPr>
              <w:snapToGrid w:val="0"/>
              <w:jc w:val="center"/>
              <w:rPr>
                <w:color w:val="auto"/>
                <w:sz w:val="24"/>
              </w:rPr>
            </w:pPr>
          </w:p>
          <w:p>
            <w:pPr>
              <w:snapToGrid w:val="0"/>
              <w:jc w:val="center"/>
              <w:rPr>
                <w:color w:val="auto"/>
                <w:sz w:val="24"/>
              </w:rPr>
            </w:pPr>
            <w:r>
              <w:rPr>
                <w:color w:val="auto"/>
                <w:sz w:val="24"/>
              </w:rPr>
              <w:t>准</w:t>
            </w:r>
          </w:p>
        </w:tc>
        <w:tc>
          <w:tcPr>
            <w:tcW w:w="8031" w:type="dxa"/>
            <w:vAlign w:val="center"/>
          </w:tcPr>
          <w:p>
            <w:pPr>
              <w:spacing w:line="360" w:lineRule="auto"/>
              <w:ind w:firstLine="480" w:firstLineChars="200"/>
              <w:textAlignment w:val="baseline"/>
              <w:rPr>
                <w:b/>
                <w:color w:val="auto"/>
                <w:kern w:val="28"/>
                <w:sz w:val="24"/>
                <w:szCs w:val="24"/>
              </w:rPr>
            </w:pPr>
            <w:r>
              <w:rPr>
                <w:b/>
                <w:color w:val="auto"/>
                <w:kern w:val="28"/>
                <w:sz w:val="24"/>
                <w:szCs w:val="24"/>
              </w:rPr>
              <w:t>1、环境空气</w:t>
            </w:r>
          </w:p>
          <w:p>
            <w:pPr>
              <w:spacing w:line="360" w:lineRule="auto"/>
              <w:ind w:firstLine="480" w:firstLineChars="200"/>
              <w:textAlignment w:val="baseline"/>
              <w:rPr>
                <w:color w:val="auto"/>
                <w:sz w:val="24"/>
                <w:szCs w:val="24"/>
              </w:rPr>
            </w:pPr>
            <w:r>
              <w:rPr>
                <w:color w:val="auto"/>
                <w:sz w:val="24"/>
                <w:szCs w:val="24"/>
              </w:rPr>
              <w:t>根据</w:t>
            </w:r>
            <w:r>
              <w:rPr>
                <w:rFonts w:hint="eastAsia"/>
                <w:color w:val="auto"/>
                <w:sz w:val="24"/>
                <w:szCs w:val="24"/>
              </w:rPr>
              <w:t>《常州市环境空气质量功能区划分规定（2017）》（常政发[2017]160号）</w:t>
            </w:r>
            <w:r>
              <w:rPr>
                <w:color w:val="auto"/>
                <w:sz w:val="24"/>
                <w:szCs w:val="24"/>
              </w:rPr>
              <w:t>，本项目位于二类环境空气质量功能区，</w:t>
            </w:r>
            <w:r>
              <w:rPr>
                <w:rFonts w:hint="eastAsia"/>
                <w:color w:val="auto"/>
                <w:sz w:val="24"/>
              </w:rPr>
              <w:t>SO</w:t>
            </w:r>
            <w:r>
              <w:rPr>
                <w:rFonts w:hint="eastAsia"/>
                <w:color w:val="auto"/>
                <w:sz w:val="24"/>
                <w:vertAlign w:val="subscript"/>
              </w:rPr>
              <w:t>2</w:t>
            </w:r>
            <w:r>
              <w:rPr>
                <w:rFonts w:hint="eastAsia"/>
                <w:color w:val="auto"/>
                <w:sz w:val="24"/>
              </w:rPr>
              <w:t>、NO</w:t>
            </w:r>
            <w:r>
              <w:rPr>
                <w:rFonts w:hint="eastAsia"/>
                <w:color w:val="auto"/>
                <w:sz w:val="24"/>
                <w:vertAlign w:val="subscript"/>
              </w:rPr>
              <w:t>2</w:t>
            </w:r>
            <w:r>
              <w:rPr>
                <w:rFonts w:hint="eastAsia"/>
                <w:color w:val="auto"/>
                <w:sz w:val="24"/>
              </w:rPr>
              <w:t>、CO、O</w:t>
            </w:r>
            <w:r>
              <w:rPr>
                <w:rFonts w:hint="eastAsia"/>
                <w:color w:val="auto"/>
                <w:sz w:val="24"/>
                <w:vertAlign w:val="subscript"/>
              </w:rPr>
              <w:t>3</w:t>
            </w:r>
            <w:r>
              <w:rPr>
                <w:rFonts w:hint="eastAsia"/>
                <w:color w:val="auto"/>
                <w:sz w:val="24"/>
              </w:rPr>
              <w:t>、PM</w:t>
            </w:r>
            <w:r>
              <w:rPr>
                <w:rFonts w:hint="eastAsia"/>
                <w:color w:val="auto"/>
                <w:sz w:val="24"/>
                <w:vertAlign w:val="subscript"/>
              </w:rPr>
              <w:t>2.5</w:t>
            </w:r>
            <w:r>
              <w:rPr>
                <w:rFonts w:hint="eastAsia"/>
                <w:color w:val="auto"/>
                <w:sz w:val="24"/>
              </w:rPr>
              <w:t>、PM</w:t>
            </w:r>
            <w:r>
              <w:rPr>
                <w:rFonts w:hint="eastAsia"/>
                <w:color w:val="auto"/>
                <w:sz w:val="24"/>
                <w:vertAlign w:val="subscript"/>
              </w:rPr>
              <w:t>10</w:t>
            </w:r>
            <w:r>
              <w:rPr>
                <w:rFonts w:hint="eastAsia"/>
                <w:color w:val="auto"/>
                <w:sz w:val="24"/>
              </w:rPr>
              <w:t>执行《环境空气质量标准》（GB3095-2012）修改单中的二级标准，VOCs参照执行《环境影响评价技术导则 大气环境》（HJ2.2-2018）附录D中TVOC标准，</w:t>
            </w:r>
            <w:r>
              <w:rPr>
                <w:color w:val="auto"/>
                <w:sz w:val="24"/>
              </w:rPr>
              <w:t>具体见表4-1</w:t>
            </w:r>
            <w:r>
              <w:rPr>
                <w:color w:val="auto"/>
                <w:sz w:val="24"/>
                <w:szCs w:val="24"/>
              </w:rPr>
              <w:t>。</w:t>
            </w:r>
          </w:p>
          <w:p>
            <w:pPr>
              <w:tabs>
                <w:tab w:val="left" w:pos="960"/>
              </w:tabs>
              <w:spacing w:before="93" w:beforeLines="30"/>
              <w:jc w:val="center"/>
              <w:rPr>
                <w:b/>
                <w:bCs/>
                <w:color w:val="auto"/>
                <w:spacing w:val="-4"/>
                <w:szCs w:val="21"/>
                <w:vertAlign w:val="superscript"/>
              </w:rPr>
            </w:pPr>
            <w:r>
              <w:rPr>
                <w:b/>
                <w:bCs/>
                <w:color w:val="auto"/>
                <w:spacing w:val="-4"/>
                <w:szCs w:val="21"/>
              </w:rPr>
              <w:t>表4-1  评价因子及评价标准表</w:t>
            </w:r>
          </w:p>
          <w:tbl>
            <w:tblPr>
              <w:tblStyle w:val="56"/>
              <w:tblW w:w="781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921"/>
              <w:gridCol w:w="1983"/>
              <w:gridCol w:w="1135"/>
              <w:gridCol w:w="838"/>
              <w:gridCol w:w="293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78" w:hRule="atLeast"/>
                <w:jc w:val="center"/>
              </w:trPr>
              <w:tc>
                <w:tcPr>
                  <w:tcW w:w="921" w:type="dxa"/>
                  <w:vAlign w:val="center"/>
                </w:tcPr>
                <w:p>
                  <w:pPr>
                    <w:jc w:val="center"/>
                    <w:rPr>
                      <w:b/>
                      <w:color w:val="auto"/>
                      <w:szCs w:val="21"/>
                    </w:rPr>
                  </w:pPr>
                  <w:r>
                    <w:rPr>
                      <w:b/>
                      <w:color w:val="auto"/>
                      <w:szCs w:val="21"/>
                    </w:rPr>
                    <w:t>污染物名称</w:t>
                  </w:r>
                </w:p>
              </w:tc>
              <w:tc>
                <w:tcPr>
                  <w:tcW w:w="1983" w:type="dxa"/>
                  <w:vAlign w:val="center"/>
                </w:tcPr>
                <w:p>
                  <w:pPr>
                    <w:jc w:val="center"/>
                    <w:rPr>
                      <w:b/>
                      <w:color w:val="auto"/>
                      <w:szCs w:val="21"/>
                    </w:rPr>
                  </w:pPr>
                  <w:r>
                    <w:rPr>
                      <w:b/>
                      <w:color w:val="auto"/>
                      <w:szCs w:val="21"/>
                    </w:rPr>
                    <w:t>取值时间</w:t>
                  </w:r>
                </w:p>
              </w:tc>
              <w:tc>
                <w:tcPr>
                  <w:tcW w:w="1135" w:type="dxa"/>
                  <w:vAlign w:val="center"/>
                </w:tcPr>
                <w:p>
                  <w:pPr>
                    <w:jc w:val="center"/>
                    <w:rPr>
                      <w:b/>
                      <w:color w:val="auto"/>
                      <w:szCs w:val="21"/>
                    </w:rPr>
                  </w:pPr>
                  <w:r>
                    <w:rPr>
                      <w:b/>
                      <w:color w:val="auto"/>
                      <w:szCs w:val="21"/>
                    </w:rPr>
                    <w:t>标准浓度限值</w:t>
                  </w:r>
                </w:p>
              </w:tc>
              <w:tc>
                <w:tcPr>
                  <w:tcW w:w="838" w:type="dxa"/>
                  <w:vAlign w:val="center"/>
                </w:tcPr>
                <w:p>
                  <w:pPr>
                    <w:jc w:val="center"/>
                    <w:rPr>
                      <w:b/>
                      <w:color w:val="auto"/>
                      <w:szCs w:val="21"/>
                    </w:rPr>
                  </w:pPr>
                  <w:r>
                    <w:rPr>
                      <w:rFonts w:hint="eastAsia"/>
                      <w:b/>
                      <w:color w:val="auto"/>
                      <w:szCs w:val="21"/>
                    </w:rPr>
                    <w:t>单位</w:t>
                  </w:r>
                </w:p>
              </w:tc>
              <w:tc>
                <w:tcPr>
                  <w:tcW w:w="2938" w:type="dxa"/>
                  <w:vAlign w:val="center"/>
                </w:tcPr>
                <w:p>
                  <w:pPr>
                    <w:jc w:val="center"/>
                    <w:rPr>
                      <w:b/>
                      <w:color w:val="auto"/>
                      <w:szCs w:val="21"/>
                    </w:rPr>
                  </w:pPr>
                  <w:r>
                    <w:rPr>
                      <w:b/>
                      <w:color w:val="auto"/>
                      <w:szCs w:val="21"/>
                    </w:rPr>
                    <w:t>标准</w:t>
                  </w:r>
                  <w:r>
                    <w:rPr>
                      <w:rFonts w:hint="eastAsia"/>
                      <w:b/>
                      <w:color w:val="auto"/>
                      <w:szCs w:val="21"/>
                    </w:rPr>
                    <w:t>来由</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color w:val="auto"/>
                      <w:szCs w:val="21"/>
                    </w:rPr>
                    <w:t>SO</w:t>
                  </w:r>
                  <w:r>
                    <w:rPr>
                      <w:color w:val="auto"/>
                      <w:szCs w:val="21"/>
                      <w:vertAlign w:val="subscript"/>
                    </w:rPr>
                    <w:t>2</w:t>
                  </w:r>
                </w:p>
              </w:tc>
              <w:tc>
                <w:tcPr>
                  <w:tcW w:w="1983" w:type="dxa"/>
                  <w:vAlign w:val="center"/>
                </w:tcPr>
                <w:p>
                  <w:pPr>
                    <w:jc w:val="center"/>
                    <w:rPr>
                      <w:color w:val="auto"/>
                      <w:szCs w:val="21"/>
                    </w:rPr>
                  </w:pPr>
                  <w:r>
                    <w:rPr>
                      <w:color w:val="auto"/>
                      <w:szCs w:val="21"/>
                    </w:rPr>
                    <w:t>年平均</w:t>
                  </w:r>
                </w:p>
              </w:tc>
              <w:tc>
                <w:tcPr>
                  <w:tcW w:w="1135" w:type="dxa"/>
                  <w:vAlign w:val="center"/>
                </w:tcPr>
                <w:p>
                  <w:pPr>
                    <w:jc w:val="center"/>
                    <w:rPr>
                      <w:color w:val="auto"/>
                      <w:szCs w:val="21"/>
                    </w:rPr>
                  </w:pPr>
                  <w:r>
                    <w:rPr>
                      <w:rFonts w:hint="eastAsia"/>
                      <w:color w:val="auto"/>
                      <w:szCs w:val="21"/>
                    </w:rPr>
                    <w:t>60</w:t>
                  </w:r>
                </w:p>
              </w:tc>
              <w:tc>
                <w:tcPr>
                  <w:tcW w:w="838" w:type="dxa"/>
                  <w:vMerge w:val="restart"/>
                  <w:vAlign w:val="center"/>
                </w:tcPr>
                <w:p>
                  <w:pPr>
                    <w:jc w:val="center"/>
                    <w:rPr>
                      <w:color w:val="auto"/>
                      <w:szCs w:val="21"/>
                    </w:rPr>
                  </w:pPr>
                  <w:r>
                    <w:rPr>
                      <w:color w:val="auto"/>
                      <w:szCs w:val="21"/>
                    </w:rPr>
                    <w:t>μg</w:t>
                  </w:r>
                  <w:r>
                    <w:rPr>
                      <w:rFonts w:hint="eastAsia"/>
                      <w:color w:val="auto"/>
                      <w:szCs w:val="21"/>
                    </w:rPr>
                    <w:t>/m</w:t>
                  </w:r>
                  <w:r>
                    <w:rPr>
                      <w:rFonts w:hint="eastAsia"/>
                      <w:color w:val="auto"/>
                      <w:szCs w:val="21"/>
                      <w:vertAlign w:val="superscript"/>
                    </w:rPr>
                    <w:t>3</w:t>
                  </w:r>
                </w:p>
              </w:tc>
              <w:tc>
                <w:tcPr>
                  <w:tcW w:w="2938" w:type="dxa"/>
                  <w:vMerge w:val="restart"/>
                  <w:vAlign w:val="center"/>
                </w:tcPr>
                <w:p>
                  <w:pPr>
                    <w:jc w:val="center"/>
                    <w:rPr>
                      <w:color w:val="auto"/>
                      <w:szCs w:val="21"/>
                    </w:rPr>
                  </w:pPr>
                  <w:r>
                    <w:rPr>
                      <w:color w:val="auto"/>
                      <w:szCs w:val="21"/>
                    </w:rPr>
                    <w:t>《环境空气质量标准》（GB3095-2012）</w:t>
                  </w:r>
                  <w:r>
                    <w:rPr>
                      <w:rFonts w:hint="eastAsia"/>
                      <w:color w:val="auto"/>
                      <w:szCs w:val="21"/>
                    </w:rPr>
                    <w:t>修改单</w:t>
                  </w:r>
                  <w:r>
                    <w:rPr>
                      <w:color w:val="auto"/>
                      <w:szCs w:val="21"/>
                    </w:rPr>
                    <w:t>二级标准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24小时平均</w:t>
                  </w:r>
                </w:p>
              </w:tc>
              <w:tc>
                <w:tcPr>
                  <w:tcW w:w="1135" w:type="dxa"/>
                  <w:vAlign w:val="center"/>
                </w:tcPr>
                <w:p>
                  <w:pPr>
                    <w:jc w:val="center"/>
                    <w:rPr>
                      <w:color w:val="auto"/>
                      <w:szCs w:val="21"/>
                    </w:rPr>
                  </w:pPr>
                  <w:r>
                    <w:rPr>
                      <w:rFonts w:hint="eastAsia"/>
                      <w:color w:val="auto"/>
                      <w:szCs w:val="21"/>
                    </w:rPr>
                    <w:t>150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1小时平均</w:t>
                  </w:r>
                </w:p>
              </w:tc>
              <w:tc>
                <w:tcPr>
                  <w:tcW w:w="1135" w:type="dxa"/>
                  <w:vAlign w:val="center"/>
                </w:tcPr>
                <w:p>
                  <w:pPr>
                    <w:jc w:val="center"/>
                    <w:rPr>
                      <w:color w:val="auto"/>
                      <w:szCs w:val="21"/>
                    </w:rPr>
                  </w:pPr>
                  <w:r>
                    <w:rPr>
                      <w:rFonts w:hint="eastAsia"/>
                      <w:color w:val="auto"/>
                      <w:szCs w:val="21"/>
                    </w:rPr>
                    <w:t>500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color w:val="auto"/>
                      <w:szCs w:val="21"/>
                    </w:rPr>
                    <w:t>NO</w:t>
                  </w:r>
                  <w:r>
                    <w:rPr>
                      <w:color w:val="auto"/>
                      <w:szCs w:val="21"/>
                      <w:vertAlign w:val="subscript"/>
                    </w:rPr>
                    <w:t>2</w:t>
                  </w:r>
                </w:p>
              </w:tc>
              <w:tc>
                <w:tcPr>
                  <w:tcW w:w="1983" w:type="dxa"/>
                  <w:vAlign w:val="center"/>
                </w:tcPr>
                <w:p>
                  <w:pPr>
                    <w:jc w:val="center"/>
                    <w:rPr>
                      <w:color w:val="auto"/>
                      <w:szCs w:val="21"/>
                    </w:rPr>
                  </w:pPr>
                  <w:r>
                    <w:rPr>
                      <w:color w:val="auto"/>
                      <w:szCs w:val="21"/>
                    </w:rPr>
                    <w:t>年平均</w:t>
                  </w:r>
                </w:p>
              </w:tc>
              <w:tc>
                <w:tcPr>
                  <w:tcW w:w="1135" w:type="dxa"/>
                  <w:vAlign w:val="center"/>
                </w:tcPr>
                <w:p>
                  <w:pPr>
                    <w:jc w:val="center"/>
                    <w:rPr>
                      <w:color w:val="auto"/>
                      <w:szCs w:val="21"/>
                    </w:rPr>
                  </w:pPr>
                  <w:r>
                    <w:rPr>
                      <w:rFonts w:hint="eastAsia"/>
                      <w:color w:val="auto"/>
                      <w:szCs w:val="21"/>
                    </w:rPr>
                    <w:t>40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24小时平均</w:t>
                  </w:r>
                </w:p>
              </w:tc>
              <w:tc>
                <w:tcPr>
                  <w:tcW w:w="1135" w:type="dxa"/>
                  <w:vAlign w:val="center"/>
                </w:tcPr>
                <w:p>
                  <w:pPr>
                    <w:jc w:val="center"/>
                    <w:rPr>
                      <w:color w:val="auto"/>
                      <w:szCs w:val="21"/>
                    </w:rPr>
                  </w:pPr>
                  <w:r>
                    <w:rPr>
                      <w:rFonts w:hint="eastAsia"/>
                      <w:color w:val="auto"/>
                      <w:szCs w:val="21"/>
                    </w:rPr>
                    <w:t>80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1小时平均</w:t>
                  </w:r>
                </w:p>
              </w:tc>
              <w:tc>
                <w:tcPr>
                  <w:tcW w:w="1135" w:type="dxa"/>
                  <w:vAlign w:val="center"/>
                </w:tcPr>
                <w:p>
                  <w:pPr>
                    <w:jc w:val="center"/>
                    <w:rPr>
                      <w:color w:val="auto"/>
                      <w:szCs w:val="21"/>
                    </w:rPr>
                  </w:pPr>
                  <w:r>
                    <w:rPr>
                      <w:rFonts w:hint="eastAsia"/>
                      <w:color w:val="auto"/>
                      <w:szCs w:val="21"/>
                    </w:rPr>
                    <w:t>200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color w:val="auto"/>
                      <w:szCs w:val="21"/>
                    </w:rPr>
                    <w:t>CO</w:t>
                  </w:r>
                </w:p>
              </w:tc>
              <w:tc>
                <w:tcPr>
                  <w:tcW w:w="1983" w:type="dxa"/>
                  <w:vAlign w:val="center"/>
                </w:tcPr>
                <w:p>
                  <w:pPr>
                    <w:jc w:val="center"/>
                    <w:rPr>
                      <w:color w:val="auto"/>
                      <w:szCs w:val="21"/>
                    </w:rPr>
                  </w:pPr>
                  <w:r>
                    <w:rPr>
                      <w:color w:val="auto"/>
                      <w:szCs w:val="21"/>
                    </w:rPr>
                    <w:t>24小时平均</w:t>
                  </w:r>
                </w:p>
              </w:tc>
              <w:tc>
                <w:tcPr>
                  <w:tcW w:w="1135" w:type="dxa"/>
                  <w:vAlign w:val="center"/>
                </w:tcPr>
                <w:p>
                  <w:pPr>
                    <w:jc w:val="center"/>
                    <w:rPr>
                      <w:color w:val="auto"/>
                      <w:szCs w:val="21"/>
                    </w:rPr>
                  </w:pPr>
                  <w:r>
                    <w:rPr>
                      <w:rFonts w:hint="eastAsia"/>
                      <w:color w:val="auto"/>
                      <w:szCs w:val="21"/>
                    </w:rPr>
                    <w:t>4</w:t>
                  </w:r>
                </w:p>
              </w:tc>
              <w:tc>
                <w:tcPr>
                  <w:tcW w:w="838" w:type="dxa"/>
                  <w:vMerge w:val="restart"/>
                  <w:vAlign w:val="center"/>
                </w:tcPr>
                <w:p>
                  <w:pPr>
                    <w:jc w:val="center"/>
                    <w:rPr>
                      <w:color w:val="auto"/>
                      <w:szCs w:val="21"/>
                    </w:rPr>
                  </w:pPr>
                  <w:r>
                    <w:rPr>
                      <w:color w:val="auto"/>
                      <w:szCs w:val="21"/>
                    </w:rPr>
                    <w:t>m</w:t>
                  </w:r>
                  <w:r>
                    <w:rPr>
                      <w:rFonts w:hint="eastAsia"/>
                      <w:color w:val="auto"/>
                      <w:szCs w:val="21"/>
                    </w:rPr>
                    <w:t>g/m</w:t>
                  </w:r>
                  <w:r>
                    <w:rPr>
                      <w:rFonts w:hint="eastAsia"/>
                      <w:color w:val="auto"/>
                      <w:szCs w:val="21"/>
                      <w:vertAlign w:val="superscript"/>
                    </w:rPr>
                    <w:t>3</w:t>
                  </w: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1小时平均</w:t>
                  </w:r>
                </w:p>
              </w:tc>
              <w:tc>
                <w:tcPr>
                  <w:tcW w:w="1135" w:type="dxa"/>
                  <w:vAlign w:val="center"/>
                </w:tcPr>
                <w:p>
                  <w:pPr>
                    <w:jc w:val="center"/>
                    <w:rPr>
                      <w:color w:val="auto"/>
                      <w:szCs w:val="21"/>
                    </w:rPr>
                  </w:pPr>
                  <w:r>
                    <w:rPr>
                      <w:rFonts w:hint="eastAsia"/>
                      <w:color w:val="auto"/>
                      <w:szCs w:val="21"/>
                    </w:rPr>
                    <w:t>10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rFonts w:hint="eastAsia"/>
                      <w:color w:val="auto"/>
                      <w:szCs w:val="21"/>
                    </w:rPr>
                    <w:t>O</w:t>
                  </w:r>
                  <w:r>
                    <w:rPr>
                      <w:rFonts w:hint="eastAsia"/>
                      <w:color w:val="auto"/>
                      <w:szCs w:val="21"/>
                      <w:vertAlign w:val="subscript"/>
                    </w:rPr>
                    <w:t>3</w:t>
                  </w:r>
                </w:p>
              </w:tc>
              <w:tc>
                <w:tcPr>
                  <w:tcW w:w="1983" w:type="dxa"/>
                  <w:vAlign w:val="center"/>
                </w:tcPr>
                <w:p>
                  <w:pPr>
                    <w:jc w:val="center"/>
                    <w:rPr>
                      <w:color w:val="auto"/>
                      <w:szCs w:val="21"/>
                    </w:rPr>
                  </w:pPr>
                  <w:r>
                    <w:rPr>
                      <w:rFonts w:hint="eastAsia"/>
                      <w:color w:val="auto"/>
                      <w:szCs w:val="21"/>
                    </w:rPr>
                    <w:t>日</w:t>
                  </w:r>
                  <w:r>
                    <w:rPr>
                      <w:color w:val="auto"/>
                      <w:szCs w:val="21"/>
                    </w:rPr>
                    <w:t>最大</w:t>
                  </w:r>
                  <w:r>
                    <w:rPr>
                      <w:rFonts w:hint="eastAsia"/>
                      <w:color w:val="auto"/>
                      <w:szCs w:val="21"/>
                    </w:rPr>
                    <w:t>8小时</w:t>
                  </w:r>
                  <w:r>
                    <w:rPr>
                      <w:color w:val="auto"/>
                      <w:szCs w:val="21"/>
                    </w:rPr>
                    <w:t>平均</w:t>
                  </w:r>
                </w:p>
              </w:tc>
              <w:tc>
                <w:tcPr>
                  <w:tcW w:w="1135" w:type="dxa"/>
                  <w:vAlign w:val="center"/>
                </w:tcPr>
                <w:p>
                  <w:pPr>
                    <w:jc w:val="center"/>
                    <w:rPr>
                      <w:color w:val="auto"/>
                      <w:szCs w:val="21"/>
                    </w:rPr>
                  </w:pPr>
                  <w:r>
                    <w:rPr>
                      <w:rFonts w:hint="eastAsia"/>
                      <w:color w:val="auto"/>
                      <w:szCs w:val="21"/>
                    </w:rPr>
                    <w:t>160</w:t>
                  </w:r>
                </w:p>
              </w:tc>
              <w:tc>
                <w:tcPr>
                  <w:tcW w:w="838" w:type="dxa"/>
                  <w:vMerge w:val="restart"/>
                  <w:vAlign w:val="center"/>
                </w:tcPr>
                <w:p>
                  <w:pPr>
                    <w:jc w:val="center"/>
                    <w:rPr>
                      <w:color w:val="auto"/>
                      <w:szCs w:val="21"/>
                    </w:rPr>
                  </w:pPr>
                  <w:r>
                    <w:rPr>
                      <w:color w:val="auto"/>
                      <w:szCs w:val="21"/>
                    </w:rPr>
                    <w:t>μg</w:t>
                  </w:r>
                  <w:r>
                    <w:rPr>
                      <w:rFonts w:hint="eastAsia"/>
                      <w:color w:val="auto"/>
                      <w:szCs w:val="21"/>
                    </w:rPr>
                    <w:t>/m</w:t>
                  </w:r>
                  <w:r>
                    <w:rPr>
                      <w:rFonts w:hint="eastAsia"/>
                      <w:color w:val="auto"/>
                      <w:szCs w:val="21"/>
                      <w:vertAlign w:val="superscript"/>
                    </w:rPr>
                    <w:t>3</w:t>
                  </w: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color w:val="auto"/>
                      <w:szCs w:val="21"/>
                    </w:rPr>
                    <w:t>1小时平均</w:t>
                  </w:r>
                </w:p>
              </w:tc>
              <w:tc>
                <w:tcPr>
                  <w:tcW w:w="1135" w:type="dxa"/>
                  <w:vAlign w:val="center"/>
                </w:tcPr>
                <w:p>
                  <w:pPr>
                    <w:jc w:val="center"/>
                    <w:rPr>
                      <w:color w:val="auto"/>
                      <w:szCs w:val="21"/>
                    </w:rPr>
                  </w:pPr>
                  <w:r>
                    <w:rPr>
                      <w:rFonts w:hint="eastAsia"/>
                      <w:color w:val="auto"/>
                      <w:szCs w:val="21"/>
                    </w:rPr>
                    <w:t>200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rFonts w:hint="eastAsia"/>
                      <w:color w:val="auto"/>
                      <w:szCs w:val="21"/>
                    </w:rPr>
                    <w:t>PM</w:t>
                  </w:r>
                  <w:r>
                    <w:rPr>
                      <w:rFonts w:hint="eastAsia"/>
                      <w:color w:val="auto"/>
                      <w:szCs w:val="21"/>
                      <w:vertAlign w:val="subscript"/>
                    </w:rPr>
                    <w:t>10</w:t>
                  </w:r>
                </w:p>
              </w:tc>
              <w:tc>
                <w:tcPr>
                  <w:tcW w:w="1983" w:type="dxa"/>
                  <w:vAlign w:val="center"/>
                </w:tcPr>
                <w:p>
                  <w:pPr>
                    <w:jc w:val="center"/>
                    <w:rPr>
                      <w:color w:val="auto"/>
                      <w:szCs w:val="21"/>
                    </w:rPr>
                  </w:pPr>
                  <w:r>
                    <w:rPr>
                      <w:rFonts w:hint="eastAsia"/>
                      <w:color w:val="auto"/>
                      <w:szCs w:val="21"/>
                    </w:rPr>
                    <w:t>年</w:t>
                  </w:r>
                  <w:r>
                    <w:rPr>
                      <w:color w:val="auto"/>
                      <w:szCs w:val="21"/>
                    </w:rPr>
                    <w:t>平均</w:t>
                  </w:r>
                </w:p>
              </w:tc>
              <w:tc>
                <w:tcPr>
                  <w:tcW w:w="1135" w:type="dxa"/>
                  <w:vAlign w:val="center"/>
                </w:tcPr>
                <w:p>
                  <w:pPr>
                    <w:jc w:val="center"/>
                    <w:rPr>
                      <w:color w:val="auto"/>
                      <w:szCs w:val="21"/>
                    </w:rPr>
                  </w:pPr>
                  <w:r>
                    <w:rPr>
                      <w:rFonts w:hint="eastAsia"/>
                      <w:color w:val="auto"/>
                      <w:szCs w:val="21"/>
                    </w:rPr>
                    <w:t>70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8"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rFonts w:hint="eastAsia"/>
                      <w:color w:val="auto"/>
                      <w:szCs w:val="21"/>
                    </w:rPr>
                    <w:t>24小时</w:t>
                  </w:r>
                  <w:r>
                    <w:rPr>
                      <w:color w:val="auto"/>
                      <w:szCs w:val="21"/>
                    </w:rPr>
                    <w:t>平均</w:t>
                  </w:r>
                </w:p>
              </w:tc>
              <w:tc>
                <w:tcPr>
                  <w:tcW w:w="1135" w:type="dxa"/>
                  <w:vAlign w:val="center"/>
                </w:tcPr>
                <w:p>
                  <w:pPr>
                    <w:jc w:val="center"/>
                    <w:rPr>
                      <w:color w:val="auto"/>
                      <w:szCs w:val="21"/>
                    </w:rPr>
                  </w:pPr>
                  <w:r>
                    <w:rPr>
                      <w:rFonts w:hint="eastAsia"/>
                      <w:color w:val="auto"/>
                      <w:szCs w:val="21"/>
                    </w:rPr>
                    <w:t>150</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restart"/>
                  <w:vAlign w:val="center"/>
                </w:tcPr>
                <w:p>
                  <w:pPr>
                    <w:jc w:val="center"/>
                    <w:rPr>
                      <w:color w:val="auto"/>
                      <w:szCs w:val="21"/>
                    </w:rPr>
                  </w:pPr>
                  <w:r>
                    <w:rPr>
                      <w:rFonts w:hint="eastAsia"/>
                      <w:color w:val="auto"/>
                      <w:szCs w:val="21"/>
                    </w:rPr>
                    <w:t>PM</w:t>
                  </w:r>
                  <w:r>
                    <w:rPr>
                      <w:color w:val="auto"/>
                      <w:szCs w:val="21"/>
                      <w:vertAlign w:val="subscript"/>
                    </w:rPr>
                    <w:t>2.5</w:t>
                  </w:r>
                </w:p>
              </w:tc>
              <w:tc>
                <w:tcPr>
                  <w:tcW w:w="1983" w:type="dxa"/>
                  <w:vAlign w:val="center"/>
                </w:tcPr>
                <w:p>
                  <w:pPr>
                    <w:jc w:val="center"/>
                    <w:rPr>
                      <w:color w:val="auto"/>
                      <w:szCs w:val="21"/>
                    </w:rPr>
                  </w:pPr>
                  <w:r>
                    <w:rPr>
                      <w:rFonts w:hint="eastAsia"/>
                      <w:color w:val="auto"/>
                      <w:szCs w:val="21"/>
                    </w:rPr>
                    <w:t>年</w:t>
                  </w:r>
                  <w:r>
                    <w:rPr>
                      <w:color w:val="auto"/>
                      <w:szCs w:val="21"/>
                    </w:rPr>
                    <w:t>平均</w:t>
                  </w:r>
                </w:p>
              </w:tc>
              <w:tc>
                <w:tcPr>
                  <w:tcW w:w="1135" w:type="dxa"/>
                  <w:vAlign w:val="center"/>
                </w:tcPr>
                <w:p>
                  <w:pPr>
                    <w:jc w:val="center"/>
                    <w:rPr>
                      <w:color w:val="auto"/>
                      <w:szCs w:val="21"/>
                    </w:rPr>
                  </w:pPr>
                  <w:r>
                    <w:rPr>
                      <w:rFonts w:hint="eastAsia"/>
                      <w:color w:val="auto"/>
                      <w:szCs w:val="21"/>
                    </w:rPr>
                    <w:t>35</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Merge w:val="continue"/>
                  <w:vAlign w:val="center"/>
                </w:tcPr>
                <w:p>
                  <w:pPr>
                    <w:rPr>
                      <w:color w:val="auto"/>
                      <w:szCs w:val="21"/>
                    </w:rPr>
                  </w:pPr>
                </w:p>
              </w:tc>
              <w:tc>
                <w:tcPr>
                  <w:tcW w:w="1983" w:type="dxa"/>
                  <w:vAlign w:val="center"/>
                </w:tcPr>
                <w:p>
                  <w:pPr>
                    <w:jc w:val="center"/>
                    <w:rPr>
                      <w:color w:val="auto"/>
                      <w:szCs w:val="21"/>
                    </w:rPr>
                  </w:pPr>
                  <w:r>
                    <w:rPr>
                      <w:rFonts w:hint="eastAsia"/>
                      <w:color w:val="auto"/>
                      <w:szCs w:val="21"/>
                    </w:rPr>
                    <w:t>24小时</w:t>
                  </w:r>
                  <w:r>
                    <w:rPr>
                      <w:color w:val="auto"/>
                      <w:szCs w:val="21"/>
                    </w:rPr>
                    <w:t>平均</w:t>
                  </w:r>
                </w:p>
              </w:tc>
              <w:tc>
                <w:tcPr>
                  <w:tcW w:w="1135" w:type="dxa"/>
                  <w:vAlign w:val="center"/>
                </w:tcPr>
                <w:p>
                  <w:pPr>
                    <w:jc w:val="center"/>
                    <w:rPr>
                      <w:color w:val="auto"/>
                      <w:szCs w:val="21"/>
                    </w:rPr>
                  </w:pPr>
                  <w:r>
                    <w:rPr>
                      <w:rFonts w:hint="eastAsia"/>
                      <w:color w:val="auto"/>
                      <w:szCs w:val="21"/>
                    </w:rPr>
                    <w:t>75</w:t>
                  </w:r>
                </w:p>
              </w:tc>
              <w:tc>
                <w:tcPr>
                  <w:tcW w:w="838" w:type="dxa"/>
                  <w:vMerge w:val="continue"/>
                  <w:vAlign w:val="center"/>
                </w:tcPr>
                <w:p>
                  <w:pPr>
                    <w:rPr>
                      <w:color w:val="auto"/>
                      <w:szCs w:val="21"/>
                    </w:rPr>
                  </w:pPr>
                </w:p>
              </w:tc>
              <w:tc>
                <w:tcPr>
                  <w:tcW w:w="2938"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Align w:val="center"/>
                </w:tcPr>
                <w:p>
                  <w:pPr>
                    <w:spacing w:line="320" w:lineRule="exact"/>
                    <w:jc w:val="center"/>
                    <w:rPr>
                      <w:color w:val="auto"/>
                      <w:szCs w:val="21"/>
                    </w:rPr>
                  </w:pPr>
                  <w:r>
                    <w:rPr>
                      <w:color w:val="auto"/>
                      <w:szCs w:val="21"/>
                    </w:rPr>
                    <w:t>VOCs</w:t>
                  </w:r>
                </w:p>
              </w:tc>
              <w:tc>
                <w:tcPr>
                  <w:tcW w:w="1983" w:type="dxa"/>
                  <w:vAlign w:val="center"/>
                </w:tcPr>
                <w:p>
                  <w:pPr>
                    <w:spacing w:line="320" w:lineRule="exact"/>
                    <w:jc w:val="center"/>
                    <w:rPr>
                      <w:color w:val="auto"/>
                      <w:szCs w:val="21"/>
                    </w:rPr>
                  </w:pPr>
                  <w:r>
                    <w:rPr>
                      <w:color w:val="auto"/>
                      <w:szCs w:val="21"/>
                    </w:rPr>
                    <w:t>8小时平均</w:t>
                  </w:r>
                </w:p>
              </w:tc>
              <w:tc>
                <w:tcPr>
                  <w:tcW w:w="1135" w:type="dxa"/>
                  <w:vAlign w:val="center"/>
                </w:tcPr>
                <w:p>
                  <w:pPr>
                    <w:spacing w:line="320" w:lineRule="exact"/>
                    <w:jc w:val="center"/>
                    <w:rPr>
                      <w:color w:val="auto"/>
                      <w:szCs w:val="21"/>
                    </w:rPr>
                  </w:pPr>
                  <w:r>
                    <w:rPr>
                      <w:color w:val="auto"/>
                      <w:szCs w:val="21"/>
                    </w:rPr>
                    <w:t>0.6</w:t>
                  </w:r>
                </w:p>
              </w:tc>
              <w:tc>
                <w:tcPr>
                  <w:tcW w:w="838" w:type="dxa"/>
                  <w:vAlign w:val="center"/>
                </w:tcPr>
                <w:p>
                  <w:pPr>
                    <w:spacing w:line="320" w:lineRule="exact"/>
                    <w:jc w:val="center"/>
                    <w:rPr>
                      <w:color w:val="auto"/>
                      <w:szCs w:val="21"/>
                    </w:rPr>
                  </w:pPr>
                  <w:r>
                    <w:rPr>
                      <w:color w:val="auto"/>
                      <w:szCs w:val="21"/>
                    </w:rPr>
                    <w:t>mg/m</w:t>
                  </w:r>
                  <w:r>
                    <w:rPr>
                      <w:color w:val="auto"/>
                      <w:szCs w:val="21"/>
                      <w:vertAlign w:val="superscript"/>
                    </w:rPr>
                    <w:t>3</w:t>
                  </w:r>
                </w:p>
              </w:tc>
              <w:tc>
                <w:tcPr>
                  <w:tcW w:w="2938" w:type="dxa"/>
                  <w:vAlign w:val="center"/>
                </w:tcPr>
                <w:p>
                  <w:pPr>
                    <w:spacing w:line="320" w:lineRule="exact"/>
                    <w:jc w:val="center"/>
                    <w:rPr>
                      <w:color w:val="auto"/>
                      <w:szCs w:val="21"/>
                      <w:lang w:val="zh-CN"/>
                    </w:rPr>
                  </w:pPr>
                  <w:r>
                    <w:rPr>
                      <w:color w:val="auto"/>
                    </w:rPr>
                    <w:t>《环境影响评价技术导则 大气环境》（HJ2.2-2018）附录D</w:t>
                  </w:r>
                  <w:r>
                    <w:rPr>
                      <w:rFonts w:hint="eastAsia"/>
                      <w:color w:val="auto"/>
                    </w:rPr>
                    <w:t>中TVOC标准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921" w:type="dxa"/>
                  <w:vAlign w:val="center"/>
                </w:tcPr>
                <w:p>
                  <w:pPr>
                    <w:spacing w:line="320" w:lineRule="exact"/>
                    <w:jc w:val="center"/>
                    <w:rPr>
                      <w:color w:val="auto"/>
                      <w:szCs w:val="21"/>
                    </w:rPr>
                  </w:pPr>
                  <w:r>
                    <w:rPr>
                      <w:rFonts w:hint="eastAsia"/>
                      <w:color w:val="auto"/>
                      <w:szCs w:val="21"/>
                    </w:rPr>
                    <w:t>非甲烷</w:t>
                  </w:r>
                  <w:r>
                    <w:rPr>
                      <w:color w:val="auto"/>
                      <w:szCs w:val="21"/>
                    </w:rPr>
                    <w:t>总烃</w:t>
                  </w:r>
                </w:p>
              </w:tc>
              <w:tc>
                <w:tcPr>
                  <w:tcW w:w="1983" w:type="dxa"/>
                  <w:vAlign w:val="center"/>
                </w:tcPr>
                <w:p>
                  <w:pPr>
                    <w:spacing w:line="320" w:lineRule="exact"/>
                    <w:jc w:val="center"/>
                    <w:rPr>
                      <w:color w:val="auto"/>
                      <w:szCs w:val="21"/>
                    </w:rPr>
                  </w:pPr>
                  <w:r>
                    <w:rPr>
                      <w:color w:val="auto"/>
                      <w:szCs w:val="21"/>
                    </w:rPr>
                    <w:t>1小时平均</w:t>
                  </w:r>
                </w:p>
              </w:tc>
              <w:tc>
                <w:tcPr>
                  <w:tcW w:w="1135" w:type="dxa"/>
                  <w:vAlign w:val="center"/>
                </w:tcPr>
                <w:p>
                  <w:pPr>
                    <w:spacing w:line="320" w:lineRule="exact"/>
                    <w:jc w:val="center"/>
                    <w:rPr>
                      <w:color w:val="auto"/>
                      <w:szCs w:val="21"/>
                    </w:rPr>
                  </w:pPr>
                  <w:r>
                    <w:rPr>
                      <w:color w:val="auto"/>
                      <w:szCs w:val="21"/>
                    </w:rPr>
                    <w:t>2.</w:t>
                  </w:r>
                  <w:r>
                    <w:rPr>
                      <w:rFonts w:hint="eastAsia"/>
                      <w:color w:val="auto"/>
                      <w:szCs w:val="21"/>
                    </w:rPr>
                    <w:t>0</w:t>
                  </w:r>
                </w:p>
              </w:tc>
              <w:tc>
                <w:tcPr>
                  <w:tcW w:w="838" w:type="dxa"/>
                  <w:vAlign w:val="center"/>
                </w:tcPr>
                <w:p>
                  <w:pPr>
                    <w:spacing w:line="320" w:lineRule="exact"/>
                    <w:jc w:val="center"/>
                    <w:rPr>
                      <w:color w:val="auto"/>
                      <w:szCs w:val="21"/>
                    </w:rPr>
                  </w:pPr>
                  <w:r>
                    <w:rPr>
                      <w:color w:val="auto"/>
                      <w:szCs w:val="21"/>
                    </w:rPr>
                    <w:t>m</w:t>
                  </w:r>
                  <w:r>
                    <w:rPr>
                      <w:rFonts w:hint="eastAsia"/>
                      <w:color w:val="auto"/>
                      <w:szCs w:val="21"/>
                    </w:rPr>
                    <w:t>g/m</w:t>
                  </w:r>
                  <w:r>
                    <w:rPr>
                      <w:rFonts w:hint="eastAsia"/>
                      <w:color w:val="auto"/>
                      <w:szCs w:val="21"/>
                      <w:vertAlign w:val="superscript"/>
                    </w:rPr>
                    <w:t>3</w:t>
                  </w:r>
                </w:p>
              </w:tc>
              <w:tc>
                <w:tcPr>
                  <w:tcW w:w="2938" w:type="dxa"/>
                  <w:vAlign w:val="center"/>
                </w:tcPr>
                <w:p>
                  <w:pPr>
                    <w:spacing w:line="320" w:lineRule="exact"/>
                    <w:jc w:val="center"/>
                    <w:rPr>
                      <w:color w:val="auto"/>
                    </w:rPr>
                  </w:pPr>
                  <w:r>
                    <w:rPr>
                      <w:rFonts w:hint="eastAsia"/>
                      <w:color w:val="auto"/>
                      <w:lang w:val="zh-CN"/>
                    </w:rPr>
                    <w:t>《大气污染物综合排放标准》（GBT16297-1996）详解</w:t>
                  </w:r>
                </w:p>
              </w:tc>
            </w:tr>
          </w:tbl>
          <w:p>
            <w:pPr>
              <w:spacing w:line="360" w:lineRule="auto"/>
              <w:ind w:firstLine="470" w:firstLineChars="196"/>
              <w:rPr>
                <w:b/>
                <w:color w:val="auto"/>
                <w:sz w:val="24"/>
                <w:szCs w:val="24"/>
              </w:rPr>
            </w:pPr>
            <w:r>
              <w:rPr>
                <w:b/>
                <w:color w:val="auto"/>
                <w:sz w:val="24"/>
                <w:szCs w:val="24"/>
              </w:rPr>
              <w:t>2、地表水</w:t>
            </w:r>
          </w:p>
          <w:p>
            <w:pPr>
              <w:spacing w:line="360" w:lineRule="auto"/>
              <w:ind w:firstLine="480" w:firstLineChars="200"/>
              <w:rPr>
                <w:color w:val="auto"/>
                <w:sz w:val="24"/>
              </w:rPr>
            </w:pPr>
            <w:r>
              <w:rPr>
                <w:color w:val="auto"/>
                <w:sz w:val="24"/>
              </w:rPr>
              <w:t>根据《常州市地表水（环境）功能区划》（2003年6月），尧塘河执行</w:t>
            </w:r>
            <w:r>
              <w:rPr>
                <w:rFonts w:hint="eastAsia" w:ascii="宋体" w:hAnsi="宋体" w:cs="宋体"/>
                <w:color w:val="auto"/>
                <w:sz w:val="24"/>
              </w:rPr>
              <w:t>Ⅳ</w:t>
            </w:r>
            <w:r>
              <w:rPr>
                <w:color w:val="auto"/>
                <w:sz w:val="24"/>
              </w:rPr>
              <w:t>类水域功能，因此尧塘河水域环境质量执行《地表水环境质量标准》（GB3838-2002）中</w:t>
            </w:r>
            <w:r>
              <w:rPr>
                <w:rFonts w:hint="eastAsia" w:ascii="宋体" w:hAnsi="宋体" w:cs="宋体"/>
                <w:color w:val="auto"/>
                <w:sz w:val="24"/>
              </w:rPr>
              <w:t>Ⅳ</w:t>
            </w:r>
            <w:r>
              <w:rPr>
                <w:color w:val="auto"/>
                <w:sz w:val="24"/>
              </w:rPr>
              <w:t>类水质标准，SS执行水利部试行标准《地表水资源质量标准》（SL63-94）中四级标准。</w:t>
            </w:r>
          </w:p>
          <w:p>
            <w:pPr>
              <w:tabs>
                <w:tab w:val="left" w:pos="960"/>
              </w:tabs>
              <w:spacing w:before="93" w:beforeLines="30"/>
              <w:jc w:val="center"/>
              <w:rPr>
                <w:b/>
                <w:bCs/>
                <w:color w:val="auto"/>
                <w:spacing w:val="-4"/>
                <w:szCs w:val="21"/>
              </w:rPr>
            </w:pPr>
          </w:p>
          <w:p>
            <w:pPr>
              <w:tabs>
                <w:tab w:val="left" w:pos="960"/>
              </w:tabs>
              <w:spacing w:before="93" w:beforeLines="30"/>
              <w:jc w:val="center"/>
              <w:rPr>
                <w:b/>
                <w:bCs/>
                <w:color w:val="auto"/>
                <w:spacing w:val="-4"/>
                <w:szCs w:val="21"/>
              </w:rPr>
            </w:pPr>
            <w:r>
              <w:rPr>
                <w:b/>
                <w:bCs/>
                <w:color w:val="auto"/>
                <w:spacing w:val="-4"/>
                <w:szCs w:val="21"/>
              </w:rPr>
              <w:t>表4-2  地表水环境质量评价标准  单位：mg/L，pH无量纲</w:t>
            </w:r>
          </w:p>
          <w:tbl>
            <w:tblPr>
              <w:tblStyle w:val="56"/>
              <w:tblW w:w="781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123"/>
              <w:gridCol w:w="1691"/>
              <w:gridCol w:w="1958"/>
              <w:gridCol w:w="304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b/>
                      <w:color w:val="auto"/>
                      <w:szCs w:val="21"/>
                    </w:rPr>
                  </w:pPr>
                  <w:r>
                    <w:rPr>
                      <w:b/>
                      <w:color w:val="auto"/>
                      <w:szCs w:val="21"/>
                    </w:rPr>
                    <w:t>序号</w:t>
                  </w:r>
                </w:p>
              </w:tc>
              <w:tc>
                <w:tcPr>
                  <w:tcW w:w="1691" w:type="dxa"/>
                  <w:vAlign w:val="center"/>
                </w:tcPr>
                <w:p>
                  <w:pPr>
                    <w:adjustRightInd w:val="0"/>
                    <w:snapToGrid w:val="0"/>
                    <w:jc w:val="center"/>
                    <w:rPr>
                      <w:b/>
                      <w:color w:val="auto"/>
                      <w:szCs w:val="21"/>
                    </w:rPr>
                  </w:pPr>
                  <w:r>
                    <w:rPr>
                      <w:b/>
                      <w:color w:val="auto"/>
                      <w:szCs w:val="21"/>
                    </w:rPr>
                    <w:t>项  目</w:t>
                  </w:r>
                </w:p>
              </w:tc>
              <w:tc>
                <w:tcPr>
                  <w:tcW w:w="1958" w:type="dxa"/>
                  <w:vAlign w:val="center"/>
                </w:tcPr>
                <w:p>
                  <w:pPr>
                    <w:adjustRightInd w:val="0"/>
                    <w:snapToGrid w:val="0"/>
                    <w:jc w:val="center"/>
                    <w:rPr>
                      <w:b/>
                      <w:color w:val="auto"/>
                      <w:szCs w:val="21"/>
                    </w:rPr>
                  </w:pPr>
                  <w:r>
                    <w:rPr>
                      <w:rFonts w:hint="eastAsia" w:cs="宋体"/>
                      <w:b/>
                      <w:color w:val="auto"/>
                      <w:szCs w:val="21"/>
                    </w:rPr>
                    <w:t>Ⅳ</w:t>
                  </w:r>
                  <w:r>
                    <w:rPr>
                      <w:b/>
                      <w:color w:val="auto"/>
                      <w:szCs w:val="21"/>
                    </w:rPr>
                    <w:t>类（mg/L）</w:t>
                  </w:r>
                </w:p>
              </w:tc>
              <w:tc>
                <w:tcPr>
                  <w:tcW w:w="3043" w:type="dxa"/>
                  <w:vAlign w:val="center"/>
                </w:tcPr>
                <w:p>
                  <w:pPr>
                    <w:adjustRightInd w:val="0"/>
                    <w:snapToGrid w:val="0"/>
                    <w:jc w:val="center"/>
                    <w:rPr>
                      <w:b/>
                      <w:color w:val="auto"/>
                      <w:szCs w:val="21"/>
                    </w:rPr>
                  </w:pPr>
                  <w:r>
                    <w:rPr>
                      <w:b/>
                      <w:color w:val="auto"/>
                      <w:szCs w:val="21"/>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color w:val="auto"/>
                      <w:szCs w:val="21"/>
                    </w:rPr>
                    <w:t>1</w:t>
                  </w:r>
                </w:p>
              </w:tc>
              <w:tc>
                <w:tcPr>
                  <w:tcW w:w="1691" w:type="dxa"/>
                  <w:vAlign w:val="center"/>
                </w:tcPr>
                <w:p>
                  <w:pPr>
                    <w:adjustRightInd w:val="0"/>
                    <w:snapToGrid w:val="0"/>
                    <w:jc w:val="center"/>
                    <w:rPr>
                      <w:color w:val="auto"/>
                      <w:szCs w:val="21"/>
                    </w:rPr>
                  </w:pPr>
                  <w:r>
                    <w:rPr>
                      <w:color w:val="auto"/>
                      <w:szCs w:val="21"/>
                    </w:rPr>
                    <w:t xml:space="preserve">pH值 </w:t>
                  </w:r>
                </w:p>
              </w:tc>
              <w:tc>
                <w:tcPr>
                  <w:tcW w:w="1958" w:type="dxa"/>
                  <w:vAlign w:val="center"/>
                </w:tcPr>
                <w:p>
                  <w:pPr>
                    <w:adjustRightInd w:val="0"/>
                    <w:snapToGrid w:val="0"/>
                    <w:jc w:val="center"/>
                    <w:rPr>
                      <w:color w:val="auto"/>
                      <w:szCs w:val="21"/>
                    </w:rPr>
                  </w:pPr>
                  <w:r>
                    <w:rPr>
                      <w:color w:val="auto"/>
                      <w:szCs w:val="21"/>
                    </w:rPr>
                    <w:t>6～9（无量纲）</w:t>
                  </w:r>
                </w:p>
              </w:tc>
              <w:tc>
                <w:tcPr>
                  <w:tcW w:w="3043" w:type="dxa"/>
                  <w:vMerge w:val="restart"/>
                  <w:vAlign w:val="center"/>
                </w:tcPr>
                <w:p>
                  <w:pPr>
                    <w:adjustRightInd w:val="0"/>
                    <w:snapToGrid w:val="0"/>
                    <w:jc w:val="center"/>
                    <w:rPr>
                      <w:color w:val="auto"/>
                      <w:szCs w:val="21"/>
                    </w:rPr>
                  </w:pPr>
                  <w:r>
                    <w:rPr>
                      <w:color w:val="auto"/>
                      <w:szCs w:val="21"/>
                    </w:rPr>
                    <w:t>《地表水环境质量标准》（GB3838–2002）</w:t>
                  </w:r>
                  <w:r>
                    <w:rPr>
                      <w:rFonts w:hint="eastAsia" w:cs="宋体"/>
                      <w:color w:val="auto"/>
                      <w:szCs w:val="21"/>
                    </w:rPr>
                    <w:t>Ⅳ</w:t>
                  </w:r>
                  <w:r>
                    <w:rPr>
                      <w:color w:val="auto"/>
                      <w:szCs w:val="21"/>
                    </w:rPr>
                    <w:t>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1123" w:type="dxa"/>
                  <w:vAlign w:val="center"/>
                </w:tcPr>
                <w:p>
                  <w:pPr>
                    <w:adjustRightInd w:val="0"/>
                    <w:snapToGrid w:val="0"/>
                    <w:jc w:val="center"/>
                    <w:rPr>
                      <w:color w:val="auto"/>
                      <w:szCs w:val="21"/>
                    </w:rPr>
                  </w:pPr>
                  <w:r>
                    <w:rPr>
                      <w:color w:val="auto"/>
                      <w:szCs w:val="21"/>
                    </w:rPr>
                    <w:t>2</w:t>
                  </w:r>
                </w:p>
              </w:tc>
              <w:tc>
                <w:tcPr>
                  <w:tcW w:w="1691" w:type="dxa"/>
                  <w:vAlign w:val="center"/>
                </w:tcPr>
                <w:p>
                  <w:pPr>
                    <w:adjustRightInd w:val="0"/>
                    <w:snapToGrid w:val="0"/>
                    <w:jc w:val="center"/>
                    <w:rPr>
                      <w:color w:val="auto"/>
                      <w:szCs w:val="21"/>
                    </w:rPr>
                  </w:pPr>
                  <w:r>
                    <w:rPr>
                      <w:color w:val="auto"/>
                      <w:szCs w:val="21"/>
                    </w:rPr>
                    <w:t>COD</w:t>
                  </w:r>
                </w:p>
              </w:tc>
              <w:tc>
                <w:tcPr>
                  <w:tcW w:w="1958" w:type="dxa"/>
                  <w:vAlign w:val="center"/>
                </w:tcPr>
                <w:p>
                  <w:pPr>
                    <w:adjustRightInd w:val="0"/>
                    <w:snapToGrid w:val="0"/>
                    <w:jc w:val="center"/>
                    <w:rPr>
                      <w:color w:val="auto"/>
                      <w:szCs w:val="21"/>
                    </w:rPr>
                  </w:pPr>
                  <w:r>
                    <w:rPr>
                      <w:color w:val="auto"/>
                      <w:szCs w:val="21"/>
                    </w:rPr>
                    <w:t>≤30</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color w:val="auto"/>
                      <w:szCs w:val="21"/>
                    </w:rPr>
                    <w:t>3</w:t>
                  </w:r>
                </w:p>
              </w:tc>
              <w:tc>
                <w:tcPr>
                  <w:tcW w:w="1691" w:type="dxa"/>
                  <w:vAlign w:val="center"/>
                </w:tcPr>
                <w:p>
                  <w:pPr>
                    <w:adjustRightInd w:val="0"/>
                    <w:snapToGrid w:val="0"/>
                    <w:jc w:val="center"/>
                    <w:rPr>
                      <w:color w:val="auto"/>
                      <w:szCs w:val="21"/>
                    </w:rPr>
                  </w:pPr>
                  <w:r>
                    <w:rPr>
                      <w:color w:val="auto"/>
                      <w:szCs w:val="21"/>
                    </w:rPr>
                    <w:t>BOD</w:t>
                  </w:r>
                  <w:r>
                    <w:rPr>
                      <w:color w:val="auto"/>
                      <w:szCs w:val="21"/>
                      <w:vertAlign w:val="subscript"/>
                    </w:rPr>
                    <w:t>5</w:t>
                  </w:r>
                </w:p>
              </w:tc>
              <w:tc>
                <w:tcPr>
                  <w:tcW w:w="1958" w:type="dxa"/>
                  <w:vAlign w:val="center"/>
                </w:tcPr>
                <w:p>
                  <w:pPr>
                    <w:adjustRightInd w:val="0"/>
                    <w:snapToGrid w:val="0"/>
                    <w:jc w:val="center"/>
                    <w:rPr>
                      <w:color w:val="auto"/>
                      <w:szCs w:val="21"/>
                    </w:rPr>
                  </w:pPr>
                  <w:r>
                    <w:rPr>
                      <w:color w:val="auto"/>
                      <w:szCs w:val="21"/>
                    </w:rPr>
                    <w:t>≤6</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color w:val="auto"/>
                      <w:szCs w:val="21"/>
                    </w:rPr>
                    <w:t>4</w:t>
                  </w:r>
                </w:p>
              </w:tc>
              <w:tc>
                <w:tcPr>
                  <w:tcW w:w="1691" w:type="dxa"/>
                  <w:vAlign w:val="center"/>
                </w:tcPr>
                <w:p>
                  <w:pPr>
                    <w:adjustRightInd w:val="0"/>
                    <w:snapToGrid w:val="0"/>
                    <w:jc w:val="center"/>
                    <w:rPr>
                      <w:color w:val="auto"/>
                      <w:szCs w:val="21"/>
                    </w:rPr>
                  </w:pPr>
                  <w:r>
                    <w:rPr>
                      <w:color w:val="auto"/>
                      <w:szCs w:val="21"/>
                    </w:rPr>
                    <w:t>NH</w:t>
                  </w:r>
                  <w:r>
                    <w:rPr>
                      <w:color w:val="auto"/>
                      <w:szCs w:val="21"/>
                      <w:vertAlign w:val="subscript"/>
                    </w:rPr>
                    <w:t>3</w:t>
                  </w:r>
                  <w:r>
                    <w:rPr>
                      <w:color w:val="auto"/>
                      <w:szCs w:val="21"/>
                    </w:rPr>
                    <w:t>-N</w:t>
                  </w:r>
                </w:p>
              </w:tc>
              <w:tc>
                <w:tcPr>
                  <w:tcW w:w="1958" w:type="dxa"/>
                  <w:vAlign w:val="center"/>
                </w:tcPr>
                <w:p>
                  <w:pPr>
                    <w:adjustRightInd w:val="0"/>
                    <w:snapToGrid w:val="0"/>
                    <w:jc w:val="center"/>
                    <w:rPr>
                      <w:color w:val="auto"/>
                      <w:szCs w:val="21"/>
                    </w:rPr>
                  </w:pPr>
                  <w:r>
                    <w:rPr>
                      <w:color w:val="auto"/>
                      <w:szCs w:val="21"/>
                    </w:rPr>
                    <w:t>≤1.5</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rFonts w:hint="eastAsia"/>
                      <w:color w:val="auto"/>
                      <w:szCs w:val="21"/>
                    </w:rPr>
                    <w:t>5</w:t>
                  </w:r>
                </w:p>
              </w:tc>
              <w:tc>
                <w:tcPr>
                  <w:tcW w:w="1691" w:type="dxa"/>
                  <w:vAlign w:val="center"/>
                </w:tcPr>
                <w:p>
                  <w:pPr>
                    <w:adjustRightInd w:val="0"/>
                    <w:snapToGrid w:val="0"/>
                    <w:jc w:val="center"/>
                    <w:rPr>
                      <w:color w:val="auto"/>
                      <w:szCs w:val="21"/>
                    </w:rPr>
                  </w:pPr>
                  <w:r>
                    <w:rPr>
                      <w:color w:val="auto"/>
                      <w:szCs w:val="21"/>
                    </w:rPr>
                    <w:t>TP</w:t>
                  </w:r>
                </w:p>
              </w:tc>
              <w:tc>
                <w:tcPr>
                  <w:tcW w:w="1958" w:type="dxa"/>
                  <w:vAlign w:val="center"/>
                </w:tcPr>
                <w:p>
                  <w:pPr>
                    <w:adjustRightInd w:val="0"/>
                    <w:snapToGrid w:val="0"/>
                    <w:jc w:val="center"/>
                    <w:rPr>
                      <w:color w:val="auto"/>
                      <w:szCs w:val="21"/>
                    </w:rPr>
                  </w:pPr>
                  <w:r>
                    <w:rPr>
                      <w:color w:val="auto"/>
                      <w:szCs w:val="21"/>
                    </w:rPr>
                    <w:t>≤0.</w:t>
                  </w:r>
                  <w:r>
                    <w:rPr>
                      <w:rFonts w:hint="eastAsia"/>
                      <w:color w:val="auto"/>
                      <w:szCs w:val="21"/>
                    </w:rPr>
                    <w:t>3</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rFonts w:hint="eastAsia"/>
                      <w:color w:val="auto"/>
                      <w:szCs w:val="21"/>
                    </w:rPr>
                    <w:t>6</w:t>
                  </w:r>
                </w:p>
              </w:tc>
              <w:tc>
                <w:tcPr>
                  <w:tcW w:w="1691" w:type="dxa"/>
                  <w:vAlign w:val="center"/>
                </w:tcPr>
                <w:p>
                  <w:pPr>
                    <w:adjustRightInd w:val="0"/>
                    <w:snapToGrid w:val="0"/>
                    <w:jc w:val="center"/>
                    <w:rPr>
                      <w:color w:val="auto"/>
                      <w:szCs w:val="21"/>
                    </w:rPr>
                  </w:pPr>
                  <w:r>
                    <w:rPr>
                      <w:rFonts w:hint="eastAsia"/>
                      <w:color w:val="auto"/>
                      <w:szCs w:val="21"/>
                    </w:rPr>
                    <w:t>TN</w:t>
                  </w:r>
                </w:p>
              </w:tc>
              <w:tc>
                <w:tcPr>
                  <w:tcW w:w="1958" w:type="dxa"/>
                  <w:vAlign w:val="center"/>
                </w:tcPr>
                <w:p>
                  <w:pPr>
                    <w:adjustRightInd w:val="0"/>
                    <w:snapToGrid w:val="0"/>
                    <w:jc w:val="center"/>
                    <w:rPr>
                      <w:color w:val="auto"/>
                      <w:szCs w:val="21"/>
                    </w:rPr>
                  </w:pPr>
                  <w:r>
                    <w:rPr>
                      <w:rFonts w:hint="eastAsia"/>
                      <w:color w:val="auto"/>
                      <w:szCs w:val="21"/>
                    </w:rPr>
                    <w:t>1.5</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123" w:type="dxa"/>
                  <w:vAlign w:val="center"/>
                </w:tcPr>
                <w:p>
                  <w:pPr>
                    <w:adjustRightInd w:val="0"/>
                    <w:snapToGrid w:val="0"/>
                    <w:jc w:val="center"/>
                    <w:rPr>
                      <w:color w:val="auto"/>
                      <w:szCs w:val="21"/>
                    </w:rPr>
                  </w:pPr>
                  <w:r>
                    <w:rPr>
                      <w:rFonts w:hint="eastAsia"/>
                      <w:color w:val="auto"/>
                      <w:szCs w:val="21"/>
                    </w:rPr>
                    <w:t>7</w:t>
                  </w:r>
                </w:p>
              </w:tc>
              <w:tc>
                <w:tcPr>
                  <w:tcW w:w="1691" w:type="dxa"/>
                  <w:vAlign w:val="center"/>
                </w:tcPr>
                <w:p>
                  <w:pPr>
                    <w:adjustRightInd w:val="0"/>
                    <w:snapToGrid w:val="0"/>
                    <w:jc w:val="center"/>
                    <w:rPr>
                      <w:color w:val="auto"/>
                      <w:szCs w:val="21"/>
                    </w:rPr>
                  </w:pPr>
                  <w:r>
                    <w:rPr>
                      <w:rFonts w:hint="eastAsia"/>
                      <w:color w:val="auto"/>
                      <w:szCs w:val="21"/>
                    </w:rPr>
                    <w:t>石油类</w:t>
                  </w:r>
                </w:p>
              </w:tc>
              <w:tc>
                <w:tcPr>
                  <w:tcW w:w="1958" w:type="dxa"/>
                  <w:vAlign w:val="center"/>
                </w:tcPr>
                <w:p>
                  <w:pPr>
                    <w:adjustRightInd w:val="0"/>
                    <w:snapToGrid w:val="0"/>
                    <w:jc w:val="center"/>
                    <w:rPr>
                      <w:color w:val="auto"/>
                      <w:szCs w:val="21"/>
                    </w:rPr>
                  </w:pPr>
                  <w:r>
                    <w:rPr>
                      <w:color w:val="auto"/>
                      <w:szCs w:val="21"/>
                    </w:rPr>
                    <w:t>≤0.</w:t>
                  </w:r>
                  <w:r>
                    <w:rPr>
                      <w:rFonts w:hint="eastAsia"/>
                      <w:color w:val="auto"/>
                      <w:szCs w:val="21"/>
                    </w:rPr>
                    <w:t>5</w:t>
                  </w:r>
                </w:p>
              </w:tc>
              <w:tc>
                <w:tcPr>
                  <w:tcW w:w="3043"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530" w:hRule="atLeast"/>
                <w:jc w:val="center"/>
              </w:trPr>
              <w:tc>
                <w:tcPr>
                  <w:tcW w:w="1123" w:type="dxa"/>
                  <w:vAlign w:val="center"/>
                </w:tcPr>
                <w:p>
                  <w:pPr>
                    <w:adjustRightInd w:val="0"/>
                    <w:snapToGrid w:val="0"/>
                    <w:jc w:val="center"/>
                    <w:rPr>
                      <w:color w:val="auto"/>
                      <w:szCs w:val="21"/>
                    </w:rPr>
                  </w:pPr>
                  <w:r>
                    <w:rPr>
                      <w:rFonts w:hint="eastAsia"/>
                      <w:color w:val="auto"/>
                      <w:szCs w:val="21"/>
                    </w:rPr>
                    <w:t>8</w:t>
                  </w:r>
                </w:p>
              </w:tc>
              <w:tc>
                <w:tcPr>
                  <w:tcW w:w="1691" w:type="dxa"/>
                  <w:vAlign w:val="center"/>
                </w:tcPr>
                <w:p>
                  <w:pPr>
                    <w:adjustRightInd w:val="0"/>
                    <w:snapToGrid w:val="0"/>
                    <w:jc w:val="center"/>
                    <w:rPr>
                      <w:color w:val="auto"/>
                      <w:szCs w:val="21"/>
                    </w:rPr>
                  </w:pPr>
                  <w:r>
                    <w:rPr>
                      <w:color w:val="auto"/>
                      <w:szCs w:val="21"/>
                    </w:rPr>
                    <w:t>SS</w:t>
                  </w:r>
                </w:p>
              </w:tc>
              <w:tc>
                <w:tcPr>
                  <w:tcW w:w="1958" w:type="dxa"/>
                  <w:vAlign w:val="center"/>
                </w:tcPr>
                <w:p>
                  <w:pPr>
                    <w:adjustRightInd w:val="0"/>
                    <w:snapToGrid w:val="0"/>
                    <w:jc w:val="center"/>
                    <w:rPr>
                      <w:color w:val="auto"/>
                      <w:szCs w:val="21"/>
                    </w:rPr>
                  </w:pPr>
                  <w:r>
                    <w:rPr>
                      <w:color w:val="auto"/>
                      <w:szCs w:val="21"/>
                    </w:rPr>
                    <w:t>≤60</w:t>
                  </w:r>
                </w:p>
              </w:tc>
              <w:tc>
                <w:tcPr>
                  <w:tcW w:w="3043" w:type="dxa"/>
                  <w:vAlign w:val="center"/>
                </w:tcPr>
                <w:p>
                  <w:pPr>
                    <w:adjustRightInd w:val="0"/>
                    <w:snapToGrid w:val="0"/>
                    <w:jc w:val="center"/>
                    <w:rPr>
                      <w:color w:val="auto"/>
                      <w:szCs w:val="21"/>
                    </w:rPr>
                  </w:pPr>
                  <w:r>
                    <w:rPr>
                      <w:color w:val="auto"/>
                      <w:szCs w:val="21"/>
                    </w:rPr>
                    <w:t>参考水利部《地表水资源质量标准》（SL63-94）四级</w:t>
                  </w:r>
                </w:p>
              </w:tc>
            </w:tr>
          </w:tbl>
          <w:p>
            <w:pPr>
              <w:spacing w:line="440" w:lineRule="exact"/>
              <w:ind w:firstLine="480" w:firstLineChars="200"/>
              <w:rPr>
                <w:b/>
                <w:color w:val="auto"/>
                <w:sz w:val="24"/>
                <w:szCs w:val="24"/>
              </w:rPr>
            </w:pPr>
            <w:r>
              <w:rPr>
                <w:b/>
                <w:color w:val="auto"/>
                <w:sz w:val="24"/>
                <w:szCs w:val="24"/>
              </w:rPr>
              <w:t>3、声环境</w:t>
            </w:r>
          </w:p>
          <w:p>
            <w:pPr>
              <w:spacing w:line="360" w:lineRule="auto"/>
              <w:ind w:firstLine="480" w:firstLineChars="200"/>
              <w:rPr>
                <w:color w:val="auto"/>
                <w:sz w:val="24"/>
              </w:rPr>
            </w:pPr>
            <w:r>
              <w:rPr>
                <w:rFonts w:hint="eastAsia"/>
                <w:color w:val="auto"/>
                <w:sz w:val="24"/>
              </w:rPr>
              <w:t>根据《金坛区中心城区声环境功能区划》，本项目位于</w:t>
            </w:r>
            <w:r>
              <w:rPr>
                <w:rFonts w:hint="eastAsia"/>
                <w:color w:val="auto"/>
                <w:sz w:val="24"/>
                <w:lang w:val="en-US" w:eastAsia="zh-CN"/>
              </w:rPr>
              <w:t>2</w:t>
            </w:r>
            <w:r>
              <w:rPr>
                <w:rFonts w:hint="eastAsia"/>
                <w:color w:val="auto"/>
                <w:sz w:val="24"/>
              </w:rPr>
              <w:t>类声功能区，因此</w:t>
            </w:r>
            <w:r>
              <w:rPr>
                <w:color w:val="auto"/>
                <w:sz w:val="24"/>
              </w:rPr>
              <w:t>项目厂界声环境</w:t>
            </w:r>
            <w:r>
              <w:rPr>
                <w:color w:val="auto"/>
                <w:sz w:val="24"/>
                <w:szCs w:val="24"/>
              </w:rPr>
              <w:t>执行《声环境质量标准》（GB3096-2008）中的2类区标准</w:t>
            </w:r>
            <w:r>
              <w:rPr>
                <w:rFonts w:hint="eastAsia"/>
                <w:color w:val="auto"/>
                <w:sz w:val="24"/>
              </w:rPr>
              <w:t>。</w:t>
            </w:r>
            <w:r>
              <w:rPr>
                <w:color w:val="auto"/>
                <w:sz w:val="24"/>
              </w:rPr>
              <w:t>具体标准值见表4-3。</w:t>
            </w:r>
          </w:p>
          <w:p>
            <w:pPr>
              <w:tabs>
                <w:tab w:val="left" w:pos="960"/>
              </w:tabs>
              <w:jc w:val="center"/>
              <w:rPr>
                <w:b/>
                <w:bCs/>
                <w:color w:val="auto"/>
                <w:spacing w:val="-4"/>
                <w:szCs w:val="21"/>
              </w:rPr>
            </w:pPr>
            <w:r>
              <w:rPr>
                <w:b/>
                <w:bCs/>
                <w:color w:val="auto"/>
                <w:spacing w:val="-4"/>
                <w:szCs w:val="21"/>
              </w:rPr>
              <w:t>表4-3  声环境质量标准    单位：dB(A)</w:t>
            </w:r>
          </w:p>
          <w:tbl>
            <w:tblPr>
              <w:tblStyle w:val="56"/>
              <w:tblW w:w="781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538"/>
              <w:gridCol w:w="1336"/>
              <w:gridCol w:w="1449"/>
              <w:gridCol w:w="349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04" w:hRule="atLeast"/>
                <w:jc w:val="center"/>
              </w:trPr>
              <w:tc>
                <w:tcPr>
                  <w:tcW w:w="1538" w:type="dxa"/>
                  <w:vAlign w:val="center"/>
                </w:tcPr>
                <w:p>
                  <w:pPr>
                    <w:jc w:val="center"/>
                    <w:rPr>
                      <w:b/>
                      <w:color w:val="auto"/>
                      <w:szCs w:val="21"/>
                    </w:rPr>
                  </w:pPr>
                  <w:r>
                    <w:rPr>
                      <w:b/>
                      <w:color w:val="auto"/>
                      <w:szCs w:val="21"/>
                    </w:rPr>
                    <w:t>评价标准</w:t>
                  </w:r>
                </w:p>
              </w:tc>
              <w:tc>
                <w:tcPr>
                  <w:tcW w:w="1336" w:type="dxa"/>
                  <w:vAlign w:val="center"/>
                </w:tcPr>
                <w:p>
                  <w:pPr>
                    <w:jc w:val="center"/>
                    <w:rPr>
                      <w:b/>
                      <w:color w:val="auto"/>
                      <w:szCs w:val="21"/>
                    </w:rPr>
                  </w:pPr>
                  <w:r>
                    <w:rPr>
                      <w:b/>
                      <w:color w:val="auto"/>
                      <w:szCs w:val="21"/>
                    </w:rPr>
                    <w:t>昼间</w:t>
                  </w:r>
                </w:p>
              </w:tc>
              <w:tc>
                <w:tcPr>
                  <w:tcW w:w="1449" w:type="dxa"/>
                  <w:vAlign w:val="center"/>
                </w:tcPr>
                <w:p>
                  <w:pPr>
                    <w:jc w:val="center"/>
                    <w:rPr>
                      <w:b/>
                      <w:color w:val="auto"/>
                      <w:szCs w:val="21"/>
                    </w:rPr>
                  </w:pPr>
                  <w:r>
                    <w:rPr>
                      <w:b/>
                      <w:color w:val="auto"/>
                      <w:szCs w:val="21"/>
                    </w:rPr>
                    <w:t>夜间</w:t>
                  </w:r>
                </w:p>
              </w:tc>
              <w:tc>
                <w:tcPr>
                  <w:tcW w:w="3492" w:type="dxa"/>
                  <w:vAlign w:val="center"/>
                </w:tcPr>
                <w:p>
                  <w:pPr>
                    <w:jc w:val="center"/>
                    <w:rPr>
                      <w:b/>
                      <w:color w:val="auto"/>
                      <w:szCs w:val="21"/>
                    </w:rPr>
                  </w:pPr>
                  <w:r>
                    <w:rPr>
                      <w:rFonts w:hint="eastAsia"/>
                      <w:b/>
                      <w:color w:val="auto"/>
                      <w:szCs w:val="21"/>
                    </w:rPr>
                    <w:t>限值</w:t>
                  </w:r>
                  <w:r>
                    <w:rPr>
                      <w:b/>
                      <w:color w:val="auto"/>
                      <w:szCs w:val="21"/>
                    </w:rPr>
                    <w:t>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04" w:hRule="atLeast"/>
                <w:jc w:val="center"/>
              </w:trPr>
              <w:tc>
                <w:tcPr>
                  <w:tcW w:w="153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2</w:t>
                  </w:r>
                  <w:r>
                    <w:rPr>
                      <w:color w:val="auto"/>
                      <w:szCs w:val="21"/>
                    </w:rPr>
                    <w:t>类</w:t>
                  </w:r>
                  <w:r>
                    <w:rPr>
                      <w:rFonts w:hint="eastAsia"/>
                      <w:color w:val="auto"/>
                      <w:szCs w:val="21"/>
                    </w:rPr>
                    <w:t>区</w:t>
                  </w:r>
                </w:p>
              </w:tc>
              <w:tc>
                <w:tcPr>
                  <w:tcW w:w="1336"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60</w:t>
                  </w:r>
                </w:p>
              </w:tc>
              <w:tc>
                <w:tcPr>
                  <w:tcW w:w="1449"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50</w:t>
                  </w:r>
                </w:p>
              </w:tc>
              <w:tc>
                <w:tcPr>
                  <w:tcW w:w="3492" w:type="dxa"/>
                  <w:vAlign w:val="center"/>
                </w:tcPr>
                <w:p>
                  <w:pPr>
                    <w:jc w:val="center"/>
                    <w:rPr>
                      <w:color w:val="auto"/>
                      <w:szCs w:val="21"/>
                    </w:rPr>
                  </w:pPr>
                  <w:r>
                    <w:rPr>
                      <w:color w:val="auto"/>
                      <w:szCs w:val="21"/>
                    </w:rPr>
                    <w:t>《声环境质量标准》（GB3096-2008）</w:t>
                  </w:r>
                </w:p>
              </w:tc>
            </w:tr>
          </w:tbl>
          <w:p>
            <w:pPr>
              <w:numPr>
                <w:ilvl w:val="0"/>
                <w:numId w:val="6"/>
              </w:numPr>
              <w:snapToGrid w:val="0"/>
              <w:spacing w:line="360" w:lineRule="auto"/>
              <w:ind w:firstLine="480" w:firstLineChars="200"/>
              <w:jc w:val="left"/>
              <w:rPr>
                <w:b/>
                <w:color w:val="auto"/>
                <w:sz w:val="24"/>
                <w:szCs w:val="24"/>
              </w:rPr>
            </w:pPr>
            <w:r>
              <w:rPr>
                <w:rFonts w:hint="eastAsia"/>
                <w:b/>
                <w:color w:val="auto"/>
                <w:sz w:val="24"/>
                <w:szCs w:val="24"/>
              </w:rPr>
              <w:t>土壤环境质量标准</w:t>
            </w:r>
          </w:p>
          <w:p>
            <w:pPr>
              <w:widowControl/>
              <w:spacing w:line="360" w:lineRule="auto"/>
              <w:ind w:firstLine="480" w:firstLineChars="200"/>
              <w:jc w:val="left"/>
              <w:rPr>
                <w:rFonts w:ascii="宋体" w:hAnsi="宋体" w:cs="宋体"/>
                <w:color w:val="auto"/>
                <w:kern w:val="0"/>
                <w:sz w:val="24"/>
                <w:szCs w:val="24"/>
                <w:lang w:bidi="ar"/>
              </w:rPr>
            </w:pPr>
            <w:r>
              <w:rPr>
                <w:rFonts w:hint="eastAsia"/>
                <w:color w:val="auto"/>
                <w:sz w:val="24"/>
              </w:rPr>
              <w:t>项目所在地土壤环境执行</w:t>
            </w:r>
            <w:r>
              <w:rPr>
                <w:rFonts w:hint="eastAsia"/>
                <w:color w:val="auto"/>
                <w:kern w:val="0"/>
                <w:sz w:val="24"/>
              </w:rPr>
              <w:t>《土壤环境质量 建设用地土壤污染风险管控标准（试行）》（GB36600-2018）》中的第二类用地风险筛选值标准。具体标准值见表4-4。</w:t>
            </w:r>
          </w:p>
          <w:p>
            <w:pPr>
              <w:snapToGrid w:val="0"/>
              <w:jc w:val="center"/>
              <w:rPr>
                <w:b/>
                <w:color w:val="auto"/>
                <w:szCs w:val="21"/>
              </w:rPr>
            </w:pPr>
            <w:r>
              <w:rPr>
                <w:rFonts w:hint="eastAsia"/>
                <w:b/>
                <w:color w:val="auto"/>
                <w:szCs w:val="21"/>
              </w:rPr>
              <w:t>表4-4 土壤环境质量标准   单位：mg/kg（pH无量纲）</w:t>
            </w:r>
          </w:p>
          <w:tbl>
            <w:tblPr>
              <w:tblStyle w:val="56"/>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71"/>
              <w:gridCol w:w="3736"/>
              <w:gridCol w:w="26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b/>
                      <w:bCs/>
                      <w:color w:val="auto"/>
                      <w:szCs w:val="21"/>
                    </w:rPr>
                  </w:pPr>
                  <w:r>
                    <w:rPr>
                      <w:b/>
                      <w:bCs/>
                      <w:color w:val="auto"/>
                      <w:szCs w:val="21"/>
                    </w:rPr>
                    <w:t>序号</w:t>
                  </w:r>
                </w:p>
              </w:tc>
              <w:tc>
                <w:tcPr>
                  <w:tcW w:w="2390" w:type="pct"/>
                  <w:vAlign w:val="center"/>
                </w:tcPr>
                <w:p>
                  <w:pPr>
                    <w:adjustRightInd w:val="0"/>
                    <w:snapToGrid w:val="0"/>
                    <w:jc w:val="center"/>
                    <w:rPr>
                      <w:b/>
                      <w:bCs/>
                      <w:color w:val="auto"/>
                      <w:szCs w:val="21"/>
                    </w:rPr>
                  </w:pPr>
                  <w:r>
                    <w:rPr>
                      <w:b/>
                      <w:bCs/>
                      <w:color w:val="auto"/>
                      <w:szCs w:val="21"/>
                    </w:rPr>
                    <w:t>污染物名称</w:t>
                  </w:r>
                </w:p>
              </w:tc>
              <w:tc>
                <w:tcPr>
                  <w:tcW w:w="1667" w:type="pct"/>
                  <w:vAlign w:val="center"/>
                </w:tcPr>
                <w:p>
                  <w:pPr>
                    <w:adjustRightInd w:val="0"/>
                    <w:snapToGrid w:val="0"/>
                    <w:jc w:val="center"/>
                    <w:rPr>
                      <w:b/>
                      <w:bCs/>
                      <w:color w:val="auto"/>
                      <w:szCs w:val="21"/>
                    </w:rPr>
                  </w:pPr>
                  <w:r>
                    <w:rPr>
                      <w:b/>
                      <w:bCs/>
                      <w:color w:val="auto"/>
                      <w:szCs w:val="21"/>
                    </w:rPr>
                    <w:t>风险筛选值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w:t>
                  </w:r>
                </w:p>
              </w:tc>
              <w:tc>
                <w:tcPr>
                  <w:tcW w:w="2390" w:type="pct"/>
                  <w:vAlign w:val="center"/>
                </w:tcPr>
                <w:p>
                  <w:pPr>
                    <w:adjustRightInd w:val="0"/>
                    <w:snapToGrid w:val="0"/>
                    <w:jc w:val="center"/>
                    <w:rPr>
                      <w:color w:val="auto"/>
                      <w:szCs w:val="21"/>
                    </w:rPr>
                  </w:pPr>
                  <w:r>
                    <w:rPr>
                      <w:color w:val="auto"/>
                      <w:szCs w:val="21"/>
                    </w:rPr>
                    <w:t>砷</w:t>
                  </w:r>
                </w:p>
              </w:tc>
              <w:tc>
                <w:tcPr>
                  <w:tcW w:w="1667" w:type="pct"/>
                  <w:vAlign w:val="center"/>
                </w:tcPr>
                <w:p>
                  <w:pPr>
                    <w:adjustRightInd w:val="0"/>
                    <w:snapToGrid w:val="0"/>
                    <w:jc w:val="center"/>
                    <w:rPr>
                      <w:color w:val="auto"/>
                      <w:szCs w:val="21"/>
                    </w:rPr>
                  </w:pPr>
                  <w:r>
                    <w:rPr>
                      <w:color w:val="auto"/>
                      <w:szCs w:val="21"/>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w:t>
                  </w:r>
                </w:p>
              </w:tc>
              <w:tc>
                <w:tcPr>
                  <w:tcW w:w="2390" w:type="pct"/>
                  <w:vAlign w:val="center"/>
                </w:tcPr>
                <w:p>
                  <w:pPr>
                    <w:adjustRightInd w:val="0"/>
                    <w:snapToGrid w:val="0"/>
                    <w:jc w:val="center"/>
                    <w:rPr>
                      <w:color w:val="auto"/>
                      <w:szCs w:val="21"/>
                    </w:rPr>
                  </w:pPr>
                  <w:r>
                    <w:rPr>
                      <w:color w:val="auto"/>
                      <w:szCs w:val="21"/>
                    </w:rPr>
                    <w:t>镉</w:t>
                  </w:r>
                </w:p>
              </w:tc>
              <w:tc>
                <w:tcPr>
                  <w:tcW w:w="1667" w:type="pct"/>
                  <w:vAlign w:val="center"/>
                </w:tcPr>
                <w:p>
                  <w:pPr>
                    <w:adjustRightInd w:val="0"/>
                    <w:snapToGrid w:val="0"/>
                    <w:jc w:val="center"/>
                    <w:rPr>
                      <w:color w:val="auto"/>
                      <w:szCs w:val="21"/>
                    </w:rPr>
                  </w:pPr>
                  <w:r>
                    <w:rPr>
                      <w:color w:val="auto"/>
                      <w:szCs w:val="21"/>
                    </w:rPr>
                    <w:t>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w:t>
                  </w:r>
                </w:p>
              </w:tc>
              <w:tc>
                <w:tcPr>
                  <w:tcW w:w="2390" w:type="pct"/>
                  <w:vAlign w:val="center"/>
                </w:tcPr>
                <w:p>
                  <w:pPr>
                    <w:adjustRightInd w:val="0"/>
                    <w:snapToGrid w:val="0"/>
                    <w:jc w:val="center"/>
                    <w:rPr>
                      <w:color w:val="auto"/>
                      <w:szCs w:val="21"/>
                    </w:rPr>
                  </w:pPr>
                  <w:r>
                    <w:rPr>
                      <w:color w:val="auto"/>
                      <w:szCs w:val="21"/>
                    </w:rPr>
                    <w:t>铬（六价）</w:t>
                  </w:r>
                </w:p>
              </w:tc>
              <w:tc>
                <w:tcPr>
                  <w:tcW w:w="1667" w:type="pct"/>
                  <w:vAlign w:val="center"/>
                </w:tcPr>
                <w:p>
                  <w:pPr>
                    <w:adjustRightInd w:val="0"/>
                    <w:snapToGrid w:val="0"/>
                    <w:jc w:val="center"/>
                    <w:rPr>
                      <w:color w:val="auto"/>
                      <w:szCs w:val="21"/>
                    </w:rPr>
                  </w:pPr>
                  <w:r>
                    <w:rPr>
                      <w:color w:val="auto"/>
                      <w:szCs w:val="21"/>
                    </w:rPr>
                    <w:t>5.7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w:t>
                  </w:r>
                </w:p>
              </w:tc>
              <w:tc>
                <w:tcPr>
                  <w:tcW w:w="2390" w:type="pct"/>
                  <w:vAlign w:val="center"/>
                </w:tcPr>
                <w:p>
                  <w:pPr>
                    <w:adjustRightInd w:val="0"/>
                    <w:snapToGrid w:val="0"/>
                    <w:jc w:val="center"/>
                    <w:rPr>
                      <w:color w:val="auto"/>
                      <w:szCs w:val="21"/>
                    </w:rPr>
                  </w:pPr>
                  <w:r>
                    <w:rPr>
                      <w:color w:val="auto"/>
                      <w:szCs w:val="21"/>
                    </w:rPr>
                    <w:t>铜</w:t>
                  </w:r>
                </w:p>
              </w:tc>
              <w:tc>
                <w:tcPr>
                  <w:tcW w:w="1667" w:type="pct"/>
                  <w:vAlign w:val="center"/>
                </w:tcPr>
                <w:p>
                  <w:pPr>
                    <w:adjustRightInd w:val="0"/>
                    <w:snapToGrid w:val="0"/>
                    <w:jc w:val="center"/>
                    <w:rPr>
                      <w:color w:val="auto"/>
                      <w:szCs w:val="21"/>
                    </w:rPr>
                  </w:pPr>
                  <w:r>
                    <w:rPr>
                      <w:color w:val="auto"/>
                      <w:szCs w:val="21"/>
                    </w:rPr>
                    <w:t>18000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5</w:t>
                  </w:r>
                </w:p>
              </w:tc>
              <w:tc>
                <w:tcPr>
                  <w:tcW w:w="2390" w:type="pct"/>
                  <w:vAlign w:val="center"/>
                </w:tcPr>
                <w:p>
                  <w:pPr>
                    <w:adjustRightInd w:val="0"/>
                    <w:snapToGrid w:val="0"/>
                    <w:jc w:val="center"/>
                    <w:rPr>
                      <w:color w:val="auto"/>
                      <w:szCs w:val="21"/>
                    </w:rPr>
                  </w:pPr>
                  <w:r>
                    <w:rPr>
                      <w:color w:val="auto"/>
                      <w:szCs w:val="21"/>
                    </w:rPr>
                    <w:t>铅</w:t>
                  </w:r>
                </w:p>
              </w:tc>
              <w:tc>
                <w:tcPr>
                  <w:tcW w:w="1667" w:type="pct"/>
                  <w:vAlign w:val="center"/>
                </w:tcPr>
                <w:p>
                  <w:pPr>
                    <w:adjustRightInd w:val="0"/>
                    <w:snapToGrid w:val="0"/>
                    <w:jc w:val="center"/>
                    <w:rPr>
                      <w:color w:val="auto"/>
                      <w:szCs w:val="21"/>
                    </w:rPr>
                  </w:pPr>
                  <w:r>
                    <w:rPr>
                      <w:color w:val="auto"/>
                      <w:szCs w:val="21"/>
                    </w:rPr>
                    <w:t>800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6</w:t>
                  </w:r>
                </w:p>
              </w:tc>
              <w:tc>
                <w:tcPr>
                  <w:tcW w:w="2390" w:type="pct"/>
                  <w:vAlign w:val="center"/>
                </w:tcPr>
                <w:p>
                  <w:pPr>
                    <w:adjustRightInd w:val="0"/>
                    <w:snapToGrid w:val="0"/>
                    <w:jc w:val="center"/>
                    <w:rPr>
                      <w:color w:val="auto"/>
                      <w:szCs w:val="21"/>
                    </w:rPr>
                  </w:pPr>
                  <w:r>
                    <w:rPr>
                      <w:color w:val="auto"/>
                      <w:szCs w:val="21"/>
                    </w:rPr>
                    <w:t>贡</w:t>
                  </w:r>
                </w:p>
              </w:tc>
              <w:tc>
                <w:tcPr>
                  <w:tcW w:w="1667" w:type="pct"/>
                  <w:vAlign w:val="center"/>
                </w:tcPr>
                <w:p>
                  <w:pPr>
                    <w:adjustRightInd w:val="0"/>
                    <w:snapToGrid w:val="0"/>
                    <w:jc w:val="center"/>
                    <w:rPr>
                      <w:color w:val="auto"/>
                      <w:szCs w:val="21"/>
                    </w:rPr>
                  </w:pPr>
                  <w:r>
                    <w:rPr>
                      <w:color w:val="auto"/>
                      <w:szCs w:val="21"/>
                    </w:rPr>
                    <w:t>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7</w:t>
                  </w:r>
                </w:p>
              </w:tc>
              <w:tc>
                <w:tcPr>
                  <w:tcW w:w="2390" w:type="pct"/>
                  <w:vAlign w:val="center"/>
                </w:tcPr>
                <w:p>
                  <w:pPr>
                    <w:adjustRightInd w:val="0"/>
                    <w:snapToGrid w:val="0"/>
                    <w:jc w:val="center"/>
                    <w:rPr>
                      <w:color w:val="auto"/>
                      <w:szCs w:val="21"/>
                    </w:rPr>
                  </w:pPr>
                  <w:r>
                    <w:rPr>
                      <w:color w:val="auto"/>
                      <w:szCs w:val="21"/>
                    </w:rPr>
                    <w:t>镍</w:t>
                  </w:r>
                </w:p>
              </w:tc>
              <w:tc>
                <w:tcPr>
                  <w:tcW w:w="1667" w:type="pct"/>
                  <w:vAlign w:val="center"/>
                </w:tcPr>
                <w:p>
                  <w:pPr>
                    <w:adjustRightInd w:val="0"/>
                    <w:snapToGrid w:val="0"/>
                    <w:jc w:val="center"/>
                    <w:rPr>
                      <w:color w:val="auto"/>
                      <w:szCs w:val="21"/>
                    </w:rPr>
                  </w:pPr>
                  <w:r>
                    <w:rPr>
                      <w:color w:val="auto"/>
                      <w:szCs w:val="21"/>
                    </w:rPr>
                    <w:t>900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8</w:t>
                  </w:r>
                </w:p>
              </w:tc>
              <w:tc>
                <w:tcPr>
                  <w:tcW w:w="2390" w:type="pct"/>
                  <w:vAlign w:val="center"/>
                </w:tcPr>
                <w:p>
                  <w:pPr>
                    <w:adjustRightInd w:val="0"/>
                    <w:snapToGrid w:val="0"/>
                    <w:jc w:val="center"/>
                    <w:rPr>
                      <w:color w:val="auto"/>
                      <w:szCs w:val="21"/>
                    </w:rPr>
                  </w:pPr>
                  <w:r>
                    <w:rPr>
                      <w:color w:val="auto"/>
                      <w:szCs w:val="21"/>
                    </w:rPr>
                    <w:t>四氯化碳</w:t>
                  </w:r>
                </w:p>
              </w:tc>
              <w:tc>
                <w:tcPr>
                  <w:tcW w:w="1667" w:type="pct"/>
                  <w:vAlign w:val="center"/>
                </w:tcPr>
                <w:p>
                  <w:pPr>
                    <w:adjustRightInd w:val="0"/>
                    <w:snapToGrid w:val="0"/>
                    <w:jc w:val="center"/>
                    <w:rPr>
                      <w:color w:val="auto"/>
                      <w:szCs w:val="21"/>
                    </w:rPr>
                  </w:pPr>
                  <w:r>
                    <w:rPr>
                      <w:color w:val="auto"/>
                      <w:szCs w:val="21"/>
                    </w:rPr>
                    <w:t>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9</w:t>
                  </w:r>
                </w:p>
              </w:tc>
              <w:tc>
                <w:tcPr>
                  <w:tcW w:w="2390" w:type="pct"/>
                  <w:vAlign w:val="center"/>
                </w:tcPr>
                <w:p>
                  <w:pPr>
                    <w:adjustRightInd w:val="0"/>
                    <w:snapToGrid w:val="0"/>
                    <w:jc w:val="center"/>
                    <w:rPr>
                      <w:color w:val="auto"/>
                      <w:szCs w:val="21"/>
                    </w:rPr>
                  </w:pPr>
                  <w:r>
                    <w:rPr>
                      <w:color w:val="auto"/>
                      <w:szCs w:val="21"/>
                    </w:rPr>
                    <w:t>氯仿</w:t>
                  </w:r>
                </w:p>
              </w:tc>
              <w:tc>
                <w:tcPr>
                  <w:tcW w:w="1667" w:type="pct"/>
                  <w:vAlign w:val="center"/>
                </w:tcPr>
                <w:p>
                  <w:pPr>
                    <w:adjustRightInd w:val="0"/>
                    <w:snapToGrid w:val="0"/>
                    <w:jc w:val="center"/>
                    <w:rPr>
                      <w:color w:val="auto"/>
                      <w:szCs w:val="21"/>
                    </w:rPr>
                  </w:pPr>
                  <w:r>
                    <w:rPr>
                      <w:color w:val="auto"/>
                      <w:szCs w:val="21"/>
                    </w:rPr>
                    <w:t>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10</w:t>
                  </w:r>
                </w:p>
              </w:tc>
              <w:tc>
                <w:tcPr>
                  <w:tcW w:w="2390" w:type="pct"/>
                  <w:vAlign w:val="center"/>
                </w:tcPr>
                <w:p>
                  <w:pPr>
                    <w:adjustRightInd w:val="0"/>
                    <w:snapToGrid w:val="0"/>
                    <w:jc w:val="center"/>
                    <w:rPr>
                      <w:color w:val="auto"/>
                      <w:szCs w:val="21"/>
                    </w:rPr>
                  </w:pPr>
                  <w:r>
                    <w:rPr>
                      <w:color w:val="auto"/>
                      <w:szCs w:val="21"/>
                    </w:rPr>
                    <w:t>氯甲烷</w:t>
                  </w:r>
                </w:p>
              </w:tc>
              <w:tc>
                <w:tcPr>
                  <w:tcW w:w="1667" w:type="pct"/>
                  <w:vAlign w:val="center"/>
                </w:tcPr>
                <w:p>
                  <w:pPr>
                    <w:adjustRightInd w:val="0"/>
                    <w:snapToGrid w:val="0"/>
                    <w:jc w:val="center"/>
                    <w:rPr>
                      <w:color w:val="auto"/>
                      <w:szCs w:val="21"/>
                    </w:rPr>
                  </w:pPr>
                  <w:r>
                    <w:rPr>
                      <w:color w:val="auto"/>
                      <w:szCs w:val="21"/>
                    </w:rPr>
                    <w:t>37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11</w:t>
                  </w:r>
                </w:p>
              </w:tc>
              <w:tc>
                <w:tcPr>
                  <w:tcW w:w="2390" w:type="pct"/>
                  <w:vAlign w:val="center"/>
                </w:tcPr>
                <w:p>
                  <w:pPr>
                    <w:adjustRightInd w:val="0"/>
                    <w:snapToGrid w:val="0"/>
                    <w:jc w:val="center"/>
                    <w:rPr>
                      <w:color w:val="auto"/>
                      <w:szCs w:val="21"/>
                    </w:rPr>
                  </w:pPr>
                  <w:r>
                    <w:rPr>
                      <w:color w:val="auto"/>
                      <w:szCs w:val="21"/>
                    </w:rPr>
                    <w:t>1,1-二氯乙烷</w:t>
                  </w:r>
                </w:p>
              </w:tc>
              <w:tc>
                <w:tcPr>
                  <w:tcW w:w="1667" w:type="pct"/>
                  <w:vAlign w:val="center"/>
                </w:tcPr>
                <w:p>
                  <w:pPr>
                    <w:adjustRightInd w:val="0"/>
                    <w:snapToGrid w:val="0"/>
                    <w:jc w:val="center"/>
                    <w:rPr>
                      <w:color w:val="auto"/>
                      <w:szCs w:val="21"/>
                    </w:rPr>
                  </w:pPr>
                  <w:r>
                    <w:rPr>
                      <w:color w:val="auto"/>
                      <w:szCs w:val="21"/>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12</w:t>
                  </w:r>
                </w:p>
              </w:tc>
              <w:tc>
                <w:tcPr>
                  <w:tcW w:w="2390" w:type="pct"/>
                  <w:vAlign w:val="center"/>
                </w:tcPr>
                <w:p>
                  <w:pPr>
                    <w:adjustRightInd w:val="0"/>
                    <w:snapToGrid w:val="0"/>
                    <w:jc w:val="center"/>
                    <w:rPr>
                      <w:color w:val="auto"/>
                      <w:szCs w:val="21"/>
                    </w:rPr>
                  </w:pPr>
                  <w:r>
                    <w:rPr>
                      <w:color w:val="auto"/>
                      <w:szCs w:val="21"/>
                    </w:rPr>
                    <w:t>1,2-二氯乙烷</w:t>
                  </w:r>
                </w:p>
              </w:tc>
              <w:tc>
                <w:tcPr>
                  <w:tcW w:w="1667" w:type="pct"/>
                  <w:vAlign w:val="center"/>
                </w:tcPr>
                <w:p>
                  <w:pPr>
                    <w:adjustRightInd w:val="0"/>
                    <w:snapToGrid w:val="0"/>
                    <w:jc w:val="center"/>
                    <w:rPr>
                      <w:color w:val="auto"/>
                      <w:szCs w:val="21"/>
                    </w:rPr>
                  </w:pPr>
                  <w:r>
                    <w:rPr>
                      <w:color w:val="auto"/>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13</w:t>
                  </w:r>
                </w:p>
              </w:tc>
              <w:tc>
                <w:tcPr>
                  <w:tcW w:w="2390" w:type="pct"/>
                  <w:vAlign w:val="center"/>
                </w:tcPr>
                <w:p>
                  <w:pPr>
                    <w:adjustRightInd w:val="0"/>
                    <w:snapToGrid w:val="0"/>
                    <w:jc w:val="center"/>
                    <w:rPr>
                      <w:color w:val="auto"/>
                      <w:szCs w:val="21"/>
                    </w:rPr>
                  </w:pPr>
                  <w:r>
                    <w:rPr>
                      <w:color w:val="auto"/>
                      <w:szCs w:val="21"/>
                    </w:rPr>
                    <w:t>1,1-二氯乙烯</w:t>
                  </w:r>
                </w:p>
              </w:tc>
              <w:tc>
                <w:tcPr>
                  <w:tcW w:w="1667" w:type="pct"/>
                  <w:vAlign w:val="center"/>
                </w:tcPr>
                <w:p>
                  <w:pPr>
                    <w:adjustRightInd w:val="0"/>
                    <w:snapToGrid w:val="0"/>
                    <w:jc w:val="center"/>
                    <w:rPr>
                      <w:color w:val="auto"/>
                      <w:szCs w:val="21"/>
                    </w:rPr>
                  </w:pPr>
                  <w:r>
                    <w:rPr>
                      <w:color w:val="auto"/>
                      <w:szCs w:val="21"/>
                    </w:rPr>
                    <w:t>66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14</w:t>
                  </w:r>
                </w:p>
              </w:tc>
              <w:tc>
                <w:tcPr>
                  <w:tcW w:w="2390" w:type="pct"/>
                  <w:vAlign w:val="center"/>
                </w:tcPr>
                <w:p>
                  <w:pPr>
                    <w:adjustRightInd w:val="0"/>
                    <w:snapToGrid w:val="0"/>
                    <w:jc w:val="center"/>
                    <w:rPr>
                      <w:color w:val="auto"/>
                      <w:szCs w:val="21"/>
                    </w:rPr>
                  </w:pPr>
                  <w:r>
                    <w:rPr>
                      <w:color w:val="auto"/>
                      <w:szCs w:val="21"/>
                    </w:rPr>
                    <w:t>顺-1,2-二氯乙烯</w:t>
                  </w:r>
                </w:p>
              </w:tc>
              <w:tc>
                <w:tcPr>
                  <w:tcW w:w="1667" w:type="pct"/>
                  <w:vAlign w:val="center"/>
                </w:tcPr>
                <w:p>
                  <w:pPr>
                    <w:adjustRightInd w:val="0"/>
                    <w:snapToGrid w:val="0"/>
                    <w:jc w:val="center"/>
                    <w:rPr>
                      <w:color w:val="auto"/>
                      <w:szCs w:val="21"/>
                    </w:rPr>
                  </w:pPr>
                  <w:r>
                    <w:rPr>
                      <w:color w:val="auto"/>
                      <w:szCs w:val="21"/>
                    </w:rPr>
                    <w:t>596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15</w:t>
                  </w:r>
                </w:p>
              </w:tc>
              <w:tc>
                <w:tcPr>
                  <w:tcW w:w="2390" w:type="pct"/>
                  <w:vAlign w:val="center"/>
                </w:tcPr>
                <w:p>
                  <w:pPr>
                    <w:adjustRightInd w:val="0"/>
                    <w:snapToGrid w:val="0"/>
                    <w:jc w:val="center"/>
                    <w:rPr>
                      <w:color w:val="auto"/>
                      <w:szCs w:val="21"/>
                    </w:rPr>
                  </w:pPr>
                  <w:r>
                    <w:rPr>
                      <w:color w:val="auto"/>
                      <w:szCs w:val="21"/>
                    </w:rPr>
                    <w:t>反-1,2-二氯乙烯</w:t>
                  </w:r>
                </w:p>
              </w:tc>
              <w:tc>
                <w:tcPr>
                  <w:tcW w:w="1667" w:type="pct"/>
                  <w:vAlign w:val="center"/>
                </w:tcPr>
                <w:p>
                  <w:pPr>
                    <w:adjustRightInd w:val="0"/>
                    <w:snapToGrid w:val="0"/>
                    <w:jc w:val="center"/>
                    <w:rPr>
                      <w:color w:val="auto"/>
                      <w:szCs w:val="21"/>
                    </w:rPr>
                  </w:pPr>
                  <w:r>
                    <w:rPr>
                      <w:color w:val="auto"/>
                      <w:szCs w:val="21"/>
                    </w:rPr>
                    <w:t>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16</w:t>
                  </w:r>
                </w:p>
              </w:tc>
              <w:tc>
                <w:tcPr>
                  <w:tcW w:w="2390" w:type="pct"/>
                  <w:vAlign w:val="center"/>
                </w:tcPr>
                <w:p>
                  <w:pPr>
                    <w:adjustRightInd w:val="0"/>
                    <w:snapToGrid w:val="0"/>
                    <w:jc w:val="center"/>
                    <w:rPr>
                      <w:color w:val="auto"/>
                      <w:szCs w:val="21"/>
                    </w:rPr>
                  </w:pPr>
                  <w:r>
                    <w:rPr>
                      <w:color w:val="auto"/>
                      <w:szCs w:val="21"/>
                    </w:rPr>
                    <w:t>二氯甲烷</w:t>
                  </w:r>
                </w:p>
              </w:tc>
              <w:tc>
                <w:tcPr>
                  <w:tcW w:w="1667" w:type="pct"/>
                  <w:vAlign w:val="center"/>
                </w:tcPr>
                <w:p>
                  <w:pPr>
                    <w:adjustRightInd w:val="0"/>
                    <w:snapToGrid w:val="0"/>
                    <w:jc w:val="center"/>
                    <w:rPr>
                      <w:color w:val="auto"/>
                      <w:szCs w:val="21"/>
                    </w:rPr>
                  </w:pPr>
                  <w:r>
                    <w:rPr>
                      <w:color w:val="auto"/>
                      <w:szCs w:val="21"/>
                    </w:rPr>
                    <w:t>616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17</w:t>
                  </w:r>
                </w:p>
              </w:tc>
              <w:tc>
                <w:tcPr>
                  <w:tcW w:w="2390" w:type="pct"/>
                  <w:vAlign w:val="center"/>
                </w:tcPr>
                <w:p>
                  <w:pPr>
                    <w:adjustRightInd w:val="0"/>
                    <w:snapToGrid w:val="0"/>
                    <w:jc w:val="center"/>
                    <w:rPr>
                      <w:color w:val="auto"/>
                      <w:szCs w:val="21"/>
                    </w:rPr>
                  </w:pPr>
                  <w:r>
                    <w:rPr>
                      <w:color w:val="auto"/>
                      <w:szCs w:val="21"/>
                    </w:rPr>
                    <w:t>1,2-二氯丙烷</w:t>
                  </w:r>
                </w:p>
              </w:tc>
              <w:tc>
                <w:tcPr>
                  <w:tcW w:w="1667" w:type="pct"/>
                  <w:vAlign w:val="center"/>
                </w:tcPr>
                <w:p>
                  <w:pPr>
                    <w:adjustRightInd w:val="0"/>
                    <w:snapToGrid w:val="0"/>
                    <w:jc w:val="center"/>
                    <w:rPr>
                      <w:color w:val="auto"/>
                      <w:szCs w:val="21"/>
                    </w:rPr>
                  </w:pPr>
                  <w:r>
                    <w:rPr>
                      <w:color w:val="auto"/>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18</w:t>
                  </w:r>
                </w:p>
              </w:tc>
              <w:tc>
                <w:tcPr>
                  <w:tcW w:w="2390" w:type="pct"/>
                  <w:vAlign w:val="center"/>
                </w:tcPr>
                <w:p>
                  <w:pPr>
                    <w:adjustRightInd w:val="0"/>
                    <w:snapToGrid w:val="0"/>
                    <w:jc w:val="center"/>
                    <w:rPr>
                      <w:color w:val="auto"/>
                      <w:szCs w:val="21"/>
                    </w:rPr>
                  </w:pPr>
                  <w:r>
                    <w:rPr>
                      <w:color w:val="auto"/>
                      <w:szCs w:val="21"/>
                    </w:rPr>
                    <w:t>1,1,1,2-四氯乙烷</w:t>
                  </w:r>
                </w:p>
              </w:tc>
              <w:tc>
                <w:tcPr>
                  <w:tcW w:w="1667" w:type="pct"/>
                  <w:vAlign w:val="center"/>
                </w:tcPr>
                <w:p>
                  <w:pPr>
                    <w:adjustRightInd w:val="0"/>
                    <w:snapToGrid w:val="0"/>
                    <w:jc w:val="center"/>
                    <w:rPr>
                      <w:color w:val="auto"/>
                      <w:szCs w:val="21"/>
                    </w:rPr>
                  </w:pPr>
                  <w:r>
                    <w:rPr>
                      <w:color w:val="auto"/>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19</w:t>
                  </w:r>
                </w:p>
              </w:tc>
              <w:tc>
                <w:tcPr>
                  <w:tcW w:w="2390" w:type="pct"/>
                  <w:vAlign w:val="center"/>
                </w:tcPr>
                <w:p>
                  <w:pPr>
                    <w:tabs>
                      <w:tab w:val="left" w:pos="400"/>
                      <w:tab w:val="center" w:pos="1353"/>
                    </w:tabs>
                    <w:adjustRightInd w:val="0"/>
                    <w:snapToGrid w:val="0"/>
                    <w:jc w:val="left"/>
                    <w:rPr>
                      <w:color w:val="auto"/>
                      <w:szCs w:val="21"/>
                    </w:rPr>
                  </w:pPr>
                  <w:r>
                    <w:rPr>
                      <w:rFonts w:hint="eastAsia"/>
                      <w:color w:val="auto"/>
                      <w:szCs w:val="21"/>
                    </w:rPr>
                    <w:tab/>
                  </w:r>
                  <w:r>
                    <w:rPr>
                      <w:rFonts w:hint="eastAsia"/>
                      <w:color w:val="auto"/>
                      <w:szCs w:val="21"/>
                    </w:rPr>
                    <w:tab/>
                  </w:r>
                  <w:r>
                    <w:rPr>
                      <w:color w:val="auto"/>
                      <w:szCs w:val="21"/>
                    </w:rPr>
                    <w:t>1,1,2,2-四氯乙烷</w:t>
                  </w:r>
                </w:p>
              </w:tc>
              <w:tc>
                <w:tcPr>
                  <w:tcW w:w="1667" w:type="pct"/>
                  <w:vAlign w:val="center"/>
                </w:tcPr>
                <w:p>
                  <w:pPr>
                    <w:adjustRightInd w:val="0"/>
                    <w:snapToGrid w:val="0"/>
                    <w:jc w:val="center"/>
                    <w:rPr>
                      <w:color w:val="auto"/>
                      <w:szCs w:val="21"/>
                    </w:rPr>
                  </w:pPr>
                  <w:r>
                    <w:rPr>
                      <w:color w:val="auto"/>
                      <w:szCs w:val="21"/>
                    </w:rPr>
                    <w:t>6.8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20</w:t>
                  </w:r>
                </w:p>
              </w:tc>
              <w:tc>
                <w:tcPr>
                  <w:tcW w:w="2390" w:type="pct"/>
                  <w:vAlign w:val="center"/>
                </w:tcPr>
                <w:p>
                  <w:pPr>
                    <w:adjustRightInd w:val="0"/>
                    <w:snapToGrid w:val="0"/>
                    <w:jc w:val="center"/>
                    <w:rPr>
                      <w:color w:val="auto"/>
                      <w:szCs w:val="21"/>
                    </w:rPr>
                  </w:pPr>
                  <w:r>
                    <w:rPr>
                      <w:color w:val="auto"/>
                      <w:szCs w:val="21"/>
                    </w:rPr>
                    <w:t>四氯乙烯</w:t>
                  </w:r>
                </w:p>
              </w:tc>
              <w:tc>
                <w:tcPr>
                  <w:tcW w:w="1667" w:type="pct"/>
                  <w:vAlign w:val="center"/>
                </w:tcPr>
                <w:p>
                  <w:pPr>
                    <w:adjustRightInd w:val="0"/>
                    <w:snapToGrid w:val="0"/>
                    <w:jc w:val="center"/>
                    <w:rPr>
                      <w:color w:val="auto"/>
                      <w:szCs w:val="21"/>
                    </w:rPr>
                  </w:pPr>
                  <w:r>
                    <w:rPr>
                      <w:color w:val="auto"/>
                      <w:szCs w:val="21"/>
                    </w:rPr>
                    <w:t>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21</w:t>
                  </w:r>
                </w:p>
              </w:tc>
              <w:tc>
                <w:tcPr>
                  <w:tcW w:w="2390" w:type="pct"/>
                  <w:vAlign w:val="center"/>
                </w:tcPr>
                <w:p>
                  <w:pPr>
                    <w:adjustRightInd w:val="0"/>
                    <w:snapToGrid w:val="0"/>
                    <w:jc w:val="center"/>
                    <w:rPr>
                      <w:color w:val="auto"/>
                      <w:szCs w:val="21"/>
                    </w:rPr>
                  </w:pPr>
                  <w:r>
                    <w:rPr>
                      <w:color w:val="auto"/>
                      <w:szCs w:val="21"/>
                    </w:rPr>
                    <w:t>1,1,1-三氯乙烷</w:t>
                  </w:r>
                </w:p>
              </w:tc>
              <w:tc>
                <w:tcPr>
                  <w:tcW w:w="1667" w:type="pct"/>
                  <w:vAlign w:val="center"/>
                </w:tcPr>
                <w:p>
                  <w:pPr>
                    <w:adjustRightInd w:val="0"/>
                    <w:snapToGrid w:val="0"/>
                    <w:jc w:val="center"/>
                    <w:rPr>
                      <w:color w:val="auto"/>
                      <w:szCs w:val="21"/>
                    </w:rPr>
                  </w:pPr>
                  <w:r>
                    <w:rPr>
                      <w:color w:val="auto"/>
                      <w:szCs w:val="21"/>
                    </w:rPr>
                    <w:t>840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22</w:t>
                  </w:r>
                </w:p>
              </w:tc>
              <w:tc>
                <w:tcPr>
                  <w:tcW w:w="2390" w:type="pct"/>
                  <w:vAlign w:val="center"/>
                </w:tcPr>
                <w:p>
                  <w:pPr>
                    <w:adjustRightInd w:val="0"/>
                    <w:snapToGrid w:val="0"/>
                    <w:jc w:val="center"/>
                    <w:rPr>
                      <w:color w:val="auto"/>
                      <w:szCs w:val="21"/>
                    </w:rPr>
                  </w:pPr>
                  <w:r>
                    <w:rPr>
                      <w:color w:val="auto"/>
                      <w:szCs w:val="21"/>
                    </w:rPr>
                    <w:t>1,1,2-三氯乙烷</w:t>
                  </w:r>
                </w:p>
              </w:tc>
              <w:tc>
                <w:tcPr>
                  <w:tcW w:w="1667" w:type="pct"/>
                  <w:vAlign w:val="center"/>
                </w:tcPr>
                <w:p>
                  <w:pPr>
                    <w:adjustRightInd w:val="0"/>
                    <w:snapToGrid w:val="0"/>
                    <w:jc w:val="center"/>
                    <w:rPr>
                      <w:color w:val="auto"/>
                      <w:szCs w:val="21"/>
                    </w:rPr>
                  </w:pPr>
                  <w:r>
                    <w:rPr>
                      <w:color w:val="auto"/>
                      <w:szCs w:val="21"/>
                    </w:rPr>
                    <w:t>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23</w:t>
                  </w:r>
                </w:p>
              </w:tc>
              <w:tc>
                <w:tcPr>
                  <w:tcW w:w="2390" w:type="pct"/>
                  <w:vAlign w:val="center"/>
                </w:tcPr>
                <w:p>
                  <w:pPr>
                    <w:adjustRightInd w:val="0"/>
                    <w:snapToGrid w:val="0"/>
                    <w:jc w:val="center"/>
                    <w:rPr>
                      <w:color w:val="auto"/>
                      <w:szCs w:val="21"/>
                    </w:rPr>
                  </w:pPr>
                  <w:r>
                    <w:rPr>
                      <w:color w:val="auto"/>
                      <w:szCs w:val="21"/>
                    </w:rPr>
                    <w:t>三氯乙烯</w:t>
                  </w:r>
                </w:p>
              </w:tc>
              <w:tc>
                <w:tcPr>
                  <w:tcW w:w="1667" w:type="pct"/>
                  <w:vAlign w:val="center"/>
                </w:tcPr>
                <w:p>
                  <w:pPr>
                    <w:adjustRightInd w:val="0"/>
                    <w:snapToGrid w:val="0"/>
                    <w:jc w:val="center"/>
                    <w:rPr>
                      <w:color w:val="auto"/>
                      <w:szCs w:val="21"/>
                    </w:rPr>
                  </w:pPr>
                  <w:r>
                    <w:rPr>
                      <w:color w:val="auto"/>
                      <w:szCs w:val="21"/>
                    </w:rPr>
                    <w:t>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24</w:t>
                  </w:r>
                </w:p>
              </w:tc>
              <w:tc>
                <w:tcPr>
                  <w:tcW w:w="2390" w:type="pct"/>
                  <w:vAlign w:val="center"/>
                </w:tcPr>
                <w:p>
                  <w:pPr>
                    <w:adjustRightInd w:val="0"/>
                    <w:snapToGrid w:val="0"/>
                    <w:jc w:val="center"/>
                    <w:rPr>
                      <w:color w:val="auto"/>
                      <w:szCs w:val="21"/>
                    </w:rPr>
                  </w:pPr>
                  <w:r>
                    <w:rPr>
                      <w:color w:val="auto"/>
                      <w:szCs w:val="21"/>
                    </w:rPr>
                    <w:t>1,2,3-三氯丙烷</w:t>
                  </w:r>
                </w:p>
              </w:tc>
              <w:tc>
                <w:tcPr>
                  <w:tcW w:w="1667" w:type="pct"/>
                  <w:vAlign w:val="center"/>
                </w:tcPr>
                <w:p>
                  <w:pPr>
                    <w:adjustRightInd w:val="0"/>
                    <w:snapToGrid w:val="0"/>
                    <w:jc w:val="center"/>
                    <w:rPr>
                      <w:color w:val="auto"/>
                      <w:szCs w:val="21"/>
                    </w:rPr>
                  </w:pPr>
                  <w:r>
                    <w:rPr>
                      <w:color w:val="auto"/>
                      <w:szCs w:val="21"/>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25</w:t>
                  </w:r>
                </w:p>
              </w:tc>
              <w:tc>
                <w:tcPr>
                  <w:tcW w:w="2390" w:type="pct"/>
                  <w:vAlign w:val="center"/>
                </w:tcPr>
                <w:p>
                  <w:pPr>
                    <w:adjustRightInd w:val="0"/>
                    <w:snapToGrid w:val="0"/>
                    <w:jc w:val="center"/>
                    <w:rPr>
                      <w:color w:val="auto"/>
                      <w:szCs w:val="21"/>
                    </w:rPr>
                  </w:pPr>
                  <w:r>
                    <w:rPr>
                      <w:color w:val="auto"/>
                      <w:szCs w:val="21"/>
                    </w:rPr>
                    <w:t>氯乙烯</w:t>
                  </w:r>
                </w:p>
              </w:tc>
              <w:tc>
                <w:tcPr>
                  <w:tcW w:w="1667" w:type="pct"/>
                  <w:vAlign w:val="center"/>
                </w:tcPr>
                <w:p>
                  <w:pPr>
                    <w:adjustRightInd w:val="0"/>
                    <w:snapToGrid w:val="0"/>
                    <w:jc w:val="center"/>
                    <w:rPr>
                      <w:color w:val="auto"/>
                      <w:szCs w:val="21"/>
                    </w:rPr>
                  </w:pPr>
                  <w:r>
                    <w:rPr>
                      <w:color w:val="auto"/>
                      <w:szCs w:val="21"/>
                    </w:rPr>
                    <w:t>0.43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26</w:t>
                  </w:r>
                </w:p>
              </w:tc>
              <w:tc>
                <w:tcPr>
                  <w:tcW w:w="2390" w:type="pct"/>
                  <w:vAlign w:val="center"/>
                </w:tcPr>
                <w:p>
                  <w:pPr>
                    <w:adjustRightInd w:val="0"/>
                    <w:snapToGrid w:val="0"/>
                    <w:jc w:val="center"/>
                    <w:rPr>
                      <w:color w:val="auto"/>
                      <w:szCs w:val="21"/>
                    </w:rPr>
                  </w:pPr>
                  <w:r>
                    <w:rPr>
                      <w:color w:val="auto"/>
                      <w:szCs w:val="21"/>
                    </w:rPr>
                    <w:t>苯</w:t>
                  </w:r>
                </w:p>
              </w:tc>
              <w:tc>
                <w:tcPr>
                  <w:tcW w:w="1667" w:type="pct"/>
                  <w:vAlign w:val="center"/>
                </w:tcPr>
                <w:p>
                  <w:pPr>
                    <w:adjustRightInd w:val="0"/>
                    <w:snapToGrid w:val="0"/>
                    <w:jc w:val="center"/>
                    <w:rPr>
                      <w:color w:val="auto"/>
                      <w:szCs w:val="21"/>
                    </w:rPr>
                  </w:pPr>
                  <w:r>
                    <w:rPr>
                      <w:color w:val="auto"/>
                      <w:szCs w:val="21"/>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27</w:t>
                  </w:r>
                </w:p>
              </w:tc>
              <w:tc>
                <w:tcPr>
                  <w:tcW w:w="2390" w:type="pct"/>
                  <w:vAlign w:val="center"/>
                </w:tcPr>
                <w:p>
                  <w:pPr>
                    <w:adjustRightInd w:val="0"/>
                    <w:snapToGrid w:val="0"/>
                    <w:jc w:val="center"/>
                    <w:rPr>
                      <w:color w:val="auto"/>
                      <w:szCs w:val="21"/>
                    </w:rPr>
                  </w:pPr>
                  <w:r>
                    <w:rPr>
                      <w:color w:val="auto"/>
                      <w:szCs w:val="21"/>
                    </w:rPr>
                    <w:t>氯苯</w:t>
                  </w:r>
                </w:p>
              </w:tc>
              <w:tc>
                <w:tcPr>
                  <w:tcW w:w="1667" w:type="pct"/>
                  <w:vAlign w:val="center"/>
                </w:tcPr>
                <w:p>
                  <w:pPr>
                    <w:adjustRightInd w:val="0"/>
                    <w:snapToGrid w:val="0"/>
                    <w:jc w:val="center"/>
                    <w:rPr>
                      <w:color w:val="auto"/>
                      <w:szCs w:val="21"/>
                    </w:rPr>
                  </w:pPr>
                  <w:r>
                    <w:rPr>
                      <w:color w:val="auto"/>
                      <w:szCs w:val="21"/>
                    </w:rPr>
                    <w:t>270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28</w:t>
                  </w:r>
                </w:p>
              </w:tc>
              <w:tc>
                <w:tcPr>
                  <w:tcW w:w="2390" w:type="pct"/>
                  <w:vAlign w:val="center"/>
                </w:tcPr>
                <w:p>
                  <w:pPr>
                    <w:adjustRightInd w:val="0"/>
                    <w:snapToGrid w:val="0"/>
                    <w:jc w:val="center"/>
                    <w:rPr>
                      <w:color w:val="auto"/>
                      <w:szCs w:val="21"/>
                    </w:rPr>
                  </w:pPr>
                  <w:r>
                    <w:rPr>
                      <w:color w:val="auto"/>
                      <w:szCs w:val="21"/>
                    </w:rPr>
                    <w:t>1,2-二氯苯</w:t>
                  </w:r>
                </w:p>
              </w:tc>
              <w:tc>
                <w:tcPr>
                  <w:tcW w:w="1667" w:type="pct"/>
                  <w:vAlign w:val="center"/>
                </w:tcPr>
                <w:p>
                  <w:pPr>
                    <w:adjustRightInd w:val="0"/>
                    <w:snapToGrid w:val="0"/>
                    <w:jc w:val="center"/>
                    <w:rPr>
                      <w:color w:val="auto"/>
                      <w:szCs w:val="21"/>
                    </w:rPr>
                  </w:pPr>
                  <w:r>
                    <w:rPr>
                      <w:color w:val="auto"/>
                      <w:szCs w:val="21"/>
                    </w:rPr>
                    <w:t>560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29</w:t>
                  </w:r>
                </w:p>
              </w:tc>
              <w:tc>
                <w:tcPr>
                  <w:tcW w:w="2390" w:type="pct"/>
                  <w:vAlign w:val="center"/>
                </w:tcPr>
                <w:p>
                  <w:pPr>
                    <w:adjustRightInd w:val="0"/>
                    <w:snapToGrid w:val="0"/>
                    <w:jc w:val="center"/>
                    <w:rPr>
                      <w:color w:val="auto"/>
                      <w:szCs w:val="21"/>
                    </w:rPr>
                  </w:pPr>
                  <w:r>
                    <w:rPr>
                      <w:color w:val="auto"/>
                      <w:szCs w:val="21"/>
                    </w:rPr>
                    <w:t>1,4-二氯苯</w:t>
                  </w:r>
                </w:p>
              </w:tc>
              <w:tc>
                <w:tcPr>
                  <w:tcW w:w="1667" w:type="pct"/>
                  <w:vAlign w:val="center"/>
                </w:tcPr>
                <w:p>
                  <w:pPr>
                    <w:adjustRightInd w:val="0"/>
                    <w:snapToGrid w:val="0"/>
                    <w:jc w:val="center"/>
                    <w:rPr>
                      <w:color w:val="auto"/>
                      <w:szCs w:val="21"/>
                    </w:rPr>
                  </w:pPr>
                  <w:r>
                    <w:rPr>
                      <w:color w:val="auto"/>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30</w:t>
                  </w:r>
                </w:p>
              </w:tc>
              <w:tc>
                <w:tcPr>
                  <w:tcW w:w="2390" w:type="pct"/>
                  <w:vAlign w:val="center"/>
                </w:tcPr>
                <w:p>
                  <w:pPr>
                    <w:adjustRightInd w:val="0"/>
                    <w:snapToGrid w:val="0"/>
                    <w:jc w:val="center"/>
                    <w:rPr>
                      <w:color w:val="auto"/>
                      <w:szCs w:val="21"/>
                    </w:rPr>
                  </w:pPr>
                  <w:r>
                    <w:rPr>
                      <w:color w:val="auto"/>
                      <w:szCs w:val="21"/>
                    </w:rPr>
                    <w:t>乙苯</w:t>
                  </w:r>
                </w:p>
              </w:tc>
              <w:tc>
                <w:tcPr>
                  <w:tcW w:w="1667" w:type="pct"/>
                  <w:vAlign w:val="center"/>
                </w:tcPr>
                <w:p>
                  <w:pPr>
                    <w:adjustRightInd w:val="0"/>
                    <w:snapToGrid w:val="0"/>
                    <w:jc w:val="center"/>
                    <w:rPr>
                      <w:color w:val="auto"/>
                      <w:szCs w:val="21"/>
                    </w:rPr>
                  </w:pPr>
                  <w:r>
                    <w:rPr>
                      <w:color w:val="auto"/>
                      <w:szCs w:val="21"/>
                    </w:rPr>
                    <w:t>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31</w:t>
                  </w:r>
                </w:p>
              </w:tc>
              <w:tc>
                <w:tcPr>
                  <w:tcW w:w="2390" w:type="pct"/>
                  <w:vAlign w:val="center"/>
                </w:tcPr>
                <w:p>
                  <w:pPr>
                    <w:adjustRightInd w:val="0"/>
                    <w:snapToGrid w:val="0"/>
                    <w:jc w:val="center"/>
                    <w:rPr>
                      <w:color w:val="auto"/>
                      <w:szCs w:val="21"/>
                    </w:rPr>
                  </w:pPr>
                  <w:r>
                    <w:rPr>
                      <w:color w:val="auto"/>
                      <w:szCs w:val="21"/>
                    </w:rPr>
                    <w:t>苯乙烯</w:t>
                  </w:r>
                </w:p>
              </w:tc>
              <w:tc>
                <w:tcPr>
                  <w:tcW w:w="1667" w:type="pct"/>
                  <w:vAlign w:val="center"/>
                </w:tcPr>
                <w:p>
                  <w:pPr>
                    <w:adjustRightInd w:val="0"/>
                    <w:snapToGrid w:val="0"/>
                    <w:jc w:val="center"/>
                    <w:rPr>
                      <w:color w:val="auto"/>
                      <w:szCs w:val="21"/>
                    </w:rPr>
                  </w:pPr>
                  <w:r>
                    <w:rPr>
                      <w:color w:val="auto"/>
                      <w:szCs w:val="21"/>
                    </w:rPr>
                    <w:t>1290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32</w:t>
                  </w:r>
                </w:p>
              </w:tc>
              <w:tc>
                <w:tcPr>
                  <w:tcW w:w="2390" w:type="pct"/>
                  <w:vAlign w:val="center"/>
                </w:tcPr>
                <w:p>
                  <w:pPr>
                    <w:adjustRightInd w:val="0"/>
                    <w:snapToGrid w:val="0"/>
                    <w:jc w:val="center"/>
                    <w:rPr>
                      <w:color w:val="auto"/>
                      <w:szCs w:val="21"/>
                    </w:rPr>
                  </w:pPr>
                  <w:r>
                    <w:rPr>
                      <w:color w:val="auto"/>
                      <w:szCs w:val="21"/>
                    </w:rPr>
                    <w:t>甲苯</w:t>
                  </w:r>
                </w:p>
              </w:tc>
              <w:tc>
                <w:tcPr>
                  <w:tcW w:w="1667" w:type="pct"/>
                  <w:vAlign w:val="center"/>
                </w:tcPr>
                <w:p>
                  <w:pPr>
                    <w:adjustRightInd w:val="0"/>
                    <w:snapToGrid w:val="0"/>
                    <w:jc w:val="center"/>
                    <w:rPr>
                      <w:color w:val="auto"/>
                      <w:szCs w:val="21"/>
                    </w:rPr>
                  </w:pPr>
                  <w:r>
                    <w:rPr>
                      <w:color w:val="auto"/>
                      <w:szCs w:val="21"/>
                    </w:rPr>
                    <w:t>1200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33</w:t>
                  </w:r>
                </w:p>
              </w:tc>
              <w:tc>
                <w:tcPr>
                  <w:tcW w:w="2390" w:type="pct"/>
                  <w:vAlign w:val="center"/>
                </w:tcPr>
                <w:p>
                  <w:pPr>
                    <w:adjustRightInd w:val="0"/>
                    <w:snapToGrid w:val="0"/>
                    <w:jc w:val="center"/>
                    <w:rPr>
                      <w:color w:val="auto"/>
                      <w:szCs w:val="21"/>
                    </w:rPr>
                  </w:pPr>
                  <w:r>
                    <w:rPr>
                      <w:color w:val="auto"/>
                      <w:szCs w:val="21"/>
                    </w:rPr>
                    <w:t>间二甲苯+对二甲苯</w:t>
                  </w:r>
                </w:p>
              </w:tc>
              <w:tc>
                <w:tcPr>
                  <w:tcW w:w="1667" w:type="pct"/>
                  <w:vAlign w:val="center"/>
                </w:tcPr>
                <w:p>
                  <w:pPr>
                    <w:adjustRightInd w:val="0"/>
                    <w:snapToGrid w:val="0"/>
                    <w:jc w:val="center"/>
                    <w:rPr>
                      <w:color w:val="auto"/>
                      <w:szCs w:val="21"/>
                    </w:rPr>
                  </w:pPr>
                  <w:r>
                    <w:rPr>
                      <w:color w:val="auto"/>
                      <w:szCs w:val="21"/>
                    </w:rPr>
                    <w:t>570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34</w:t>
                  </w:r>
                </w:p>
              </w:tc>
              <w:tc>
                <w:tcPr>
                  <w:tcW w:w="2390" w:type="pct"/>
                  <w:vAlign w:val="center"/>
                </w:tcPr>
                <w:p>
                  <w:pPr>
                    <w:adjustRightInd w:val="0"/>
                    <w:snapToGrid w:val="0"/>
                    <w:jc w:val="center"/>
                    <w:rPr>
                      <w:color w:val="auto"/>
                      <w:szCs w:val="21"/>
                    </w:rPr>
                  </w:pPr>
                  <w:r>
                    <w:rPr>
                      <w:color w:val="auto"/>
                      <w:szCs w:val="21"/>
                    </w:rPr>
                    <w:t>邻二甲苯</w:t>
                  </w:r>
                </w:p>
              </w:tc>
              <w:tc>
                <w:tcPr>
                  <w:tcW w:w="1667" w:type="pct"/>
                  <w:vAlign w:val="center"/>
                </w:tcPr>
                <w:p>
                  <w:pPr>
                    <w:adjustRightInd w:val="0"/>
                    <w:snapToGrid w:val="0"/>
                    <w:jc w:val="center"/>
                    <w:rPr>
                      <w:color w:val="auto"/>
                      <w:szCs w:val="21"/>
                    </w:rPr>
                  </w:pPr>
                  <w:r>
                    <w:rPr>
                      <w:color w:val="auto"/>
                      <w:szCs w:val="21"/>
                    </w:rPr>
                    <w:t>640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35</w:t>
                  </w:r>
                </w:p>
              </w:tc>
              <w:tc>
                <w:tcPr>
                  <w:tcW w:w="2390" w:type="pct"/>
                  <w:vAlign w:val="center"/>
                </w:tcPr>
                <w:p>
                  <w:pPr>
                    <w:adjustRightInd w:val="0"/>
                    <w:snapToGrid w:val="0"/>
                    <w:jc w:val="center"/>
                    <w:rPr>
                      <w:color w:val="auto"/>
                      <w:szCs w:val="21"/>
                    </w:rPr>
                  </w:pPr>
                  <w:r>
                    <w:rPr>
                      <w:color w:val="auto"/>
                      <w:szCs w:val="21"/>
                    </w:rPr>
                    <w:t>硝基苯</w:t>
                  </w:r>
                </w:p>
              </w:tc>
              <w:tc>
                <w:tcPr>
                  <w:tcW w:w="1667" w:type="pct"/>
                  <w:vAlign w:val="center"/>
                </w:tcPr>
                <w:p>
                  <w:pPr>
                    <w:adjustRightInd w:val="0"/>
                    <w:snapToGrid w:val="0"/>
                    <w:jc w:val="center"/>
                    <w:rPr>
                      <w:color w:val="auto"/>
                      <w:szCs w:val="21"/>
                    </w:rPr>
                  </w:pPr>
                  <w:r>
                    <w:rPr>
                      <w:color w:val="auto"/>
                      <w:szCs w:val="21"/>
                    </w:rPr>
                    <w:t>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36</w:t>
                  </w:r>
                </w:p>
              </w:tc>
              <w:tc>
                <w:tcPr>
                  <w:tcW w:w="2390" w:type="pct"/>
                  <w:vAlign w:val="center"/>
                </w:tcPr>
                <w:p>
                  <w:pPr>
                    <w:adjustRightInd w:val="0"/>
                    <w:snapToGrid w:val="0"/>
                    <w:jc w:val="center"/>
                    <w:rPr>
                      <w:color w:val="auto"/>
                      <w:szCs w:val="21"/>
                    </w:rPr>
                  </w:pPr>
                  <w:r>
                    <w:rPr>
                      <w:color w:val="auto"/>
                      <w:szCs w:val="21"/>
                    </w:rPr>
                    <w:t>苯胺</w:t>
                  </w:r>
                </w:p>
              </w:tc>
              <w:tc>
                <w:tcPr>
                  <w:tcW w:w="1667" w:type="pct"/>
                  <w:vAlign w:val="center"/>
                </w:tcPr>
                <w:p>
                  <w:pPr>
                    <w:adjustRightInd w:val="0"/>
                    <w:snapToGrid w:val="0"/>
                    <w:jc w:val="center"/>
                    <w:rPr>
                      <w:color w:val="auto"/>
                      <w:szCs w:val="21"/>
                    </w:rPr>
                  </w:pPr>
                  <w:r>
                    <w:rPr>
                      <w:color w:val="auto"/>
                      <w:szCs w:val="21"/>
                    </w:rPr>
                    <w:t>260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37</w:t>
                  </w:r>
                </w:p>
              </w:tc>
              <w:tc>
                <w:tcPr>
                  <w:tcW w:w="2390" w:type="pct"/>
                  <w:vAlign w:val="center"/>
                </w:tcPr>
                <w:p>
                  <w:pPr>
                    <w:adjustRightInd w:val="0"/>
                    <w:snapToGrid w:val="0"/>
                    <w:jc w:val="center"/>
                    <w:rPr>
                      <w:color w:val="auto"/>
                      <w:szCs w:val="21"/>
                    </w:rPr>
                  </w:pPr>
                  <w:r>
                    <w:rPr>
                      <w:color w:val="auto"/>
                      <w:szCs w:val="21"/>
                    </w:rPr>
                    <w:t>2-氯酚</w:t>
                  </w:r>
                </w:p>
              </w:tc>
              <w:tc>
                <w:tcPr>
                  <w:tcW w:w="1667" w:type="pct"/>
                  <w:vAlign w:val="center"/>
                </w:tcPr>
                <w:p>
                  <w:pPr>
                    <w:adjustRightInd w:val="0"/>
                    <w:snapToGrid w:val="0"/>
                    <w:jc w:val="center"/>
                    <w:rPr>
                      <w:color w:val="auto"/>
                      <w:szCs w:val="21"/>
                    </w:rPr>
                  </w:pPr>
                  <w:r>
                    <w:rPr>
                      <w:color w:val="auto"/>
                      <w:szCs w:val="21"/>
                    </w:rPr>
                    <w:t>2256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38</w:t>
                  </w:r>
                </w:p>
              </w:tc>
              <w:tc>
                <w:tcPr>
                  <w:tcW w:w="2390" w:type="pct"/>
                  <w:vAlign w:val="center"/>
                </w:tcPr>
                <w:p>
                  <w:pPr>
                    <w:adjustRightInd w:val="0"/>
                    <w:snapToGrid w:val="0"/>
                    <w:jc w:val="center"/>
                    <w:rPr>
                      <w:color w:val="auto"/>
                      <w:szCs w:val="21"/>
                    </w:rPr>
                  </w:pPr>
                  <w:r>
                    <w:rPr>
                      <w:color w:val="auto"/>
                      <w:szCs w:val="21"/>
                    </w:rPr>
                    <w:t xml:space="preserve">苯并[a]蒽 </w:t>
                  </w:r>
                </w:p>
              </w:tc>
              <w:tc>
                <w:tcPr>
                  <w:tcW w:w="1667" w:type="pct"/>
                  <w:vAlign w:val="center"/>
                </w:tcPr>
                <w:p>
                  <w:pPr>
                    <w:adjustRightInd w:val="0"/>
                    <w:snapToGrid w:val="0"/>
                    <w:jc w:val="center"/>
                    <w:rPr>
                      <w:color w:val="auto"/>
                      <w:szCs w:val="21"/>
                    </w:rPr>
                  </w:pPr>
                  <w:r>
                    <w:rPr>
                      <w:color w:val="auto"/>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39</w:t>
                  </w:r>
                </w:p>
              </w:tc>
              <w:tc>
                <w:tcPr>
                  <w:tcW w:w="2390" w:type="pct"/>
                  <w:vAlign w:val="center"/>
                </w:tcPr>
                <w:p>
                  <w:pPr>
                    <w:adjustRightInd w:val="0"/>
                    <w:snapToGrid w:val="0"/>
                    <w:jc w:val="center"/>
                    <w:rPr>
                      <w:color w:val="auto"/>
                      <w:szCs w:val="21"/>
                    </w:rPr>
                  </w:pPr>
                  <w:r>
                    <w:rPr>
                      <w:color w:val="auto"/>
                      <w:szCs w:val="21"/>
                    </w:rPr>
                    <w:t xml:space="preserve">苯并[a]芘 </w:t>
                  </w:r>
                </w:p>
              </w:tc>
              <w:tc>
                <w:tcPr>
                  <w:tcW w:w="1667" w:type="pct"/>
                  <w:vAlign w:val="center"/>
                </w:tcPr>
                <w:p>
                  <w:pPr>
                    <w:adjustRightInd w:val="0"/>
                    <w:snapToGrid w:val="0"/>
                    <w:jc w:val="center"/>
                    <w:rPr>
                      <w:color w:val="auto"/>
                      <w:szCs w:val="21"/>
                    </w:rPr>
                  </w:pPr>
                  <w:r>
                    <w:rPr>
                      <w:color w:val="auto"/>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40</w:t>
                  </w:r>
                </w:p>
              </w:tc>
              <w:tc>
                <w:tcPr>
                  <w:tcW w:w="2390" w:type="pct"/>
                  <w:vAlign w:val="center"/>
                </w:tcPr>
                <w:p>
                  <w:pPr>
                    <w:adjustRightInd w:val="0"/>
                    <w:snapToGrid w:val="0"/>
                    <w:jc w:val="center"/>
                    <w:rPr>
                      <w:color w:val="auto"/>
                      <w:szCs w:val="21"/>
                    </w:rPr>
                  </w:pPr>
                  <w:r>
                    <w:rPr>
                      <w:color w:val="auto"/>
                      <w:szCs w:val="21"/>
                    </w:rPr>
                    <w:t xml:space="preserve">苯并[b]荧蒽 </w:t>
                  </w:r>
                </w:p>
              </w:tc>
              <w:tc>
                <w:tcPr>
                  <w:tcW w:w="1667" w:type="pct"/>
                  <w:vAlign w:val="center"/>
                </w:tcPr>
                <w:p>
                  <w:pPr>
                    <w:adjustRightInd w:val="0"/>
                    <w:snapToGrid w:val="0"/>
                    <w:jc w:val="center"/>
                    <w:rPr>
                      <w:color w:val="auto"/>
                      <w:szCs w:val="21"/>
                    </w:rPr>
                  </w:pPr>
                  <w:r>
                    <w:rPr>
                      <w:color w:val="auto"/>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41</w:t>
                  </w:r>
                </w:p>
              </w:tc>
              <w:tc>
                <w:tcPr>
                  <w:tcW w:w="2390" w:type="pct"/>
                  <w:vAlign w:val="center"/>
                </w:tcPr>
                <w:p>
                  <w:pPr>
                    <w:adjustRightInd w:val="0"/>
                    <w:snapToGrid w:val="0"/>
                    <w:jc w:val="center"/>
                    <w:rPr>
                      <w:color w:val="auto"/>
                      <w:szCs w:val="21"/>
                    </w:rPr>
                  </w:pPr>
                  <w:r>
                    <w:rPr>
                      <w:color w:val="auto"/>
                      <w:szCs w:val="21"/>
                    </w:rPr>
                    <w:t>苯并[k]荧蒽</w:t>
                  </w:r>
                </w:p>
              </w:tc>
              <w:tc>
                <w:tcPr>
                  <w:tcW w:w="1667" w:type="pct"/>
                  <w:vAlign w:val="center"/>
                </w:tcPr>
                <w:p>
                  <w:pPr>
                    <w:adjustRightInd w:val="0"/>
                    <w:snapToGrid w:val="0"/>
                    <w:jc w:val="center"/>
                    <w:rPr>
                      <w:color w:val="auto"/>
                      <w:szCs w:val="21"/>
                    </w:rPr>
                  </w:pPr>
                  <w:r>
                    <w:rPr>
                      <w:color w:val="auto"/>
                      <w:szCs w:val="21"/>
                    </w:rPr>
                    <w:t>151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42</w:t>
                  </w:r>
                </w:p>
              </w:tc>
              <w:tc>
                <w:tcPr>
                  <w:tcW w:w="2390" w:type="pct"/>
                  <w:vAlign w:val="center"/>
                </w:tcPr>
                <w:p>
                  <w:pPr>
                    <w:adjustRightInd w:val="0"/>
                    <w:snapToGrid w:val="0"/>
                    <w:jc w:val="center"/>
                    <w:rPr>
                      <w:color w:val="auto"/>
                      <w:szCs w:val="21"/>
                    </w:rPr>
                  </w:pPr>
                  <w:r>
                    <w:rPr>
                      <w:color w:val="auto"/>
                      <w:szCs w:val="21"/>
                    </w:rPr>
                    <w:t>䓛</w:t>
                  </w:r>
                </w:p>
              </w:tc>
              <w:tc>
                <w:tcPr>
                  <w:tcW w:w="1667" w:type="pct"/>
                  <w:vAlign w:val="center"/>
                </w:tcPr>
                <w:p>
                  <w:pPr>
                    <w:adjustRightInd w:val="0"/>
                    <w:snapToGrid w:val="0"/>
                    <w:jc w:val="center"/>
                    <w:rPr>
                      <w:color w:val="auto"/>
                      <w:szCs w:val="21"/>
                    </w:rPr>
                  </w:pPr>
                  <w:r>
                    <w:rPr>
                      <w:color w:val="auto"/>
                      <w:szCs w:val="21"/>
                    </w:rPr>
                    <w:t>1293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43</w:t>
                  </w:r>
                </w:p>
              </w:tc>
              <w:tc>
                <w:tcPr>
                  <w:tcW w:w="2390" w:type="pct"/>
                  <w:vAlign w:val="center"/>
                </w:tcPr>
                <w:p>
                  <w:pPr>
                    <w:adjustRightInd w:val="0"/>
                    <w:snapToGrid w:val="0"/>
                    <w:jc w:val="center"/>
                    <w:rPr>
                      <w:color w:val="auto"/>
                      <w:szCs w:val="21"/>
                    </w:rPr>
                  </w:pPr>
                  <w:r>
                    <w:rPr>
                      <w:color w:val="auto"/>
                      <w:szCs w:val="21"/>
                    </w:rPr>
                    <w:t xml:space="preserve">二苯并[a、h]蒽 </w:t>
                  </w:r>
                </w:p>
              </w:tc>
              <w:tc>
                <w:tcPr>
                  <w:tcW w:w="1667" w:type="pct"/>
                  <w:vAlign w:val="center"/>
                </w:tcPr>
                <w:p>
                  <w:pPr>
                    <w:adjustRightInd w:val="0"/>
                    <w:snapToGrid w:val="0"/>
                    <w:jc w:val="center"/>
                    <w:rPr>
                      <w:color w:val="auto"/>
                      <w:szCs w:val="21"/>
                    </w:rPr>
                  </w:pPr>
                  <w:r>
                    <w:rPr>
                      <w:color w:val="auto"/>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44</w:t>
                  </w:r>
                </w:p>
              </w:tc>
              <w:tc>
                <w:tcPr>
                  <w:tcW w:w="2390" w:type="pct"/>
                  <w:vAlign w:val="center"/>
                </w:tcPr>
                <w:p>
                  <w:pPr>
                    <w:adjustRightInd w:val="0"/>
                    <w:snapToGrid w:val="0"/>
                    <w:jc w:val="center"/>
                    <w:rPr>
                      <w:color w:val="auto"/>
                      <w:szCs w:val="21"/>
                    </w:rPr>
                  </w:pPr>
                  <w:r>
                    <w:rPr>
                      <w:color w:val="auto"/>
                      <w:szCs w:val="21"/>
                    </w:rPr>
                    <w:t>茚并[1,2,3-cd]芘</w:t>
                  </w:r>
                </w:p>
              </w:tc>
              <w:tc>
                <w:tcPr>
                  <w:tcW w:w="1667" w:type="pct"/>
                  <w:vAlign w:val="center"/>
                </w:tcPr>
                <w:p>
                  <w:pPr>
                    <w:adjustRightInd w:val="0"/>
                    <w:snapToGrid w:val="0"/>
                    <w:jc w:val="center"/>
                    <w:rPr>
                      <w:color w:val="auto"/>
                      <w:szCs w:val="21"/>
                    </w:rPr>
                  </w:pPr>
                  <w:r>
                    <w:rPr>
                      <w:color w:val="auto"/>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color w:val="auto"/>
                      <w:szCs w:val="21"/>
                    </w:rPr>
                  </w:pPr>
                  <w:r>
                    <w:rPr>
                      <w:color w:val="auto"/>
                      <w:szCs w:val="21"/>
                    </w:rPr>
                    <w:t>45</w:t>
                  </w:r>
                </w:p>
              </w:tc>
              <w:tc>
                <w:tcPr>
                  <w:tcW w:w="2390" w:type="pct"/>
                  <w:vAlign w:val="center"/>
                </w:tcPr>
                <w:p>
                  <w:pPr>
                    <w:adjustRightInd w:val="0"/>
                    <w:snapToGrid w:val="0"/>
                    <w:jc w:val="center"/>
                    <w:rPr>
                      <w:color w:val="auto"/>
                      <w:szCs w:val="21"/>
                    </w:rPr>
                  </w:pPr>
                  <w:r>
                    <w:rPr>
                      <w:color w:val="auto"/>
                      <w:szCs w:val="21"/>
                    </w:rPr>
                    <w:t xml:space="preserve">萘 </w:t>
                  </w:r>
                </w:p>
              </w:tc>
              <w:tc>
                <w:tcPr>
                  <w:tcW w:w="1667" w:type="pct"/>
                  <w:vAlign w:val="center"/>
                </w:tcPr>
                <w:p>
                  <w:pPr>
                    <w:adjustRightInd w:val="0"/>
                    <w:snapToGrid w:val="0"/>
                    <w:jc w:val="center"/>
                    <w:rPr>
                      <w:color w:val="auto"/>
                      <w:szCs w:val="21"/>
                    </w:rPr>
                  </w:pPr>
                  <w:r>
                    <w:rPr>
                      <w:color w:val="auto"/>
                      <w:szCs w:val="21"/>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41"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46</w:t>
                  </w:r>
                </w:p>
              </w:tc>
              <w:tc>
                <w:tcPr>
                  <w:tcW w:w="2390"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石油烃</w:t>
                  </w:r>
                </w:p>
              </w:tc>
              <w:tc>
                <w:tcPr>
                  <w:tcW w:w="1667"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4500</w:t>
                  </w:r>
                </w:p>
              </w:tc>
            </w:tr>
          </w:tbl>
          <w:p>
            <w:pPr>
              <w:snapToGrid w:val="0"/>
              <w:jc w:val="center"/>
              <w:rPr>
                <w:b/>
                <w:color w:val="auto"/>
                <w:szCs w:val="21"/>
              </w:rPr>
            </w:pPr>
          </w:p>
          <w:p>
            <w:pPr>
              <w:snapToGrid w:val="0"/>
              <w:rPr>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31" w:hRule="atLeast"/>
          <w:jc w:val="center"/>
        </w:trPr>
        <w:tc>
          <w:tcPr>
            <w:tcW w:w="497" w:type="dxa"/>
            <w:vAlign w:val="center"/>
          </w:tcPr>
          <w:p>
            <w:pPr>
              <w:snapToGrid w:val="0"/>
              <w:jc w:val="center"/>
              <w:rPr>
                <w:color w:val="auto"/>
                <w:sz w:val="24"/>
              </w:rPr>
            </w:pPr>
            <w:r>
              <w:rPr>
                <w:color w:val="auto"/>
                <w:sz w:val="24"/>
              </w:rPr>
              <w:t>污</w:t>
            </w:r>
          </w:p>
          <w:p>
            <w:pPr>
              <w:snapToGrid w:val="0"/>
              <w:jc w:val="center"/>
              <w:rPr>
                <w:color w:val="auto"/>
                <w:sz w:val="24"/>
              </w:rPr>
            </w:pPr>
          </w:p>
          <w:p>
            <w:pPr>
              <w:snapToGrid w:val="0"/>
              <w:jc w:val="center"/>
              <w:rPr>
                <w:color w:val="auto"/>
                <w:sz w:val="24"/>
              </w:rPr>
            </w:pPr>
            <w:r>
              <w:rPr>
                <w:color w:val="auto"/>
                <w:sz w:val="24"/>
              </w:rPr>
              <w:t>染</w:t>
            </w:r>
          </w:p>
          <w:p>
            <w:pPr>
              <w:snapToGrid w:val="0"/>
              <w:jc w:val="center"/>
              <w:rPr>
                <w:color w:val="auto"/>
                <w:sz w:val="24"/>
              </w:rPr>
            </w:pPr>
          </w:p>
          <w:p>
            <w:pPr>
              <w:snapToGrid w:val="0"/>
              <w:jc w:val="center"/>
              <w:rPr>
                <w:color w:val="auto"/>
                <w:sz w:val="24"/>
              </w:rPr>
            </w:pPr>
            <w:r>
              <w:rPr>
                <w:color w:val="auto"/>
                <w:sz w:val="24"/>
              </w:rPr>
              <w:t>物</w:t>
            </w:r>
          </w:p>
          <w:p>
            <w:pPr>
              <w:snapToGrid w:val="0"/>
              <w:jc w:val="center"/>
              <w:rPr>
                <w:color w:val="auto"/>
                <w:sz w:val="24"/>
              </w:rPr>
            </w:pPr>
          </w:p>
          <w:p>
            <w:pPr>
              <w:snapToGrid w:val="0"/>
              <w:jc w:val="center"/>
              <w:rPr>
                <w:color w:val="auto"/>
                <w:sz w:val="24"/>
              </w:rPr>
            </w:pPr>
            <w:r>
              <w:rPr>
                <w:color w:val="auto"/>
                <w:sz w:val="24"/>
              </w:rPr>
              <w:t>排</w:t>
            </w:r>
          </w:p>
          <w:p>
            <w:pPr>
              <w:snapToGrid w:val="0"/>
              <w:jc w:val="center"/>
              <w:rPr>
                <w:color w:val="auto"/>
                <w:sz w:val="24"/>
              </w:rPr>
            </w:pPr>
          </w:p>
          <w:p>
            <w:pPr>
              <w:snapToGrid w:val="0"/>
              <w:jc w:val="center"/>
              <w:rPr>
                <w:color w:val="auto"/>
                <w:sz w:val="24"/>
              </w:rPr>
            </w:pPr>
            <w:r>
              <w:rPr>
                <w:color w:val="auto"/>
                <w:sz w:val="24"/>
              </w:rPr>
              <w:t>放</w:t>
            </w:r>
          </w:p>
          <w:p>
            <w:pPr>
              <w:snapToGrid w:val="0"/>
              <w:jc w:val="center"/>
              <w:rPr>
                <w:color w:val="auto"/>
                <w:sz w:val="24"/>
              </w:rPr>
            </w:pPr>
          </w:p>
          <w:p>
            <w:pPr>
              <w:snapToGrid w:val="0"/>
              <w:jc w:val="center"/>
              <w:rPr>
                <w:color w:val="auto"/>
                <w:sz w:val="24"/>
              </w:rPr>
            </w:pPr>
            <w:r>
              <w:rPr>
                <w:color w:val="auto"/>
                <w:sz w:val="24"/>
              </w:rPr>
              <w:t>标</w:t>
            </w:r>
          </w:p>
          <w:p>
            <w:pPr>
              <w:snapToGrid w:val="0"/>
              <w:jc w:val="center"/>
              <w:rPr>
                <w:color w:val="auto"/>
                <w:sz w:val="24"/>
              </w:rPr>
            </w:pPr>
          </w:p>
          <w:p>
            <w:pPr>
              <w:snapToGrid w:val="0"/>
              <w:jc w:val="center"/>
              <w:rPr>
                <w:color w:val="auto"/>
                <w:sz w:val="24"/>
              </w:rPr>
            </w:pPr>
            <w:r>
              <w:rPr>
                <w:color w:val="auto"/>
                <w:sz w:val="24"/>
              </w:rPr>
              <w:t>准</w:t>
            </w:r>
          </w:p>
        </w:tc>
        <w:tc>
          <w:tcPr>
            <w:tcW w:w="8031" w:type="dxa"/>
            <w:vAlign w:val="center"/>
          </w:tcPr>
          <w:p>
            <w:pPr>
              <w:spacing w:line="360" w:lineRule="auto"/>
              <w:ind w:firstLine="480" w:firstLineChars="200"/>
              <w:rPr>
                <w:b/>
                <w:color w:val="auto"/>
                <w:sz w:val="24"/>
                <w:szCs w:val="24"/>
              </w:rPr>
            </w:pPr>
            <w:r>
              <w:rPr>
                <w:b/>
                <w:color w:val="auto"/>
                <w:sz w:val="24"/>
                <w:szCs w:val="24"/>
              </w:rPr>
              <w:t>1、废气排放标准</w:t>
            </w:r>
          </w:p>
          <w:p>
            <w:pPr>
              <w:spacing w:line="360" w:lineRule="auto"/>
              <w:ind w:firstLine="480" w:firstLineChars="200"/>
              <w:rPr>
                <w:rFonts w:hint="eastAsia"/>
                <w:color w:val="auto"/>
                <w:sz w:val="24"/>
              </w:rPr>
            </w:pPr>
            <w:r>
              <w:rPr>
                <w:rFonts w:hint="eastAsia"/>
                <w:color w:val="auto"/>
                <w:sz w:val="24"/>
                <w:lang w:eastAsia="zh-CN"/>
              </w:rPr>
              <w:t>本项目抛丸、喷砂工序产生的</w:t>
            </w:r>
            <w:r>
              <w:rPr>
                <w:rFonts w:hint="eastAsia"/>
                <w:color w:val="auto"/>
                <w:sz w:val="24"/>
                <w:lang w:val="en-US" w:eastAsia="zh-CN"/>
              </w:rPr>
              <w:t>颗粒物</w:t>
            </w:r>
            <w:r>
              <w:rPr>
                <w:rFonts w:hint="eastAsia"/>
                <w:color w:val="auto"/>
                <w:sz w:val="24"/>
                <w:lang w:eastAsia="zh-CN"/>
              </w:rPr>
              <w:t>经</w:t>
            </w:r>
            <w:r>
              <w:rPr>
                <w:rFonts w:hint="eastAsia"/>
                <w:color w:val="auto"/>
                <w:sz w:val="24"/>
                <w:lang w:val="en-US" w:eastAsia="zh-CN"/>
              </w:rPr>
              <w:t>1根15m排气筒DA001排放，废气排放</w:t>
            </w:r>
            <w:r>
              <w:rPr>
                <w:rFonts w:hint="eastAsia"/>
                <w:color w:val="auto"/>
                <w:sz w:val="24"/>
                <w:lang w:eastAsia="zh-CN"/>
              </w:rPr>
              <w:t>执行《大气污染物综合排放标准》（GB 16297-1996）表2中</w:t>
            </w:r>
            <w:r>
              <w:rPr>
                <w:rFonts w:hint="eastAsia"/>
                <w:color w:val="auto"/>
                <w:sz w:val="24"/>
                <w:lang w:val="en-US" w:eastAsia="zh-CN"/>
              </w:rPr>
              <w:t>颗粒物中</w:t>
            </w:r>
            <w:r>
              <w:rPr>
                <w:rFonts w:hint="eastAsia"/>
                <w:color w:val="auto"/>
                <w:sz w:val="24"/>
                <w:lang w:eastAsia="zh-CN"/>
              </w:rPr>
              <w:t>标准限值；</w:t>
            </w:r>
            <w:r>
              <w:rPr>
                <w:rFonts w:hint="eastAsia"/>
                <w:color w:val="auto"/>
                <w:sz w:val="24"/>
                <w:lang w:val="en-US" w:eastAsia="zh-CN"/>
              </w:rPr>
              <w:t>喷塑和固化工序产生颗粒物、非甲烷总烃经1根15m排气筒DA002排放，废气排放执行《</w:t>
            </w:r>
            <w:r>
              <w:rPr>
                <w:rFonts w:hint="eastAsia"/>
                <w:color w:val="auto"/>
                <w:sz w:val="24"/>
                <w:lang w:eastAsia="zh-CN"/>
              </w:rPr>
              <w:t>合成树脂工业污染物排放标准</w:t>
            </w:r>
            <w:r>
              <w:rPr>
                <w:rFonts w:hint="eastAsia"/>
                <w:color w:val="auto"/>
                <w:sz w:val="24"/>
                <w:lang w:val="en-US" w:eastAsia="zh-CN"/>
              </w:rPr>
              <w:t>》</w:t>
            </w:r>
            <w:r>
              <w:rPr>
                <w:rFonts w:hint="eastAsia"/>
                <w:color w:val="auto"/>
                <w:sz w:val="24"/>
                <w:lang w:eastAsia="zh-CN"/>
              </w:rPr>
              <w:t>（GB 31572-2015）表</w:t>
            </w:r>
            <w:r>
              <w:rPr>
                <w:rFonts w:hint="eastAsia"/>
                <w:color w:val="auto"/>
                <w:sz w:val="24"/>
                <w:lang w:val="en-US" w:eastAsia="zh-CN"/>
              </w:rPr>
              <w:t>5和表9中</w:t>
            </w:r>
            <w:r>
              <w:rPr>
                <w:rFonts w:hint="eastAsia"/>
                <w:color w:val="auto"/>
                <w:sz w:val="24"/>
                <w:lang w:eastAsia="zh-CN"/>
              </w:rPr>
              <w:t>标准限值</w:t>
            </w:r>
            <w:r>
              <w:rPr>
                <w:rFonts w:hint="eastAsia"/>
                <w:color w:val="auto"/>
                <w:sz w:val="24"/>
                <w:lang w:val="en-US" w:eastAsia="zh-CN"/>
              </w:rPr>
              <w:t>；喷锌工序产生的颗粒物、</w:t>
            </w:r>
            <w:r>
              <w:rPr>
                <w:rFonts w:hint="eastAsia"/>
                <w:color w:val="auto"/>
                <w:sz w:val="24"/>
                <w:lang w:eastAsia="zh-CN"/>
              </w:rPr>
              <w:t>喷漆工序产生的漆雾颗粒</w:t>
            </w:r>
            <w:r>
              <w:rPr>
                <w:rFonts w:hint="eastAsia"/>
                <w:color w:val="auto"/>
                <w:sz w:val="24"/>
                <w:lang w:val="en-US" w:eastAsia="zh-CN"/>
              </w:rPr>
              <w:t>物</w:t>
            </w:r>
            <w:r>
              <w:rPr>
                <w:rFonts w:hint="eastAsia"/>
                <w:color w:val="auto"/>
                <w:sz w:val="24"/>
                <w:lang w:eastAsia="zh-CN"/>
              </w:rPr>
              <w:t>和</w:t>
            </w:r>
            <w:r>
              <w:rPr>
                <w:rFonts w:hint="eastAsia"/>
                <w:color w:val="auto"/>
                <w:sz w:val="24"/>
                <w:lang w:val="en-US" w:eastAsia="zh-CN"/>
              </w:rPr>
              <w:t>VOCs经1根15m排气筒DA003高空排放，其中，颗粒物执行</w:t>
            </w:r>
            <w:r>
              <w:rPr>
                <w:rFonts w:hint="eastAsia"/>
                <w:color w:val="auto"/>
                <w:sz w:val="24"/>
                <w:lang w:eastAsia="zh-CN"/>
              </w:rPr>
              <w:t>《大气污染物综合排放标准》（GB 16297-1996）表2</w:t>
            </w:r>
            <w:r>
              <w:rPr>
                <w:rFonts w:hint="eastAsia"/>
                <w:color w:val="auto"/>
                <w:sz w:val="24"/>
                <w:lang w:val="en-US" w:eastAsia="zh-CN"/>
              </w:rPr>
              <w:t>中</w:t>
            </w:r>
            <w:r>
              <w:rPr>
                <w:rFonts w:hint="eastAsia"/>
                <w:color w:val="auto"/>
                <w:sz w:val="24"/>
                <w:lang w:eastAsia="zh-CN"/>
              </w:rPr>
              <w:t>标准限值；</w:t>
            </w:r>
            <w:r>
              <w:rPr>
                <w:rFonts w:hint="eastAsia"/>
                <w:color w:val="auto"/>
                <w:sz w:val="24"/>
                <w:lang w:val="en-US" w:eastAsia="zh-CN"/>
              </w:rPr>
              <w:t>VOCs有组织排放执行天</w:t>
            </w:r>
            <w:r>
              <w:rPr>
                <w:rFonts w:hint="eastAsia"/>
                <w:color w:val="auto"/>
                <w:sz w:val="24"/>
              </w:rPr>
              <w:t>津市《工业企业挥发性有机物排放控制标准》（DB12/524-2020）</w:t>
            </w:r>
            <w:r>
              <w:rPr>
                <w:rFonts w:hint="eastAsia"/>
                <w:color w:val="auto"/>
                <w:sz w:val="24"/>
                <w:lang w:val="en-US" w:eastAsia="zh-CN"/>
              </w:rPr>
              <w:t>表1中“表面涂装行业 TRVOC”标准限值</w:t>
            </w:r>
            <w:r>
              <w:rPr>
                <w:rFonts w:hint="eastAsia"/>
                <w:color w:val="auto"/>
                <w:sz w:val="24"/>
              </w:rPr>
              <w:t>，</w:t>
            </w:r>
            <w:r>
              <w:rPr>
                <w:rFonts w:hint="eastAsia"/>
                <w:color w:val="auto"/>
                <w:sz w:val="24"/>
                <w:lang w:val="en-US" w:eastAsia="zh-CN"/>
              </w:rPr>
              <w:t>无组织排放执行</w:t>
            </w:r>
            <w:r>
              <w:rPr>
                <w:rFonts w:hint="eastAsia"/>
                <w:color w:val="auto"/>
                <w:sz w:val="24"/>
                <w:lang w:eastAsia="zh-CN"/>
              </w:rPr>
              <w:t>《大气污染物综合排放标准》（GB 16297-1996）表2</w:t>
            </w:r>
            <w:r>
              <w:rPr>
                <w:rFonts w:hint="eastAsia"/>
                <w:color w:val="auto"/>
                <w:sz w:val="24"/>
                <w:lang w:val="en-US" w:eastAsia="zh-CN"/>
              </w:rPr>
              <w:t>中</w:t>
            </w:r>
            <w:r>
              <w:rPr>
                <w:rFonts w:hint="eastAsia"/>
                <w:color w:val="auto"/>
                <w:sz w:val="24"/>
                <w:lang w:eastAsia="zh-CN"/>
              </w:rPr>
              <w:t>标准限值；</w:t>
            </w:r>
            <w:r>
              <w:rPr>
                <w:rFonts w:hint="eastAsia"/>
                <w:color w:val="auto"/>
                <w:sz w:val="24"/>
              </w:rPr>
              <w:t>厂区内VOCs无组织排放执行《挥发性有机物无组织排放控制标准》（GB37822-2019）中附录A表A.1中特别排放限值。具体标准见表4-</w:t>
            </w:r>
            <w:r>
              <w:rPr>
                <w:rFonts w:hint="eastAsia"/>
                <w:color w:val="auto"/>
                <w:sz w:val="24"/>
                <w:lang w:val="en-US" w:eastAsia="zh-CN"/>
              </w:rPr>
              <w:t>5</w:t>
            </w:r>
            <w:r>
              <w:rPr>
                <w:rFonts w:hint="eastAsia"/>
                <w:color w:val="auto"/>
                <w:sz w:val="24"/>
              </w:rPr>
              <w:t>~4-</w:t>
            </w:r>
            <w:r>
              <w:rPr>
                <w:rFonts w:hint="eastAsia"/>
                <w:color w:val="auto"/>
                <w:sz w:val="24"/>
                <w:lang w:val="en-US" w:eastAsia="zh-CN"/>
              </w:rPr>
              <w:t>6</w:t>
            </w:r>
            <w:r>
              <w:rPr>
                <w:rFonts w:hint="eastAsia"/>
                <w:color w:val="auto"/>
                <w:sz w:val="24"/>
              </w:rPr>
              <w:t>。</w:t>
            </w:r>
          </w:p>
          <w:p>
            <w:pPr>
              <w:jc w:val="center"/>
              <w:rPr>
                <w:b/>
                <w:color w:val="auto"/>
                <w:szCs w:val="21"/>
              </w:rPr>
            </w:pPr>
            <w:r>
              <w:rPr>
                <w:b/>
                <w:color w:val="auto"/>
                <w:szCs w:val="21"/>
              </w:rPr>
              <w:t>表4-4  大气污染物排放限值表</w:t>
            </w:r>
          </w:p>
          <w:tbl>
            <w:tblPr>
              <w:tblStyle w:val="56"/>
              <w:tblW w:w="4996"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28" w:type="dxa"/>
                <w:bottom w:w="0" w:type="dxa"/>
                <w:right w:w="28" w:type="dxa"/>
              </w:tblCellMar>
            </w:tblPr>
            <w:tblGrid>
              <w:gridCol w:w="911"/>
              <w:gridCol w:w="960"/>
              <w:gridCol w:w="819"/>
              <w:gridCol w:w="733"/>
              <w:gridCol w:w="710"/>
              <w:gridCol w:w="1010"/>
              <w:gridCol w:w="825"/>
              <w:gridCol w:w="184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43" w:hRule="atLeast"/>
                <w:jc w:val="center"/>
              </w:trPr>
              <w:tc>
                <w:tcPr>
                  <w:tcW w:w="583" w:type="pct"/>
                  <w:vMerge w:val="restart"/>
                  <w:vAlign w:val="center"/>
                </w:tcPr>
                <w:p>
                  <w:pPr>
                    <w:adjustRightInd w:val="0"/>
                    <w:snapToGrid w:val="0"/>
                    <w:jc w:val="center"/>
                    <w:rPr>
                      <w:rFonts w:hint="default" w:eastAsia="宋体"/>
                      <w:b/>
                      <w:color w:val="auto"/>
                      <w:szCs w:val="21"/>
                      <w:lang w:val="en-US" w:eastAsia="zh-CN"/>
                    </w:rPr>
                  </w:pPr>
                  <w:r>
                    <w:rPr>
                      <w:rFonts w:hint="eastAsia"/>
                      <w:b/>
                      <w:color w:val="auto"/>
                      <w:szCs w:val="21"/>
                      <w:lang w:val="en-US" w:eastAsia="zh-CN"/>
                    </w:rPr>
                    <w:t>排气筒</w:t>
                  </w:r>
                </w:p>
              </w:tc>
              <w:tc>
                <w:tcPr>
                  <w:tcW w:w="614" w:type="pct"/>
                  <w:vMerge w:val="restart"/>
                  <w:vAlign w:val="center"/>
                </w:tcPr>
                <w:p>
                  <w:pPr>
                    <w:adjustRightInd w:val="0"/>
                    <w:snapToGrid w:val="0"/>
                    <w:jc w:val="center"/>
                    <w:rPr>
                      <w:b/>
                      <w:color w:val="auto"/>
                      <w:szCs w:val="21"/>
                    </w:rPr>
                  </w:pPr>
                  <w:r>
                    <w:rPr>
                      <w:b/>
                      <w:color w:val="auto"/>
                      <w:szCs w:val="21"/>
                    </w:rPr>
                    <w:t>污染物</w:t>
                  </w:r>
                </w:p>
              </w:tc>
              <w:tc>
                <w:tcPr>
                  <w:tcW w:w="524" w:type="pct"/>
                  <w:vMerge w:val="restart"/>
                  <w:vAlign w:val="center"/>
                </w:tcPr>
                <w:p>
                  <w:pPr>
                    <w:adjustRightInd w:val="0"/>
                    <w:snapToGrid w:val="0"/>
                    <w:jc w:val="center"/>
                    <w:rPr>
                      <w:b/>
                      <w:color w:val="auto"/>
                      <w:szCs w:val="21"/>
                    </w:rPr>
                  </w:pPr>
                  <w:r>
                    <w:rPr>
                      <w:b/>
                      <w:color w:val="auto"/>
                      <w:szCs w:val="21"/>
                    </w:rPr>
                    <w:t>最高允许排放浓度mg/m</w:t>
                  </w:r>
                  <w:r>
                    <w:rPr>
                      <w:b/>
                      <w:color w:val="auto"/>
                      <w:szCs w:val="21"/>
                      <w:vertAlign w:val="superscript"/>
                    </w:rPr>
                    <w:t>3</w:t>
                  </w:r>
                </w:p>
              </w:tc>
              <w:tc>
                <w:tcPr>
                  <w:tcW w:w="923" w:type="pct"/>
                  <w:gridSpan w:val="2"/>
                  <w:vAlign w:val="center"/>
                </w:tcPr>
                <w:p>
                  <w:pPr>
                    <w:adjustRightInd w:val="0"/>
                    <w:snapToGrid w:val="0"/>
                    <w:jc w:val="center"/>
                    <w:rPr>
                      <w:b/>
                      <w:color w:val="auto"/>
                      <w:szCs w:val="21"/>
                      <w:vertAlign w:val="superscript"/>
                    </w:rPr>
                  </w:pPr>
                  <w:r>
                    <w:rPr>
                      <w:b/>
                      <w:color w:val="auto"/>
                      <w:szCs w:val="21"/>
                    </w:rPr>
                    <w:t>最高允许排放速率kg/h</w:t>
                  </w:r>
                </w:p>
              </w:tc>
              <w:tc>
                <w:tcPr>
                  <w:tcW w:w="1174" w:type="pct"/>
                  <w:gridSpan w:val="2"/>
                  <w:vAlign w:val="center"/>
                </w:tcPr>
                <w:p>
                  <w:pPr>
                    <w:adjustRightInd w:val="0"/>
                    <w:snapToGrid w:val="0"/>
                    <w:jc w:val="center"/>
                    <w:rPr>
                      <w:b/>
                      <w:color w:val="auto"/>
                      <w:szCs w:val="21"/>
                      <w:vertAlign w:val="superscript"/>
                    </w:rPr>
                  </w:pPr>
                  <w:r>
                    <w:rPr>
                      <w:b/>
                      <w:color w:val="auto"/>
                      <w:szCs w:val="21"/>
                    </w:rPr>
                    <w:t>无组织排放监控浓度限值</w:t>
                  </w:r>
                </w:p>
              </w:tc>
              <w:tc>
                <w:tcPr>
                  <w:tcW w:w="1178" w:type="pct"/>
                  <w:vMerge w:val="restart"/>
                  <w:vAlign w:val="center"/>
                </w:tcPr>
                <w:p>
                  <w:pPr>
                    <w:adjustRightInd w:val="0"/>
                    <w:snapToGrid w:val="0"/>
                    <w:jc w:val="center"/>
                    <w:rPr>
                      <w:b/>
                      <w:color w:val="auto"/>
                      <w:szCs w:val="21"/>
                    </w:rPr>
                  </w:pPr>
                  <w:r>
                    <w:rPr>
                      <w:b/>
                      <w:color w:val="auto"/>
                      <w:szCs w:val="21"/>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442" w:hRule="atLeast"/>
                <w:jc w:val="center"/>
              </w:trPr>
              <w:tc>
                <w:tcPr>
                  <w:tcW w:w="583" w:type="pct"/>
                  <w:vMerge w:val="continue"/>
                  <w:vAlign w:val="center"/>
                </w:tcPr>
                <w:p>
                  <w:pPr>
                    <w:rPr>
                      <w:color w:val="auto"/>
                    </w:rPr>
                  </w:pPr>
                </w:p>
              </w:tc>
              <w:tc>
                <w:tcPr>
                  <w:tcW w:w="614" w:type="pct"/>
                  <w:vMerge w:val="continue"/>
                  <w:vAlign w:val="center"/>
                </w:tcPr>
                <w:p>
                  <w:pPr>
                    <w:rPr>
                      <w:color w:val="auto"/>
                    </w:rPr>
                  </w:pPr>
                </w:p>
              </w:tc>
              <w:tc>
                <w:tcPr>
                  <w:tcW w:w="524" w:type="pct"/>
                  <w:vMerge w:val="continue"/>
                  <w:vAlign w:val="center"/>
                </w:tcPr>
                <w:p>
                  <w:pPr>
                    <w:rPr>
                      <w:color w:val="auto"/>
                    </w:rPr>
                  </w:pPr>
                </w:p>
              </w:tc>
              <w:tc>
                <w:tcPr>
                  <w:tcW w:w="469" w:type="pct"/>
                  <w:vAlign w:val="center"/>
                </w:tcPr>
                <w:p>
                  <w:pPr>
                    <w:adjustRightInd w:val="0"/>
                    <w:snapToGrid w:val="0"/>
                    <w:jc w:val="center"/>
                    <w:rPr>
                      <w:b/>
                      <w:color w:val="auto"/>
                      <w:szCs w:val="21"/>
                    </w:rPr>
                  </w:pPr>
                  <w:r>
                    <w:rPr>
                      <w:rFonts w:hint="eastAsia"/>
                      <w:b/>
                      <w:color w:val="auto"/>
                      <w:szCs w:val="21"/>
                    </w:rPr>
                    <w:t>排气筒高度m</w:t>
                  </w:r>
                </w:p>
              </w:tc>
              <w:tc>
                <w:tcPr>
                  <w:tcW w:w="454" w:type="pct"/>
                  <w:vAlign w:val="center"/>
                </w:tcPr>
                <w:p>
                  <w:pPr>
                    <w:adjustRightInd w:val="0"/>
                    <w:snapToGrid w:val="0"/>
                    <w:jc w:val="center"/>
                    <w:rPr>
                      <w:b/>
                      <w:color w:val="auto"/>
                      <w:szCs w:val="21"/>
                    </w:rPr>
                  </w:pPr>
                  <w:r>
                    <w:rPr>
                      <w:rFonts w:hint="eastAsia"/>
                      <w:b/>
                      <w:color w:val="auto"/>
                      <w:szCs w:val="21"/>
                    </w:rPr>
                    <w:t>速率</w:t>
                  </w:r>
                  <w:r>
                    <w:rPr>
                      <w:b/>
                      <w:color w:val="auto"/>
                      <w:szCs w:val="21"/>
                    </w:rPr>
                    <w:t>kg/h</w:t>
                  </w:r>
                </w:p>
              </w:tc>
              <w:tc>
                <w:tcPr>
                  <w:tcW w:w="646" w:type="pct"/>
                  <w:vAlign w:val="center"/>
                </w:tcPr>
                <w:p>
                  <w:pPr>
                    <w:adjustRightInd w:val="0"/>
                    <w:snapToGrid w:val="0"/>
                    <w:jc w:val="center"/>
                    <w:rPr>
                      <w:b/>
                      <w:color w:val="auto"/>
                      <w:szCs w:val="21"/>
                    </w:rPr>
                  </w:pPr>
                  <w:r>
                    <w:rPr>
                      <w:rFonts w:hint="eastAsia"/>
                      <w:b/>
                      <w:color w:val="auto"/>
                      <w:szCs w:val="21"/>
                    </w:rPr>
                    <w:t>监控点</w:t>
                  </w:r>
                </w:p>
              </w:tc>
              <w:tc>
                <w:tcPr>
                  <w:tcW w:w="527" w:type="pct"/>
                  <w:vAlign w:val="center"/>
                </w:tcPr>
                <w:p>
                  <w:pPr>
                    <w:adjustRightInd w:val="0"/>
                    <w:snapToGrid w:val="0"/>
                    <w:jc w:val="center"/>
                    <w:rPr>
                      <w:b/>
                      <w:color w:val="auto"/>
                      <w:szCs w:val="21"/>
                    </w:rPr>
                  </w:pPr>
                  <w:r>
                    <w:rPr>
                      <w:rFonts w:hint="eastAsia"/>
                      <w:b/>
                      <w:color w:val="auto"/>
                      <w:szCs w:val="21"/>
                    </w:rPr>
                    <w:t>浓度</w:t>
                  </w:r>
                  <w:r>
                    <w:rPr>
                      <w:b/>
                      <w:color w:val="auto"/>
                      <w:szCs w:val="21"/>
                    </w:rPr>
                    <w:t>mg/m</w:t>
                  </w:r>
                  <w:r>
                    <w:rPr>
                      <w:b/>
                      <w:color w:val="auto"/>
                      <w:szCs w:val="21"/>
                      <w:vertAlign w:val="superscript"/>
                    </w:rPr>
                    <w:t>3</w:t>
                  </w:r>
                </w:p>
              </w:tc>
              <w:tc>
                <w:tcPr>
                  <w:tcW w:w="1178" w:type="pct"/>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83"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DA001</w:t>
                  </w:r>
                </w:p>
              </w:tc>
              <w:tc>
                <w:tcPr>
                  <w:tcW w:w="614"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c>
                <w:tcPr>
                  <w:tcW w:w="52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120</w:t>
                  </w:r>
                </w:p>
              </w:tc>
              <w:tc>
                <w:tcPr>
                  <w:tcW w:w="469" w:type="pct"/>
                  <w:vAlign w:val="center"/>
                </w:tcPr>
                <w:p>
                  <w:pPr>
                    <w:snapToGrid w:val="0"/>
                    <w:ind w:left="-105" w:leftChars="-50" w:right="-105" w:rightChars="-50"/>
                    <w:jc w:val="center"/>
                    <w:rPr>
                      <w:rFonts w:hint="default" w:eastAsia="宋体"/>
                      <w:color w:val="auto"/>
                      <w:szCs w:val="21"/>
                      <w:lang w:val="en-US" w:eastAsia="zh-CN"/>
                    </w:rPr>
                  </w:pPr>
                  <w:r>
                    <w:rPr>
                      <w:rFonts w:hint="eastAsia"/>
                      <w:color w:val="auto"/>
                      <w:szCs w:val="21"/>
                      <w:lang w:val="en-US" w:eastAsia="zh-CN"/>
                    </w:rPr>
                    <w:t>15</w:t>
                  </w:r>
                </w:p>
              </w:tc>
              <w:tc>
                <w:tcPr>
                  <w:tcW w:w="45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3.5</w:t>
                  </w:r>
                </w:p>
              </w:tc>
              <w:tc>
                <w:tcPr>
                  <w:tcW w:w="646" w:type="pct"/>
                  <w:vAlign w:val="center"/>
                </w:tcPr>
                <w:p>
                  <w:pPr>
                    <w:snapToGrid w:val="0"/>
                    <w:ind w:left="-105" w:leftChars="-50" w:right="-105" w:rightChars="-50"/>
                    <w:jc w:val="center"/>
                    <w:rPr>
                      <w:rFonts w:hint="eastAsia"/>
                      <w:color w:val="auto"/>
                      <w:szCs w:val="21"/>
                    </w:rPr>
                  </w:pPr>
                  <w:r>
                    <w:rPr>
                      <w:rFonts w:hint="eastAsia"/>
                      <w:color w:val="auto"/>
                      <w:szCs w:val="21"/>
                      <w:lang w:val="en-US" w:eastAsia="zh-CN"/>
                    </w:rPr>
                    <w:t>周界外</w:t>
                  </w:r>
                  <w:r>
                    <w:rPr>
                      <w:rFonts w:hint="eastAsia"/>
                      <w:color w:val="auto"/>
                      <w:szCs w:val="21"/>
                    </w:rPr>
                    <w:t>浓度</w:t>
                  </w:r>
                  <w:r>
                    <w:rPr>
                      <w:rFonts w:hint="eastAsia"/>
                      <w:color w:val="auto"/>
                      <w:szCs w:val="21"/>
                      <w:lang w:val="en-US" w:eastAsia="zh-CN"/>
                    </w:rPr>
                    <w:t>最</w:t>
                  </w:r>
                  <w:r>
                    <w:rPr>
                      <w:rFonts w:hint="eastAsia"/>
                      <w:color w:val="auto"/>
                      <w:szCs w:val="21"/>
                    </w:rPr>
                    <w:t>高点</w:t>
                  </w:r>
                </w:p>
              </w:tc>
              <w:tc>
                <w:tcPr>
                  <w:tcW w:w="527"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c>
                <w:tcPr>
                  <w:tcW w:w="1178" w:type="pct"/>
                  <w:vAlign w:val="center"/>
                </w:tcPr>
                <w:p>
                  <w:pPr>
                    <w:adjustRightInd w:val="0"/>
                    <w:snapToGrid w:val="0"/>
                    <w:rPr>
                      <w:rFonts w:hint="eastAsia"/>
                      <w:color w:val="auto"/>
                      <w:szCs w:val="21"/>
                    </w:rPr>
                  </w:pPr>
                  <w:r>
                    <w:rPr>
                      <w:rFonts w:hint="eastAsia"/>
                      <w:color w:val="auto"/>
                      <w:szCs w:val="21"/>
                    </w:rPr>
                    <w:t>《大气污染物综合排放标准》（GB 16297-1996）表2中标准限值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83" w:type="pct"/>
                  <w:vMerge w:val="restar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DA002</w:t>
                  </w:r>
                </w:p>
              </w:tc>
              <w:tc>
                <w:tcPr>
                  <w:tcW w:w="614"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c>
                <w:tcPr>
                  <w:tcW w:w="52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20</w:t>
                  </w:r>
                </w:p>
              </w:tc>
              <w:tc>
                <w:tcPr>
                  <w:tcW w:w="469" w:type="pct"/>
                  <w:vAlign w:val="center"/>
                </w:tcPr>
                <w:p>
                  <w:pPr>
                    <w:snapToGrid w:val="0"/>
                    <w:ind w:left="-105" w:leftChars="-50" w:right="-105" w:rightChars="-50"/>
                    <w:jc w:val="center"/>
                    <w:rPr>
                      <w:rFonts w:hint="default" w:eastAsia="宋体"/>
                      <w:color w:val="auto"/>
                      <w:szCs w:val="21"/>
                      <w:lang w:val="en-US" w:eastAsia="zh-CN"/>
                    </w:rPr>
                  </w:pPr>
                  <w:r>
                    <w:rPr>
                      <w:rFonts w:hint="eastAsia"/>
                      <w:color w:val="auto"/>
                      <w:szCs w:val="21"/>
                      <w:lang w:val="en-US" w:eastAsia="zh-CN"/>
                    </w:rPr>
                    <w:t>15</w:t>
                  </w:r>
                </w:p>
              </w:tc>
              <w:tc>
                <w:tcPr>
                  <w:tcW w:w="454"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w:t>
                  </w:r>
                </w:p>
              </w:tc>
              <w:tc>
                <w:tcPr>
                  <w:tcW w:w="646" w:type="pct"/>
                  <w:vMerge w:val="restart"/>
                  <w:vAlign w:val="center"/>
                </w:tcPr>
                <w:p>
                  <w:pPr>
                    <w:snapToGrid w:val="0"/>
                    <w:ind w:left="-105" w:leftChars="-50" w:right="-105" w:rightChars="-50"/>
                    <w:jc w:val="center"/>
                    <w:rPr>
                      <w:rFonts w:hint="default" w:eastAsia="宋体"/>
                      <w:color w:val="auto"/>
                      <w:szCs w:val="21"/>
                      <w:lang w:val="en-US" w:eastAsia="zh-CN"/>
                    </w:rPr>
                  </w:pPr>
                  <w:r>
                    <w:rPr>
                      <w:rFonts w:hint="eastAsia"/>
                      <w:color w:val="auto"/>
                      <w:szCs w:val="21"/>
                      <w:lang w:val="en-US" w:eastAsia="zh-CN"/>
                    </w:rPr>
                    <w:t>企业边界</w:t>
                  </w:r>
                </w:p>
              </w:tc>
              <w:tc>
                <w:tcPr>
                  <w:tcW w:w="527"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c>
                <w:tcPr>
                  <w:tcW w:w="1178" w:type="pct"/>
                  <w:vMerge w:val="restart"/>
                  <w:vAlign w:val="center"/>
                </w:tcPr>
                <w:p>
                  <w:pPr>
                    <w:adjustRightInd w:val="0"/>
                    <w:snapToGrid w:val="0"/>
                    <w:rPr>
                      <w:rFonts w:hint="eastAsia"/>
                      <w:color w:val="auto"/>
                      <w:szCs w:val="21"/>
                    </w:rPr>
                  </w:pPr>
                  <w:r>
                    <w:rPr>
                      <w:rFonts w:hint="eastAsia"/>
                      <w:color w:val="auto"/>
                      <w:szCs w:val="21"/>
                    </w:rPr>
                    <w:t>《合成树脂工业污染物排放标准》（GB 31572-2015）表5和表9中标准限值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83" w:type="pct"/>
                  <w:vMerge w:val="continue"/>
                  <w:vAlign w:val="center"/>
                </w:tcPr>
                <w:p>
                  <w:pPr>
                    <w:adjustRightInd w:val="0"/>
                    <w:snapToGrid w:val="0"/>
                    <w:jc w:val="center"/>
                    <w:rPr>
                      <w:rFonts w:hint="eastAsia"/>
                      <w:color w:val="auto"/>
                      <w:szCs w:val="21"/>
                    </w:rPr>
                  </w:pPr>
                </w:p>
              </w:tc>
              <w:tc>
                <w:tcPr>
                  <w:tcW w:w="61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非甲烷总烃</w:t>
                  </w:r>
                </w:p>
              </w:tc>
              <w:tc>
                <w:tcPr>
                  <w:tcW w:w="52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60</w:t>
                  </w:r>
                </w:p>
              </w:tc>
              <w:tc>
                <w:tcPr>
                  <w:tcW w:w="469" w:type="pct"/>
                  <w:vAlign w:val="center"/>
                </w:tcPr>
                <w:p>
                  <w:pPr>
                    <w:snapToGrid w:val="0"/>
                    <w:ind w:left="-105" w:leftChars="-50" w:right="-105" w:rightChars="-50"/>
                    <w:jc w:val="center"/>
                    <w:rPr>
                      <w:rFonts w:hint="default" w:eastAsia="宋体"/>
                      <w:color w:val="auto"/>
                      <w:szCs w:val="21"/>
                      <w:lang w:val="en-US" w:eastAsia="zh-CN"/>
                    </w:rPr>
                  </w:pPr>
                  <w:r>
                    <w:rPr>
                      <w:rFonts w:hint="eastAsia"/>
                      <w:color w:val="auto"/>
                      <w:szCs w:val="21"/>
                      <w:lang w:val="en-US" w:eastAsia="zh-CN"/>
                    </w:rPr>
                    <w:t>15</w:t>
                  </w:r>
                </w:p>
              </w:tc>
              <w:tc>
                <w:tcPr>
                  <w:tcW w:w="454"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w:t>
                  </w:r>
                </w:p>
              </w:tc>
              <w:tc>
                <w:tcPr>
                  <w:tcW w:w="646" w:type="pct"/>
                  <w:vMerge w:val="continue"/>
                  <w:vAlign w:val="center"/>
                </w:tcPr>
                <w:p>
                  <w:pPr>
                    <w:snapToGrid w:val="0"/>
                    <w:ind w:left="-105" w:leftChars="-50" w:right="-105" w:rightChars="-50"/>
                    <w:jc w:val="center"/>
                    <w:rPr>
                      <w:rFonts w:hint="eastAsia"/>
                      <w:color w:val="auto"/>
                      <w:szCs w:val="21"/>
                    </w:rPr>
                  </w:pPr>
                </w:p>
              </w:tc>
              <w:tc>
                <w:tcPr>
                  <w:tcW w:w="527"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4.0</w:t>
                  </w:r>
                </w:p>
              </w:tc>
              <w:tc>
                <w:tcPr>
                  <w:tcW w:w="1178" w:type="pct"/>
                  <w:vMerge w:val="continue"/>
                  <w:vAlign w:val="center"/>
                </w:tcPr>
                <w:p>
                  <w:pPr>
                    <w:adjustRightInd w:val="0"/>
                    <w:snapToGrid w:val="0"/>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059" w:hRule="atLeast"/>
                <w:jc w:val="center"/>
              </w:trPr>
              <w:tc>
                <w:tcPr>
                  <w:tcW w:w="583" w:type="pct"/>
                  <w:vMerge w:val="restar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DA003</w:t>
                  </w:r>
                </w:p>
              </w:tc>
              <w:tc>
                <w:tcPr>
                  <w:tcW w:w="614" w:type="pct"/>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524" w:type="pct"/>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120</w:t>
                  </w:r>
                </w:p>
              </w:tc>
              <w:tc>
                <w:tcPr>
                  <w:tcW w:w="469" w:type="pct"/>
                  <w:vAlign w:val="center"/>
                </w:tcPr>
                <w:p>
                  <w:pPr>
                    <w:snapToGrid w:val="0"/>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15</w:t>
                  </w:r>
                </w:p>
              </w:tc>
              <w:tc>
                <w:tcPr>
                  <w:tcW w:w="454" w:type="pct"/>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3.5</w:t>
                  </w:r>
                </w:p>
              </w:tc>
              <w:tc>
                <w:tcPr>
                  <w:tcW w:w="646" w:type="pct"/>
                  <w:vAlign w:val="center"/>
                </w:tcPr>
                <w:p>
                  <w:pPr>
                    <w:snapToGrid w:val="0"/>
                    <w:ind w:left="-105" w:leftChars="-50" w:right="-105" w:rightChars="-50"/>
                    <w:jc w:val="center"/>
                    <w:rPr>
                      <w:rFonts w:hint="eastAsia" w:eastAsia="宋体"/>
                      <w:color w:val="auto"/>
                      <w:szCs w:val="21"/>
                      <w:lang w:val="en-US" w:eastAsia="zh-CN"/>
                    </w:rPr>
                  </w:pPr>
                  <w:r>
                    <w:rPr>
                      <w:rFonts w:hint="eastAsia"/>
                      <w:color w:val="auto"/>
                      <w:szCs w:val="21"/>
                    </w:rPr>
                    <w:t>周养外浓度</w:t>
                  </w:r>
                  <w:r>
                    <w:rPr>
                      <w:rFonts w:hint="eastAsia"/>
                      <w:color w:val="auto"/>
                      <w:szCs w:val="21"/>
                      <w:lang w:val="en-US" w:eastAsia="zh-CN"/>
                    </w:rPr>
                    <w:t>最</w:t>
                  </w:r>
                </w:p>
                <w:p>
                  <w:pPr>
                    <w:snapToGrid w:val="0"/>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高点</w:t>
                  </w:r>
                </w:p>
              </w:tc>
              <w:tc>
                <w:tcPr>
                  <w:tcW w:w="527" w:type="pct"/>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1178" w:type="pct"/>
                  <w:vAlign w:val="center"/>
                </w:tcPr>
                <w:p>
                  <w:pPr>
                    <w:adjustRightInd w:val="0"/>
                    <w:snapToGrid w:val="0"/>
                    <w:rPr>
                      <w:rFonts w:hint="eastAsia"/>
                      <w:color w:val="auto"/>
                      <w:szCs w:val="21"/>
                    </w:rPr>
                  </w:pPr>
                  <w:r>
                    <w:rPr>
                      <w:rFonts w:hint="eastAsia"/>
                      <w:color w:val="auto"/>
                      <w:szCs w:val="21"/>
                    </w:rPr>
                    <w:t>《大气污染物综合排放标准》（GB 16297-1996）表2中标准限值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83" w:type="pct"/>
                  <w:vMerge w:val="continue"/>
                  <w:vAlign w:val="center"/>
                </w:tcPr>
                <w:p>
                  <w:pPr>
                    <w:adjustRightInd w:val="0"/>
                    <w:snapToGrid w:val="0"/>
                    <w:jc w:val="center"/>
                    <w:rPr>
                      <w:rFonts w:hint="eastAsia"/>
                      <w:color w:val="auto"/>
                      <w:szCs w:val="21"/>
                    </w:rPr>
                  </w:pPr>
                </w:p>
              </w:tc>
              <w:tc>
                <w:tcPr>
                  <w:tcW w:w="614" w:type="pct"/>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VOCs</w:t>
                  </w:r>
                </w:p>
              </w:tc>
              <w:tc>
                <w:tcPr>
                  <w:tcW w:w="524"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50</w:t>
                  </w:r>
                </w:p>
              </w:tc>
              <w:tc>
                <w:tcPr>
                  <w:tcW w:w="469" w:type="pct"/>
                  <w:vAlign w:val="center"/>
                </w:tcPr>
                <w:p>
                  <w:pPr>
                    <w:snapToGrid w:val="0"/>
                    <w:ind w:left="-105" w:leftChars="-50" w:right="-105" w:rightChars="-50"/>
                    <w:jc w:val="center"/>
                    <w:rPr>
                      <w:rFonts w:hint="default" w:eastAsia="宋体"/>
                      <w:color w:val="auto"/>
                      <w:szCs w:val="21"/>
                      <w:lang w:val="en-US" w:eastAsia="zh-CN"/>
                    </w:rPr>
                  </w:pPr>
                  <w:r>
                    <w:rPr>
                      <w:rFonts w:hint="eastAsia"/>
                      <w:color w:val="auto"/>
                      <w:szCs w:val="21"/>
                      <w:lang w:val="en-US" w:eastAsia="zh-CN"/>
                    </w:rPr>
                    <w:t>15</w:t>
                  </w:r>
                </w:p>
              </w:tc>
              <w:tc>
                <w:tcPr>
                  <w:tcW w:w="454" w:type="pct"/>
                  <w:vAlign w:val="center"/>
                </w:tcPr>
                <w:p>
                  <w:pPr>
                    <w:adjustRightInd w:val="0"/>
                    <w:snapToGrid w:val="0"/>
                    <w:jc w:val="both"/>
                    <w:rPr>
                      <w:rFonts w:hint="default" w:eastAsia="宋体"/>
                      <w:color w:val="auto"/>
                      <w:szCs w:val="21"/>
                      <w:lang w:val="en-US" w:eastAsia="zh-CN"/>
                    </w:rPr>
                  </w:pPr>
                  <w:r>
                    <w:rPr>
                      <w:rFonts w:hint="eastAsia"/>
                      <w:color w:val="auto"/>
                      <w:szCs w:val="21"/>
                      <w:lang w:val="en-US" w:eastAsia="zh-CN"/>
                    </w:rPr>
                    <w:t>1.5</w:t>
                  </w:r>
                </w:p>
              </w:tc>
              <w:tc>
                <w:tcPr>
                  <w:tcW w:w="646" w:type="pct"/>
                  <w:vAlign w:val="center"/>
                </w:tcPr>
                <w:p>
                  <w:pPr>
                    <w:snapToGrid w:val="0"/>
                    <w:ind w:left="-105" w:leftChars="-50" w:right="-105" w:rightChars="-50"/>
                    <w:jc w:val="center"/>
                    <w:rPr>
                      <w:rFonts w:hint="eastAsia" w:eastAsia="宋体"/>
                      <w:color w:val="auto"/>
                      <w:szCs w:val="21"/>
                      <w:lang w:val="en-US" w:eastAsia="zh-CN"/>
                    </w:rPr>
                  </w:pPr>
                  <w:r>
                    <w:rPr>
                      <w:rFonts w:hint="eastAsia"/>
                      <w:color w:val="auto"/>
                      <w:szCs w:val="21"/>
                      <w:lang w:val="en-US" w:eastAsia="zh-CN"/>
                    </w:rPr>
                    <w:t>/</w:t>
                  </w:r>
                </w:p>
              </w:tc>
              <w:tc>
                <w:tcPr>
                  <w:tcW w:w="527"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4.0</w:t>
                  </w:r>
                </w:p>
              </w:tc>
              <w:tc>
                <w:tcPr>
                  <w:tcW w:w="1178" w:type="pct"/>
                  <w:vAlign w:val="center"/>
                </w:tcPr>
                <w:p>
                  <w:pPr>
                    <w:adjustRightInd w:val="0"/>
                    <w:snapToGrid w:val="0"/>
                    <w:rPr>
                      <w:rFonts w:hint="eastAsia"/>
                      <w:color w:val="auto"/>
                      <w:szCs w:val="21"/>
                    </w:rPr>
                  </w:pPr>
                  <w:r>
                    <w:rPr>
                      <w:rFonts w:hint="eastAsia"/>
                      <w:color w:val="auto"/>
                      <w:szCs w:val="21"/>
                    </w:rPr>
                    <w:t>《工业企业挥发性有机物排放控制标准》（DB12/524-2020）表1中“表面涂装行业 TRVOC”标准限值</w:t>
                  </w:r>
                </w:p>
              </w:tc>
            </w:tr>
          </w:tbl>
          <w:p>
            <w:pPr>
              <w:jc w:val="center"/>
              <w:rPr>
                <w:b/>
                <w:color w:val="auto"/>
                <w:szCs w:val="21"/>
              </w:rPr>
            </w:pPr>
            <w:r>
              <w:rPr>
                <w:rFonts w:hint="eastAsia"/>
                <w:b/>
                <w:color w:val="auto"/>
                <w:szCs w:val="21"/>
              </w:rPr>
              <w:t>表4-5 厂区内VOCs无组织排放限值   单位：</w:t>
            </w:r>
            <w:r>
              <w:rPr>
                <w:b/>
                <w:color w:val="auto"/>
                <w:szCs w:val="21"/>
              </w:rPr>
              <w:t>mg/m</w:t>
            </w:r>
            <w:r>
              <w:rPr>
                <w:b/>
                <w:color w:val="auto"/>
                <w:szCs w:val="21"/>
                <w:vertAlign w:val="superscript"/>
              </w:rPr>
              <w:t>3</w:t>
            </w:r>
          </w:p>
          <w:tbl>
            <w:tblPr>
              <w:tblStyle w:val="57"/>
              <w:tblW w:w="7815" w:type="dxa"/>
              <w:tblInd w:w="5"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453"/>
              <w:gridCol w:w="1770"/>
              <w:gridCol w:w="2638"/>
              <w:gridCol w:w="1954"/>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1453" w:type="dxa"/>
                  <w:tcBorders>
                    <w:tl2br w:val="nil"/>
                    <w:tr2bl w:val="nil"/>
                  </w:tcBorders>
                  <w:vAlign w:val="center"/>
                </w:tcPr>
                <w:p>
                  <w:pPr>
                    <w:pStyle w:val="21"/>
                    <w:spacing w:after="0"/>
                    <w:jc w:val="center"/>
                    <w:rPr>
                      <w:b/>
                      <w:color w:val="auto"/>
                      <w:szCs w:val="21"/>
                    </w:rPr>
                  </w:pPr>
                  <w:r>
                    <w:rPr>
                      <w:b/>
                      <w:color w:val="auto"/>
                      <w:szCs w:val="21"/>
                    </w:rPr>
                    <w:t>污染物项目</w:t>
                  </w:r>
                </w:p>
              </w:tc>
              <w:tc>
                <w:tcPr>
                  <w:tcW w:w="1770" w:type="dxa"/>
                  <w:tcBorders>
                    <w:tl2br w:val="nil"/>
                    <w:tr2bl w:val="nil"/>
                  </w:tcBorders>
                  <w:vAlign w:val="center"/>
                </w:tcPr>
                <w:p>
                  <w:pPr>
                    <w:pStyle w:val="21"/>
                    <w:spacing w:after="0"/>
                    <w:jc w:val="center"/>
                    <w:rPr>
                      <w:b/>
                      <w:color w:val="auto"/>
                      <w:szCs w:val="21"/>
                    </w:rPr>
                  </w:pPr>
                  <w:r>
                    <w:rPr>
                      <w:b/>
                      <w:color w:val="auto"/>
                      <w:szCs w:val="21"/>
                    </w:rPr>
                    <w:t>特别排放限值</w:t>
                  </w:r>
                </w:p>
              </w:tc>
              <w:tc>
                <w:tcPr>
                  <w:tcW w:w="2638" w:type="dxa"/>
                  <w:tcBorders>
                    <w:tl2br w:val="nil"/>
                    <w:tr2bl w:val="nil"/>
                  </w:tcBorders>
                  <w:vAlign w:val="center"/>
                </w:tcPr>
                <w:p>
                  <w:pPr>
                    <w:pStyle w:val="21"/>
                    <w:spacing w:after="0"/>
                    <w:jc w:val="center"/>
                    <w:rPr>
                      <w:b/>
                      <w:color w:val="auto"/>
                      <w:szCs w:val="21"/>
                    </w:rPr>
                  </w:pPr>
                  <w:r>
                    <w:rPr>
                      <w:b/>
                      <w:color w:val="auto"/>
                      <w:szCs w:val="21"/>
                    </w:rPr>
                    <w:t>限值含义</w:t>
                  </w:r>
                </w:p>
              </w:tc>
              <w:tc>
                <w:tcPr>
                  <w:tcW w:w="1954" w:type="dxa"/>
                  <w:tcBorders>
                    <w:tl2br w:val="nil"/>
                    <w:tr2bl w:val="nil"/>
                  </w:tcBorders>
                  <w:vAlign w:val="center"/>
                </w:tcPr>
                <w:p>
                  <w:pPr>
                    <w:pStyle w:val="21"/>
                    <w:spacing w:after="0"/>
                    <w:jc w:val="center"/>
                    <w:rPr>
                      <w:b/>
                      <w:color w:val="auto"/>
                      <w:szCs w:val="21"/>
                    </w:rPr>
                  </w:pPr>
                  <w:r>
                    <w:rPr>
                      <w:b/>
                      <w:color w:val="auto"/>
                      <w:szCs w:val="21"/>
                    </w:rPr>
                    <w:t>无组织排放监控点</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453" w:type="dxa"/>
                  <w:vMerge w:val="restart"/>
                  <w:tcBorders>
                    <w:tl2br w:val="nil"/>
                    <w:tr2bl w:val="nil"/>
                  </w:tcBorders>
                  <w:vAlign w:val="center"/>
                </w:tcPr>
                <w:p>
                  <w:pPr>
                    <w:pStyle w:val="21"/>
                    <w:spacing w:after="0"/>
                    <w:jc w:val="center"/>
                    <w:rPr>
                      <w:bCs/>
                      <w:color w:val="auto"/>
                      <w:szCs w:val="21"/>
                    </w:rPr>
                  </w:pPr>
                  <w:r>
                    <w:rPr>
                      <w:bCs/>
                      <w:color w:val="auto"/>
                      <w:szCs w:val="21"/>
                    </w:rPr>
                    <w:t>非甲烷总烃（NMHC）</w:t>
                  </w:r>
                </w:p>
              </w:tc>
              <w:tc>
                <w:tcPr>
                  <w:tcW w:w="1770" w:type="dxa"/>
                  <w:tcBorders>
                    <w:tl2br w:val="nil"/>
                    <w:tr2bl w:val="nil"/>
                  </w:tcBorders>
                  <w:vAlign w:val="center"/>
                </w:tcPr>
                <w:p>
                  <w:pPr>
                    <w:pStyle w:val="21"/>
                    <w:spacing w:after="0"/>
                    <w:jc w:val="center"/>
                    <w:rPr>
                      <w:bCs/>
                      <w:color w:val="auto"/>
                      <w:szCs w:val="21"/>
                    </w:rPr>
                  </w:pPr>
                  <w:r>
                    <w:rPr>
                      <w:bCs/>
                      <w:color w:val="auto"/>
                      <w:szCs w:val="21"/>
                    </w:rPr>
                    <w:t>6</w:t>
                  </w:r>
                </w:p>
              </w:tc>
              <w:tc>
                <w:tcPr>
                  <w:tcW w:w="2638" w:type="dxa"/>
                  <w:tcBorders>
                    <w:tl2br w:val="nil"/>
                    <w:tr2bl w:val="nil"/>
                  </w:tcBorders>
                  <w:vAlign w:val="center"/>
                </w:tcPr>
                <w:p>
                  <w:pPr>
                    <w:pStyle w:val="21"/>
                    <w:spacing w:after="0"/>
                    <w:jc w:val="center"/>
                    <w:rPr>
                      <w:bCs/>
                      <w:color w:val="auto"/>
                      <w:szCs w:val="21"/>
                    </w:rPr>
                  </w:pPr>
                  <w:r>
                    <w:rPr>
                      <w:bCs/>
                      <w:color w:val="auto"/>
                      <w:szCs w:val="21"/>
                    </w:rPr>
                    <w:t>监控点处1h平均浓度值</w:t>
                  </w:r>
                </w:p>
              </w:tc>
              <w:tc>
                <w:tcPr>
                  <w:tcW w:w="1954" w:type="dxa"/>
                  <w:vMerge w:val="restart"/>
                  <w:tcBorders>
                    <w:tl2br w:val="nil"/>
                    <w:tr2bl w:val="nil"/>
                  </w:tcBorders>
                  <w:vAlign w:val="center"/>
                </w:tcPr>
                <w:p>
                  <w:pPr>
                    <w:pStyle w:val="21"/>
                    <w:spacing w:after="0"/>
                    <w:jc w:val="center"/>
                    <w:rPr>
                      <w:bCs/>
                      <w:color w:val="auto"/>
                      <w:szCs w:val="21"/>
                    </w:rPr>
                  </w:pPr>
                  <w:r>
                    <w:rPr>
                      <w:bCs/>
                      <w:color w:val="auto"/>
                      <w:szCs w:val="21"/>
                    </w:rPr>
                    <w:t>厂房外设置监控点</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1453" w:type="dxa"/>
                  <w:vMerge w:val="continue"/>
                  <w:tcBorders>
                    <w:tl2br w:val="nil"/>
                    <w:tr2bl w:val="nil"/>
                  </w:tcBorders>
                  <w:vAlign w:val="center"/>
                </w:tcPr>
                <w:p>
                  <w:pPr>
                    <w:pStyle w:val="21"/>
                    <w:spacing w:after="0"/>
                    <w:jc w:val="center"/>
                    <w:rPr>
                      <w:bCs/>
                      <w:color w:val="auto"/>
                      <w:szCs w:val="21"/>
                    </w:rPr>
                  </w:pPr>
                </w:p>
              </w:tc>
              <w:tc>
                <w:tcPr>
                  <w:tcW w:w="1770" w:type="dxa"/>
                  <w:tcBorders>
                    <w:tl2br w:val="nil"/>
                    <w:tr2bl w:val="nil"/>
                  </w:tcBorders>
                  <w:vAlign w:val="center"/>
                </w:tcPr>
                <w:p>
                  <w:pPr>
                    <w:pStyle w:val="21"/>
                    <w:spacing w:after="0"/>
                    <w:jc w:val="center"/>
                    <w:rPr>
                      <w:bCs/>
                      <w:color w:val="auto"/>
                      <w:szCs w:val="21"/>
                    </w:rPr>
                  </w:pPr>
                  <w:r>
                    <w:rPr>
                      <w:bCs/>
                      <w:color w:val="auto"/>
                      <w:szCs w:val="21"/>
                    </w:rPr>
                    <w:t>20</w:t>
                  </w:r>
                </w:p>
              </w:tc>
              <w:tc>
                <w:tcPr>
                  <w:tcW w:w="2638" w:type="dxa"/>
                  <w:tcBorders>
                    <w:tl2br w:val="nil"/>
                    <w:tr2bl w:val="nil"/>
                  </w:tcBorders>
                  <w:vAlign w:val="center"/>
                </w:tcPr>
                <w:p>
                  <w:pPr>
                    <w:pStyle w:val="21"/>
                    <w:spacing w:after="0"/>
                    <w:jc w:val="center"/>
                    <w:rPr>
                      <w:bCs/>
                      <w:color w:val="auto"/>
                      <w:szCs w:val="21"/>
                    </w:rPr>
                  </w:pPr>
                  <w:r>
                    <w:rPr>
                      <w:bCs/>
                      <w:color w:val="auto"/>
                      <w:szCs w:val="21"/>
                    </w:rPr>
                    <w:t>监控点处任意一次浓度值</w:t>
                  </w:r>
                </w:p>
              </w:tc>
              <w:tc>
                <w:tcPr>
                  <w:tcW w:w="1954" w:type="dxa"/>
                  <w:vMerge w:val="continue"/>
                  <w:tcBorders>
                    <w:tl2br w:val="nil"/>
                    <w:tr2bl w:val="nil"/>
                  </w:tcBorders>
                  <w:vAlign w:val="center"/>
                </w:tcPr>
                <w:p>
                  <w:pPr>
                    <w:pStyle w:val="21"/>
                    <w:spacing w:after="0"/>
                    <w:jc w:val="center"/>
                    <w:rPr>
                      <w:bCs/>
                      <w:color w:val="auto"/>
                      <w:szCs w:val="21"/>
                    </w:rPr>
                  </w:pPr>
                </w:p>
              </w:tc>
            </w:tr>
          </w:tbl>
          <w:p>
            <w:pPr>
              <w:spacing w:line="360" w:lineRule="auto"/>
              <w:ind w:firstLine="480" w:firstLineChars="200"/>
              <w:rPr>
                <w:b/>
                <w:color w:val="auto"/>
                <w:sz w:val="24"/>
                <w:szCs w:val="24"/>
              </w:rPr>
            </w:pPr>
            <w:r>
              <w:rPr>
                <w:b/>
                <w:color w:val="auto"/>
                <w:sz w:val="24"/>
                <w:szCs w:val="24"/>
              </w:rPr>
              <w:t>2、废水排放标准</w:t>
            </w:r>
          </w:p>
          <w:p>
            <w:pPr>
              <w:spacing w:line="360" w:lineRule="auto"/>
              <w:ind w:firstLine="480" w:firstLineChars="200"/>
              <w:rPr>
                <w:color w:val="auto"/>
                <w:kern w:val="0"/>
                <w:sz w:val="24"/>
              </w:rPr>
            </w:pPr>
            <w:r>
              <w:rPr>
                <w:bCs/>
                <w:color w:val="auto"/>
                <w:sz w:val="24"/>
              </w:rPr>
              <w:t>本项目生活污水经化粪池预处理后，</w:t>
            </w:r>
            <w:r>
              <w:rPr>
                <w:color w:val="auto"/>
                <w:sz w:val="24"/>
              </w:rPr>
              <w:t>废水达到金坛区第二污水处理厂接管限值和《污水排入城镇下水道水质标准》（GB/T31962-2015）表1中B等级标准</w:t>
            </w:r>
            <w:r>
              <w:rPr>
                <w:color w:val="auto"/>
                <w:sz w:val="24"/>
                <w:szCs w:val="24"/>
              </w:rPr>
              <w:t>，</w:t>
            </w:r>
            <w:r>
              <w:rPr>
                <w:color w:val="auto"/>
                <w:sz w:val="24"/>
              </w:rPr>
              <w:t>最终排入金坛区第二污水处理厂处理达标后排放</w:t>
            </w:r>
            <w:r>
              <w:rPr>
                <w:color w:val="auto"/>
                <w:kern w:val="0"/>
                <w:sz w:val="24"/>
              </w:rPr>
              <w:t>。</w:t>
            </w:r>
          </w:p>
          <w:p>
            <w:pPr>
              <w:tabs>
                <w:tab w:val="left" w:pos="960"/>
              </w:tabs>
              <w:spacing w:before="93" w:beforeLines="30"/>
              <w:jc w:val="center"/>
              <w:rPr>
                <w:b/>
                <w:bCs/>
                <w:color w:val="auto"/>
                <w:spacing w:val="-4"/>
                <w:szCs w:val="21"/>
              </w:rPr>
            </w:pPr>
            <w:r>
              <w:rPr>
                <w:b/>
                <w:bCs/>
                <w:color w:val="auto"/>
                <w:spacing w:val="-4"/>
                <w:szCs w:val="21"/>
              </w:rPr>
              <w:t>表4-</w:t>
            </w:r>
            <w:r>
              <w:rPr>
                <w:rFonts w:hint="eastAsia"/>
                <w:b/>
                <w:bCs/>
                <w:color w:val="auto"/>
                <w:spacing w:val="-4"/>
                <w:szCs w:val="21"/>
              </w:rPr>
              <w:t>6</w:t>
            </w:r>
            <w:r>
              <w:rPr>
                <w:b/>
                <w:bCs/>
                <w:color w:val="auto"/>
                <w:spacing w:val="-4"/>
                <w:szCs w:val="21"/>
              </w:rPr>
              <w:t xml:space="preserve">  </w:t>
            </w:r>
            <w:r>
              <w:rPr>
                <w:rFonts w:hint="eastAsia"/>
                <w:b/>
                <w:bCs/>
                <w:color w:val="auto"/>
                <w:spacing w:val="-4"/>
                <w:szCs w:val="21"/>
              </w:rPr>
              <w:t>废</w:t>
            </w:r>
            <w:r>
              <w:rPr>
                <w:b/>
                <w:bCs/>
                <w:color w:val="auto"/>
                <w:spacing w:val="-4"/>
                <w:szCs w:val="21"/>
              </w:rPr>
              <w:t>水污染物排放执行标准  单位：mg/L，pH无量纲</w:t>
            </w:r>
          </w:p>
          <w:tbl>
            <w:tblPr>
              <w:tblStyle w:val="56"/>
              <w:tblW w:w="781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465"/>
              <w:gridCol w:w="2010"/>
              <w:gridCol w:w="434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465" w:type="dxa"/>
                  <w:vAlign w:val="center"/>
                </w:tcPr>
                <w:p>
                  <w:pPr>
                    <w:adjustRightInd w:val="0"/>
                    <w:snapToGrid w:val="0"/>
                    <w:spacing w:line="320" w:lineRule="exact"/>
                    <w:jc w:val="center"/>
                    <w:rPr>
                      <w:b/>
                      <w:color w:val="auto"/>
                    </w:rPr>
                  </w:pPr>
                  <w:r>
                    <w:rPr>
                      <w:b/>
                      <w:color w:val="auto"/>
                    </w:rPr>
                    <w:t>污染物</w:t>
                  </w:r>
                </w:p>
              </w:tc>
              <w:tc>
                <w:tcPr>
                  <w:tcW w:w="2010" w:type="dxa"/>
                  <w:vAlign w:val="center"/>
                </w:tcPr>
                <w:p>
                  <w:pPr>
                    <w:adjustRightInd w:val="0"/>
                    <w:snapToGrid w:val="0"/>
                    <w:spacing w:line="320" w:lineRule="exact"/>
                    <w:jc w:val="center"/>
                    <w:rPr>
                      <w:b/>
                      <w:color w:val="auto"/>
                    </w:rPr>
                  </w:pPr>
                  <w:r>
                    <w:rPr>
                      <w:b/>
                      <w:bCs/>
                      <w:color w:val="auto"/>
                      <w:szCs w:val="21"/>
                    </w:rPr>
                    <w:t>接管标准浓度限值</w:t>
                  </w:r>
                </w:p>
              </w:tc>
              <w:tc>
                <w:tcPr>
                  <w:tcW w:w="4340" w:type="dxa"/>
                  <w:vAlign w:val="center"/>
                </w:tcPr>
                <w:p>
                  <w:pPr>
                    <w:adjustRightInd w:val="0"/>
                    <w:snapToGrid w:val="0"/>
                    <w:spacing w:line="320" w:lineRule="exact"/>
                    <w:jc w:val="center"/>
                    <w:rPr>
                      <w:b/>
                      <w:color w:val="auto"/>
                    </w:rPr>
                  </w:pPr>
                  <w:r>
                    <w:rPr>
                      <w:b/>
                      <w:color w:val="auto"/>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465" w:type="dxa"/>
                  <w:vAlign w:val="center"/>
                </w:tcPr>
                <w:p>
                  <w:pPr>
                    <w:adjustRightInd w:val="0"/>
                    <w:snapToGrid w:val="0"/>
                    <w:spacing w:line="320" w:lineRule="exact"/>
                    <w:jc w:val="center"/>
                    <w:rPr>
                      <w:color w:val="auto"/>
                    </w:rPr>
                  </w:pPr>
                  <w:r>
                    <w:rPr>
                      <w:color w:val="auto"/>
                    </w:rPr>
                    <w:t>pH</w:t>
                  </w:r>
                </w:p>
              </w:tc>
              <w:tc>
                <w:tcPr>
                  <w:tcW w:w="2010" w:type="dxa"/>
                  <w:vAlign w:val="center"/>
                </w:tcPr>
                <w:p>
                  <w:pPr>
                    <w:adjustRightInd w:val="0"/>
                    <w:snapToGrid w:val="0"/>
                    <w:spacing w:line="320" w:lineRule="exact"/>
                    <w:jc w:val="center"/>
                    <w:rPr>
                      <w:color w:val="auto"/>
                    </w:rPr>
                  </w:pPr>
                  <w:r>
                    <w:rPr>
                      <w:color w:val="auto"/>
                    </w:rPr>
                    <w:t>6～9</w:t>
                  </w:r>
                </w:p>
              </w:tc>
              <w:tc>
                <w:tcPr>
                  <w:tcW w:w="4340" w:type="dxa"/>
                  <w:vMerge w:val="restart"/>
                  <w:vAlign w:val="center"/>
                </w:tcPr>
                <w:p>
                  <w:pPr>
                    <w:spacing w:line="320" w:lineRule="exact"/>
                    <w:jc w:val="center"/>
                    <w:rPr>
                      <w:color w:val="auto"/>
                    </w:rPr>
                  </w:pPr>
                  <w:r>
                    <w:rPr>
                      <w:color w:val="auto"/>
                    </w:rPr>
                    <w:t>金坛区第二污水处理厂接管</w:t>
                  </w:r>
                </w:p>
                <w:p>
                  <w:pPr>
                    <w:spacing w:line="320" w:lineRule="exact"/>
                    <w:jc w:val="center"/>
                    <w:rPr>
                      <w:color w:val="auto"/>
                      <w:szCs w:val="21"/>
                    </w:rPr>
                  </w:pPr>
                  <w:r>
                    <w:rPr>
                      <w:color w:val="auto"/>
                    </w:rPr>
                    <w:t>标准要求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465" w:type="dxa"/>
                  <w:vAlign w:val="center"/>
                </w:tcPr>
                <w:p>
                  <w:pPr>
                    <w:adjustRightInd w:val="0"/>
                    <w:snapToGrid w:val="0"/>
                    <w:spacing w:line="320" w:lineRule="exact"/>
                    <w:jc w:val="center"/>
                    <w:rPr>
                      <w:color w:val="auto"/>
                    </w:rPr>
                  </w:pPr>
                  <w:r>
                    <w:rPr>
                      <w:color w:val="auto"/>
                    </w:rPr>
                    <w:t>COD</w:t>
                  </w:r>
                </w:p>
              </w:tc>
              <w:tc>
                <w:tcPr>
                  <w:tcW w:w="2010" w:type="dxa"/>
                  <w:vAlign w:val="center"/>
                </w:tcPr>
                <w:p>
                  <w:pPr>
                    <w:widowControl/>
                    <w:jc w:val="center"/>
                    <w:rPr>
                      <w:color w:val="auto"/>
                    </w:rPr>
                  </w:pPr>
                  <w:r>
                    <w:rPr>
                      <w:color w:val="auto"/>
                      <w:szCs w:val="21"/>
                    </w:rPr>
                    <w:t>500</w:t>
                  </w:r>
                </w:p>
              </w:tc>
              <w:tc>
                <w:tcPr>
                  <w:tcW w:w="4340"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465" w:type="dxa"/>
                  <w:vAlign w:val="center"/>
                </w:tcPr>
                <w:p>
                  <w:pPr>
                    <w:adjustRightInd w:val="0"/>
                    <w:snapToGrid w:val="0"/>
                    <w:spacing w:line="320" w:lineRule="exact"/>
                    <w:jc w:val="center"/>
                    <w:rPr>
                      <w:color w:val="auto"/>
                    </w:rPr>
                  </w:pPr>
                  <w:r>
                    <w:rPr>
                      <w:color w:val="auto"/>
                    </w:rPr>
                    <w:t>SS</w:t>
                  </w:r>
                </w:p>
              </w:tc>
              <w:tc>
                <w:tcPr>
                  <w:tcW w:w="2010" w:type="dxa"/>
                  <w:vAlign w:val="center"/>
                </w:tcPr>
                <w:p>
                  <w:pPr>
                    <w:jc w:val="center"/>
                    <w:rPr>
                      <w:color w:val="auto"/>
                    </w:rPr>
                  </w:pPr>
                  <w:r>
                    <w:rPr>
                      <w:color w:val="auto"/>
                      <w:szCs w:val="21"/>
                    </w:rPr>
                    <w:t>250</w:t>
                  </w:r>
                </w:p>
              </w:tc>
              <w:tc>
                <w:tcPr>
                  <w:tcW w:w="4340"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10" w:hRule="atLeast"/>
                <w:jc w:val="center"/>
              </w:trPr>
              <w:tc>
                <w:tcPr>
                  <w:tcW w:w="1465" w:type="dxa"/>
                  <w:vAlign w:val="center"/>
                </w:tcPr>
                <w:p>
                  <w:pPr>
                    <w:adjustRightInd w:val="0"/>
                    <w:snapToGrid w:val="0"/>
                    <w:spacing w:line="320" w:lineRule="exact"/>
                    <w:jc w:val="center"/>
                    <w:rPr>
                      <w:color w:val="auto"/>
                    </w:rPr>
                  </w:pPr>
                  <w:r>
                    <w:rPr>
                      <w:color w:val="auto"/>
                    </w:rPr>
                    <w:t>氨氮</w:t>
                  </w:r>
                </w:p>
              </w:tc>
              <w:tc>
                <w:tcPr>
                  <w:tcW w:w="2010" w:type="dxa"/>
                  <w:vAlign w:val="center"/>
                </w:tcPr>
                <w:p>
                  <w:pPr>
                    <w:jc w:val="center"/>
                    <w:rPr>
                      <w:color w:val="auto"/>
                    </w:rPr>
                  </w:pPr>
                  <w:r>
                    <w:rPr>
                      <w:color w:val="auto"/>
                      <w:szCs w:val="21"/>
                    </w:rPr>
                    <w:t>35</w:t>
                  </w:r>
                </w:p>
              </w:tc>
              <w:tc>
                <w:tcPr>
                  <w:tcW w:w="4340"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cantSplit/>
                <w:jc w:val="center"/>
              </w:trPr>
              <w:tc>
                <w:tcPr>
                  <w:tcW w:w="1465" w:type="dxa"/>
                  <w:vAlign w:val="center"/>
                </w:tcPr>
                <w:p>
                  <w:pPr>
                    <w:adjustRightInd w:val="0"/>
                    <w:snapToGrid w:val="0"/>
                    <w:spacing w:line="320" w:lineRule="exact"/>
                    <w:jc w:val="center"/>
                    <w:rPr>
                      <w:color w:val="auto"/>
                    </w:rPr>
                  </w:pPr>
                  <w:r>
                    <w:rPr>
                      <w:color w:val="auto"/>
                    </w:rPr>
                    <w:t>TP</w:t>
                  </w:r>
                </w:p>
              </w:tc>
              <w:tc>
                <w:tcPr>
                  <w:tcW w:w="2010" w:type="dxa"/>
                  <w:vAlign w:val="center"/>
                </w:tcPr>
                <w:p>
                  <w:pPr>
                    <w:jc w:val="center"/>
                    <w:rPr>
                      <w:color w:val="auto"/>
                    </w:rPr>
                  </w:pPr>
                  <w:r>
                    <w:rPr>
                      <w:color w:val="auto"/>
                      <w:szCs w:val="21"/>
                    </w:rPr>
                    <w:t>3</w:t>
                  </w:r>
                </w:p>
              </w:tc>
              <w:tc>
                <w:tcPr>
                  <w:tcW w:w="4340" w:type="dxa"/>
                  <w:vMerge w:val="continue"/>
                  <w:vAlign w:val="center"/>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465" w:type="dxa"/>
                  <w:vAlign w:val="center"/>
                </w:tcPr>
                <w:p>
                  <w:pPr>
                    <w:adjustRightInd w:val="0"/>
                    <w:snapToGrid w:val="0"/>
                    <w:spacing w:line="320" w:lineRule="exact"/>
                    <w:jc w:val="center"/>
                    <w:rPr>
                      <w:color w:val="auto"/>
                    </w:rPr>
                  </w:pPr>
                  <w:r>
                    <w:rPr>
                      <w:color w:val="auto"/>
                    </w:rPr>
                    <w:t>TN</w:t>
                  </w:r>
                </w:p>
              </w:tc>
              <w:tc>
                <w:tcPr>
                  <w:tcW w:w="2010" w:type="dxa"/>
                  <w:vAlign w:val="center"/>
                </w:tcPr>
                <w:p>
                  <w:pPr>
                    <w:jc w:val="center"/>
                    <w:rPr>
                      <w:color w:val="auto"/>
                      <w:szCs w:val="21"/>
                    </w:rPr>
                  </w:pPr>
                  <w:r>
                    <w:rPr>
                      <w:rFonts w:hint="eastAsia"/>
                      <w:color w:val="auto"/>
                      <w:szCs w:val="21"/>
                    </w:rPr>
                    <w:t>50</w:t>
                  </w:r>
                </w:p>
              </w:tc>
              <w:tc>
                <w:tcPr>
                  <w:tcW w:w="4340" w:type="dxa"/>
                  <w:vMerge w:val="continue"/>
                  <w:vAlign w:val="center"/>
                </w:tcPr>
                <w:p>
                  <w:pPr>
                    <w:rPr>
                      <w:color w:val="auto"/>
                    </w:rPr>
                  </w:pPr>
                </w:p>
              </w:tc>
            </w:tr>
          </w:tbl>
          <w:p>
            <w:pPr>
              <w:spacing w:line="360" w:lineRule="auto"/>
              <w:ind w:firstLine="480" w:firstLineChars="200"/>
              <w:rPr>
                <w:color w:val="auto"/>
                <w:sz w:val="24"/>
              </w:rPr>
            </w:pPr>
            <w:r>
              <w:rPr>
                <w:color w:val="auto"/>
                <w:sz w:val="24"/>
              </w:rPr>
              <w:t>2021年1月1日前，金坛区第二污水处理厂尾水排放执行《太湖地区城镇污水处理厂及重点工业行业主要水污染物排放限值》（DB32/1072-2007）中表2标准及《城镇污水处理厂污染物排放标准》（GB18918-2002）中表1一级A标准；2021年1月1号后金坛区第二污水处理厂尾水排放执行《太湖地区城镇污水处理厂及重点工业行业主要水污染物排放限值》（DB32/1072-20</w:t>
            </w:r>
            <w:r>
              <w:rPr>
                <w:rFonts w:hint="eastAsia"/>
                <w:color w:val="auto"/>
                <w:sz w:val="24"/>
              </w:rPr>
              <w:t>18</w:t>
            </w:r>
            <w:r>
              <w:rPr>
                <w:color w:val="auto"/>
                <w:sz w:val="24"/>
              </w:rPr>
              <w:t>）中表2标准及《城镇污水处理厂污染物排放标准》（GB18918-2002）中表1一级A标准；具体见表4-</w:t>
            </w:r>
            <w:r>
              <w:rPr>
                <w:rFonts w:hint="eastAsia"/>
                <w:color w:val="auto"/>
                <w:sz w:val="24"/>
              </w:rPr>
              <w:t>7</w:t>
            </w:r>
            <w:r>
              <w:rPr>
                <w:color w:val="auto"/>
                <w:sz w:val="24"/>
              </w:rPr>
              <w:t>。</w:t>
            </w:r>
          </w:p>
          <w:p>
            <w:pPr>
              <w:jc w:val="center"/>
              <w:rPr>
                <w:b/>
                <w:color w:val="auto"/>
                <w:sz w:val="24"/>
              </w:rPr>
            </w:pPr>
            <w:r>
              <w:rPr>
                <w:b/>
                <w:color w:val="auto"/>
                <w:sz w:val="24"/>
              </w:rPr>
              <w:t xml:space="preserve"> </w:t>
            </w:r>
            <w:r>
              <w:rPr>
                <w:b/>
                <w:color w:val="auto"/>
                <w:szCs w:val="21"/>
              </w:rPr>
              <w:t>表4-</w:t>
            </w:r>
            <w:r>
              <w:rPr>
                <w:rFonts w:hint="eastAsia"/>
                <w:b/>
                <w:color w:val="auto"/>
                <w:szCs w:val="21"/>
              </w:rPr>
              <w:t>7</w:t>
            </w:r>
            <w:r>
              <w:rPr>
                <w:b/>
                <w:color w:val="auto"/>
                <w:szCs w:val="21"/>
              </w:rPr>
              <w:t xml:space="preserve"> 城镇污水处理厂污染物排放标准    单位：mg/L</w:t>
            </w:r>
            <w:r>
              <w:rPr>
                <w:b/>
                <w:bCs/>
                <w:color w:val="auto"/>
                <w:szCs w:val="21"/>
              </w:rPr>
              <w:t>，pH无量纲</w:t>
            </w:r>
          </w:p>
          <w:tbl>
            <w:tblPr>
              <w:tblStyle w:val="56"/>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50"/>
              <w:gridCol w:w="788"/>
              <w:gridCol w:w="967"/>
              <w:gridCol w:w="1072"/>
              <w:gridCol w:w="423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61" w:type="pct"/>
                  <w:vAlign w:val="center"/>
                </w:tcPr>
                <w:p>
                  <w:pPr>
                    <w:adjustRightInd w:val="0"/>
                    <w:snapToGrid w:val="0"/>
                    <w:jc w:val="center"/>
                    <w:rPr>
                      <w:b/>
                      <w:color w:val="auto"/>
                      <w:szCs w:val="21"/>
                    </w:rPr>
                  </w:pPr>
                  <w:r>
                    <w:rPr>
                      <w:b/>
                      <w:color w:val="auto"/>
                      <w:szCs w:val="21"/>
                    </w:rPr>
                    <w:t>时间</w:t>
                  </w:r>
                </w:p>
              </w:tc>
              <w:tc>
                <w:tcPr>
                  <w:tcW w:w="509" w:type="pct"/>
                  <w:vAlign w:val="center"/>
                </w:tcPr>
                <w:p>
                  <w:pPr>
                    <w:adjustRightInd w:val="0"/>
                    <w:snapToGrid w:val="0"/>
                    <w:jc w:val="center"/>
                    <w:rPr>
                      <w:color w:val="auto"/>
                      <w:szCs w:val="21"/>
                    </w:rPr>
                  </w:pPr>
                  <w:r>
                    <w:rPr>
                      <w:b/>
                      <w:color w:val="auto"/>
                      <w:szCs w:val="21"/>
                    </w:rPr>
                    <w:t>序号</w:t>
                  </w:r>
                </w:p>
              </w:tc>
              <w:tc>
                <w:tcPr>
                  <w:tcW w:w="623" w:type="pct"/>
                  <w:vAlign w:val="center"/>
                </w:tcPr>
                <w:p>
                  <w:pPr>
                    <w:adjustRightInd w:val="0"/>
                    <w:snapToGrid w:val="0"/>
                    <w:jc w:val="center"/>
                    <w:rPr>
                      <w:b/>
                      <w:color w:val="auto"/>
                      <w:szCs w:val="21"/>
                    </w:rPr>
                  </w:pPr>
                  <w:r>
                    <w:rPr>
                      <w:b/>
                      <w:color w:val="auto"/>
                      <w:szCs w:val="21"/>
                    </w:rPr>
                    <w:t>项  目</w:t>
                  </w:r>
                </w:p>
              </w:tc>
              <w:tc>
                <w:tcPr>
                  <w:tcW w:w="690" w:type="pct"/>
                  <w:vAlign w:val="center"/>
                </w:tcPr>
                <w:p>
                  <w:pPr>
                    <w:adjustRightInd w:val="0"/>
                    <w:snapToGrid w:val="0"/>
                    <w:jc w:val="center"/>
                    <w:rPr>
                      <w:b/>
                      <w:color w:val="auto"/>
                      <w:szCs w:val="21"/>
                    </w:rPr>
                  </w:pPr>
                  <w:r>
                    <w:rPr>
                      <w:b/>
                      <w:color w:val="auto"/>
                      <w:szCs w:val="21"/>
                    </w:rPr>
                    <w:t>浓度</w:t>
                  </w:r>
                </w:p>
              </w:tc>
              <w:tc>
                <w:tcPr>
                  <w:tcW w:w="2714" w:type="pct"/>
                  <w:vAlign w:val="center"/>
                </w:tcPr>
                <w:p>
                  <w:pPr>
                    <w:adjustRightInd w:val="0"/>
                    <w:snapToGrid w:val="0"/>
                    <w:jc w:val="center"/>
                    <w:rPr>
                      <w:b/>
                      <w:color w:val="auto"/>
                      <w:szCs w:val="21"/>
                    </w:rPr>
                  </w:pPr>
                  <w:r>
                    <w:rPr>
                      <w:b/>
                      <w:color w:val="auto"/>
                      <w:szCs w:val="21"/>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restart"/>
                  <w:vAlign w:val="center"/>
                </w:tcPr>
                <w:p>
                  <w:pPr>
                    <w:adjustRightInd w:val="0"/>
                    <w:snapToGrid w:val="0"/>
                    <w:jc w:val="center"/>
                    <w:rPr>
                      <w:color w:val="auto"/>
                      <w:szCs w:val="21"/>
                    </w:rPr>
                  </w:pPr>
                  <w:r>
                    <w:rPr>
                      <w:color w:val="auto"/>
                      <w:szCs w:val="21"/>
                    </w:rPr>
                    <w:t>现阶段~2021年1月1日</w:t>
                  </w:r>
                </w:p>
              </w:tc>
              <w:tc>
                <w:tcPr>
                  <w:tcW w:w="509" w:type="pct"/>
                  <w:vAlign w:val="center"/>
                </w:tcPr>
                <w:p>
                  <w:pPr>
                    <w:adjustRightInd w:val="0"/>
                    <w:snapToGrid w:val="0"/>
                    <w:jc w:val="center"/>
                    <w:rPr>
                      <w:color w:val="auto"/>
                      <w:szCs w:val="21"/>
                    </w:rPr>
                  </w:pPr>
                  <w:r>
                    <w:rPr>
                      <w:rFonts w:hint="eastAsia"/>
                      <w:color w:val="auto"/>
                      <w:szCs w:val="21"/>
                    </w:rPr>
                    <w:t>1</w:t>
                  </w:r>
                </w:p>
              </w:tc>
              <w:tc>
                <w:tcPr>
                  <w:tcW w:w="623" w:type="pct"/>
                  <w:vAlign w:val="center"/>
                </w:tcPr>
                <w:p>
                  <w:pPr>
                    <w:adjustRightInd w:val="0"/>
                    <w:snapToGrid w:val="0"/>
                    <w:jc w:val="center"/>
                    <w:rPr>
                      <w:color w:val="auto"/>
                    </w:rPr>
                  </w:pPr>
                  <w:r>
                    <w:rPr>
                      <w:rFonts w:hint="eastAsia"/>
                      <w:color w:val="auto"/>
                    </w:rPr>
                    <w:t>COD</w:t>
                  </w:r>
                </w:p>
              </w:tc>
              <w:tc>
                <w:tcPr>
                  <w:tcW w:w="690" w:type="pct"/>
                  <w:vAlign w:val="center"/>
                </w:tcPr>
                <w:p>
                  <w:pPr>
                    <w:adjustRightInd w:val="0"/>
                    <w:snapToGrid w:val="0"/>
                    <w:jc w:val="center"/>
                    <w:rPr>
                      <w:color w:val="auto"/>
                    </w:rPr>
                  </w:pPr>
                  <w:r>
                    <w:rPr>
                      <w:rFonts w:hint="eastAsia"/>
                      <w:color w:val="auto"/>
                    </w:rPr>
                    <w:t>50</w:t>
                  </w:r>
                </w:p>
              </w:tc>
              <w:tc>
                <w:tcPr>
                  <w:tcW w:w="2714" w:type="pct"/>
                  <w:vMerge w:val="restart"/>
                  <w:vAlign w:val="center"/>
                </w:tcPr>
                <w:p>
                  <w:pPr>
                    <w:adjustRightInd w:val="0"/>
                    <w:snapToGrid w:val="0"/>
                    <w:jc w:val="center"/>
                    <w:rPr>
                      <w:color w:val="auto"/>
                      <w:szCs w:val="21"/>
                    </w:rPr>
                  </w:pPr>
                  <w:r>
                    <w:rPr>
                      <w:color w:val="auto"/>
                      <w:szCs w:val="21"/>
                    </w:rPr>
                    <w:t>《太湖地区镇污水处理厂及重点工业行业主要水污染物排放限值》（DB32/1072—2007）中表2中的标准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continue"/>
                  <w:vAlign w:val="center"/>
                </w:tcPr>
                <w:p>
                  <w:pPr>
                    <w:adjustRightInd w:val="0"/>
                    <w:snapToGrid w:val="0"/>
                    <w:jc w:val="center"/>
                    <w:rPr>
                      <w:color w:val="auto"/>
                      <w:szCs w:val="21"/>
                    </w:rPr>
                  </w:pPr>
                </w:p>
              </w:tc>
              <w:tc>
                <w:tcPr>
                  <w:tcW w:w="509" w:type="pct"/>
                  <w:vAlign w:val="center"/>
                </w:tcPr>
                <w:p>
                  <w:pPr>
                    <w:adjustRightInd w:val="0"/>
                    <w:snapToGrid w:val="0"/>
                    <w:jc w:val="center"/>
                    <w:rPr>
                      <w:color w:val="auto"/>
                      <w:szCs w:val="21"/>
                    </w:rPr>
                  </w:pPr>
                  <w:r>
                    <w:rPr>
                      <w:rFonts w:hint="eastAsia"/>
                      <w:color w:val="auto"/>
                    </w:rPr>
                    <w:t>2</w:t>
                  </w:r>
                </w:p>
              </w:tc>
              <w:tc>
                <w:tcPr>
                  <w:tcW w:w="623" w:type="pct"/>
                  <w:vAlign w:val="center"/>
                </w:tcPr>
                <w:p>
                  <w:pPr>
                    <w:adjustRightInd w:val="0"/>
                    <w:snapToGrid w:val="0"/>
                    <w:jc w:val="center"/>
                    <w:rPr>
                      <w:color w:val="auto"/>
                    </w:rPr>
                  </w:pPr>
                  <w:r>
                    <w:rPr>
                      <w:rFonts w:hint="eastAsia"/>
                      <w:color w:val="auto"/>
                    </w:rPr>
                    <w:t>TP</w:t>
                  </w:r>
                </w:p>
              </w:tc>
              <w:tc>
                <w:tcPr>
                  <w:tcW w:w="690" w:type="pct"/>
                  <w:vAlign w:val="center"/>
                </w:tcPr>
                <w:p>
                  <w:pPr>
                    <w:adjustRightInd w:val="0"/>
                    <w:snapToGrid w:val="0"/>
                    <w:jc w:val="center"/>
                    <w:rPr>
                      <w:color w:val="auto"/>
                    </w:rPr>
                  </w:pPr>
                  <w:r>
                    <w:rPr>
                      <w:rFonts w:hint="eastAsia"/>
                      <w:color w:val="auto"/>
                    </w:rPr>
                    <w:t>0.5</w:t>
                  </w:r>
                </w:p>
              </w:tc>
              <w:tc>
                <w:tcPr>
                  <w:tcW w:w="2714"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continue"/>
                  <w:vAlign w:val="center"/>
                </w:tcPr>
                <w:p>
                  <w:pPr>
                    <w:adjustRightInd w:val="0"/>
                    <w:snapToGrid w:val="0"/>
                    <w:jc w:val="center"/>
                    <w:rPr>
                      <w:color w:val="auto"/>
                      <w:szCs w:val="21"/>
                    </w:rPr>
                  </w:pPr>
                </w:p>
              </w:tc>
              <w:tc>
                <w:tcPr>
                  <w:tcW w:w="509" w:type="pct"/>
                  <w:vAlign w:val="center"/>
                </w:tcPr>
                <w:p>
                  <w:pPr>
                    <w:adjustRightInd w:val="0"/>
                    <w:snapToGrid w:val="0"/>
                    <w:jc w:val="center"/>
                    <w:rPr>
                      <w:color w:val="auto"/>
                      <w:szCs w:val="21"/>
                    </w:rPr>
                  </w:pPr>
                  <w:r>
                    <w:rPr>
                      <w:rFonts w:hint="eastAsia"/>
                      <w:color w:val="auto"/>
                    </w:rPr>
                    <w:t>3</w:t>
                  </w:r>
                </w:p>
              </w:tc>
              <w:tc>
                <w:tcPr>
                  <w:tcW w:w="623" w:type="pct"/>
                  <w:vAlign w:val="center"/>
                </w:tcPr>
                <w:p>
                  <w:pPr>
                    <w:adjustRightInd w:val="0"/>
                    <w:snapToGrid w:val="0"/>
                    <w:jc w:val="center"/>
                    <w:rPr>
                      <w:color w:val="auto"/>
                    </w:rPr>
                  </w:pPr>
                  <w:r>
                    <w:rPr>
                      <w:rFonts w:hint="eastAsia"/>
                      <w:color w:val="auto"/>
                    </w:rPr>
                    <w:t>TN</w:t>
                  </w:r>
                </w:p>
              </w:tc>
              <w:tc>
                <w:tcPr>
                  <w:tcW w:w="690" w:type="pct"/>
                  <w:vAlign w:val="center"/>
                </w:tcPr>
                <w:p>
                  <w:pPr>
                    <w:adjustRightInd w:val="0"/>
                    <w:snapToGrid w:val="0"/>
                    <w:jc w:val="center"/>
                    <w:rPr>
                      <w:color w:val="auto"/>
                    </w:rPr>
                  </w:pPr>
                  <w:r>
                    <w:rPr>
                      <w:rFonts w:hint="eastAsia"/>
                      <w:color w:val="auto"/>
                    </w:rPr>
                    <w:t>15</w:t>
                  </w:r>
                </w:p>
              </w:tc>
              <w:tc>
                <w:tcPr>
                  <w:tcW w:w="2714"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continue"/>
                  <w:vAlign w:val="center"/>
                </w:tcPr>
                <w:p>
                  <w:pPr>
                    <w:adjustRightInd w:val="0"/>
                    <w:snapToGrid w:val="0"/>
                    <w:jc w:val="center"/>
                    <w:rPr>
                      <w:color w:val="auto"/>
                      <w:szCs w:val="21"/>
                    </w:rPr>
                  </w:pPr>
                </w:p>
              </w:tc>
              <w:tc>
                <w:tcPr>
                  <w:tcW w:w="509" w:type="pct"/>
                  <w:vAlign w:val="center"/>
                </w:tcPr>
                <w:p>
                  <w:pPr>
                    <w:adjustRightInd w:val="0"/>
                    <w:snapToGrid w:val="0"/>
                    <w:jc w:val="center"/>
                    <w:rPr>
                      <w:color w:val="auto"/>
                      <w:szCs w:val="21"/>
                    </w:rPr>
                  </w:pPr>
                  <w:r>
                    <w:rPr>
                      <w:rFonts w:hint="eastAsia"/>
                      <w:color w:val="auto"/>
                    </w:rPr>
                    <w:t>4</w:t>
                  </w:r>
                </w:p>
              </w:tc>
              <w:tc>
                <w:tcPr>
                  <w:tcW w:w="623" w:type="pct"/>
                  <w:vAlign w:val="center"/>
                </w:tcPr>
                <w:p>
                  <w:pPr>
                    <w:adjustRightInd w:val="0"/>
                    <w:snapToGrid w:val="0"/>
                    <w:jc w:val="center"/>
                    <w:rPr>
                      <w:color w:val="auto"/>
                    </w:rPr>
                  </w:pPr>
                  <w:r>
                    <w:rPr>
                      <w:rFonts w:hint="eastAsia"/>
                      <w:color w:val="auto"/>
                    </w:rPr>
                    <w:t>NH</w:t>
                  </w:r>
                  <w:r>
                    <w:rPr>
                      <w:rFonts w:hint="eastAsia"/>
                      <w:color w:val="auto"/>
                      <w:vertAlign w:val="subscript"/>
                    </w:rPr>
                    <w:t>3</w:t>
                  </w:r>
                  <w:r>
                    <w:rPr>
                      <w:rFonts w:hint="eastAsia"/>
                      <w:color w:val="auto"/>
                    </w:rPr>
                    <w:t>-H</w:t>
                  </w:r>
                </w:p>
              </w:tc>
              <w:tc>
                <w:tcPr>
                  <w:tcW w:w="690" w:type="pct"/>
                  <w:vAlign w:val="center"/>
                </w:tcPr>
                <w:p>
                  <w:pPr>
                    <w:adjustRightInd w:val="0"/>
                    <w:snapToGrid w:val="0"/>
                    <w:jc w:val="center"/>
                    <w:rPr>
                      <w:color w:val="auto"/>
                    </w:rPr>
                  </w:pPr>
                  <w:r>
                    <w:rPr>
                      <w:rFonts w:hint="eastAsia"/>
                      <w:color w:val="auto"/>
                    </w:rPr>
                    <w:t>5（8）*</w:t>
                  </w:r>
                </w:p>
              </w:tc>
              <w:tc>
                <w:tcPr>
                  <w:tcW w:w="2714"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continue"/>
                  <w:vAlign w:val="center"/>
                </w:tcPr>
                <w:p>
                  <w:pPr>
                    <w:adjustRightInd w:val="0"/>
                    <w:snapToGrid w:val="0"/>
                    <w:jc w:val="center"/>
                    <w:rPr>
                      <w:color w:val="auto"/>
                      <w:szCs w:val="21"/>
                    </w:rPr>
                  </w:pPr>
                </w:p>
              </w:tc>
              <w:tc>
                <w:tcPr>
                  <w:tcW w:w="509" w:type="pct"/>
                  <w:vAlign w:val="center"/>
                </w:tcPr>
                <w:p>
                  <w:pPr>
                    <w:widowControl/>
                    <w:jc w:val="center"/>
                    <w:rPr>
                      <w:color w:val="auto"/>
                      <w:szCs w:val="21"/>
                    </w:rPr>
                  </w:pPr>
                  <w:r>
                    <w:rPr>
                      <w:rFonts w:hint="eastAsia"/>
                      <w:snapToGrid w:val="0"/>
                      <w:color w:val="auto"/>
                      <w:kern w:val="18"/>
                      <w:szCs w:val="21"/>
                    </w:rPr>
                    <w:t>5</w:t>
                  </w:r>
                </w:p>
              </w:tc>
              <w:tc>
                <w:tcPr>
                  <w:tcW w:w="623" w:type="pct"/>
                  <w:vAlign w:val="center"/>
                </w:tcPr>
                <w:p>
                  <w:pPr>
                    <w:widowControl/>
                    <w:jc w:val="center"/>
                    <w:rPr>
                      <w:color w:val="auto"/>
                    </w:rPr>
                  </w:pPr>
                  <w:r>
                    <w:rPr>
                      <w:rFonts w:hint="eastAsia"/>
                      <w:color w:val="auto"/>
                      <w:szCs w:val="21"/>
                    </w:rPr>
                    <w:t>SS</w:t>
                  </w:r>
                </w:p>
              </w:tc>
              <w:tc>
                <w:tcPr>
                  <w:tcW w:w="690" w:type="pct"/>
                  <w:vAlign w:val="center"/>
                </w:tcPr>
                <w:p>
                  <w:pPr>
                    <w:widowControl/>
                    <w:jc w:val="center"/>
                    <w:rPr>
                      <w:color w:val="auto"/>
                    </w:rPr>
                  </w:pPr>
                  <w:r>
                    <w:rPr>
                      <w:rFonts w:hint="eastAsia"/>
                      <w:color w:val="auto"/>
                      <w:szCs w:val="21"/>
                    </w:rPr>
                    <w:t>10</w:t>
                  </w:r>
                </w:p>
              </w:tc>
              <w:tc>
                <w:tcPr>
                  <w:tcW w:w="2714" w:type="pct"/>
                  <w:vMerge w:val="restart"/>
                  <w:vAlign w:val="center"/>
                </w:tcPr>
                <w:p>
                  <w:pPr>
                    <w:adjustRightInd w:val="0"/>
                    <w:snapToGrid w:val="0"/>
                    <w:jc w:val="center"/>
                    <w:rPr>
                      <w:color w:val="auto"/>
                      <w:szCs w:val="21"/>
                    </w:rPr>
                  </w:pPr>
                  <w:r>
                    <w:rPr>
                      <w:snapToGrid w:val="0"/>
                      <w:color w:val="auto"/>
                      <w:kern w:val="18"/>
                      <w:szCs w:val="21"/>
                    </w:rPr>
                    <w:t>《城镇污水处理厂污染物排放标准》</w:t>
                  </w:r>
                  <w:r>
                    <w:rPr>
                      <w:color w:val="auto"/>
                      <w:szCs w:val="21"/>
                    </w:rPr>
                    <w:t>（</w:t>
                  </w:r>
                  <w:r>
                    <w:rPr>
                      <w:snapToGrid w:val="0"/>
                      <w:color w:val="auto"/>
                      <w:kern w:val="18"/>
                      <w:szCs w:val="21"/>
                    </w:rPr>
                    <w:t>GB18918</w:t>
                  </w:r>
                  <w:r>
                    <w:rPr>
                      <w:color w:val="auto"/>
                      <w:szCs w:val="21"/>
                    </w:rPr>
                    <w:t>-2002）及其修改单中</w:t>
                  </w:r>
                  <w:r>
                    <w:rPr>
                      <w:snapToGrid w:val="0"/>
                      <w:color w:val="auto"/>
                      <w:kern w:val="18"/>
                      <w:szCs w:val="21"/>
                    </w:rPr>
                    <w:t>一级</w:t>
                  </w:r>
                  <w:r>
                    <w:rPr>
                      <w:color w:val="auto"/>
                      <w:szCs w:val="21"/>
                    </w:rPr>
                    <w:t>A标准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continue"/>
                  <w:vAlign w:val="center"/>
                </w:tcPr>
                <w:p>
                  <w:pPr>
                    <w:adjustRightInd w:val="0"/>
                    <w:snapToGrid w:val="0"/>
                    <w:jc w:val="center"/>
                    <w:rPr>
                      <w:color w:val="auto"/>
                      <w:szCs w:val="21"/>
                    </w:rPr>
                  </w:pPr>
                </w:p>
              </w:tc>
              <w:tc>
                <w:tcPr>
                  <w:tcW w:w="509" w:type="pct"/>
                  <w:vAlign w:val="center"/>
                </w:tcPr>
                <w:p>
                  <w:pPr>
                    <w:jc w:val="center"/>
                    <w:rPr>
                      <w:color w:val="auto"/>
                      <w:szCs w:val="21"/>
                    </w:rPr>
                  </w:pPr>
                  <w:r>
                    <w:rPr>
                      <w:rFonts w:hint="eastAsia"/>
                      <w:color w:val="auto"/>
                    </w:rPr>
                    <w:t>6</w:t>
                  </w:r>
                </w:p>
              </w:tc>
              <w:tc>
                <w:tcPr>
                  <w:tcW w:w="623" w:type="pct"/>
                  <w:vAlign w:val="center"/>
                </w:tcPr>
                <w:p>
                  <w:pPr>
                    <w:jc w:val="center"/>
                    <w:rPr>
                      <w:color w:val="auto"/>
                    </w:rPr>
                  </w:pPr>
                  <w:r>
                    <w:rPr>
                      <w:rFonts w:hint="eastAsia"/>
                      <w:color w:val="auto"/>
                      <w:szCs w:val="21"/>
                    </w:rPr>
                    <w:t>pH</w:t>
                  </w:r>
                </w:p>
              </w:tc>
              <w:tc>
                <w:tcPr>
                  <w:tcW w:w="690" w:type="pct"/>
                  <w:vAlign w:val="center"/>
                </w:tcPr>
                <w:p>
                  <w:pPr>
                    <w:jc w:val="center"/>
                    <w:rPr>
                      <w:color w:val="auto"/>
                    </w:rPr>
                  </w:pPr>
                  <w:r>
                    <w:rPr>
                      <w:rFonts w:hint="eastAsia"/>
                      <w:color w:val="auto"/>
                      <w:szCs w:val="21"/>
                    </w:rPr>
                    <w:t>6~9</w:t>
                  </w:r>
                </w:p>
              </w:tc>
              <w:tc>
                <w:tcPr>
                  <w:tcW w:w="2714"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461" w:type="pct"/>
                  <w:vMerge w:val="restart"/>
                  <w:vAlign w:val="center"/>
                </w:tcPr>
                <w:p>
                  <w:pPr>
                    <w:adjustRightInd w:val="0"/>
                    <w:snapToGrid w:val="0"/>
                    <w:jc w:val="center"/>
                    <w:rPr>
                      <w:color w:val="auto"/>
                      <w:szCs w:val="21"/>
                    </w:rPr>
                  </w:pPr>
                  <w:r>
                    <w:rPr>
                      <w:color w:val="auto"/>
                      <w:szCs w:val="21"/>
                    </w:rPr>
                    <w:t>2021年1月1日~以后</w:t>
                  </w:r>
                </w:p>
              </w:tc>
              <w:tc>
                <w:tcPr>
                  <w:tcW w:w="509" w:type="pct"/>
                  <w:vAlign w:val="center"/>
                </w:tcPr>
                <w:p>
                  <w:pPr>
                    <w:adjustRightInd w:val="0"/>
                    <w:snapToGrid w:val="0"/>
                    <w:jc w:val="center"/>
                    <w:rPr>
                      <w:color w:val="auto"/>
                      <w:szCs w:val="21"/>
                    </w:rPr>
                  </w:pPr>
                  <w:r>
                    <w:rPr>
                      <w:rFonts w:hint="eastAsia"/>
                      <w:color w:val="auto"/>
                      <w:szCs w:val="21"/>
                    </w:rPr>
                    <w:t>1</w:t>
                  </w:r>
                </w:p>
              </w:tc>
              <w:tc>
                <w:tcPr>
                  <w:tcW w:w="623" w:type="pct"/>
                  <w:vAlign w:val="center"/>
                </w:tcPr>
                <w:p>
                  <w:pPr>
                    <w:adjustRightInd w:val="0"/>
                    <w:snapToGrid w:val="0"/>
                    <w:jc w:val="center"/>
                    <w:rPr>
                      <w:color w:val="auto"/>
                    </w:rPr>
                  </w:pPr>
                  <w:r>
                    <w:rPr>
                      <w:rFonts w:hint="eastAsia"/>
                      <w:color w:val="auto"/>
                    </w:rPr>
                    <w:t>COD</w:t>
                  </w:r>
                </w:p>
              </w:tc>
              <w:tc>
                <w:tcPr>
                  <w:tcW w:w="690" w:type="pct"/>
                  <w:vAlign w:val="center"/>
                </w:tcPr>
                <w:p>
                  <w:pPr>
                    <w:adjustRightInd w:val="0"/>
                    <w:snapToGrid w:val="0"/>
                    <w:jc w:val="center"/>
                    <w:rPr>
                      <w:color w:val="auto"/>
                    </w:rPr>
                  </w:pPr>
                  <w:r>
                    <w:rPr>
                      <w:rFonts w:hint="eastAsia"/>
                      <w:color w:val="auto"/>
                    </w:rPr>
                    <w:t>50</w:t>
                  </w:r>
                </w:p>
              </w:tc>
              <w:tc>
                <w:tcPr>
                  <w:tcW w:w="2714" w:type="pct"/>
                  <w:vMerge w:val="restart"/>
                  <w:vAlign w:val="center"/>
                </w:tcPr>
                <w:p>
                  <w:pPr>
                    <w:adjustRightInd w:val="0"/>
                    <w:snapToGrid w:val="0"/>
                    <w:jc w:val="center"/>
                    <w:rPr>
                      <w:color w:val="auto"/>
                    </w:rPr>
                  </w:pPr>
                  <w:r>
                    <w:rPr>
                      <w:rFonts w:hint="eastAsia"/>
                      <w:color w:val="auto"/>
                      <w:szCs w:val="21"/>
                    </w:rPr>
                    <w:t>《太湖地区城镇污水处理厂及重点工业行业主要水污染物排放限值》（DB32/1072—2018）中表2中的标准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511" w:hRule="atLeast"/>
                <w:jc w:val="center"/>
              </w:trPr>
              <w:tc>
                <w:tcPr>
                  <w:tcW w:w="461" w:type="pct"/>
                  <w:vMerge w:val="continue"/>
                  <w:vAlign w:val="center"/>
                </w:tcPr>
                <w:p>
                  <w:pPr>
                    <w:adjustRightInd w:val="0"/>
                    <w:snapToGrid w:val="0"/>
                    <w:jc w:val="center"/>
                    <w:rPr>
                      <w:color w:val="auto"/>
                    </w:rPr>
                  </w:pPr>
                </w:p>
              </w:tc>
              <w:tc>
                <w:tcPr>
                  <w:tcW w:w="509" w:type="pct"/>
                  <w:vAlign w:val="center"/>
                </w:tcPr>
                <w:p>
                  <w:pPr>
                    <w:adjustRightInd w:val="0"/>
                    <w:snapToGrid w:val="0"/>
                    <w:jc w:val="center"/>
                    <w:rPr>
                      <w:color w:val="auto"/>
                    </w:rPr>
                  </w:pPr>
                  <w:r>
                    <w:rPr>
                      <w:rFonts w:hint="eastAsia"/>
                      <w:color w:val="auto"/>
                    </w:rPr>
                    <w:t>2</w:t>
                  </w:r>
                </w:p>
              </w:tc>
              <w:tc>
                <w:tcPr>
                  <w:tcW w:w="623" w:type="pct"/>
                  <w:vAlign w:val="center"/>
                </w:tcPr>
                <w:p>
                  <w:pPr>
                    <w:adjustRightInd w:val="0"/>
                    <w:snapToGrid w:val="0"/>
                    <w:jc w:val="center"/>
                    <w:rPr>
                      <w:color w:val="auto"/>
                    </w:rPr>
                  </w:pPr>
                  <w:r>
                    <w:rPr>
                      <w:rFonts w:hint="eastAsia"/>
                      <w:color w:val="auto"/>
                    </w:rPr>
                    <w:t>TP</w:t>
                  </w:r>
                </w:p>
              </w:tc>
              <w:tc>
                <w:tcPr>
                  <w:tcW w:w="690" w:type="pct"/>
                  <w:vAlign w:val="center"/>
                </w:tcPr>
                <w:p>
                  <w:pPr>
                    <w:adjustRightInd w:val="0"/>
                    <w:snapToGrid w:val="0"/>
                    <w:jc w:val="center"/>
                    <w:rPr>
                      <w:color w:val="auto"/>
                    </w:rPr>
                  </w:pPr>
                  <w:r>
                    <w:rPr>
                      <w:rFonts w:hint="eastAsia"/>
                      <w:color w:val="auto"/>
                    </w:rPr>
                    <w:t>0.5</w:t>
                  </w:r>
                </w:p>
              </w:tc>
              <w:tc>
                <w:tcPr>
                  <w:tcW w:w="2714" w:type="pct"/>
                  <w:vMerge w:val="continue"/>
                  <w:vAlign w:val="center"/>
                </w:tcPr>
                <w:p>
                  <w:pPr>
                    <w:adjustRightInd w:val="0"/>
                    <w:snapToGrid w:val="0"/>
                    <w:jc w:val="cente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590" w:hRule="atLeast"/>
                <w:jc w:val="center"/>
              </w:trPr>
              <w:tc>
                <w:tcPr>
                  <w:tcW w:w="461" w:type="pct"/>
                  <w:vMerge w:val="continue"/>
                  <w:vAlign w:val="center"/>
                </w:tcPr>
                <w:p>
                  <w:pPr>
                    <w:adjustRightInd w:val="0"/>
                    <w:snapToGrid w:val="0"/>
                    <w:jc w:val="center"/>
                    <w:rPr>
                      <w:color w:val="auto"/>
                    </w:rPr>
                  </w:pPr>
                </w:p>
              </w:tc>
              <w:tc>
                <w:tcPr>
                  <w:tcW w:w="509" w:type="pct"/>
                  <w:vAlign w:val="center"/>
                </w:tcPr>
                <w:p>
                  <w:pPr>
                    <w:adjustRightInd w:val="0"/>
                    <w:snapToGrid w:val="0"/>
                    <w:jc w:val="center"/>
                    <w:rPr>
                      <w:color w:val="auto"/>
                    </w:rPr>
                  </w:pPr>
                  <w:r>
                    <w:rPr>
                      <w:rFonts w:hint="eastAsia"/>
                      <w:color w:val="auto"/>
                    </w:rPr>
                    <w:t>3</w:t>
                  </w:r>
                </w:p>
              </w:tc>
              <w:tc>
                <w:tcPr>
                  <w:tcW w:w="623" w:type="pct"/>
                  <w:vAlign w:val="center"/>
                </w:tcPr>
                <w:p>
                  <w:pPr>
                    <w:adjustRightInd w:val="0"/>
                    <w:snapToGrid w:val="0"/>
                    <w:jc w:val="center"/>
                    <w:rPr>
                      <w:color w:val="auto"/>
                    </w:rPr>
                  </w:pPr>
                  <w:r>
                    <w:rPr>
                      <w:rFonts w:hint="eastAsia"/>
                      <w:color w:val="auto"/>
                    </w:rPr>
                    <w:t>TN</w:t>
                  </w:r>
                </w:p>
              </w:tc>
              <w:tc>
                <w:tcPr>
                  <w:tcW w:w="690" w:type="pct"/>
                  <w:vAlign w:val="center"/>
                </w:tcPr>
                <w:p>
                  <w:pPr>
                    <w:adjustRightInd w:val="0"/>
                    <w:snapToGrid w:val="0"/>
                    <w:jc w:val="center"/>
                    <w:rPr>
                      <w:color w:val="auto"/>
                    </w:rPr>
                  </w:pPr>
                  <w:r>
                    <w:rPr>
                      <w:rFonts w:hint="eastAsia"/>
                      <w:color w:val="auto"/>
                    </w:rPr>
                    <w:t>12（15）*</w:t>
                  </w:r>
                </w:p>
              </w:tc>
              <w:tc>
                <w:tcPr>
                  <w:tcW w:w="2714" w:type="pct"/>
                  <w:vMerge w:val="continue"/>
                  <w:vAlign w:val="center"/>
                </w:tcPr>
                <w:p>
                  <w:pPr>
                    <w:adjustRightInd w:val="0"/>
                    <w:snapToGrid w:val="0"/>
                    <w:jc w:val="cente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804" w:hRule="atLeast"/>
                <w:jc w:val="center"/>
              </w:trPr>
              <w:tc>
                <w:tcPr>
                  <w:tcW w:w="461" w:type="pct"/>
                  <w:vMerge w:val="continue"/>
                  <w:vAlign w:val="center"/>
                </w:tcPr>
                <w:p>
                  <w:pPr>
                    <w:adjustRightInd w:val="0"/>
                    <w:snapToGrid w:val="0"/>
                    <w:jc w:val="center"/>
                    <w:rPr>
                      <w:color w:val="auto"/>
                    </w:rPr>
                  </w:pPr>
                </w:p>
              </w:tc>
              <w:tc>
                <w:tcPr>
                  <w:tcW w:w="509" w:type="pct"/>
                  <w:vAlign w:val="center"/>
                </w:tcPr>
                <w:p>
                  <w:pPr>
                    <w:adjustRightInd w:val="0"/>
                    <w:snapToGrid w:val="0"/>
                    <w:jc w:val="center"/>
                    <w:rPr>
                      <w:color w:val="auto"/>
                    </w:rPr>
                  </w:pPr>
                  <w:r>
                    <w:rPr>
                      <w:rFonts w:hint="eastAsia"/>
                      <w:color w:val="auto"/>
                    </w:rPr>
                    <w:t>4</w:t>
                  </w:r>
                </w:p>
              </w:tc>
              <w:tc>
                <w:tcPr>
                  <w:tcW w:w="623" w:type="pct"/>
                  <w:vAlign w:val="center"/>
                </w:tcPr>
                <w:p>
                  <w:pPr>
                    <w:adjustRightInd w:val="0"/>
                    <w:snapToGrid w:val="0"/>
                    <w:jc w:val="center"/>
                    <w:rPr>
                      <w:color w:val="auto"/>
                    </w:rPr>
                  </w:pPr>
                  <w:r>
                    <w:rPr>
                      <w:rFonts w:hint="eastAsia"/>
                      <w:color w:val="auto"/>
                    </w:rPr>
                    <w:t>NH</w:t>
                  </w:r>
                  <w:r>
                    <w:rPr>
                      <w:rFonts w:hint="eastAsia"/>
                      <w:color w:val="auto"/>
                      <w:vertAlign w:val="subscript"/>
                    </w:rPr>
                    <w:t>3</w:t>
                  </w:r>
                  <w:r>
                    <w:rPr>
                      <w:rFonts w:hint="eastAsia"/>
                      <w:color w:val="auto"/>
                    </w:rPr>
                    <w:t>-H</w:t>
                  </w:r>
                </w:p>
              </w:tc>
              <w:tc>
                <w:tcPr>
                  <w:tcW w:w="690" w:type="pct"/>
                  <w:vAlign w:val="center"/>
                </w:tcPr>
                <w:p>
                  <w:pPr>
                    <w:adjustRightInd w:val="0"/>
                    <w:snapToGrid w:val="0"/>
                    <w:jc w:val="center"/>
                    <w:rPr>
                      <w:color w:val="auto"/>
                    </w:rPr>
                  </w:pPr>
                  <w:r>
                    <w:rPr>
                      <w:rFonts w:hint="eastAsia"/>
                      <w:color w:val="auto"/>
                    </w:rPr>
                    <w:t>4（6）*</w:t>
                  </w:r>
                </w:p>
              </w:tc>
              <w:tc>
                <w:tcPr>
                  <w:tcW w:w="2714" w:type="pct"/>
                  <w:vMerge w:val="continue"/>
                  <w:vAlign w:val="center"/>
                </w:tcPr>
                <w:p>
                  <w:pPr>
                    <w:adjustRightInd w:val="0"/>
                    <w:snapToGrid w:val="0"/>
                    <w:jc w:val="center"/>
                    <w:rPr>
                      <w:color w:val="auto"/>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10" w:hRule="atLeast"/>
                <w:jc w:val="center"/>
              </w:trPr>
              <w:tc>
                <w:tcPr>
                  <w:tcW w:w="461" w:type="pct"/>
                  <w:vMerge w:val="continue"/>
                  <w:vAlign w:val="center"/>
                </w:tcPr>
                <w:p>
                  <w:pPr>
                    <w:widowControl/>
                    <w:jc w:val="center"/>
                    <w:rPr>
                      <w:snapToGrid w:val="0"/>
                      <w:color w:val="auto"/>
                      <w:kern w:val="18"/>
                      <w:szCs w:val="21"/>
                    </w:rPr>
                  </w:pPr>
                </w:p>
              </w:tc>
              <w:tc>
                <w:tcPr>
                  <w:tcW w:w="509" w:type="pct"/>
                  <w:vAlign w:val="center"/>
                </w:tcPr>
                <w:p>
                  <w:pPr>
                    <w:widowControl/>
                    <w:jc w:val="center"/>
                    <w:rPr>
                      <w:snapToGrid w:val="0"/>
                      <w:color w:val="auto"/>
                      <w:kern w:val="18"/>
                      <w:szCs w:val="21"/>
                    </w:rPr>
                  </w:pPr>
                  <w:r>
                    <w:rPr>
                      <w:rFonts w:hint="eastAsia"/>
                      <w:snapToGrid w:val="0"/>
                      <w:color w:val="auto"/>
                      <w:kern w:val="18"/>
                      <w:szCs w:val="21"/>
                    </w:rPr>
                    <w:t>5</w:t>
                  </w:r>
                </w:p>
              </w:tc>
              <w:tc>
                <w:tcPr>
                  <w:tcW w:w="623" w:type="pct"/>
                  <w:vAlign w:val="center"/>
                </w:tcPr>
                <w:p>
                  <w:pPr>
                    <w:widowControl/>
                    <w:jc w:val="center"/>
                    <w:rPr>
                      <w:color w:val="auto"/>
                      <w:szCs w:val="21"/>
                    </w:rPr>
                  </w:pPr>
                  <w:r>
                    <w:rPr>
                      <w:rFonts w:hint="eastAsia"/>
                      <w:color w:val="auto"/>
                      <w:szCs w:val="21"/>
                    </w:rPr>
                    <w:t>SS</w:t>
                  </w:r>
                </w:p>
              </w:tc>
              <w:tc>
                <w:tcPr>
                  <w:tcW w:w="690" w:type="pct"/>
                  <w:vAlign w:val="center"/>
                </w:tcPr>
                <w:p>
                  <w:pPr>
                    <w:widowControl/>
                    <w:jc w:val="center"/>
                    <w:rPr>
                      <w:color w:val="auto"/>
                      <w:szCs w:val="21"/>
                    </w:rPr>
                  </w:pPr>
                  <w:r>
                    <w:rPr>
                      <w:rFonts w:hint="eastAsia"/>
                      <w:color w:val="auto"/>
                      <w:szCs w:val="21"/>
                    </w:rPr>
                    <w:t>10</w:t>
                  </w:r>
                </w:p>
              </w:tc>
              <w:tc>
                <w:tcPr>
                  <w:tcW w:w="2714" w:type="pct"/>
                  <w:vMerge w:val="restart"/>
                  <w:vAlign w:val="center"/>
                </w:tcPr>
                <w:p>
                  <w:pPr>
                    <w:widowControl/>
                    <w:jc w:val="center"/>
                    <w:rPr>
                      <w:color w:val="auto"/>
                      <w:szCs w:val="21"/>
                    </w:rPr>
                  </w:pPr>
                  <w:r>
                    <w:rPr>
                      <w:snapToGrid w:val="0"/>
                      <w:color w:val="auto"/>
                      <w:kern w:val="18"/>
                      <w:szCs w:val="21"/>
                    </w:rPr>
                    <w:t>《城镇污水处理厂污染物排放标准》</w:t>
                  </w:r>
                  <w:r>
                    <w:rPr>
                      <w:color w:val="auto"/>
                      <w:szCs w:val="21"/>
                    </w:rPr>
                    <w:t>（</w:t>
                  </w:r>
                  <w:r>
                    <w:rPr>
                      <w:snapToGrid w:val="0"/>
                      <w:color w:val="auto"/>
                      <w:kern w:val="18"/>
                      <w:szCs w:val="21"/>
                    </w:rPr>
                    <w:t>GB18918</w:t>
                  </w:r>
                  <w:r>
                    <w:rPr>
                      <w:color w:val="auto"/>
                      <w:szCs w:val="21"/>
                    </w:rPr>
                    <w:t>-2002）及其修改单中</w:t>
                  </w:r>
                  <w:r>
                    <w:rPr>
                      <w:snapToGrid w:val="0"/>
                      <w:color w:val="auto"/>
                      <w:kern w:val="18"/>
                      <w:szCs w:val="21"/>
                    </w:rPr>
                    <w:t>一级</w:t>
                  </w:r>
                  <w:r>
                    <w:rPr>
                      <w:color w:val="auto"/>
                      <w:szCs w:val="21"/>
                    </w:rPr>
                    <w:t>A标准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461" w:type="pct"/>
                  <w:vMerge w:val="continue"/>
                  <w:vAlign w:val="center"/>
                </w:tcPr>
                <w:p>
                  <w:pPr>
                    <w:jc w:val="center"/>
                    <w:rPr>
                      <w:color w:val="auto"/>
                    </w:rPr>
                  </w:pPr>
                </w:p>
              </w:tc>
              <w:tc>
                <w:tcPr>
                  <w:tcW w:w="509" w:type="pct"/>
                  <w:vAlign w:val="center"/>
                </w:tcPr>
                <w:p>
                  <w:pPr>
                    <w:jc w:val="center"/>
                    <w:rPr>
                      <w:color w:val="auto"/>
                    </w:rPr>
                  </w:pPr>
                  <w:r>
                    <w:rPr>
                      <w:rFonts w:hint="eastAsia"/>
                      <w:color w:val="auto"/>
                    </w:rPr>
                    <w:t>6</w:t>
                  </w:r>
                </w:p>
              </w:tc>
              <w:tc>
                <w:tcPr>
                  <w:tcW w:w="623" w:type="pct"/>
                  <w:vAlign w:val="center"/>
                </w:tcPr>
                <w:p>
                  <w:pPr>
                    <w:jc w:val="center"/>
                    <w:rPr>
                      <w:color w:val="auto"/>
                      <w:szCs w:val="21"/>
                    </w:rPr>
                  </w:pPr>
                  <w:r>
                    <w:rPr>
                      <w:rFonts w:hint="eastAsia"/>
                      <w:color w:val="auto"/>
                      <w:szCs w:val="21"/>
                    </w:rPr>
                    <w:t>pH</w:t>
                  </w:r>
                </w:p>
              </w:tc>
              <w:tc>
                <w:tcPr>
                  <w:tcW w:w="690" w:type="pct"/>
                  <w:vAlign w:val="center"/>
                </w:tcPr>
                <w:p>
                  <w:pPr>
                    <w:jc w:val="center"/>
                    <w:rPr>
                      <w:color w:val="auto"/>
                      <w:szCs w:val="21"/>
                    </w:rPr>
                  </w:pPr>
                  <w:r>
                    <w:rPr>
                      <w:rFonts w:hint="eastAsia"/>
                      <w:color w:val="auto"/>
                      <w:szCs w:val="21"/>
                    </w:rPr>
                    <w:t>6~9</w:t>
                  </w:r>
                </w:p>
              </w:tc>
              <w:tc>
                <w:tcPr>
                  <w:tcW w:w="2714" w:type="pct"/>
                  <w:vMerge w:val="continue"/>
                  <w:vAlign w:val="center"/>
                </w:tcPr>
                <w:p>
                  <w:pPr>
                    <w:jc w:val="center"/>
                    <w:rPr>
                      <w:color w:val="auto"/>
                      <w:szCs w:val="21"/>
                    </w:rPr>
                  </w:pPr>
                </w:p>
              </w:tc>
            </w:tr>
          </w:tbl>
          <w:p>
            <w:pPr>
              <w:ind w:firstLine="360" w:firstLineChars="200"/>
              <w:rPr>
                <w:b/>
                <w:bCs/>
                <w:color w:val="auto"/>
                <w:sz w:val="18"/>
                <w:szCs w:val="18"/>
              </w:rPr>
            </w:pPr>
            <w:r>
              <w:rPr>
                <w:b/>
                <w:bCs/>
                <w:color w:val="auto"/>
                <w:sz w:val="18"/>
                <w:szCs w:val="18"/>
              </w:rPr>
              <w:t>注*：括号外数值为水温＞12℃时的控制指标，括号内数值为水温≤12℃时的控制指标。</w:t>
            </w:r>
          </w:p>
          <w:p>
            <w:pPr>
              <w:spacing w:line="360" w:lineRule="auto"/>
              <w:ind w:firstLine="480" w:firstLineChars="200"/>
              <w:rPr>
                <w:b/>
                <w:color w:val="auto"/>
                <w:sz w:val="24"/>
                <w:szCs w:val="24"/>
              </w:rPr>
            </w:pPr>
            <w:r>
              <w:rPr>
                <w:b/>
                <w:color w:val="auto"/>
                <w:sz w:val="24"/>
                <w:szCs w:val="24"/>
              </w:rPr>
              <w:t>3、噪声排放标准</w:t>
            </w:r>
          </w:p>
          <w:p>
            <w:pPr>
              <w:snapToGrid w:val="0"/>
              <w:spacing w:line="360" w:lineRule="auto"/>
              <w:ind w:firstLine="600" w:firstLineChars="250"/>
              <w:rPr>
                <w:color w:val="auto"/>
                <w:sz w:val="24"/>
              </w:rPr>
            </w:pPr>
            <w:r>
              <w:rPr>
                <w:color w:val="auto"/>
                <w:sz w:val="24"/>
              </w:rPr>
              <w:t>本项目</w:t>
            </w:r>
            <w:r>
              <w:rPr>
                <w:rFonts w:hint="eastAsia"/>
                <w:color w:val="auto"/>
                <w:spacing w:val="-6"/>
                <w:sz w:val="24"/>
              </w:rPr>
              <w:t>营运期</w:t>
            </w:r>
            <w:r>
              <w:rPr>
                <w:color w:val="auto"/>
                <w:spacing w:val="-6"/>
                <w:sz w:val="24"/>
              </w:rPr>
              <w:t>项目厂界</w:t>
            </w:r>
            <w:r>
              <w:rPr>
                <w:rFonts w:hint="eastAsia"/>
                <w:color w:val="auto"/>
                <w:spacing w:val="-6"/>
                <w:sz w:val="24"/>
              </w:rPr>
              <w:t>噪声</w:t>
            </w:r>
            <w:r>
              <w:rPr>
                <w:color w:val="auto"/>
                <w:spacing w:val="-6"/>
                <w:sz w:val="24"/>
              </w:rPr>
              <w:t>执行《工业企业厂界环境噪声排放标准》（GB12348-2008）表1中</w:t>
            </w:r>
            <w:r>
              <w:rPr>
                <w:rFonts w:hint="eastAsia"/>
                <w:color w:val="auto"/>
                <w:spacing w:val="-6"/>
                <w:sz w:val="24"/>
                <w:lang w:val="en-US" w:eastAsia="zh-CN"/>
              </w:rPr>
              <w:t>2</w:t>
            </w:r>
            <w:r>
              <w:rPr>
                <w:color w:val="auto"/>
                <w:spacing w:val="-6"/>
                <w:sz w:val="24"/>
              </w:rPr>
              <w:t>类区</w:t>
            </w:r>
            <w:r>
              <w:rPr>
                <w:rFonts w:hint="eastAsia"/>
                <w:color w:val="auto"/>
                <w:spacing w:val="-6"/>
                <w:sz w:val="24"/>
              </w:rPr>
              <w:t>限值。</w:t>
            </w:r>
            <w:r>
              <w:rPr>
                <w:color w:val="auto"/>
                <w:spacing w:val="-6"/>
                <w:sz w:val="24"/>
              </w:rPr>
              <w:t>具体</w:t>
            </w:r>
            <w:r>
              <w:rPr>
                <w:rFonts w:hint="eastAsia"/>
                <w:color w:val="auto"/>
                <w:spacing w:val="-6"/>
                <w:sz w:val="24"/>
              </w:rPr>
              <w:t>限值</w:t>
            </w:r>
            <w:r>
              <w:rPr>
                <w:color w:val="auto"/>
                <w:spacing w:val="-6"/>
                <w:sz w:val="24"/>
              </w:rPr>
              <w:t>见</w:t>
            </w:r>
            <w:r>
              <w:rPr>
                <w:color w:val="auto"/>
                <w:sz w:val="24"/>
              </w:rPr>
              <w:t>表4-</w:t>
            </w:r>
            <w:r>
              <w:rPr>
                <w:rFonts w:hint="eastAsia"/>
                <w:color w:val="auto"/>
                <w:sz w:val="24"/>
              </w:rPr>
              <w:t>8</w:t>
            </w:r>
            <w:r>
              <w:rPr>
                <w:color w:val="auto"/>
                <w:sz w:val="24"/>
              </w:rPr>
              <w:t>。</w:t>
            </w:r>
          </w:p>
          <w:p>
            <w:pPr>
              <w:snapToGrid w:val="0"/>
              <w:ind w:firstLine="495" w:firstLineChars="250"/>
              <w:jc w:val="center"/>
              <w:rPr>
                <w:b/>
                <w:color w:val="auto"/>
                <w:spacing w:val="-6"/>
                <w:szCs w:val="21"/>
              </w:rPr>
            </w:pPr>
            <w:r>
              <w:rPr>
                <w:b/>
                <w:color w:val="auto"/>
                <w:spacing w:val="-6"/>
                <w:szCs w:val="21"/>
              </w:rPr>
              <w:t>表4-</w:t>
            </w:r>
            <w:r>
              <w:rPr>
                <w:rFonts w:hint="eastAsia"/>
                <w:b/>
                <w:color w:val="auto"/>
                <w:spacing w:val="-6"/>
                <w:szCs w:val="21"/>
              </w:rPr>
              <w:t xml:space="preserve">8 </w:t>
            </w:r>
            <w:r>
              <w:rPr>
                <w:b/>
                <w:color w:val="auto"/>
                <w:spacing w:val="-6"/>
                <w:szCs w:val="21"/>
              </w:rPr>
              <w:t xml:space="preserve"> 工业企业厂界噪声排放</w:t>
            </w:r>
            <w:r>
              <w:rPr>
                <w:rStyle w:val="75"/>
                <w:rFonts w:hint="eastAsia"/>
                <w:b/>
                <w:bCs/>
                <w:color w:val="auto"/>
              </w:rPr>
              <w:t>限值</w:t>
            </w:r>
            <w:r>
              <w:rPr>
                <w:color w:val="auto"/>
                <w:spacing w:val="-6"/>
                <w:szCs w:val="21"/>
              </w:rPr>
              <w:t xml:space="preserve">  </w:t>
            </w:r>
            <w:r>
              <w:rPr>
                <w:b/>
                <w:color w:val="auto"/>
                <w:spacing w:val="-6"/>
                <w:szCs w:val="21"/>
              </w:rPr>
              <w:t xml:space="preserve">     单位：dB(A)</w:t>
            </w:r>
          </w:p>
          <w:tbl>
            <w:tblPr>
              <w:tblStyle w:val="56"/>
              <w:tblW w:w="781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043"/>
              <w:gridCol w:w="885"/>
              <w:gridCol w:w="915"/>
              <w:gridCol w:w="497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3" w:type="dxa"/>
                  <w:vAlign w:val="center"/>
                </w:tcPr>
                <w:p>
                  <w:pPr>
                    <w:snapToGrid w:val="0"/>
                    <w:jc w:val="center"/>
                    <w:rPr>
                      <w:b/>
                      <w:color w:val="auto"/>
                      <w:spacing w:val="-6"/>
                      <w:szCs w:val="21"/>
                    </w:rPr>
                  </w:pPr>
                  <w:r>
                    <w:rPr>
                      <w:b/>
                      <w:color w:val="auto"/>
                      <w:spacing w:val="-6"/>
                      <w:szCs w:val="21"/>
                    </w:rPr>
                    <w:t>评价</w:t>
                  </w:r>
                  <w:r>
                    <w:rPr>
                      <w:rFonts w:hint="eastAsia"/>
                      <w:b/>
                      <w:color w:val="auto"/>
                      <w:spacing w:val="-6"/>
                      <w:szCs w:val="21"/>
                    </w:rPr>
                    <w:t>限值</w:t>
                  </w:r>
                </w:p>
              </w:tc>
              <w:tc>
                <w:tcPr>
                  <w:tcW w:w="885" w:type="dxa"/>
                  <w:vAlign w:val="center"/>
                </w:tcPr>
                <w:p>
                  <w:pPr>
                    <w:snapToGrid w:val="0"/>
                    <w:jc w:val="center"/>
                    <w:rPr>
                      <w:b/>
                      <w:color w:val="auto"/>
                      <w:spacing w:val="-6"/>
                      <w:szCs w:val="21"/>
                    </w:rPr>
                  </w:pPr>
                  <w:r>
                    <w:rPr>
                      <w:b/>
                      <w:color w:val="auto"/>
                      <w:spacing w:val="-6"/>
                      <w:szCs w:val="21"/>
                    </w:rPr>
                    <w:t>昼间</w:t>
                  </w:r>
                </w:p>
              </w:tc>
              <w:tc>
                <w:tcPr>
                  <w:tcW w:w="915" w:type="dxa"/>
                  <w:vAlign w:val="center"/>
                </w:tcPr>
                <w:p>
                  <w:pPr>
                    <w:snapToGrid w:val="0"/>
                    <w:jc w:val="center"/>
                    <w:rPr>
                      <w:b/>
                      <w:color w:val="auto"/>
                      <w:spacing w:val="-6"/>
                      <w:szCs w:val="21"/>
                    </w:rPr>
                  </w:pPr>
                  <w:r>
                    <w:rPr>
                      <w:b/>
                      <w:color w:val="auto"/>
                      <w:spacing w:val="-6"/>
                      <w:szCs w:val="21"/>
                    </w:rPr>
                    <w:t>夜间</w:t>
                  </w:r>
                </w:p>
              </w:tc>
              <w:tc>
                <w:tcPr>
                  <w:tcW w:w="4972" w:type="dxa"/>
                  <w:vAlign w:val="center"/>
                </w:tcPr>
                <w:p>
                  <w:pPr>
                    <w:snapToGrid w:val="0"/>
                    <w:jc w:val="center"/>
                    <w:rPr>
                      <w:b/>
                      <w:color w:val="auto"/>
                      <w:spacing w:val="-6"/>
                      <w:szCs w:val="21"/>
                    </w:rPr>
                  </w:pPr>
                  <w:r>
                    <w:rPr>
                      <w:rFonts w:hint="eastAsia"/>
                      <w:b/>
                      <w:color w:val="auto"/>
                      <w:spacing w:val="-6"/>
                      <w:szCs w:val="21"/>
                    </w:rPr>
                    <w:t>限值来源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3" w:type="dxa"/>
                  <w:vAlign w:val="center"/>
                </w:tcPr>
                <w:p>
                  <w:pPr>
                    <w:jc w:val="center"/>
                    <w:rPr>
                      <w:color w:val="auto"/>
                      <w:szCs w:val="21"/>
                    </w:rPr>
                  </w:pPr>
                  <w:r>
                    <w:rPr>
                      <w:rFonts w:hint="eastAsia"/>
                      <w:color w:val="auto"/>
                      <w:szCs w:val="21"/>
                      <w:lang w:val="en-US" w:eastAsia="zh-CN"/>
                    </w:rPr>
                    <w:t>2</w:t>
                  </w:r>
                  <w:r>
                    <w:rPr>
                      <w:rFonts w:hint="eastAsia"/>
                      <w:color w:val="auto"/>
                      <w:szCs w:val="21"/>
                    </w:rPr>
                    <w:t>类区</w:t>
                  </w:r>
                </w:p>
              </w:tc>
              <w:tc>
                <w:tcPr>
                  <w:tcW w:w="885" w:type="dxa"/>
                  <w:vAlign w:val="center"/>
                </w:tcPr>
                <w:p>
                  <w:pPr>
                    <w:jc w:val="center"/>
                    <w:rPr>
                      <w:rFonts w:hint="eastAsia" w:eastAsia="宋体"/>
                      <w:color w:val="auto"/>
                      <w:szCs w:val="21"/>
                      <w:lang w:eastAsia="zh-CN"/>
                    </w:rPr>
                  </w:pPr>
                  <w:r>
                    <w:rPr>
                      <w:rFonts w:hint="eastAsia"/>
                      <w:color w:val="auto"/>
                      <w:szCs w:val="21"/>
                    </w:rPr>
                    <w:t>6</w:t>
                  </w:r>
                  <w:r>
                    <w:rPr>
                      <w:rFonts w:hint="eastAsia"/>
                      <w:color w:val="auto"/>
                      <w:szCs w:val="21"/>
                      <w:lang w:val="en-US" w:eastAsia="zh-CN"/>
                    </w:rPr>
                    <w:t>0</w:t>
                  </w:r>
                </w:p>
              </w:tc>
              <w:tc>
                <w:tcPr>
                  <w:tcW w:w="915" w:type="dxa"/>
                  <w:vAlign w:val="center"/>
                </w:tcPr>
                <w:p>
                  <w:pPr>
                    <w:jc w:val="center"/>
                    <w:rPr>
                      <w:rFonts w:hint="eastAsia" w:eastAsia="宋体"/>
                      <w:color w:val="auto"/>
                      <w:szCs w:val="21"/>
                      <w:lang w:eastAsia="zh-CN"/>
                    </w:rPr>
                  </w:pPr>
                  <w:r>
                    <w:rPr>
                      <w:rFonts w:hint="eastAsia"/>
                      <w:color w:val="auto"/>
                      <w:szCs w:val="21"/>
                    </w:rPr>
                    <w:t>5</w:t>
                  </w:r>
                  <w:r>
                    <w:rPr>
                      <w:rFonts w:hint="eastAsia"/>
                      <w:color w:val="auto"/>
                      <w:szCs w:val="21"/>
                      <w:lang w:val="en-US" w:eastAsia="zh-CN"/>
                    </w:rPr>
                    <w:t>0</w:t>
                  </w:r>
                </w:p>
              </w:tc>
              <w:tc>
                <w:tcPr>
                  <w:tcW w:w="4972" w:type="dxa"/>
                  <w:vAlign w:val="center"/>
                </w:tcPr>
                <w:p>
                  <w:pPr>
                    <w:rPr>
                      <w:color w:val="auto"/>
                      <w:szCs w:val="21"/>
                    </w:rPr>
                  </w:pPr>
                  <w:r>
                    <w:rPr>
                      <w:color w:val="auto"/>
                      <w:szCs w:val="21"/>
                    </w:rPr>
                    <w:t>《工业企业厂界环境噪声排放标准》（GB12348-2008）</w:t>
                  </w:r>
                </w:p>
              </w:tc>
            </w:tr>
          </w:tbl>
          <w:p>
            <w:pPr>
              <w:spacing w:line="360" w:lineRule="auto"/>
              <w:ind w:firstLine="480" w:firstLineChars="200"/>
              <w:rPr>
                <w:b/>
                <w:color w:val="auto"/>
                <w:sz w:val="24"/>
                <w:szCs w:val="24"/>
              </w:rPr>
            </w:pPr>
            <w:r>
              <w:rPr>
                <w:b/>
                <w:color w:val="auto"/>
                <w:sz w:val="24"/>
                <w:szCs w:val="24"/>
              </w:rPr>
              <w:t>4、固废</w:t>
            </w:r>
          </w:p>
          <w:p>
            <w:pPr>
              <w:adjustRightInd w:val="0"/>
              <w:snapToGrid w:val="0"/>
              <w:spacing w:line="360" w:lineRule="auto"/>
              <w:ind w:firstLine="480" w:firstLineChars="200"/>
              <w:rPr>
                <w:color w:val="auto"/>
                <w:sz w:val="24"/>
                <w:szCs w:val="24"/>
              </w:rPr>
            </w:pPr>
            <w:r>
              <w:rPr>
                <w:color w:val="auto"/>
                <w:sz w:val="24"/>
              </w:rPr>
              <w:t>本项目一般性固体废物执行《一般工业固体废物贮存、处置场污染物控制标准》（GB18599-2001）及修改单（环保部公告2013年第36号）中标准要求</w:t>
            </w:r>
            <w:r>
              <w:rPr>
                <w:rFonts w:hint="eastAsia"/>
                <w:color w:val="auto"/>
                <w:sz w:val="24"/>
              </w:rPr>
              <w:t>；</w:t>
            </w:r>
            <w:r>
              <w:rPr>
                <w:color w:val="auto"/>
                <w:sz w:val="24"/>
              </w:rPr>
              <w:t>危险废物执行《危险废物贮存污染控制标准》（GB18597-2001）及修改单（环保部公告2013年第36号）中标准要求。</w:t>
            </w:r>
          </w:p>
          <w:p>
            <w:pPr>
              <w:rPr>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735" w:hRule="atLeast"/>
          <w:jc w:val="center"/>
        </w:trPr>
        <w:tc>
          <w:tcPr>
            <w:tcW w:w="497" w:type="dxa"/>
            <w:vAlign w:val="center"/>
          </w:tcPr>
          <w:p>
            <w:pPr>
              <w:snapToGrid w:val="0"/>
              <w:jc w:val="center"/>
              <w:rPr>
                <w:color w:val="auto"/>
                <w:sz w:val="24"/>
              </w:rPr>
            </w:pPr>
            <w:r>
              <w:rPr>
                <w:color w:val="auto"/>
                <w:sz w:val="24"/>
              </w:rPr>
              <w:t>总量控制</w:t>
            </w:r>
          </w:p>
          <w:p>
            <w:pPr>
              <w:snapToGrid w:val="0"/>
              <w:jc w:val="center"/>
              <w:rPr>
                <w:color w:val="auto"/>
                <w:sz w:val="24"/>
              </w:rPr>
            </w:pPr>
            <w:r>
              <w:rPr>
                <w:color w:val="auto"/>
                <w:sz w:val="24"/>
              </w:rPr>
              <w:t>指标</w:t>
            </w:r>
          </w:p>
        </w:tc>
        <w:tc>
          <w:tcPr>
            <w:tcW w:w="8031" w:type="dxa"/>
          </w:tcPr>
          <w:p>
            <w:pPr>
              <w:tabs>
                <w:tab w:val="left" w:pos="1367"/>
              </w:tabs>
              <w:spacing w:line="360" w:lineRule="auto"/>
              <w:ind w:firstLine="480" w:firstLineChars="200"/>
              <w:rPr>
                <w:b/>
                <w:color w:val="auto"/>
                <w:sz w:val="24"/>
              </w:rPr>
            </w:pPr>
            <w:r>
              <w:rPr>
                <w:b/>
                <w:color w:val="auto"/>
                <w:sz w:val="24"/>
              </w:rPr>
              <w:t>1、项目污染物总量排放情况</w:t>
            </w:r>
          </w:p>
          <w:p>
            <w:pPr>
              <w:tabs>
                <w:tab w:val="left" w:pos="1367"/>
              </w:tabs>
              <w:spacing w:line="360" w:lineRule="auto"/>
              <w:ind w:firstLine="480" w:firstLineChars="200"/>
              <w:rPr>
                <w:color w:val="auto"/>
                <w:sz w:val="24"/>
              </w:rPr>
            </w:pPr>
            <w:r>
              <w:rPr>
                <w:color w:val="auto"/>
                <w:sz w:val="24"/>
              </w:rPr>
              <w:t>根据《江苏省排放污染物总量控制暂行规定》（省政府38号令）、《江苏省建设项目主要污染物排放总量区域平衡方案审核管理办法》（苏环办[2011]71号）及《关于加强建设项目烟粉尘、挥发性有机物准入审核的通知》（苏环办[2014]148号）等有关规定要求，结合项目排污特征，确定总量控制因子为：</w:t>
            </w:r>
          </w:p>
          <w:p>
            <w:pPr>
              <w:tabs>
                <w:tab w:val="left" w:pos="1367"/>
              </w:tabs>
              <w:spacing w:line="360" w:lineRule="auto"/>
              <w:ind w:firstLine="480" w:firstLineChars="200"/>
              <w:rPr>
                <w:color w:val="auto"/>
                <w:sz w:val="24"/>
              </w:rPr>
            </w:pPr>
            <w:r>
              <w:rPr>
                <w:rFonts w:hint="eastAsia"/>
                <w:color w:val="auto"/>
                <w:sz w:val="24"/>
              </w:rPr>
              <w:t>废气：</w:t>
            </w:r>
            <w:r>
              <w:rPr>
                <w:rFonts w:hint="eastAsia"/>
                <w:color w:val="auto"/>
                <w:sz w:val="24"/>
                <w:lang w:eastAsia="zh-CN"/>
              </w:rPr>
              <w:t>颗粒物、</w:t>
            </w:r>
            <w:r>
              <w:rPr>
                <w:rFonts w:hint="eastAsia"/>
                <w:color w:val="auto"/>
                <w:sz w:val="24"/>
                <w:lang w:val="en-US" w:eastAsia="zh-CN"/>
              </w:rPr>
              <w:t>非甲烷总烃、</w:t>
            </w:r>
            <w:r>
              <w:rPr>
                <w:rFonts w:hint="eastAsia"/>
                <w:color w:val="auto"/>
                <w:sz w:val="24"/>
              </w:rPr>
              <w:t>VOCs；</w:t>
            </w:r>
          </w:p>
          <w:p>
            <w:pPr>
              <w:tabs>
                <w:tab w:val="left" w:pos="1367"/>
              </w:tabs>
              <w:spacing w:line="360" w:lineRule="auto"/>
              <w:ind w:firstLine="480" w:firstLineChars="200"/>
              <w:rPr>
                <w:color w:val="auto"/>
                <w:sz w:val="24"/>
              </w:rPr>
            </w:pPr>
            <w:r>
              <w:rPr>
                <w:color w:val="auto"/>
                <w:sz w:val="24"/>
              </w:rPr>
              <w:t>废水：总量控制因子：COD、NH</w:t>
            </w:r>
            <w:r>
              <w:rPr>
                <w:color w:val="auto"/>
                <w:sz w:val="24"/>
                <w:vertAlign w:val="subscript"/>
              </w:rPr>
              <w:t>3</w:t>
            </w:r>
            <w:r>
              <w:rPr>
                <w:color w:val="auto"/>
                <w:sz w:val="24"/>
              </w:rPr>
              <w:t>-N、TP、TN；特征考核因子：SS；</w:t>
            </w:r>
          </w:p>
          <w:p>
            <w:pPr>
              <w:tabs>
                <w:tab w:val="left" w:pos="1367"/>
              </w:tabs>
              <w:spacing w:line="360" w:lineRule="auto"/>
              <w:ind w:firstLine="480" w:firstLineChars="200"/>
              <w:rPr>
                <w:color w:val="auto"/>
                <w:sz w:val="24"/>
              </w:rPr>
            </w:pPr>
            <w:r>
              <w:rPr>
                <w:color w:val="auto"/>
                <w:sz w:val="24"/>
              </w:rPr>
              <w:t>固废：工业固体废物排放量。</w:t>
            </w:r>
          </w:p>
          <w:p>
            <w:pPr>
              <w:tabs>
                <w:tab w:val="left" w:pos="1367"/>
              </w:tabs>
              <w:spacing w:line="360" w:lineRule="auto"/>
              <w:ind w:firstLine="480" w:firstLineChars="200"/>
              <w:rPr>
                <w:color w:val="auto"/>
                <w:sz w:val="24"/>
              </w:rPr>
            </w:pPr>
            <w:r>
              <w:rPr>
                <w:color w:val="auto"/>
                <w:sz w:val="24"/>
              </w:rPr>
              <w:t>项目污染物排放量总量详见下表：</w:t>
            </w:r>
          </w:p>
          <w:p>
            <w:pPr>
              <w:tabs>
                <w:tab w:val="left" w:pos="1367"/>
              </w:tabs>
              <w:ind w:firstLine="420" w:firstLineChars="200"/>
              <w:jc w:val="center"/>
              <w:rPr>
                <w:b/>
                <w:color w:val="auto"/>
                <w:kern w:val="0"/>
                <w:szCs w:val="21"/>
                <w:lang w:bidi="ar"/>
              </w:rPr>
            </w:pPr>
            <w:r>
              <w:rPr>
                <w:b/>
                <w:color w:val="auto"/>
                <w:kern w:val="0"/>
                <w:szCs w:val="21"/>
                <w:lang w:bidi="ar"/>
              </w:rPr>
              <w:t>表4-</w:t>
            </w:r>
            <w:r>
              <w:rPr>
                <w:rFonts w:hint="eastAsia"/>
                <w:b/>
                <w:color w:val="auto"/>
                <w:kern w:val="0"/>
                <w:szCs w:val="21"/>
                <w:lang w:bidi="ar"/>
              </w:rPr>
              <w:t>9</w:t>
            </w:r>
            <w:r>
              <w:rPr>
                <w:b/>
                <w:color w:val="auto"/>
                <w:kern w:val="0"/>
                <w:szCs w:val="21"/>
                <w:lang w:bidi="ar"/>
              </w:rPr>
              <w:t>污染物总量排放一览表  （t/a）</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6"/>
              <w:gridCol w:w="866"/>
              <w:gridCol w:w="1755"/>
              <w:gridCol w:w="1144"/>
              <w:gridCol w:w="1133"/>
              <w:gridCol w:w="1161"/>
              <w:gridCol w:w="116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Align w:val="center"/>
                </w:tcPr>
                <w:p>
                  <w:pPr>
                    <w:jc w:val="center"/>
                    <w:rPr>
                      <w:b/>
                      <w:color w:val="auto"/>
                      <w:szCs w:val="21"/>
                    </w:rPr>
                  </w:pPr>
                  <w:r>
                    <w:rPr>
                      <w:b/>
                      <w:color w:val="auto"/>
                      <w:szCs w:val="21"/>
                    </w:rPr>
                    <w:t>分类</w:t>
                  </w:r>
                </w:p>
              </w:tc>
              <w:tc>
                <w:tcPr>
                  <w:tcW w:w="1677" w:type="pct"/>
                  <w:gridSpan w:val="2"/>
                  <w:vAlign w:val="center"/>
                </w:tcPr>
                <w:p>
                  <w:pPr>
                    <w:jc w:val="center"/>
                    <w:rPr>
                      <w:b/>
                      <w:color w:val="auto"/>
                      <w:szCs w:val="21"/>
                    </w:rPr>
                  </w:pPr>
                  <w:r>
                    <w:rPr>
                      <w:b/>
                      <w:color w:val="auto"/>
                      <w:szCs w:val="21"/>
                    </w:rPr>
                    <w:t>污染物</w:t>
                  </w:r>
                </w:p>
              </w:tc>
              <w:tc>
                <w:tcPr>
                  <w:tcW w:w="732" w:type="pct"/>
                  <w:vAlign w:val="center"/>
                </w:tcPr>
                <w:p>
                  <w:pPr>
                    <w:jc w:val="center"/>
                    <w:rPr>
                      <w:b/>
                      <w:color w:val="auto"/>
                      <w:szCs w:val="21"/>
                    </w:rPr>
                  </w:pPr>
                  <w:r>
                    <w:rPr>
                      <w:b/>
                      <w:color w:val="auto"/>
                      <w:szCs w:val="21"/>
                    </w:rPr>
                    <w:t>产生量</w:t>
                  </w:r>
                </w:p>
              </w:tc>
              <w:tc>
                <w:tcPr>
                  <w:tcW w:w="725" w:type="pct"/>
                  <w:vAlign w:val="center"/>
                </w:tcPr>
                <w:p>
                  <w:pPr>
                    <w:jc w:val="center"/>
                    <w:rPr>
                      <w:b/>
                      <w:color w:val="auto"/>
                      <w:szCs w:val="21"/>
                    </w:rPr>
                  </w:pPr>
                  <w:r>
                    <w:rPr>
                      <w:b/>
                      <w:color w:val="auto"/>
                      <w:szCs w:val="21"/>
                    </w:rPr>
                    <w:t>削减量</w:t>
                  </w:r>
                </w:p>
              </w:tc>
              <w:tc>
                <w:tcPr>
                  <w:tcW w:w="743" w:type="pct"/>
                  <w:vAlign w:val="center"/>
                </w:tcPr>
                <w:p>
                  <w:pPr>
                    <w:jc w:val="center"/>
                    <w:rPr>
                      <w:b/>
                      <w:color w:val="auto"/>
                      <w:szCs w:val="21"/>
                    </w:rPr>
                  </w:pPr>
                  <w:r>
                    <w:rPr>
                      <w:rFonts w:hint="eastAsia"/>
                      <w:b/>
                      <w:color w:val="auto"/>
                      <w:szCs w:val="21"/>
                    </w:rPr>
                    <w:t>接管</w:t>
                  </w:r>
                  <w:r>
                    <w:rPr>
                      <w:b/>
                      <w:color w:val="auto"/>
                      <w:szCs w:val="21"/>
                    </w:rPr>
                    <w:t>量</w:t>
                  </w:r>
                </w:p>
              </w:tc>
              <w:tc>
                <w:tcPr>
                  <w:tcW w:w="746" w:type="pct"/>
                  <w:vAlign w:val="center"/>
                </w:tcPr>
                <w:p>
                  <w:pPr>
                    <w:jc w:val="center"/>
                    <w:rPr>
                      <w:b/>
                      <w:color w:val="auto"/>
                      <w:szCs w:val="21"/>
                    </w:rPr>
                  </w:pPr>
                  <w:r>
                    <w:rPr>
                      <w:rFonts w:hint="eastAsia"/>
                      <w:b/>
                      <w:color w:val="auto"/>
                      <w:szCs w:val="21"/>
                    </w:rPr>
                    <w:t>外排量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restart"/>
                  <w:vAlign w:val="center"/>
                </w:tcPr>
                <w:p>
                  <w:pPr>
                    <w:jc w:val="center"/>
                    <w:rPr>
                      <w:color w:val="auto"/>
                      <w:szCs w:val="21"/>
                    </w:rPr>
                  </w:pPr>
                  <w:r>
                    <w:rPr>
                      <w:bCs/>
                      <w:color w:val="auto"/>
                      <w:szCs w:val="21"/>
                    </w:rPr>
                    <w:t>废水</w:t>
                  </w:r>
                </w:p>
              </w:tc>
              <w:tc>
                <w:tcPr>
                  <w:tcW w:w="554" w:type="pct"/>
                  <w:vMerge w:val="restart"/>
                  <w:vAlign w:val="center"/>
                </w:tcPr>
                <w:p>
                  <w:pPr>
                    <w:jc w:val="center"/>
                    <w:rPr>
                      <w:color w:val="auto"/>
                      <w:szCs w:val="21"/>
                    </w:rPr>
                  </w:pPr>
                  <w:r>
                    <w:rPr>
                      <w:color w:val="auto"/>
                      <w:szCs w:val="21"/>
                    </w:rPr>
                    <w:t>生活污水</w:t>
                  </w:r>
                </w:p>
              </w:tc>
              <w:tc>
                <w:tcPr>
                  <w:tcW w:w="1123" w:type="pct"/>
                  <w:vAlign w:val="center"/>
                </w:tcPr>
                <w:p>
                  <w:pPr>
                    <w:jc w:val="center"/>
                    <w:rPr>
                      <w:color w:val="auto"/>
                      <w:szCs w:val="21"/>
                    </w:rPr>
                  </w:pPr>
                  <w:r>
                    <w:rPr>
                      <w:color w:val="auto"/>
                      <w:szCs w:val="21"/>
                    </w:rPr>
                    <w:t>废水量</w:t>
                  </w:r>
                </w:p>
              </w:tc>
              <w:tc>
                <w:tcPr>
                  <w:tcW w:w="732" w:type="pct"/>
                  <w:vAlign w:val="center"/>
                </w:tcPr>
                <w:p>
                  <w:pPr>
                    <w:widowControl/>
                    <w:jc w:val="center"/>
                    <w:rPr>
                      <w:color w:val="auto"/>
                      <w:szCs w:val="21"/>
                    </w:rPr>
                  </w:pPr>
                  <w:r>
                    <w:rPr>
                      <w:rFonts w:hint="eastAsia"/>
                      <w:color w:val="auto"/>
                      <w:szCs w:val="21"/>
                      <w:lang w:val="en-US" w:eastAsia="zh-CN"/>
                    </w:rPr>
                    <w:t>120</w:t>
                  </w:r>
                </w:p>
              </w:tc>
              <w:tc>
                <w:tcPr>
                  <w:tcW w:w="725" w:type="pct"/>
                  <w:vAlign w:val="center"/>
                </w:tcPr>
                <w:p>
                  <w:pPr>
                    <w:widowControl/>
                    <w:jc w:val="center"/>
                    <w:textAlignment w:val="center"/>
                    <w:rPr>
                      <w:color w:val="auto"/>
                      <w:szCs w:val="21"/>
                    </w:rPr>
                  </w:pPr>
                  <w:r>
                    <w:rPr>
                      <w:color w:val="auto"/>
                      <w:kern w:val="0"/>
                      <w:szCs w:val="21"/>
                      <w:lang w:bidi="ar"/>
                    </w:rPr>
                    <w:t>0</w:t>
                  </w:r>
                </w:p>
              </w:tc>
              <w:tc>
                <w:tcPr>
                  <w:tcW w:w="743" w:type="pct"/>
                  <w:vAlign w:val="center"/>
                </w:tcPr>
                <w:p>
                  <w:pPr>
                    <w:jc w:val="center"/>
                    <w:rPr>
                      <w:color w:val="auto"/>
                      <w:szCs w:val="21"/>
                    </w:rPr>
                  </w:pPr>
                  <w:r>
                    <w:rPr>
                      <w:rFonts w:hint="eastAsia"/>
                      <w:color w:val="auto"/>
                      <w:szCs w:val="21"/>
                      <w:lang w:val="en-US" w:eastAsia="zh-CN"/>
                    </w:rPr>
                    <w:t>120</w:t>
                  </w:r>
                </w:p>
              </w:tc>
              <w:tc>
                <w:tcPr>
                  <w:tcW w:w="746" w:type="pct"/>
                  <w:vAlign w:val="center"/>
                </w:tcPr>
                <w:p>
                  <w:pPr>
                    <w:widowControl/>
                    <w:jc w:val="center"/>
                    <w:textAlignment w:val="center"/>
                    <w:rPr>
                      <w:rFonts w:hint="default"/>
                      <w:color w:val="auto"/>
                      <w:szCs w:val="21"/>
                      <w:lang w:val="en-US" w:eastAsia="zh-CN"/>
                    </w:rPr>
                  </w:pPr>
                  <w:r>
                    <w:rPr>
                      <w:rFonts w:hint="eastAsia"/>
                      <w:color w:val="auto"/>
                      <w:szCs w:val="21"/>
                      <w:lang w:val="en-US" w:eastAsia="zh-CN"/>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color w:val="auto"/>
                      <w:szCs w:val="21"/>
                    </w:rPr>
                  </w:pPr>
                </w:p>
              </w:tc>
              <w:tc>
                <w:tcPr>
                  <w:tcW w:w="1123" w:type="pct"/>
                  <w:vAlign w:val="center"/>
                </w:tcPr>
                <w:p>
                  <w:pPr>
                    <w:widowControl/>
                    <w:jc w:val="center"/>
                    <w:rPr>
                      <w:color w:val="auto"/>
                      <w:kern w:val="0"/>
                      <w:szCs w:val="21"/>
                    </w:rPr>
                  </w:pPr>
                  <w:r>
                    <w:rPr>
                      <w:color w:val="auto"/>
                      <w:szCs w:val="21"/>
                    </w:rPr>
                    <w:t>COD</w:t>
                  </w:r>
                </w:p>
              </w:tc>
              <w:tc>
                <w:tcPr>
                  <w:tcW w:w="732" w:type="pct"/>
                  <w:vAlign w:val="center"/>
                </w:tcPr>
                <w:p>
                  <w:pPr>
                    <w:jc w:val="center"/>
                    <w:rPr>
                      <w:color w:val="auto"/>
                      <w:szCs w:val="21"/>
                    </w:rPr>
                  </w:pPr>
                  <w:r>
                    <w:rPr>
                      <w:rFonts w:hint="eastAsia"/>
                      <w:color w:val="auto"/>
                      <w:szCs w:val="21"/>
                      <w:lang w:val="en-US" w:eastAsia="zh-CN"/>
                    </w:rPr>
                    <w:t>0.048</w:t>
                  </w:r>
                </w:p>
              </w:tc>
              <w:tc>
                <w:tcPr>
                  <w:tcW w:w="725" w:type="pct"/>
                  <w:vAlign w:val="center"/>
                </w:tcPr>
                <w:p>
                  <w:pPr>
                    <w:widowControl/>
                    <w:jc w:val="center"/>
                    <w:textAlignment w:val="center"/>
                    <w:rPr>
                      <w:color w:val="auto"/>
                      <w:szCs w:val="21"/>
                    </w:rPr>
                  </w:pPr>
                  <w:r>
                    <w:rPr>
                      <w:rFonts w:hint="eastAsia"/>
                      <w:color w:val="auto"/>
                      <w:szCs w:val="21"/>
                      <w:lang w:val="en-US" w:eastAsia="zh-CN"/>
                    </w:rPr>
                    <w:t>0.007</w:t>
                  </w:r>
                </w:p>
              </w:tc>
              <w:tc>
                <w:tcPr>
                  <w:tcW w:w="743" w:type="pct"/>
                  <w:vAlign w:val="center"/>
                </w:tcPr>
                <w:p>
                  <w:pPr>
                    <w:jc w:val="center"/>
                    <w:rPr>
                      <w:color w:val="auto"/>
                      <w:szCs w:val="21"/>
                    </w:rPr>
                  </w:pPr>
                  <w:r>
                    <w:rPr>
                      <w:rFonts w:hint="eastAsia"/>
                      <w:color w:val="auto"/>
                      <w:szCs w:val="21"/>
                      <w:lang w:val="en-US" w:eastAsia="zh-CN"/>
                    </w:rPr>
                    <w:t>0.041</w:t>
                  </w:r>
                </w:p>
              </w:tc>
              <w:tc>
                <w:tcPr>
                  <w:tcW w:w="746"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color w:val="auto"/>
                      <w:szCs w:val="21"/>
                    </w:rPr>
                  </w:pPr>
                </w:p>
              </w:tc>
              <w:tc>
                <w:tcPr>
                  <w:tcW w:w="1123" w:type="pct"/>
                  <w:vAlign w:val="center"/>
                </w:tcPr>
                <w:p>
                  <w:pPr>
                    <w:jc w:val="center"/>
                    <w:rPr>
                      <w:color w:val="auto"/>
                      <w:szCs w:val="21"/>
                    </w:rPr>
                  </w:pPr>
                  <w:r>
                    <w:rPr>
                      <w:color w:val="auto"/>
                      <w:szCs w:val="21"/>
                    </w:rPr>
                    <w:t>SS</w:t>
                  </w:r>
                </w:p>
              </w:tc>
              <w:tc>
                <w:tcPr>
                  <w:tcW w:w="732" w:type="pct"/>
                  <w:vAlign w:val="center"/>
                </w:tcPr>
                <w:p>
                  <w:pPr>
                    <w:jc w:val="center"/>
                    <w:rPr>
                      <w:color w:val="auto"/>
                      <w:szCs w:val="21"/>
                    </w:rPr>
                  </w:pPr>
                  <w:r>
                    <w:rPr>
                      <w:rFonts w:hint="eastAsia"/>
                      <w:color w:val="auto"/>
                      <w:szCs w:val="21"/>
                      <w:lang w:val="en-US" w:eastAsia="zh-CN"/>
                    </w:rPr>
                    <w:t>0.024</w:t>
                  </w:r>
                </w:p>
              </w:tc>
              <w:tc>
                <w:tcPr>
                  <w:tcW w:w="725" w:type="pct"/>
                  <w:vAlign w:val="center"/>
                </w:tcPr>
                <w:p>
                  <w:pPr>
                    <w:widowControl/>
                    <w:jc w:val="center"/>
                    <w:textAlignment w:val="center"/>
                    <w:rPr>
                      <w:color w:val="auto"/>
                      <w:szCs w:val="21"/>
                    </w:rPr>
                  </w:pPr>
                  <w:r>
                    <w:rPr>
                      <w:rFonts w:hint="eastAsia"/>
                      <w:color w:val="auto"/>
                      <w:szCs w:val="21"/>
                      <w:lang w:val="en-US" w:eastAsia="zh-CN"/>
                    </w:rPr>
                    <w:t>0.005</w:t>
                  </w:r>
                </w:p>
              </w:tc>
              <w:tc>
                <w:tcPr>
                  <w:tcW w:w="743" w:type="pct"/>
                  <w:vAlign w:val="center"/>
                </w:tcPr>
                <w:p>
                  <w:pPr>
                    <w:jc w:val="center"/>
                    <w:rPr>
                      <w:color w:val="auto"/>
                      <w:szCs w:val="21"/>
                    </w:rPr>
                  </w:pPr>
                  <w:r>
                    <w:rPr>
                      <w:rFonts w:hint="eastAsia"/>
                      <w:color w:val="auto"/>
                      <w:szCs w:val="21"/>
                      <w:lang w:val="en-US" w:eastAsia="zh-CN"/>
                    </w:rPr>
                    <w:t>0.019</w:t>
                  </w:r>
                </w:p>
              </w:tc>
              <w:tc>
                <w:tcPr>
                  <w:tcW w:w="746"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color w:val="auto"/>
                      <w:szCs w:val="21"/>
                    </w:rPr>
                  </w:pPr>
                </w:p>
              </w:tc>
              <w:tc>
                <w:tcPr>
                  <w:tcW w:w="1123" w:type="pct"/>
                  <w:vAlign w:val="center"/>
                </w:tcPr>
                <w:p>
                  <w:pPr>
                    <w:jc w:val="center"/>
                    <w:rPr>
                      <w:color w:val="auto"/>
                      <w:szCs w:val="21"/>
                    </w:rPr>
                  </w:pPr>
                  <w:r>
                    <w:rPr>
                      <w:color w:val="auto"/>
                      <w:szCs w:val="21"/>
                    </w:rPr>
                    <w:t>NH</w:t>
                  </w:r>
                  <w:r>
                    <w:rPr>
                      <w:color w:val="auto"/>
                      <w:szCs w:val="21"/>
                      <w:vertAlign w:val="subscript"/>
                    </w:rPr>
                    <w:t>3</w:t>
                  </w:r>
                  <w:r>
                    <w:rPr>
                      <w:color w:val="auto"/>
                      <w:szCs w:val="21"/>
                    </w:rPr>
                    <w:t>-N</w:t>
                  </w:r>
                </w:p>
              </w:tc>
              <w:tc>
                <w:tcPr>
                  <w:tcW w:w="732" w:type="pct"/>
                  <w:vAlign w:val="center"/>
                </w:tcPr>
                <w:p>
                  <w:pPr>
                    <w:jc w:val="center"/>
                    <w:rPr>
                      <w:color w:val="auto"/>
                      <w:szCs w:val="21"/>
                    </w:rPr>
                  </w:pPr>
                  <w:r>
                    <w:rPr>
                      <w:rFonts w:hint="eastAsia"/>
                      <w:color w:val="auto"/>
                      <w:szCs w:val="21"/>
                      <w:lang w:val="en-US" w:eastAsia="zh-CN"/>
                    </w:rPr>
                    <w:t>0.0042</w:t>
                  </w:r>
                </w:p>
              </w:tc>
              <w:tc>
                <w:tcPr>
                  <w:tcW w:w="725" w:type="pct"/>
                  <w:vAlign w:val="center"/>
                </w:tcPr>
                <w:p>
                  <w:pPr>
                    <w:widowControl/>
                    <w:jc w:val="center"/>
                    <w:textAlignment w:val="center"/>
                    <w:rPr>
                      <w:color w:val="auto"/>
                      <w:szCs w:val="21"/>
                    </w:rPr>
                  </w:pPr>
                  <w:r>
                    <w:rPr>
                      <w:color w:val="auto"/>
                      <w:kern w:val="0"/>
                      <w:szCs w:val="21"/>
                      <w:lang w:bidi="ar"/>
                    </w:rPr>
                    <w:t>0</w:t>
                  </w:r>
                </w:p>
              </w:tc>
              <w:tc>
                <w:tcPr>
                  <w:tcW w:w="743" w:type="pct"/>
                  <w:vAlign w:val="center"/>
                </w:tcPr>
                <w:p>
                  <w:pPr>
                    <w:jc w:val="center"/>
                    <w:rPr>
                      <w:color w:val="auto"/>
                      <w:szCs w:val="21"/>
                    </w:rPr>
                  </w:pPr>
                  <w:r>
                    <w:rPr>
                      <w:rFonts w:hint="eastAsia"/>
                      <w:color w:val="auto"/>
                      <w:szCs w:val="21"/>
                      <w:lang w:val="en-US" w:eastAsia="zh-CN"/>
                    </w:rPr>
                    <w:t>0.0042</w:t>
                  </w:r>
                </w:p>
              </w:tc>
              <w:tc>
                <w:tcPr>
                  <w:tcW w:w="746"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color w:val="auto"/>
                      <w:szCs w:val="21"/>
                    </w:rPr>
                  </w:pPr>
                </w:p>
              </w:tc>
              <w:tc>
                <w:tcPr>
                  <w:tcW w:w="1123" w:type="pct"/>
                  <w:vAlign w:val="center"/>
                </w:tcPr>
                <w:p>
                  <w:pPr>
                    <w:jc w:val="center"/>
                    <w:rPr>
                      <w:color w:val="auto"/>
                      <w:szCs w:val="21"/>
                    </w:rPr>
                  </w:pPr>
                  <w:r>
                    <w:rPr>
                      <w:color w:val="auto"/>
                      <w:szCs w:val="21"/>
                    </w:rPr>
                    <w:t>TP</w:t>
                  </w:r>
                </w:p>
              </w:tc>
              <w:tc>
                <w:tcPr>
                  <w:tcW w:w="732" w:type="pct"/>
                  <w:vAlign w:val="center"/>
                </w:tcPr>
                <w:p>
                  <w:pPr>
                    <w:jc w:val="center"/>
                    <w:rPr>
                      <w:color w:val="auto"/>
                      <w:szCs w:val="21"/>
                    </w:rPr>
                  </w:pPr>
                  <w:r>
                    <w:rPr>
                      <w:rFonts w:hint="eastAsia"/>
                      <w:color w:val="auto"/>
                      <w:szCs w:val="21"/>
                      <w:lang w:val="en-US" w:eastAsia="zh-CN"/>
                    </w:rPr>
                    <w:t>0.0006</w:t>
                  </w:r>
                </w:p>
              </w:tc>
              <w:tc>
                <w:tcPr>
                  <w:tcW w:w="725" w:type="pct"/>
                  <w:vAlign w:val="center"/>
                </w:tcPr>
                <w:p>
                  <w:pPr>
                    <w:widowControl/>
                    <w:jc w:val="center"/>
                    <w:textAlignment w:val="center"/>
                    <w:rPr>
                      <w:color w:val="auto"/>
                      <w:szCs w:val="21"/>
                    </w:rPr>
                  </w:pPr>
                  <w:r>
                    <w:rPr>
                      <w:color w:val="auto"/>
                      <w:kern w:val="0"/>
                      <w:szCs w:val="21"/>
                      <w:lang w:bidi="ar"/>
                    </w:rPr>
                    <w:t>0</w:t>
                  </w:r>
                </w:p>
              </w:tc>
              <w:tc>
                <w:tcPr>
                  <w:tcW w:w="743" w:type="pct"/>
                  <w:vAlign w:val="center"/>
                </w:tcPr>
                <w:p>
                  <w:pPr>
                    <w:jc w:val="center"/>
                    <w:rPr>
                      <w:color w:val="auto"/>
                      <w:szCs w:val="21"/>
                    </w:rPr>
                  </w:pPr>
                  <w:r>
                    <w:rPr>
                      <w:rFonts w:hint="eastAsia"/>
                      <w:color w:val="auto"/>
                      <w:szCs w:val="21"/>
                      <w:lang w:val="en-US" w:eastAsia="zh-CN"/>
                    </w:rPr>
                    <w:t>0.0006</w:t>
                  </w:r>
                </w:p>
              </w:tc>
              <w:tc>
                <w:tcPr>
                  <w:tcW w:w="746"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color w:val="auto"/>
                      <w:szCs w:val="21"/>
                    </w:rPr>
                  </w:pPr>
                </w:p>
              </w:tc>
              <w:tc>
                <w:tcPr>
                  <w:tcW w:w="1123" w:type="pct"/>
                  <w:vAlign w:val="center"/>
                </w:tcPr>
                <w:p>
                  <w:pPr>
                    <w:widowControl/>
                    <w:jc w:val="center"/>
                    <w:rPr>
                      <w:color w:val="auto"/>
                      <w:kern w:val="0"/>
                      <w:szCs w:val="21"/>
                    </w:rPr>
                  </w:pPr>
                  <w:r>
                    <w:rPr>
                      <w:color w:val="auto"/>
                      <w:szCs w:val="21"/>
                    </w:rPr>
                    <w:t>TN</w:t>
                  </w:r>
                </w:p>
              </w:tc>
              <w:tc>
                <w:tcPr>
                  <w:tcW w:w="732" w:type="pct"/>
                  <w:vAlign w:val="center"/>
                </w:tcPr>
                <w:p>
                  <w:pPr>
                    <w:jc w:val="center"/>
                    <w:rPr>
                      <w:color w:val="auto"/>
                      <w:szCs w:val="21"/>
                    </w:rPr>
                  </w:pPr>
                  <w:r>
                    <w:rPr>
                      <w:rFonts w:hint="eastAsia"/>
                      <w:color w:val="auto"/>
                      <w:szCs w:val="21"/>
                      <w:lang w:val="en-US" w:eastAsia="zh-CN"/>
                    </w:rPr>
                    <w:t>0.006</w:t>
                  </w:r>
                </w:p>
              </w:tc>
              <w:tc>
                <w:tcPr>
                  <w:tcW w:w="725" w:type="pct"/>
                  <w:vAlign w:val="center"/>
                </w:tcPr>
                <w:p>
                  <w:pPr>
                    <w:widowControl/>
                    <w:jc w:val="center"/>
                    <w:textAlignment w:val="center"/>
                    <w:rPr>
                      <w:color w:val="auto"/>
                      <w:szCs w:val="21"/>
                    </w:rPr>
                  </w:pPr>
                  <w:r>
                    <w:rPr>
                      <w:color w:val="auto"/>
                      <w:kern w:val="0"/>
                      <w:szCs w:val="21"/>
                      <w:lang w:bidi="ar"/>
                    </w:rPr>
                    <w:t>0</w:t>
                  </w:r>
                </w:p>
              </w:tc>
              <w:tc>
                <w:tcPr>
                  <w:tcW w:w="743" w:type="pct"/>
                  <w:vAlign w:val="center"/>
                </w:tcPr>
                <w:p>
                  <w:pPr>
                    <w:jc w:val="center"/>
                    <w:rPr>
                      <w:color w:val="auto"/>
                      <w:szCs w:val="21"/>
                    </w:rPr>
                  </w:pPr>
                  <w:r>
                    <w:rPr>
                      <w:rFonts w:hint="eastAsia"/>
                      <w:color w:val="auto"/>
                      <w:szCs w:val="21"/>
                      <w:lang w:val="en-US" w:eastAsia="zh-CN"/>
                    </w:rPr>
                    <w:t>0.006</w:t>
                  </w:r>
                </w:p>
              </w:tc>
              <w:tc>
                <w:tcPr>
                  <w:tcW w:w="746"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75" w:type="pct"/>
                  <w:vMerge w:val="restart"/>
                  <w:vAlign w:val="center"/>
                </w:tcPr>
                <w:p>
                  <w:pPr>
                    <w:jc w:val="center"/>
                    <w:rPr>
                      <w:color w:val="auto"/>
                      <w:szCs w:val="21"/>
                    </w:rPr>
                  </w:pPr>
                  <w:r>
                    <w:rPr>
                      <w:color w:val="auto"/>
                      <w:szCs w:val="21"/>
                    </w:rPr>
                    <w:t>废气</w:t>
                  </w:r>
                </w:p>
              </w:tc>
              <w:tc>
                <w:tcPr>
                  <w:tcW w:w="554" w:type="pct"/>
                  <w:vMerge w:val="restart"/>
                  <w:vAlign w:val="center"/>
                </w:tcPr>
                <w:p>
                  <w:pPr>
                    <w:jc w:val="center"/>
                    <w:rPr>
                      <w:color w:val="auto"/>
                      <w:szCs w:val="21"/>
                    </w:rPr>
                  </w:pPr>
                  <w:r>
                    <w:rPr>
                      <w:rFonts w:hint="eastAsia"/>
                      <w:color w:val="auto"/>
                      <w:szCs w:val="21"/>
                    </w:rPr>
                    <w:t>有组织废气</w:t>
                  </w: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732" w:type="pct"/>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31.678</w:t>
                  </w:r>
                </w:p>
              </w:tc>
              <w:tc>
                <w:tcPr>
                  <w:tcW w:w="1133" w:type="dxa"/>
                  <w:vAlign w:val="center"/>
                </w:tcPr>
                <w:p>
                  <w:pPr>
                    <w:widowControl/>
                    <w:jc w:val="center"/>
                    <w:textAlignment w:val="center"/>
                    <w:rPr>
                      <w:color w:val="auto"/>
                      <w:szCs w:val="21"/>
                    </w:rPr>
                  </w:pPr>
                  <w:r>
                    <w:rPr>
                      <w:rFonts w:hint="eastAsia"/>
                      <w:color w:val="auto"/>
                      <w:szCs w:val="21"/>
                      <w:lang w:val="en-US" w:eastAsia="zh-CN"/>
                    </w:rPr>
                    <w:t>31.267</w:t>
                  </w:r>
                </w:p>
              </w:tc>
              <w:tc>
                <w:tcPr>
                  <w:tcW w:w="743" w:type="pct"/>
                  <w:vAlign w:val="center"/>
                </w:tcPr>
                <w:p>
                  <w:pPr>
                    <w:jc w:val="center"/>
                    <w:rPr>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0.411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rFonts w:hint="eastAsia"/>
                      <w:color w:val="auto"/>
                      <w:szCs w:val="21"/>
                    </w:rPr>
                  </w:pP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非甲烷总烃</w:t>
                  </w:r>
                </w:p>
              </w:tc>
              <w:tc>
                <w:tcPr>
                  <w:tcW w:w="732"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0.066</w:t>
                  </w:r>
                </w:p>
              </w:tc>
              <w:tc>
                <w:tcPr>
                  <w:tcW w:w="1133" w:type="dxa"/>
                  <w:vAlign w:val="center"/>
                </w:tcPr>
                <w:p>
                  <w:pPr>
                    <w:widowControl/>
                    <w:jc w:val="center"/>
                    <w:textAlignment w:val="center"/>
                    <w:rPr>
                      <w:rFonts w:hint="eastAsia"/>
                      <w:color w:val="auto"/>
                      <w:szCs w:val="21"/>
                    </w:rPr>
                  </w:pPr>
                  <w:r>
                    <w:rPr>
                      <w:rFonts w:hint="eastAsia"/>
                      <w:color w:val="auto"/>
                      <w:szCs w:val="21"/>
                      <w:lang w:val="en-US" w:eastAsia="zh-CN"/>
                    </w:rPr>
                    <w:t>0.053</w:t>
                  </w:r>
                </w:p>
              </w:tc>
              <w:tc>
                <w:tcPr>
                  <w:tcW w:w="743" w:type="pct"/>
                  <w:vAlign w:val="center"/>
                </w:tcPr>
                <w:p>
                  <w:pPr>
                    <w:jc w:val="center"/>
                    <w:rPr>
                      <w:rFonts w:hint="eastAsia"/>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rFonts w:hint="eastAsia"/>
                      <w:color w:val="auto"/>
                      <w:szCs w:val="21"/>
                    </w:rPr>
                  </w:pP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VOCs</w:t>
                  </w:r>
                </w:p>
              </w:tc>
              <w:tc>
                <w:tcPr>
                  <w:tcW w:w="732"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0.606</w:t>
                  </w:r>
                </w:p>
              </w:tc>
              <w:tc>
                <w:tcPr>
                  <w:tcW w:w="1133" w:type="dxa"/>
                  <w:vAlign w:val="center"/>
                </w:tcPr>
                <w:p>
                  <w:pPr>
                    <w:widowControl/>
                    <w:jc w:val="center"/>
                    <w:textAlignment w:val="center"/>
                    <w:rPr>
                      <w:rFonts w:hint="eastAsia"/>
                      <w:color w:val="auto"/>
                      <w:szCs w:val="21"/>
                    </w:rPr>
                  </w:pPr>
                  <w:r>
                    <w:rPr>
                      <w:rFonts w:hint="eastAsia"/>
                      <w:color w:val="auto"/>
                      <w:szCs w:val="21"/>
                      <w:lang w:val="en-US" w:eastAsia="zh-CN"/>
                    </w:rPr>
                    <w:t>0.486</w:t>
                  </w:r>
                </w:p>
              </w:tc>
              <w:tc>
                <w:tcPr>
                  <w:tcW w:w="743" w:type="pct"/>
                  <w:vAlign w:val="center"/>
                </w:tcPr>
                <w:p>
                  <w:pPr>
                    <w:jc w:val="center"/>
                    <w:rPr>
                      <w:rFonts w:hint="eastAsia"/>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5" w:hRule="atLeast"/>
                <w:tblHeader/>
                <w:jc w:val="center"/>
              </w:trPr>
              <w:tc>
                <w:tcPr>
                  <w:tcW w:w="375" w:type="pct"/>
                  <w:vMerge w:val="continue"/>
                  <w:vAlign w:val="center"/>
                </w:tcPr>
                <w:p>
                  <w:pPr>
                    <w:jc w:val="center"/>
                    <w:rPr>
                      <w:color w:val="auto"/>
                      <w:szCs w:val="21"/>
                    </w:rPr>
                  </w:pPr>
                </w:p>
              </w:tc>
              <w:tc>
                <w:tcPr>
                  <w:tcW w:w="554" w:type="pct"/>
                  <w:vMerge w:val="restart"/>
                  <w:vAlign w:val="center"/>
                </w:tcPr>
                <w:p>
                  <w:pPr>
                    <w:jc w:val="center"/>
                    <w:rPr>
                      <w:color w:val="auto"/>
                      <w:szCs w:val="21"/>
                    </w:rPr>
                  </w:pPr>
                  <w:r>
                    <w:rPr>
                      <w:rFonts w:hint="eastAsia"/>
                      <w:color w:val="auto"/>
                      <w:szCs w:val="21"/>
                    </w:rPr>
                    <w:t>无组织废气</w:t>
                  </w: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732" w:type="pct"/>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0.235</w:t>
                  </w:r>
                </w:p>
              </w:tc>
              <w:tc>
                <w:tcPr>
                  <w:tcW w:w="1133" w:type="dxa"/>
                  <w:vAlign w:val="center"/>
                </w:tcPr>
                <w:p>
                  <w:pPr>
                    <w:widowControl/>
                    <w:jc w:val="center"/>
                    <w:textAlignment w:val="center"/>
                    <w:rPr>
                      <w:color w:val="auto"/>
                      <w:szCs w:val="21"/>
                    </w:rPr>
                  </w:pPr>
                  <w:r>
                    <w:rPr>
                      <w:rFonts w:hint="eastAsia"/>
                      <w:color w:val="auto"/>
                      <w:szCs w:val="21"/>
                      <w:lang w:val="en-US" w:eastAsia="zh-CN"/>
                    </w:rPr>
                    <w:t>0</w:t>
                  </w:r>
                </w:p>
              </w:tc>
              <w:tc>
                <w:tcPr>
                  <w:tcW w:w="743" w:type="pct"/>
                  <w:vAlign w:val="center"/>
                </w:tcPr>
                <w:p>
                  <w:pPr>
                    <w:jc w:val="center"/>
                    <w:rPr>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0.235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rFonts w:hint="eastAsia"/>
                      <w:color w:val="auto"/>
                      <w:szCs w:val="21"/>
                    </w:rPr>
                  </w:pP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非甲烷总烃</w:t>
                  </w:r>
                </w:p>
              </w:tc>
              <w:tc>
                <w:tcPr>
                  <w:tcW w:w="732"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0.017</w:t>
                  </w:r>
                </w:p>
              </w:tc>
              <w:tc>
                <w:tcPr>
                  <w:tcW w:w="1133" w:type="dxa"/>
                  <w:vAlign w:val="center"/>
                </w:tcPr>
                <w:p>
                  <w:pPr>
                    <w:widowControl/>
                    <w:jc w:val="center"/>
                    <w:textAlignment w:val="center"/>
                    <w:rPr>
                      <w:rFonts w:hint="eastAsia"/>
                      <w:color w:val="auto"/>
                      <w:szCs w:val="21"/>
                    </w:rPr>
                  </w:pPr>
                  <w:r>
                    <w:rPr>
                      <w:rFonts w:hint="eastAsia"/>
                      <w:color w:val="auto"/>
                      <w:szCs w:val="21"/>
                      <w:lang w:val="en-US" w:eastAsia="zh-CN"/>
                    </w:rPr>
                    <w:t>0</w:t>
                  </w:r>
                </w:p>
              </w:tc>
              <w:tc>
                <w:tcPr>
                  <w:tcW w:w="743" w:type="pct"/>
                  <w:vAlign w:val="center"/>
                </w:tcPr>
                <w:p>
                  <w:pPr>
                    <w:jc w:val="center"/>
                    <w:rPr>
                      <w:rFonts w:hint="eastAsia"/>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0" w:hRule="atLeast"/>
                <w:tblHeader/>
                <w:jc w:val="center"/>
              </w:trPr>
              <w:tc>
                <w:tcPr>
                  <w:tcW w:w="375" w:type="pct"/>
                  <w:vMerge w:val="continue"/>
                  <w:vAlign w:val="center"/>
                </w:tcPr>
                <w:p>
                  <w:pPr>
                    <w:jc w:val="center"/>
                    <w:rPr>
                      <w:color w:val="auto"/>
                      <w:szCs w:val="21"/>
                    </w:rPr>
                  </w:pPr>
                </w:p>
              </w:tc>
              <w:tc>
                <w:tcPr>
                  <w:tcW w:w="554" w:type="pct"/>
                  <w:vMerge w:val="continue"/>
                  <w:vAlign w:val="center"/>
                </w:tcPr>
                <w:p>
                  <w:pPr>
                    <w:jc w:val="center"/>
                    <w:rPr>
                      <w:rFonts w:hint="eastAsia"/>
                      <w:color w:val="auto"/>
                      <w:szCs w:val="21"/>
                    </w:rPr>
                  </w:pPr>
                </w:p>
              </w:tc>
              <w:tc>
                <w:tcPr>
                  <w:tcW w:w="1123" w:type="pct"/>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VOCs</w:t>
                  </w:r>
                </w:p>
              </w:tc>
              <w:tc>
                <w:tcPr>
                  <w:tcW w:w="732" w:type="pct"/>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0.085</w:t>
                  </w:r>
                </w:p>
              </w:tc>
              <w:tc>
                <w:tcPr>
                  <w:tcW w:w="1133" w:type="dxa"/>
                  <w:vAlign w:val="center"/>
                </w:tcPr>
                <w:p>
                  <w:pPr>
                    <w:widowControl/>
                    <w:jc w:val="center"/>
                    <w:textAlignment w:val="center"/>
                    <w:rPr>
                      <w:rFonts w:hint="eastAsia"/>
                      <w:color w:val="auto"/>
                      <w:szCs w:val="21"/>
                    </w:rPr>
                  </w:pPr>
                  <w:r>
                    <w:rPr>
                      <w:rFonts w:hint="eastAsia"/>
                      <w:color w:val="auto"/>
                      <w:szCs w:val="21"/>
                      <w:lang w:val="en-US" w:eastAsia="zh-CN"/>
                    </w:rPr>
                    <w:t>0</w:t>
                  </w:r>
                </w:p>
              </w:tc>
              <w:tc>
                <w:tcPr>
                  <w:tcW w:w="743" w:type="pct"/>
                  <w:vAlign w:val="center"/>
                </w:tcPr>
                <w:p>
                  <w:pPr>
                    <w:jc w:val="center"/>
                    <w:rPr>
                      <w:rFonts w:hint="eastAsia"/>
                      <w:color w:val="auto"/>
                      <w:szCs w:val="21"/>
                    </w:rPr>
                  </w:pPr>
                  <w:r>
                    <w:rPr>
                      <w:rFonts w:hint="eastAsia"/>
                      <w:color w:val="auto"/>
                      <w:szCs w:val="21"/>
                    </w:rPr>
                    <w:t>/</w:t>
                  </w:r>
                </w:p>
              </w:tc>
              <w:tc>
                <w:tcPr>
                  <w:tcW w:w="1167"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restart"/>
                  <w:vAlign w:val="center"/>
                </w:tcPr>
                <w:p>
                  <w:pPr>
                    <w:jc w:val="center"/>
                    <w:rPr>
                      <w:color w:val="auto"/>
                      <w:szCs w:val="21"/>
                    </w:rPr>
                  </w:pPr>
                  <w:r>
                    <w:rPr>
                      <w:rFonts w:hint="eastAsia"/>
                      <w:color w:val="auto"/>
                      <w:szCs w:val="21"/>
                    </w:rPr>
                    <w:t>固废</w:t>
                  </w:r>
                </w:p>
              </w:tc>
              <w:tc>
                <w:tcPr>
                  <w:tcW w:w="1677" w:type="pct"/>
                  <w:gridSpan w:val="2"/>
                  <w:vAlign w:val="center"/>
                </w:tcPr>
                <w:p>
                  <w:pPr>
                    <w:widowControl/>
                    <w:jc w:val="center"/>
                    <w:rPr>
                      <w:color w:val="auto"/>
                      <w:szCs w:val="21"/>
                    </w:rPr>
                  </w:pPr>
                  <w:r>
                    <w:rPr>
                      <w:rFonts w:hint="eastAsia"/>
                      <w:color w:val="auto"/>
                      <w:szCs w:val="21"/>
                    </w:rPr>
                    <w:t>一般工业固废</w:t>
                  </w:r>
                </w:p>
              </w:tc>
              <w:tc>
                <w:tcPr>
                  <w:tcW w:w="1144" w:type="dxa"/>
                  <w:vAlign w:val="center"/>
                </w:tcPr>
                <w:p>
                  <w:pPr>
                    <w:widowControl/>
                    <w:jc w:val="center"/>
                    <w:textAlignment w:val="center"/>
                    <w:rPr>
                      <w:color w:val="auto"/>
                      <w:szCs w:val="21"/>
                    </w:rPr>
                  </w:pPr>
                  <w:r>
                    <w:rPr>
                      <w:rFonts w:hint="eastAsia"/>
                      <w:color w:val="auto"/>
                      <w:szCs w:val="21"/>
                      <w:lang w:val="en-US" w:eastAsia="zh-CN"/>
                    </w:rPr>
                    <w:t>67.279</w:t>
                  </w:r>
                </w:p>
              </w:tc>
              <w:tc>
                <w:tcPr>
                  <w:tcW w:w="1133" w:type="dxa"/>
                  <w:vAlign w:val="center"/>
                </w:tcPr>
                <w:p>
                  <w:pPr>
                    <w:widowControl/>
                    <w:jc w:val="center"/>
                    <w:textAlignment w:val="center"/>
                    <w:rPr>
                      <w:color w:val="auto"/>
                      <w:szCs w:val="21"/>
                    </w:rPr>
                  </w:pPr>
                  <w:r>
                    <w:rPr>
                      <w:rFonts w:hint="eastAsia"/>
                      <w:color w:val="auto"/>
                      <w:szCs w:val="21"/>
                      <w:lang w:val="en-US" w:eastAsia="zh-CN"/>
                    </w:rPr>
                    <w:t>67.279</w:t>
                  </w:r>
                </w:p>
              </w:tc>
              <w:tc>
                <w:tcPr>
                  <w:tcW w:w="743" w:type="pct"/>
                  <w:vAlign w:val="center"/>
                </w:tcPr>
                <w:p>
                  <w:pPr>
                    <w:jc w:val="center"/>
                    <w:rPr>
                      <w:color w:val="auto"/>
                      <w:szCs w:val="21"/>
                    </w:rPr>
                  </w:pPr>
                  <w:r>
                    <w:rPr>
                      <w:rFonts w:hint="eastAsia"/>
                      <w:color w:val="auto"/>
                      <w:szCs w:val="21"/>
                    </w:rPr>
                    <w:t>/</w:t>
                  </w:r>
                </w:p>
              </w:tc>
              <w:tc>
                <w:tcPr>
                  <w:tcW w:w="746" w:type="pct"/>
                  <w:vAlign w:val="center"/>
                </w:tcPr>
                <w:p>
                  <w:pPr>
                    <w:jc w:val="center"/>
                    <w:rPr>
                      <w:color w:val="auto"/>
                      <w:szCs w:val="21"/>
                    </w:rPr>
                  </w:pPr>
                  <w:r>
                    <w:rPr>
                      <w:rFonts w:hint="eastAsia"/>
                      <w:color w:val="auto"/>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continue"/>
                  <w:vAlign w:val="center"/>
                </w:tcPr>
                <w:p>
                  <w:pPr>
                    <w:jc w:val="center"/>
                    <w:rPr>
                      <w:color w:val="auto"/>
                      <w:szCs w:val="21"/>
                    </w:rPr>
                  </w:pPr>
                </w:p>
              </w:tc>
              <w:tc>
                <w:tcPr>
                  <w:tcW w:w="1677" w:type="pct"/>
                  <w:gridSpan w:val="2"/>
                  <w:vAlign w:val="center"/>
                </w:tcPr>
                <w:p>
                  <w:pPr>
                    <w:widowControl/>
                    <w:jc w:val="center"/>
                    <w:rPr>
                      <w:color w:val="auto"/>
                      <w:szCs w:val="21"/>
                    </w:rPr>
                  </w:pPr>
                  <w:r>
                    <w:rPr>
                      <w:rFonts w:hint="eastAsia"/>
                      <w:color w:val="auto"/>
                      <w:szCs w:val="21"/>
                    </w:rPr>
                    <w:t>危险废物</w:t>
                  </w:r>
                </w:p>
              </w:tc>
              <w:tc>
                <w:tcPr>
                  <w:tcW w:w="1144" w:type="dxa"/>
                  <w:vAlign w:val="center"/>
                </w:tcPr>
                <w:p>
                  <w:pPr>
                    <w:widowControl/>
                    <w:jc w:val="center"/>
                    <w:textAlignment w:val="center"/>
                    <w:rPr>
                      <w:color w:val="auto"/>
                      <w:szCs w:val="21"/>
                    </w:rPr>
                  </w:pPr>
                  <w:r>
                    <w:rPr>
                      <w:rFonts w:hint="eastAsia"/>
                      <w:color w:val="auto"/>
                      <w:szCs w:val="21"/>
                      <w:lang w:val="en-US" w:eastAsia="zh-CN"/>
                    </w:rPr>
                    <w:t>9.634</w:t>
                  </w:r>
                </w:p>
              </w:tc>
              <w:tc>
                <w:tcPr>
                  <w:tcW w:w="1133" w:type="dxa"/>
                  <w:vAlign w:val="center"/>
                </w:tcPr>
                <w:p>
                  <w:pPr>
                    <w:widowControl/>
                    <w:jc w:val="center"/>
                    <w:textAlignment w:val="center"/>
                    <w:rPr>
                      <w:color w:val="auto"/>
                      <w:szCs w:val="21"/>
                    </w:rPr>
                  </w:pPr>
                  <w:r>
                    <w:rPr>
                      <w:rFonts w:hint="eastAsia"/>
                      <w:color w:val="auto"/>
                      <w:szCs w:val="21"/>
                      <w:lang w:val="en-US" w:eastAsia="zh-CN"/>
                    </w:rPr>
                    <w:t>9.634</w:t>
                  </w:r>
                </w:p>
              </w:tc>
              <w:tc>
                <w:tcPr>
                  <w:tcW w:w="743" w:type="pct"/>
                  <w:vAlign w:val="center"/>
                </w:tcPr>
                <w:p>
                  <w:pPr>
                    <w:jc w:val="center"/>
                    <w:rPr>
                      <w:color w:val="auto"/>
                      <w:szCs w:val="21"/>
                    </w:rPr>
                  </w:pPr>
                  <w:r>
                    <w:rPr>
                      <w:rFonts w:hint="eastAsia"/>
                      <w:color w:val="auto"/>
                      <w:szCs w:val="21"/>
                    </w:rPr>
                    <w:t>/</w:t>
                  </w:r>
                </w:p>
              </w:tc>
              <w:tc>
                <w:tcPr>
                  <w:tcW w:w="746" w:type="pct"/>
                  <w:vAlign w:val="center"/>
                </w:tcPr>
                <w:p>
                  <w:pPr>
                    <w:jc w:val="center"/>
                    <w:rPr>
                      <w:color w:val="auto"/>
                      <w:szCs w:val="21"/>
                    </w:rPr>
                  </w:pPr>
                  <w:r>
                    <w:rPr>
                      <w:rFonts w:hint="eastAsia"/>
                      <w:color w:val="auto"/>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75" w:type="pct"/>
                  <w:vMerge w:val="continue"/>
                  <w:vAlign w:val="center"/>
                </w:tcPr>
                <w:p>
                  <w:pPr>
                    <w:jc w:val="center"/>
                    <w:rPr>
                      <w:color w:val="auto"/>
                      <w:szCs w:val="21"/>
                    </w:rPr>
                  </w:pPr>
                </w:p>
              </w:tc>
              <w:tc>
                <w:tcPr>
                  <w:tcW w:w="1677" w:type="pct"/>
                  <w:gridSpan w:val="2"/>
                  <w:vAlign w:val="center"/>
                </w:tcPr>
                <w:p>
                  <w:pPr>
                    <w:widowControl/>
                    <w:jc w:val="center"/>
                    <w:rPr>
                      <w:color w:val="auto"/>
                      <w:szCs w:val="21"/>
                    </w:rPr>
                  </w:pPr>
                  <w:r>
                    <w:rPr>
                      <w:rFonts w:hint="eastAsia"/>
                      <w:color w:val="auto"/>
                      <w:szCs w:val="21"/>
                    </w:rPr>
                    <w:t>生活垃圾</w:t>
                  </w:r>
                </w:p>
              </w:tc>
              <w:tc>
                <w:tcPr>
                  <w:tcW w:w="1144" w:type="dxa"/>
                  <w:vAlign w:val="center"/>
                </w:tcPr>
                <w:p>
                  <w:pPr>
                    <w:widowControl/>
                    <w:jc w:val="center"/>
                    <w:textAlignment w:val="center"/>
                    <w:rPr>
                      <w:color w:val="auto"/>
                      <w:szCs w:val="21"/>
                    </w:rPr>
                  </w:pPr>
                  <w:r>
                    <w:rPr>
                      <w:rFonts w:hint="eastAsia"/>
                      <w:color w:val="auto"/>
                      <w:szCs w:val="21"/>
                      <w:lang w:val="en-US" w:eastAsia="zh-CN"/>
                    </w:rPr>
                    <w:t>1.5</w:t>
                  </w:r>
                </w:p>
              </w:tc>
              <w:tc>
                <w:tcPr>
                  <w:tcW w:w="1133" w:type="dxa"/>
                  <w:vAlign w:val="center"/>
                </w:tcPr>
                <w:p>
                  <w:pPr>
                    <w:widowControl/>
                    <w:jc w:val="center"/>
                    <w:textAlignment w:val="center"/>
                    <w:rPr>
                      <w:color w:val="auto"/>
                      <w:szCs w:val="21"/>
                    </w:rPr>
                  </w:pPr>
                  <w:r>
                    <w:rPr>
                      <w:rFonts w:hint="eastAsia"/>
                      <w:color w:val="auto"/>
                      <w:szCs w:val="21"/>
                      <w:lang w:val="en-US" w:eastAsia="zh-CN"/>
                    </w:rPr>
                    <w:t>1.5</w:t>
                  </w:r>
                </w:p>
              </w:tc>
              <w:tc>
                <w:tcPr>
                  <w:tcW w:w="743" w:type="pct"/>
                  <w:vAlign w:val="center"/>
                </w:tcPr>
                <w:p>
                  <w:pPr>
                    <w:jc w:val="center"/>
                    <w:rPr>
                      <w:color w:val="auto"/>
                      <w:szCs w:val="21"/>
                    </w:rPr>
                  </w:pPr>
                  <w:r>
                    <w:rPr>
                      <w:rFonts w:hint="eastAsia"/>
                      <w:color w:val="auto"/>
                      <w:szCs w:val="21"/>
                    </w:rPr>
                    <w:t>/</w:t>
                  </w:r>
                </w:p>
              </w:tc>
              <w:tc>
                <w:tcPr>
                  <w:tcW w:w="746" w:type="pct"/>
                  <w:vAlign w:val="center"/>
                </w:tcPr>
                <w:p>
                  <w:pPr>
                    <w:jc w:val="center"/>
                    <w:rPr>
                      <w:color w:val="auto"/>
                      <w:szCs w:val="21"/>
                    </w:rPr>
                  </w:pPr>
                  <w:r>
                    <w:rPr>
                      <w:rFonts w:hint="eastAsia"/>
                      <w:color w:val="auto"/>
                      <w:szCs w:val="21"/>
                    </w:rPr>
                    <w:t>0</w:t>
                  </w:r>
                </w:p>
              </w:tc>
            </w:tr>
          </w:tbl>
          <w:p>
            <w:pPr>
              <w:tabs>
                <w:tab w:val="left" w:pos="1367"/>
              </w:tabs>
              <w:spacing w:line="240" w:lineRule="auto"/>
              <w:rPr>
                <w:rFonts w:hint="default" w:eastAsia="宋体"/>
                <w:b/>
                <w:bCs/>
                <w:color w:val="auto"/>
                <w:sz w:val="21"/>
                <w:szCs w:val="21"/>
                <w:lang w:val="en-US" w:eastAsia="zh-CN"/>
              </w:rPr>
            </w:pPr>
            <w:r>
              <w:rPr>
                <w:rFonts w:hint="eastAsia"/>
                <w:b/>
                <w:bCs/>
                <w:color w:val="auto"/>
                <w:sz w:val="21"/>
                <w:szCs w:val="21"/>
                <w:lang w:val="en-US" w:eastAsia="zh-CN"/>
              </w:rPr>
              <w:t>注：本表中VOCs包含非甲烷总烃。</w:t>
            </w:r>
          </w:p>
          <w:p>
            <w:pPr>
              <w:tabs>
                <w:tab w:val="left" w:pos="1367"/>
              </w:tabs>
              <w:spacing w:line="360" w:lineRule="auto"/>
              <w:ind w:firstLine="480" w:firstLineChars="200"/>
              <w:rPr>
                <w:b/>
                <w:color w:val="auto"/>
                <w:sz w:val="24"/>
              </w:rPr>
            </w:pPr>
            <w:r>
              <w:rPr>
                <w:color w:val="auto"/>
                <w:sz w:val="24"/>
              </w:rPr>
              <w:t>2</w:t>
            </w:r>
            <w:r>
              <w:rPr>
                <w:b/>
                <w:color w:val="auto"/>
                <w:sz w:val="24"/>
              </w:rPr>
              <w:t>、污染物总量平衡方案</w:t>
            </w:r>
          </w:p>
          <w:p>
            <w:pPr>
              <w:spacing w:line="360" w:lineRule="auto"/>
              <w:ind w:firstLine="480" w:firstLineChars="200"/>
              <w:rPr>
                <w:color w:val="auto"/>
                <w:sz w:val="24"/>
              </w:rPr>
            </w:pPr>
            <w:r>
              <w:rPr>
                <w:color w:val="auto"/>
                <w:sz w:val="24"/>
              </w:rPr>
              <w:t>建设单位向</w:t>
            </w:r>
            <w:r>
              <w:rPr>
                <w:rFonts w:hint="eastAsia"/>
                <w:color w:val="auto"/>
                <w:sz w:val="24"/>
              </w:rPr>
              <w:t>常州市</w:t>
            </w:r>
            <w:r>
              <w:rPr>
                <w:color w:val="auto"/>
                <w:sz w:val="24"/>
              </w:rPr>
              <w:t>金坛</w:t>
            </w:r>
            <w:r>
              <w:rPr>
                <w:rFonts w:hint="eastAsia"/>
                <w:color w:val="auto"/>
                <w:sz w:val="24"/>
              </w:rPr>
              <w:t>生态环境局</w:t>
            </w:r>
            <w:r>
              <w:rPr>
                <w:color w:val="auto"/>
                <w:sz w:val="24"/>
              </w:rPr>
              <w:t>申请总量，污染物排放量应在金坛区内平衡。</w:t>
            </w:r>
          </w:p>
          <w:p>
            <w:pPr>
              <w:pStyle w:val="21"/>
              <w:rPr>
                <w:color w:val="auto"/>
              </w:rPr>
            </w:pPr>
          </w:p>
        </w:tc>
      </w:tr>
    </w:tbl>
    <w:p>
      <w:pPr>
        <w:pStyle w:val="312"/>
        <w:rPr>
          <w:rFonts w:ascii="Times New Roman" w:hAnsi="Times New Roman"/>
          <w:color w:val="auto"/>
        </w:rPr>
      </w:pPr>
      <w:r>
        <w:rPr>
          <w:rFonts w:ascii="Times New Roman" w:hAnsi="Times New Roman"/>
          <w:color w:val="auto"/>
        </w:rPr>
        <w:t>建设项目工程分析</w:t>
      </w:r>
    </w:p>
    <w:tbl>
      <w:tblPr>
        <w:tblStyle w:val="56"/>
        <w:tblW w:w="852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Layout w:type="autofit"/>
        <w:tblCellMar>
          <w:top w:w="0" w:type="dxa"/>
          <w:left w:w="108" w:type="dxa"/>
          <w:bottom w:w="0" w:type="dxa"/>
          <w:right w:w="108" w:type="dxa"/>
        </w:tblCellMar>
      </w:tblPr>
      <w:tblGrid>
        <w:gridCol w:w="852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CellMar>
            <w:top w:w="0" w:type="dxa"/>
            <w:left w:w="108" w:type="dxa"/>
            <w:bottom w:w="0" w:type="dxa"/>
            <w:right w:w="108" w:type="dxa"/>
          </w:tblCellMar>
        </w:tblPrEx>
        <w:trPr>
          <w:trHeight w:val="2171" w:hRule="atLeast"/>
          <w:jc w:val="center"/>
        </w:trPr>
        <w:tc>
          <w:tcPr>
            <w:tcW w:w="8528" w:type="dxa"/>
          </w:tcPr>
          <w:p>
            <w:pPr>
              <w:snapToGrid w:val="0"/>
              <w:rPr>
                <w:b/>
                <w:color w:val="auto"/>
                <w:sz w:val="10"/>
              </w:rPr>
            </w:pPr>
          </w:p>
          <w:p>
            <w:pPr>
              <w:snapToGrid w:val="0"/>
              <w:spacing w:line="360" w:lineRule="auto"/>
              <w:rPr>
                <w:b/>
                <w:color w:val="auto"/>
                <w:sz w:val="24"/>
              </w:rPr>
            </w:pPr>
            <w:r>
              <w:rPr>
                <w:b/>
                <w:color w:val="auto"/>
                <w:sz w:val="24"/>
              </w:rPr>
              <w:t>工艺流程简述(图示)：</w:t>
            </w:r>
          </w:p>
          <w:p>
            <w:pPr>
              <w:pStyle w:val="29"/>
              <w:snapToGrid w:val="0"/>
              <w:spacing w:before="0" w:line="360" w:lineRule="auto"/>
              <w:ind w:firstLine="472" w:firstLineChars="200"/>
              <w:rPr>
                <w:rFonts w:ascii="Times New Roman" w:hAnsi="Times New Roman"/>
                <w:color w:val="auto"/>
                <w:sz w:val="24"/>
              </w:rPr>
            </w:pPr>
            <w:r>
              <w:rPr>
                <w:rFonts w:ascii="Times New Roman" w:hAnsi="Times New Roman"/>
                <w:color w:val="auto"/>
                <w:sz w:val="24"/>
              </w:rPr>
              <w:t>本项目</w:t>
            </w:r>
            <w:r>
              <w:rPr>
                <w:rFonts w:hint="eastAsia" w:ascii="Times New Roman" w:hAnsi="Times New Roman"/>
                <w:color w:val="auto"/>
                <w:sz w:val="24"/>
              </w:rPr>
              <w:t>利用</w:t>
            </w:r>
            <w:r>
              <w:rPr>
                <w:rFonts w:ascii="Times New Roman" w:hAnsi="Times New Roman"/>
                <w:color w:val="auto"/>
                <w:sz w:val="24"/>
              </w:rPr>
              <w:t>现有空置厂房</w:t>
            </w:r>
            <w:r>
              <w:rPr>
                <w:rFonts w:hint="eastAsia" w:ascii="Times New Roman" w:hAnsi="Times New Roman"/>
                <w:color w:val="auto"/>
                <w:sz w:val="24"/>
              </w:rPr>
              <w:t>从事</w:t>
            </w:r>
            <w:r>
              <w:rPr>
                <w:rFonts w:ascii="Times New Roman" w:hAnsi="Times New Roman"/>
                <w:color w:val="auto"/>
                <w:sz w:val="24"/>
              </w:rPr>
              <w:t>生产</w:t>
            </w:r>
            <w:r>
              <w:rPr>
                <w:rFonts w:hint="eastAsia" w:ascii="Times New Roman" w:hAnsi="Times New Roman"/>
                <w:color w:val="auto"/>
                <w:sz w:val="24"/>
              </w:rPr>
              <w:t>活动</w:t>
            </w:r>
            <w:r>
              <w:rPr>
                <w:rFonts w:ascii="Times New Roman" w:hAnsi="Times New Roman"/>
                <w:color w:val="auto"/>
                <w:sz w:val="24"/>
              </w:rPr>
              <w:t>，施工期仅为生产设备的安装以及环保工程的建设，施工期无大型的土建工程，因此本次评价主要分析</w:t>
            </w:r>
            <w:r>
              <w:rPr>
                <w:rFonts w:hint="eastAsia" w:ascii="Times New Roman" w:hAnsi="Times New Roman"/>
                <w:color w:val="auto"/>
                <w:sz w:val="24"/>
              </w:rPr>
              <w:t>营运期</w:t>
            </w:r>
            <w:r>
              <w:rPr>
                <w:rFonts w:ascii="Times New Roman" w:hAnsi="Times New Roman"/>
                <w:color w:val="auto"/>
                <w:sz w:val="24"/>
              </w:rPr>
              <w:t>。</w:t>
            </w:r>
          </w:p>
          <w:p>
            <w:pPr>
              <w:spacing w:line="360" w:lineRule="auto"/>
              <w:ind w:firstLine="480" w:firstLineChars="200"/>
              <w:rPr>
                <w:b/>
                <w:color w:val="auto"/>
                <w:sz w:val="24"/>
                <w:szCs w:val="24"/>
              </w:rPr>
            </w:pPr>
            <w:r>
              <w:rPr>
                <w:b/>
                <w:color w:val="auto"/>
                <w:sz w:val="24"/>
                <w:szCs w:val="24"/>
              </w:rPr>
              <w:t>一、营运期工艺流程及产污环节图</w:t>
            </w:r>
          </w:p>
          <w:p>
            <w:pPr>
              <w:spacing w:line="360" w:lineRule="auto"/>
              <w:ind w:firstLine="720" w:firstLineChars="300"/>
              <w:rPr>
                <w:rFonts w:hint="eastAsia"/>
                <w:b/>
                <w:bCs/>
                <w:color w:val="auto"/>
                <w:sz w:val="24"/>
                <w:szCs w:val="24"/>
              </w:rPr>
            </w:pPr>
            <w:r>
              <w:rPr>
                <w:rFonts w:hint="eastAsia"/>
                <w:b/>
                <w:bCs/>
                <w:color w:val="auto"/>
                <w:sz w:val="24"/>
                <w:szCs w:val="24"/>
                <w:lang w:val="en-US" w:eastAsia="zh-CN"/>
              </w:rPr>
              <w:t>1、</w:t>
            </w:r>
            <w:r>
              <w:rPr>
                <w:rFonts w:hint="eastAsia"/>
                <w:b/>
                <w:bCs/>
                <w:color w:val="auto"/>
                <w:sz w:val="24"/>
                <w:szCs w:val="24"/>
              </w:rPr>
              <w:t>工艺流程</w:t>
            </w:r>
          </w:p>
          <w:p>
            <w:pPr>
              <w:pStyle w:val="2"/>
              <w:rPr>
                <w:rFonts w:hint="default" w:eastAsia="宋体"/>
                <w:color w:val="auto"/>
                <w:lang w:val="en-US" w:eastAsia="zh-CN"/>
              </w:rPr>
            </w:pPr>
            <w:r>
              <w:rPr>
                <w:rFonts w:hint="eastAsia"/>
                <w:b/>
                <w:bCs/>
                <w:color w:val="auto"/>
                <w:sz w:val="24"/>
                <w:szCs w:val="24"/>
                <w:lang w:eastAsia="zh-CN"/>
              </w:rPr>
              <w:t>（</w:t>
            </w:r>
            <w:r>
              <w:rPr>
                <w:rFonts w:hint="eastAsia"/>
                <w:b/>
                <w:bCs/>
                <w:color w:val="auto"/>
                <w:sz w:val="24"/>
                <w:szCs w:val="24"/>
                <w:lang w:val="en-US" w:eastAsia="zh-CN"/>
              </w:rPr>
              <w:t>1</w:t>
            </w:r>
            <w:r>
              <w:rPr>
                <w:rFonts w:hint="eastAsia"/>
                <w:b/>
                <w:bCs/>
                <w:color w:val="auto"/>
                <w:sz w:val="24"/>
                <w:szCs w:val="24"/>
                <w:lang w:eastAsia="zh-CN"/>
              </w:rPr>
              <w:t>）</w:t>
            </w:r>
            <w:r>
              <w:rPr>
                <w:rFonts w:hint="eastAsia"/>
                <w:b/>
                <w:bCs/>
                <w:color w:val="auto"/>
                <w:sz w:val="24"/>
                <w:szCs w:val="24"/>
                <w:lang w:val="en-US" w:eastAsia="zh-CN"/>
              </w:rPr>
              <w:t>金属结构件机加工工艺流程</w:t>
            </w:r>
          </w:p>
          <w:p>
            <w:pPr>
              <w:spacing w:line="360" w:lineRule="auto"/>
              <w:jc w:val="center"/>
              <w:rPr>
                <w:rFonts w:hint="eastAsia" w:ascii="Times New Roman" w:hAnsi="Times New Roman" w:eastAsia="宋体"/>
                <w:bCs w:val="0"/>
                <w:color w:val="auto"/>
                <w:kern w:val="2"/>
                <w:sz w:val="21"/>
                <w:szCs w:val="21"/>
                <w:lang w:eastAsia="zh-CN"/>
              </w:rPr>
            </w:pPr>
            <w:r>
              <w:rPr>
                <w:rFonts w:hint="eastAsia" w:ascii="Times New Roman" w:hAnsi="Times New Roman" w:eastAsia="宋体"/>
                <w:bCs w:val="0"/>
                <w:color w:val="auto"/>
                <w:kern w:val="2"/>
                <w:sz w:val="21"/>
                <w:szCs w:val="21"/>
                <w:lang w:eastAsia="zh-CN"/>
              </w:rPr>
              <w:drawing>
                <wp:inline distT="0" distB="0" distL="114300" distR="114300">
                  <wp:extent cx="3573145" cy="4526280"/>
                  <wp:effectExtent l="0" t="0" r="0" b="0"/>
                  <wp:docPr id="4" name="ECB019B1-382A-4266-B25C-5B523AA43C14-1"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qt_temp"/>
                          <pic:cNvPicPr>
                            <a:picLocks noChangeAspect="1"/>
                          </pic:cNvPicPr>
                        </pic:nvPicPr>
                        <pic:blipFill>
                          <a:blip r:embed="rId12"/>
                          <a:srcRect l="9703" t="7497" r="4707" b="4151"/>
                          <a:stretch>
                            <a:fillRect/>
                          </a:stretch>
                        </pic:blipFill>
                        <pic:spPr>
                          <a:xfrm>
                            <a:off x="0" y="0"/>
                            <a:ext cx="3573145" cy="4526280"/>
                          </a:xfrm>
                          <a:prstGeom prst="rect">
                            <a:avLst/>
                          </a:prstGeom>
                        </pic:spPr>
                      </pic:pic>
                    </a:graphicData>
                  </a:graphic>
                </wp:inline>
              </w:drawing>
            </w:r>
          </w:p>
          <w:p>
            <w:pPr>
              <w:pStyle w:val="2"/>
              <w:ind w:left="0" w:leftChars="0" w:firstLine="0" w:firstLineChars="0"/>
              <w:jc w:val="center"/>
              <w:rPr>
                <w:rFonts w:hint="eastAsia"/>
                <w:b/>
                <w:bCs/>
                <w:color w:val="auto"/>
                <w:kern w:val="2"/>
                <w:sz w:val="21"/>
                <w:szCs w:val="21"/>
                <w:lang w:val="en-US" w:eastAsia="zh-CN"/>
              </w:rPr>
            </w:pPr>
            <w:r>
              <w:rPr>
                <w:rFonts w:hint="eastAsia"/>
                <w:b/>
                <w:bCs/>
                <w:color w:val="auto"/>
                <w:kern w:val="2"/>
                <w:sz w:val="21"/>
                <w:szCs w:val="21"/>
                <w:lang w:val="en-US" w:eastAsia="zh-CN"/>
              </w:rPr>
              <w:t>图5-1 金属结构件机加工工艺流程机产污环节图</w:t>
            </w: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eastAsia"/>
                <w:b/>
                <w:bCs/>
                <w:color w:val="auto"/>
                <w:kern w:val="2"/>
                <w:sz w:val="21"/>
                <w:szCs w:val="21"/>
                <w:lang w:val="en-US" w:eastAsia="zh-CN"/>
              </w:rPr>
            </w:pPr>
          </w:p>
          <w:p>
            <w:pPr>
              <w:pStyle w:val="2"/>
              <w:ind w:left="0" w:leftChars="0" w:firstLine="420" w:firstLineChars="200"/>
              <w:jc w:val="both"/>
              <w:rPr>
                <w:rFonts w:hint="default"/>
                <w:b/>
                <w:bCs/>
                <w:color w:val="auto"/>
                <w:kern w:val="2"/>
                <w:sz w:val="21"/>
                <w:szCs w:val="21"/>
                <w:lang w:val="en-US" w:eastAsia="zh-CN"/>
              </w:rPr>
            </w:pPr>
            <w:r>
              <w:rPr>
                <w:rFonts w:hint="eastAsia"/>
                <w:b/>
                <w:bCs/>
                <w:color w:val="auto"/>
                <w:kern w:val="2"/>
                <w:sz w:val="21"/>
                <w:szCs w:val="21"/>
                <w:lang w:val="en-US" w:eastAsia="zh-CN"/>
              </w:rPr>
              <w:t>（2）喷塑工艺流程</w:t>
            </w:r>
          </w:p>
          <w:p>
            <w:pPr>
              <w:spacing w:line="360" w:lineRule="auto"/>
              <w:jc w:val="center"/>
              <w:rPr>
                <w:rFonts w:hint="eastAsia"/>
                <w:b/>
                <w:color w:val="auto"/>
                <w:sz w:val="24"/>
                <w:szCs w:val="24"/>
                <w:lang w:val="en-US" w:eastAsia="zh-CN"/>
              </w:rPr>
            </w:pPr>
            <w:r>
              <w:rPr>
                <w:rFonts w:hint="eastAsia"/>
                <w:b/>
                <w:color w:val="auto"/>
                <w:sz w:val="24"/>
                <w:szCs w:val="24"/>
                <w:lang w:val="en-US" w:eastAsia="zh-CN"/>
              </w:rPr>
              <w:drawing>
                <wp:inline distT="0" distB="0" distL="114300" distR="114300">
                  <wp:extent cx="3405505" cy="4813300"/>
                  <wp:effectExtent l="0" t="0" r="4445" b="0"/>
                  <wp:docPr id="5" name="ECB019B1-382A-4266-B25C-5B523AA43C14-2"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CB019B1-382A-4266-B25C-5B523AA43C14-2" descr="qt_temp"/>
                          <pic:cNvPicPr>
                            <a:picLocks noChangeAspect="1"/>
                          </pic:cNvPicPr>
                        </pic:nvPicPr>
                        <pic:blipFill>
                          <a:blip r:embed="rId13"/>
                          <a:srcRect l="12239" t="14634" r="6622" b="10609"/>
                          <a:stretch>
                            <a:fillRect/>
                          </a:stretch>
                        </pic:blipFill>
                        <pic:spPr>
                          <a:xfrm>
                            <a:off x="0" y="0"/>
                            <a:ext cx="3405505" cy="4813300"/>
                          </a:xfrm>
                          <a:prstGeom prst="rect">
                            <a:avLst/>
                          </a:prstGeom>
                        </pic:spPr>
                      </pic:pic>
                    </a:graphicData>
                  </a:graphic>
                </wp:inline>
              </w:drawing>
            </w:r>
          </w:p>
          <w:p>
            <w:pPr>
              <w:pStyle w:val="15"/>
              <w:jc w:val="center"/>
              <w:rPr>
                <w:rFonts w:hint="eastAsia" w:ascii="Times New Roman" w:hAnsi="Times New Roman"/>
                <w:bCs w:val="0"/>
                <w:color w:val="auto"/>
                <w:kern w:val="2"/>
                <w:sz w:val="21"/>
                <w:szCs w:val="21"/>
                <w:lang w:val="en-US" w:eastAsia="zh-CN"/>
              </w:rPr>
            </w:pPr>
            <w:r>
              <w:rPr>
                <w:rFonts w:hint="eastAsia" w:ascii="Times New Roman" w:hAnsi="Times New Roman"/>
                <w:bCs w:val="0"/>
                <w:color w:val="auto"/>
                <w:kern w:val="2"/>
                <w:sz w:val="21"/>
                <w:szCs w:val="21"/>
                <w:lang w:val="en-US" w:eastAsia="zh-CN"/>
              </w:rPr>
              <w:t>图5-2  金属结构件喷塑工艺流程及产污环节图</w:t>
            </w:r>
          </w:p>
          <w:p>
            <w:pPr>
              <w:spacing w:line="360" w:lineRule="auto"/>
              <w:ind w:firstLine="480" w:firstLineChars="200"/>
              <w:rPr>
                <w:rFonts w:hint="default"/>
                <w:b/>
                <w:color w:val="auto"/>
                <w:sz w:val="24"/>
                <w:szCs w:val="24"/>
                <w:lang w:val="en-US" w:eastAsia="zh-CN"/>
              </w:rPr>
            </w:pPr>
            <w:r>
              <w:rPr>
                <w:rFonts w:hint="eastAsia"/>
                <w:b/>
                <w:color w:val="auto"/>
                <w:sz w:val="24"/>
                <w:szCs w:val="24"/>
                <w:lang w:val="en-US" w:eastAsia="zh-CN"/>
              </w:rPr>
              <w:t>（3）喷锌工艺流程</w:t>
            </w:r>
          </w:p>
          <w:p>
            <w:pPr>
              <w:spacing w:line="360" w:lineRule="auto"/>
              <w:jc w:val="center"/>
              <w:rPr>
                <w:rFonts w:hint="eastAsia"/>
                <w:b/>
                <w:color w:val="auto"/>
                <w:sz w:val="24"/>
                <w:szCs w:val="24"/>
                <w:lang w:val="en-US" w:eastAsia="zh-CN"/>
              </w:rPr>
            </w:pPr>
            <w:r>
              <w:rPr>
                <w:rFonts w:hint="eastAsia"/>
                <w:b/>
                <w:color w:val="auto"/>
                <w:sz w:val="24"/>
                <w:szCs w:val="24"/>
                <w:lang w:val="en-US" w:eastAsia="zh-CN"/>
              </w:rPr>
              <w:drawing>
                <wp:inline distT="0" distB="0" distL="114300" distR="114300">
                  <wp:extent cx="4244975" cy="2200910"/>
                  <wp:effectExtent l="0" t="0" r="0" b="8890"/>
                  <wp:docPr id="19" name="ECB019B1-382A-4266-B25C-5B523AA43C14-3"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CB019B1-382A-4266-B25C-5B523AA43C14-3" descr="qt_temp"/>
                          <pic:cNvPicPr>
                            <a:picLocks noChangeAspect="1"/>
                          </pic:cNvPicPr>
                        </pic:nvPicPr>
                        <pic:blipFill>
                          <a:blip r:embed="rId14"/>
                          <a:srcRect l="11937" t="20056" r="7016" b="15195"/>
                          <a:stretch>
                            <a:fillRect/>
                          </a:stretch>
                        </pic:blipFill>
                        <pic:spPr>
                          <a:xfrm>
                            <a:off x="0" y="0"/>
                            <a:ext cx="4244975" cy="2200910"/>
                          </a:xfrm>
                          <a:prstGeom prst="rect">
                            <a:avLst/>
                          </a:prstGeom>
                        </pic:spPr>
                      </pic:pic>
                    </a:graphicData>
                  </a:graphic>
                </wp:inline>
              </w:drawing>
            </w:r>
          </w:p>
          <w:p>
            <w:pPr>
              <w:pStyle w:val="15"/>
              <w:jc w:val="center"/>
              <w:rPr>
                <w:rFonts w:hint="eastAsia" w:ascii="Times New Roman" w:hAnsi="Times New Roman"/>
                <w:bCs w:val="0"/>
                <w:color w:val="auto"/>
                <w:kern w:val="2"/>
                <w:sz w:val="21"/>
                <w:szCs w:val="21"/>
                <w:lang w:val="en-US" w:eastAsia="zh-CN"/>
              </w:rPr>
            </w:pPr>
            <w:r>
              <w:rPr>
                <w:rFonts w:hint="eastAsia" w:ascii="Times New Roman" w:hAnsi="Times New Roman"/>
                <w:bCs w:val="0"/>
                <w:color w:val="auto"/>
                <w:kern w:val="2"/>
                <w:sz w:val="21"/>
                <w:szCs w:val="21"/>
                <w:lang w:val="en-US" w:eastAsia="zh-CN"/>
              </w:rPr>
              <w:t>图5-3  金属结构件喷锌工艺流程及产污环节图</w:t>
            </w:r>
          </w:p>
          <w:p>
            <w:pPr>
              <w:spacing w:line="360" w:lineRule="auto"/>
              <w:ind w:firstLine="480" w:firstLineChars="200"/>
              <w:rPr>
                <w:rFonts w:hint="eastAsia"/>
                <w:b/>
                <w:color w:val="auto"/>
                <w:sz w:val="24"/>
                <w:szCs w:val="24"/>
                <w:lang w:val="en-US" w:eastAsia="zh-CN"/>
              </w:rPr>
            </w:pPr>
          </w:p>
          <w:p>
            <w:pPr>
              <w:spacing w:line="360" w:lineRule="auto"/>
              <w:ind w:firstLine="480" w:firstLineChars="200"/>
              <w:rPr>
                <w:rFonts w:hint="eastAsia"/>
                <w:b/>
                <w:color w:val="auto"/>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b/>
                <w:color w:val="auto"/>
                <w:sz w:val="24"/>
                <w:szCs w:val="24"/>
                <w:lang w:val="en-US" w:eastAsia="zh-CN"/>
              </w:rPr>
            </w:pPr>
            <w:r>
              <w:rPr>
                <w:rFonts w:hint="eastAsia"/>
                <w:b/>
                <w:color w:val="auto"/>
                <w:sz w:val="24"/>
                <w:szCs w:val="24"/>
                <w:lang w:val="en-US" w:eastAsia="zh-CN"/>
              </w:rPr>
              <w:t>（4）喷漆工艺</w:t>
            </w:r>
          </w:p>
          <w:p>
            <w:pPr>
              <w:spacing w:line="360" w:lineRule="auto"/>
              <w:jc w:val="center"/>
              <w:rPr>
                <w:rFonts w:hint="eastAsia"/>
                <w:b/>
                <w:color w:val="auto"/>
                <w:sz w:val="24"/>
                <w:szCs w:val="24"/>
                <w:lang w:val="en-US" w:eastAsia="zh-CN"/>
              </w:rPr>
            </w:pPr>
            <w:r>
              <w:rPr>
                <w:rFonts w:hint="eastAsia"/>
                <w:b/>
                <w:color w:val="auto"/>
                <w:sz w:val="24"/>
                <w:szCs w:val="24"/>
                <w:lang w:val="en-US" w:eastAsia="zh-CN"/>
              </w:rPr>
              <w:drawing>
                <wp:inline distT="0" distB="0" distL="114300" distR="114300">
                  <wp:extent cx="3797300" cy="3720465"/>
                  <wp:effectExtent l="0" t="0" r="12700" b="13335"/>
                  <wp:docPr id="20" name="ECB019B1-382A-4266-B25C-5B523AA43C14-4"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CB019B1-382A-4266-B25C-5B523AA43C14-4" descr="qt_temp"/>
                          <pic:cNvPicPr>
                            <a:picLocks noChangeAspect="1"/>
                          </pic:cNvPicPr>
                        </pic:nvPicPr>
                        <pic:blipFill>
                          <a:blip r:embed="rId15"/>
                          <a:srcRect l="10065" t="12756" r="6200" b="7863"/>
                          <a:stretch>
                            <a:fillRect/>
                          </a:stretch>
                        </pic:blipFill>
                        <pic:spPr>
                          <a:xfrm>
                            <a:off x="0" y="0"/>
                            <a:ext cx="3797300" cy="3720465"/>
                          </a:xfrm>
                          <a:prstGeom prst="rect">
                            <a:avLst/>
                          </a:prstGeom>
                        </pic:spPr>
                      </pic:pic>
                    </a:graphicData>
                  </a:graphic>
                </wp:inline>
              </w:drawing>
            </w:r>
          </w:p>
          <w:p>
            <w:pPr>
              <w:pStyle w:val="15"/>
              <w:jc w:val="center"/>
              <w:rPr>
                <w:rFonts w:hint="eastAsia" w:ascii="Times New Roman" w:hAnsi="Times New Roman"/>
                <w:bCs w:val="0"/>
                <w:color w:val="auto"/>
                <w:kern w:val="2"/>
                <w:sz w:val="21"/>
                <w:szCs w:val="21"/>
                <w:lang w:val="en-US" w:eastAsia="zh-CN"/>
              </w:rPr>
            </w:pPr>
            <w:r>
              <w:rPr>
                <w:rFonts w:hint="eastAsia" w:ascii="Times New Roman" w:hAnsi="Times New Roman"/>
                <w:bCs w:val="0"/>
                <w:color w:val="auto"/>
                <w:kern w:val="2"/>
                <w:sz w:val="21"/>
                <w:szCs w:val="21"/>
                <w:lang w:val="en-US" w:eastAsia="zh-CN"/>
              </w:rPr>
              <w:t>图5-4  金属结构件喷漆工艺流程及产污环节图</w:t>
            </w:r>
          </w:p>
          <w:p>
            <w:pPr>
              <w:spacing w:line="360" w:lineRule="auto"/>
              <w:ind w:firstLine="480" w:firstLineChars="200"/>
              <w:rPr>
                <w:b/>
                <w:color w:val="auto"/>
                <w:sz w:val="24"/>
                <w:szCs w:val="24"/>
              </w:rPr>
            </w:pPr>
            <w:r>
              <w:rPr>
                <w:rFonts w:hint="eastAsia"/>
                <w:b/>
                <w:color w:val="auto"/>
                <w:sz w:val="24"/>
                <w:szCs w:val="24"/>
                <w:lang w:val="en-US" w:eastAsia="zh-CN"/>
              </w:rPr>
              <w:t>2、</w:t>
            </w:r>
            <w:r>
              <w:rPr>
                <w:b/>
                <w:color w:val="auto"/>
                <w:sz w:val="24"/>
                <w:szCs w:val="24"/>
              </w:rPr>
              <w:t>工艺流程说明</w:t>
            </w:r>
          </w:p>
          <w:p>
            <w:pPr>
              <w:spacing w:line="360" w:lineRule="auto"/>
              <w:ind w:firstLine="480" w:firstLineChars="200"/>
              <w:rPr>
                <w:rFonts w:hint="default" w:eastAsia="宋体"/>
                <w:color w:val="auto"/>
                <w:sz w:val="24"/>
                <w:szCs w:val="24"/>
                <w:lang w:val="en-US" w:eastAsia="zh-CN"/>
              </w:rPr>
            </w:pPr>
            <w:r>
              <w:rPr>
                <w:rFonts w:hint="eastAsia"/>
                <w:b/>
                <w:bCs/>
                <w:color w:val="auto"/>
                <w:sz w:val="24"/>
                <w:szCs w:val="24"/>
                <w:lang w:eastAsia="zh-CN"/>
              </w:rPr>
              <w:t>镗铣、</w:t>
            </w:r>
            <w:r>
              <w:rPr>
                <w:rFonts w:hint="eastAsia"/>
                <w:b/>
                <w:bCs/>
                <w:color w:val="auto"/>
                <w:sz w:val="24"/>
                <w:szCs w:val="24"/>
                <w:lang w:val="en-US" w:eastAsia="zh-CN"/>
              </w:rPr>
              <w:t>粗加工</w:t>
            </w:r>
            <w:r>
              <w:rPr>
                <w:rFonts w:hint="eastAsia"/>
                <w:b/>
                <w:bCs/>
                <w:color w:val="auto"/>
                <w:sz w:val="24"/>
                <w:szCs w:val="24"/>
              </w:rPr>
              <w:t>：</w:t>
            </w:r>
            <w:r>
              <w:rPr>
                <w:rFonts w:hint="eastAsia"/>
                <w:b w:val="0"/>
                <w:bCs w:val="0"/>
                <w:color w:val="auto"/>
                <w:sz w:val="24"/>
                <w:szCs w:val="24"/>
                <w:lang w:eastAsia="zh-CN"/>
              </w:rPr>
              <w:t>根据图纸要求用数控龙门镗铣床对需要加工的金属结构件进行镗铣加工，利用立车进行车加工，由于此工序采用切削液</w:t>
            </w:r>
            <w:r>
              <w:rPr>
                <w:rFonts w:hint="eastAsia"/>
                <w:b w:val="0"/>
                <w:bCs w:val="0"/>
                <w:color w:val="auto"/>
                <w:sz w:val="24"/>
                <w:szCs w:val="24"/>
                <w:lang w:val="en-US" w:eastAsia="zh-CN"/>
              </w:rPr>
              <w:t>进行</w:t>
            </w:r>
            <w:r>
              <w:rPr>
                <w:rFonts w:hint="eastAsia"/>
                <w:b w:val="0"/>
                <w:bCs w:val="0"/>
                <w:color w:val="auto"/>
                <w:sz w:val="24"/>
                <w:szCs w:val="24"/>
                <w:lang w:eastAsia="zh-CN"/>
              </w:rPr>
              <w:t>湿式机加工，故无粉尘</w:t>
            </w:r>
            <w:r>
              <w:rPr>
                <w:rFonts w:hint="eastAsia"/>
                <w:color w:val="auto"/>
                <w:sz w:val="24"/>
                <w:szCs w:val="24"/>
              </w:rPr>
              <w:t>；</w:t>
            </w:r>
            <w:r>
              <w:rPr>
                <w:rFonts w:hint="eastAsia"/>
                <w:color w:val="auto"/>
                <w:sz w:val="24"/>
                <w:szCs w:val="24"/>
                <w:lang w:eastAsia="zh-CN"/>
              </w:rPr>
              <w:t>此工序会产生金属边角料</w:t>
            </w:r>
            <w:r>
              <w:rPr>
                <w:rFonts w:hint="eastAsia"/>
                <w:color w:val="auto"/>
                <w:sz w:val="24"/>
                <w:szCs w:val="24"/>
                <w:lang w:val="en-US" w:eastAsia="zh-CN"/>
              </w:rPr>
              <w:t>S1-1废切削液、S1-2废金属屑和N噪声；</w:t>
            </w:r>
          </w:p>
          <w:p>
            <w:pPr>
              <w:spacing w:line="360" w:lineRule="auto"/>
              <w:ind w:firstLine="480"/>
              <w:rPr>
                <w:rFonts w:hint="eastAsia"/>
                <w:color w:val="auto"/>
                <w:sz w:val="24"/>
                <w:szCs w:val="24"/>
              </w:rPr>
            </w:pPr>
            <w:r>
              <w:rPr>
                <w:rFonts w:hint="eastAsia"/>
                <w:b/>
                <w:bCs/>
                <w:color w:val="auto"/>
                <w:sz w:val="24"/>
                <w:szCs w:val="24"/>
                <w:lang w:eastAsia="zh-CN"/>
              </w:rPr>
              <w:t>打孔</w:t>
            </w:r>
            <w:r>
              <w:rPr>
                <w:rFonts w:hint="eastAsia"/>
                <w:b/>
                <w:bCs/>
                <w:color w:val="auto"/>
                <w:sz w:val="24"/>
                <w:szCs w:val="24"/>
              </w:rPr>
              <w:t>：</w:t>
            </w:r>
            <w:r>
              <w:rPr>
                <w:rFonts w:hint="eastAsia"/>
                <w:color w:val="auto"/>
                <w:sz w:val="24"/>
                <w:szCs w:val="24"/>
              </w:rPr>
              <w:t>将镗铣后的金属结构件用摇臂钻进行打孔，由于此工序采用切削液进行湿式机加工，故无粉尘产生，此工序会产生</w:t>
            </w:r>
            <w:r>
              <w:rPr>
                <w:rFonts w:hint="eastAsia"/>
                <w:color w:val="auto"/>
                <w:sz w:val="24"/>
                <w:szCs w:val="24"/>
                <w:lang w:val="en-US" w:eastAsia="zh-CN"/>
              </w:rPr>
              <w:t>废金属碎屑</w:t>
            </w:r>
            <w:r>
              <w:rPr>
                <w:rFonts w:hint="eastAsia"/>
                <w:color w:val="auto"/>
                <w:sz w:val="24"/>
                <w:szCs w:val="24"/>
              </w:rPr>
              <w:t>S</w:t>
            </w:r>
            <w:r>
              <w:rPr>
                <w:rFonts w:hint="eastAsia"/>
                <w:color w:val="auto"/>
                <w:sz w:val="24"/>
                <w:szCs w:val="24"/>
                <w:lang w:val="en-US" w:eastAsia="zh-CN"/>
              </w:rPr>
              <w:t>1-</w:t>
            </w:r>
            <w:r>
              <w:rPr>
                <w:rFonts w:hint="eastAsia"/>
                <w:color w:val="auto"/>
                <w:sz w:val="24"/>
                <w:szCs w:val="24"/>
              </w:rPr>
              <w:t>3、废切削液S</w:t>
            </w:r>
            <w:r>
              <w:rPr>
                <w:rFonts w:hint="eastAsia"/>
                <w:color w:val="auto"/>
                <w:sz w:val="24"/>
                <w:szCs w:val="24"/>
                <w:lang w:val="en-US" w:eastAsia="zh-CN"/>
              </w:rPr>
              <w:t>1-</w:t>
            </w:r>
            <w:r>
              <w:rPr>
                <w:rFonts w:hint="eastAsia"/>
                <w:color w:val="auto"/>
                <w:sz w:val="24"/>
                <w:szCs w:val="24"/>
              </w:rPr>
              <w:t>4和N噪声；</w:t>
            </w:r>
          </w:p>
          <w:p>
            <w:pPr>
              <w:spacing w:line="360" w:lineRule="auto"/>
              <w:ind w:firstLine="480" w:firstLineChars="200"/>
              <w:rPr>
                <w:color w:val="auto"/>
                <w:sz w:val="24"/>
                <w:szCs w:val="24"/>
              </w:rPr>
            </w:pPr>
            <w:r>
              <w:rPr>
                <w:rFonts w:hint="eastAsia"/>
                <w:b/>
                <w:bCs/>
                <w:color w:val="auto"/>
                <w:sz w:val="24"/>
                <w:szCs w:val="24"/>
                <w:lang w:eastAsia="zh-CN"/>
              </w:rPr>
              <w:t>精加工：</w:t>
            </w:r>
            <w:r>
              <w:rPr>
                <w:rFonts w:hint="eastAsia"/>
                <w:b w:val="0"/>
                <w:bCs w:val="0"/>
                <w:color w:val="auto"/>
                <w:sz w:val="24"/>
                <w:szCs w:val="24"/>
                <w:lang w:eastAsia="zh-CN"/>
              </w:rPr>
              <w:t>用数控龙门镗铣床对工件进行精加工，使其表面粗糙度达到订单要求；</w:t>
            </w:r>
            <w:r>
              <w:rPr>
                <w:rFonts w:hint="eastAsia"/>
                <w:b w:val="0"/>
                <w:bCs w:val="0"/>
                <w:color w:val="auto"/>
                <w:sz w:val="24"/>
                <w:szCs w:val="24"/>
                <w:lang w:val="en-US" w:eastAsia="zh-CN"/>
              </w:rPr>
              <w:t>此工序会产生</w:t>
            </w:r>
            <w:r>
              <w:rPr>
                <w:rFonts w:hint="eastAsia"/>
                <w:color w:val="auto"/>
                <w:sz w:val="24"/>
                <w:szCs w:val="24"/>
                <w:lang w:val="en-US" w:eastAsia="zh-CN"/>
              </w:rPr>
              <w:t>废金属碎屑</w:t>
            </w:r>
            <w:r>
              <w:rPr>
                <w:rFonts w:hint="eastAsia"/>
                <w:color w:val="auto"/>
                <w:sz w:val="24"/>
                <w:szCs w:val="24"/>
              </w:rPr>
              <w:t>S</w:t>
            </w:r>
            <w:r>
              <w:rPr>
                <w:rFonts w:hint="eastAsia"/>
                <w:color w:val="auto"/>
                <w:sz w:val="24"/>
                <w:szCs w:val="24"/>
                <w:lang w:val="en-US" w:eastAsia="zh-CN"/>
              </w:rPr>
              <w:t>1-5</w:t>
            </w:r>
            <w:r>
              <w:rPr>
                <w:rFonts w:hint="eastAsia"/>
                <w:color w:val="auto"/>
                <w:sz w:val="24"/>
                <w:szCs w:val="24"/>
              </w:rPr>
              <w:t>、废切削液S</w:t>
            </w:r>
            <w:r>
              <w:rPr>
                <w:rFonts w:hint="eastAsia"/>
                <w:color w:val="auto"/>
                <w:sz w:val="24"/>
                <w:szCs w:val="24"/>
                <w:lang w:val="en-US" w:eastAsia="zh-CN"/>
              </w:rPr>
              <w:t>1-6</w:t>
            </w:r>
            <w:r>
              <w:rPr>
                <w:rFonts w:hint="eastAsia"/>
                <w:color w:val="auto"/>
                <w:sz w:val="24"/>
                <w:szCs w:val="24"/>
              </w:rPr>
              <w:t>和N噪声；</w:t>
            </w:r>
          </w:p>
          <w:p>
            <w:pPr>
              <w:spacing w:line="360" w:lineRule="auto"/>
              <w:ind w:firstLine="480" w:firstLineChars="200"/>
              <w:rPr>
                <w:rFonts w:hint="eastAsia" w:eastAsia="宋体"/>
                <w:b/>
                <w:bCs/>
                <w:color w:val="auto"/>
                <w:sz w:val="24"/>
                <w:szCs w:val="24"/>
                <w:lang w:eastAsia="zh-CN"/>
              </w:rPr>
            </w:pPr>
            <w:r>
              <w:rPr>
                <w:rFonts w:hint="eastAsia"/>
                <w:b/>
                <w:bCs/>
                <w:color w:val="auto"/>
                <w:sz w:val="24"/>
                <w:szCs w:val="24"/>
              </w:rPr>
              <w:t>测量检验：</w:t>
            </w:r>
            <w:r>
              <w:rPr>
                <w:rFonts w:hint="eastAsia"/>
                <w:b w:val="0"/>
                <w:bCs w:val="0"/>
                <w:color w:val="auto"/>
                <w:sz w:val="24"/>
                <w:szCs w:val="24"/>
              </w:rPr>
              <w:t>在恒温车间内利用三坐标测量仪对成品的外形尺寸进行检验，合格的即得到</w:t>
            </w:r>
            <w:r>
              <w:rPr>
                <w:rFonts w:hint="eastAsia"/>
                <w:b w:val="0"/>
                <w:bCs w:val="0"/>
                <w:color w:val="auto"/>
                <w:sz w:val="24"/>
                <w:szCs w:val="24"/>
                <w:lang w:eastAsia="zh-CN"/>
              </w:rPr>
              <w:t>合格的</w:t>
            </w:r>
            <w:r>
              <w:rPr>
                <w:rFonts w:hint="eastAsia"/>
                <w:b w:val="0"/>
                <w:bCs w:val="0"/>
                <w:color w:val="auto"/>
                <w:sz w:val="24"/>
                <w:szCs w:val="24"/>
              </w:rPr>
              <w:t>金属结构件，不合格的重新加工，此过程不产生污染物</w:t>
            </w:r>
            <w:r>
              <w:rPr>
                <w:rFonts w:hint="eastAsia"/>
                <w:b w:val="0"/>
                <w:bCs w:val="0"/>
                <w:color w:val="auto"/>
                <w:sz w:val="24"/>
                <w:szCs w:val="24"/>
                <w:lang w:eastAsia="zh-CN"/>
              </w:rPr>
              <w:t>。</w:t>
            </w:r>
          </w:p>
          <w:p>
            <w:pPr>
              <w:spacing w:line="360" w:lineRule="auto"/>
              <w:ind w:firstLine="480" w:firstLineChars="200"/>
              <w:rPr>
                <w:rFonts w:hint="default" w:eastAsia="宋体"/>
                <w:b w:val="0"/>
                <w:bCs w:val="0"/>
                <w:color w:val="auto"/>
                <w:sz w:val="24"/>
                <w:szCs w:val="24"/>
                <w:lang w:val="en-US" w:eastAsia="zh-CN"/>
              </w:rPr>
            </w:pPr>
            <w:r>
              <w:rPr>
                <w:rFonts w:hint="eastAsia"/>
                <w:b/>
                <w:bCs/>
                <w:color w:val="auto"/>
                <w:sz w:val="24"/>
                <w:szCs w:val="24"/>
                <w:lang w:eastAsia="zh-CN"/>
              </w:rPr>
              <w:t>清洗</w:t>
            </w:r>
            <w:r>
              <w:rPr>
                <w:rFonts w:hint="eastAsia"/>
                <w:b/>
                <w:bCs/>
                <w:color w:val="auto"/>
                <w:sz w:val="24"/>
                <w:szCs w:val="24"/>
                <w:lang w:val="en-US" w:eastAsia="zh-CN"/>
              </w:rPr>
              <w:t>:</w:t>
            </w:r>
            <w:r>
              <w:rPr>
                <w:rFonts w:hint="eastAsia"/>
                <w:b w:val="0"/>
                <w:bCs w:val="0"/>
                <w:color w:val="auto"/>
                <w:sz w:val="24"/>
                <w:szCs w:val="24"/>
                <w:lang w:val="en-US" w:eastAsia="zh-CN"/>
              </w:rPr>
              <w:t>使用高温高压清洗机将自来水加热加压冲洗工件表面的污垢，水的冲击力大于污垢与物体表面附着力，高压水就会将污垢剥离，冲走。此工序会产生清洗废液S1-7；</w:t>
            </w:r>
          </w:p>
          <w:p>
            <w:pPr>
              <w:spacing w:line="360" w:lineRule="auto"/>
              <w:ind w:firstLine="480" w:firstLineChars="200"/>
              <w:rPr>
                <w:rFonts w:hint="eastAsia"/>
                <w:b w:val="0"/>
                <w:bCs w:val="0"/>
                <w:color w:val="auto"/>
                <w:sz w:val="24"/>
                <w:szCs w:val="24"/>
                <w:lang w:val="en-US" w:eastAsia="zh-CN"/>
              </w:rPr>
            </w:pPr>
            <w:r>
              <w:rPr>
                <w:rFonts w:hint="eastAsia"/>
                <w:b/>
                <w:bCs/>
                <w:color w:val="auto"/>
                <w:sz w:val="24"/>
                <w:szCs w:val="24"/>
                <w:lang w:eastAsia="zh-CN"/>
              </w:rPr>
              <w:t>喷砂</w:t>
            </w:r>
            <w:r>
              <w:rPr>
                <w:rFonts w:hint="eastAsia"/>
                <w:b/>
                <w:bCs/>
                <w:color w:val="auto"/>
                <w:sz w:val="24"/>
                <w:szCs w:val="24"/>
                <w:lang w:val="en-US" w:eastAsia="zh-CN"/>
              </w:rPr>
              <w:t>/抛丸：</w:t>
            </w:r>
            <w:r>
              <w:rPr>
                <w:rFonts w:hint="eastAsia"/>
                <w:b w:val="0"/>
                <w:bCs w:val="0"/>
                <w:color w:val="auto"/>
                <w:sz w:val="24"/>
                <w:szCs w:val="24"/>
                <w:lang w:val="en-US" w:eastAsia="zh-CN"/>
              </w:rPr>
              <w:t>将清洗后的工件放入密闭的</w:t>
            </w:r>
            <w:r>
              <w:rPr>
                <w:rFonts w:hint="eastAsia"/>
                <w:b w:val="0"/>
                <w:bCs w:val="0"/>
                <w:color w:val="auto"/>
                <w:sz w:val="24"/>
                <w:szCs w:val="24"/>
                <w:lang w:eastAsia="zh-CN"/>
              </w:rPr>
              <w:t>喷砂</w:t>
            </w:r>
            <w:r>
              <w:rPr>
                <w:rFonts w:hint="eastAsia"/>
                <w:b w:val="0"/>
                <w:bCs w:val="0"/>
                <w:color w:val="auto"/>
                <w:sz w:val="24"/>
                <w:szCs w:val="24"/>
                <w:lang w:val="en-US" w:eastAsia="zh-CN"/>
              </w:rPr>
              <w:t>/抛丸房，利用抛丸机将钢丸高速抛射到工件表面，或利用喷砂机将铁砂高速抛射到工件表面，对工件表面进行冲击和刮削，以去除表面的杂质、毛刺等。此工序会产生加工粉尘 G1-1、废金属屑 S1-8 及收集的抛丸粉尘S1-9、喷砂粉尘S1-10，和生产过程中产生的N噪声。</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b/>
                <w:bCs/>
                <w:color w:val="auto"/>
                <w:sz w:val="24"/>
                <w:szCs w:val="24"/>
                <w:lang w:val="en-US" w:eastAsia="zh-CN"/>
              </w:rPr>
            </w:pPr>
            <w:r>
              <w:rPr>
                <w:rFonts w:hint="eastAsia"/>
                <w:b/>
                <w:bCs/>
                <w:color w:val="auto"/>
                <w:sz w:val="24"/>
                <w:szCs w:val="24"/>
                <w:lang w:val="en-US" w:eastAsia="zh-CN"/>
              </w:rPr>
              <w:t>经机加工处理好的金属结构件需进行喷涂后得到最终成品。根据建设单位提供资料，本项目喷锌件500件，喷塑件1700件，喷漆件2800件。喷涂工序流程详细说明如下：</w:t>
            </w:r>
          </w:p>
          <w:p>
            <w:pPr>
              <w:spacing w:line="360" w:lineRule="auto"/>
              <w:rPr>
                <w:rFonts w:hint="default"/>
                <w:b/>
                <w:bCs/>
                <w:color w:val="auto"/>
                <w:sz w:val="24"/>
                <w:szCs w:val="24"/>
                <w:lang w:val="en-US" w:eastAsia="zh-CN"/>
              </w:rPr>
            </w:pPr>
            <w:r>
              <w:rPr>
                <w:rFonts w:hint="eastAsia"/>
                <w:b/>
                <w:bCs/>
                <w:color w:val="auto"/>
                <w:sz w:val="24"/>
                <w:szCs w:val="24"/>
                <w:lang w:val="en-US" w:eastAsia="zh-CN"/>
              </w:rPr>
              <w:t xml:space="preserve">   ①喷塑</w:t>
            </w:r>
          </w:p>
          <w:p>
            <w:pPr>
              <w:spacing w:line="360" w:lineRule="auto"/>
              <w:ind w:firstLine="480" w:firstLineChars="200"/>
              <w:rPr>
                <w:rFonts w:hint="default"/>
                <w:b/>
                <w:bCs/>
                <w:color w:val="auto"/>
                <w:sz w:val="24"/>
                <w:szCs w:val="24"/>
                <w:lang w:val="en-US" w:eastAsia="zh-CN"/>
              </w:rPr>
            </w:pPr>
            <w:r>
              <w:rPr>
                <w:rFonts w:hint="eastAsia"/>
                <w:b/>
                <w:bCs/>
                <w:color w:val="auto"/>
                <w:sz w:val="24"/>
                <w:szCs w:val="24"/>
                <w:lang w:val="en-US" w:eastAsia="zh-CN"/>
              </w:rPr>
              <w:t>喷塑：</w:t>
            </w:r>
            <w:r>
              <w:rPr>
                <w:rFonts w:hint="eastAsia"/>
                <w:b w:val="0"/>
                <w:bCs w:val="0"/>
                <w:color w:val="auto"/>
                <w:sz w:val="24"/>
                <w:szCs w:val="24"/>
                <w:lang w:val="en-US" w:eastAsia="zh-CN"/>
              </w:rPr>
              <w:t>本项目喷塑工序在喷塑流水线完成。塑粉在干净、干燥的压缩空气下从供粉器送入输粉管，再被气流送到高压静电喷粉枪，由喷粉枪出口处的电晕放电使粉末涂料颗粒带上静电负电荷，带电粉末涂料借助气流被吸附在接地的工件上。带静电荷的粉末吸附在工件上后的吸附力很大，有一定的粘着力，一般的气流或轻微震动均不能使粉末脱落，落下的粉末通过回收系统回收，过筛后可以再用。</w:t>
            </w:r>
          </w:p>
          <w:p>
            <w:pPr>
              <w:spacing w:line="360" w:lineRule="auto"/>
              <w:rPr>
                <w:rFonts w:hint="default"/>
                <w:b w:val="0"/>
                <w:bCs w:val="0"/>
                <w:color w:val="auto"/>
                <w:sz w:val="24"/>
                <w:szCs w:val="24"/>
                <w:lang w:val="en-US" w:eastAsia="zh-CN"/>
              </w:rPr>
            </w:pPr>
            <w:r>
              <w:rPr>
                <w:rFonts w:hint="eastAsia"/>
                <w:b/>
                <w:bCs/>
                <w:color w:val="auto"/>
                <w:sz w:val="24"/>
                <w:szCs w:val="24"/>
                <w:lang w:val="en-US" w:eastAsia="zh-CN"/>
              </w:rPr>
              <w:t xml:space="preserve">   固化:</w:t>
            </w:r>
            <w:r>
              <w:rPr>
                <w:rFonts w:hint="eastAsia"/>
                <w:b w:val="0"/>
                <w:bCs w:val="0"/>
                <w:color w:val="auto"/>
                <w:sz w:val="24"/>
                <w:szCs w:val="24"/>
                <w:lang w:val="en-US" w:eastAsia="zh-CN"/>
              </w:rPr>
              <w:t>将喷涂好的工件直接送入烘道，采用电加热，塑粉在工艺所要求的温度下进行熔化、流平、固化成涂膜。一般的固化条件为工件温度在180℃下烘烤10~15分钟。经自然降温后得到成品。</w:t>
            </w:r>
          </w:p>
          <w:p>
            <w:pPr>
              <w:spacing w:line="360" w:lineRule="auto"/>
              <w:rPr>
                <w:rFonts w:hint="default" w:ascii="Times New Roman" w:hAnsi="Times New Roman" w:eastAsia="宋体" w:cs="Times New Roman"/>
                <w:b w:val="0"/>
                <w:bCs w:val="0"/>
                <w:color w:val="auto"/>
                <w:kern w:val="2"/>
                <w:sz w:val="24"/>
                <w:szCs w:val="24"/>
                <w:lang w:val="en-US" w:eastAsia="zh-CN" w:bidi="ar-SA"/>
              </w:rPr>
            </w:pPr>
            <w:r>
              <w:rPr>
                <w:rFonts w:hint="eastAsia" w:cs="Times New Roman"/>
                <w:b w:val="0"/>
                <w:bCs w:val="0"/>
                <w:color w:val="auto"/>
                <w:kern w:val="2"/>
                <w:sz w:val="24"/>
                <w:szCs w:val="24"/>
                <w:lang w:val="en-US" w:eastAsia="zh-CN" w:bidi="ar-SA"/>
              </w:rPr>
              <w:t xml:space="preserve">    喷塑和固化工序会产生G2-1喷塑粉尘、G2-2固化废气和噪声N；</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b/>
                <w:bCs/>
                <w:color w:val="auto"/>
                <w:sz w:val="24"/>
                <w:szCs w:val="24"/>
                <w:lang w:val="en-US" w:eastAsia="zh-CN"/>
              </w:rPr>
            </w:pPr>
            <w:r>
              <w:rPr>
                <w:rFonts w:hint="eastAsia"/>
                <w:b/>
                <w:bCs/>
                <w:color w:val="auto"/>
                <w:sz w:val="24"/>
                <w:szCs w:val="24"/>
                <w:lang w:val="en-US" w:eastAsia="zh-CN"/>
              </w:rPr>
              <w:t xml:space="preserve"> ②喷锌</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b w:val="0"/>
                <w:bCs w:val="0"/>
                <w:color w:val="auto"/>
                <w:sz w:val="24"/>
                <w:szCs w:val="24"/>
                <w:lang w:val="en-US" w:eastAsia="zh-CN"/>
              </w:rPr>
            </w:pPr>
            <w:r>
              <w:rPr>
                <w:rFonts w:hint="eastAsia"/>
                <w:b/>
                <w:bCs/>
                <w:color w:val="auto"/>
                <w:sz w:val="24"/>
                <w:szCs w:val="24"/>
                <w:lang w:val="en-US" w:eastAsia="zh-CN"/>
              </w:rPr>
              <w:t>喷锌：</w:t>
            </w:r>
            <w:r>
              <w:rPr>
                <w:rFonts w:hint="eastAsia"/>
                <w:b w:val="0"/>
                <w:bCs w:val="0"/>
                <w:color w:val="auto"/>
                <w:sz w:val="24"/>
                <w:szCs w:val="24"/>
                <w:lang w:val="en-US" w:eastAsia="zh-CN"/>
              </w:rPr>
              <w:t>使用手提式喷锌机对工件进行热喷锌。工件喷砂完成2-3小时内应完成喷锌工作，以免影响镀层与基体的结合强度。本项目喷锌工序设置在移动式喷漆房内，压缩空气系统经过除油、除水过滤，然后将锌丝由后手管放入喷枪并伸出枪嘴8mm，同时使用两根锌丝通过短路熔融喷附在基底上，同时，通过压缩空气，推动锌丝前进，并使熔融的部分形成一种雾状喷射到基体金属表面上，形成均匀镀层。喷涂时压缩空气气量控制在0.8-0.85Kg/m</w:t>
            </w:r>
            <w:r>
              <w:rPr>
                <w:rFonts w:hint="eastAsia"/>
                <w:b w:val="0"/>
                <w:bCs w:val="0"/>
                <w:color w:val="auto"/>
                <w:sz w:val="24"/>
                <w:szCs w:val="24"/>
                <w:vertAlign w:val="superscript"/>
                <w:lang w:val="en-US" w:eastAsia="zh-CN"/>
              </w:rPr>
              <w:t>3</w:t>
            </w:r>
            <w:r>
              <w:rPr>
                <w:rFonts w:hint="eastAsia"/>
                <w:b w:val="0"/>
                <w:bCs w:val="0"/>
                <w:color w:val="auto"/>
                <w:sz w:val="24"/>
                <w:szCs w:val="24"/>
                <w:lang w:val="en-US" w:eastAsia="zh-CN"/>
              </w:rPr>
              <w:t>时。</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b w:val="0"/>
                <w:bCs w:val="0"/>
                <w:color w:val="auto"/>
                <w:sz w:val="24"/>
                <w:szCs w:val="24"/>
                <w:lang w:val="en-US" w:eastAsia="zh-CN"/>
              </w:rPr>
            </w:pPr>
            <w:r>
              <w:rPr>
                <w:rFonts w:hint="eastAsia"/>
                <w:b w:val="0"/>
                <w:bCs w:val="0"/>
                <w:color w:val="auto"/>
                <w:sz w:val="24"/>
                <w:szCs w:val="24"/>
                <w:lang w:val="en-US" w:eastAsia="zh-CN"/>
              </w:rPr>
              <w:t>喷锌工序会产生锌雾颗粒G2-1、锌粉S2-1和噪声N；</w:t>
            </w:r>
          </w:p>
          <w:p>
            <w:pPr>
              <w:adjustRightInd w:val="0"/>
              <w:snapToGrid w:val="0"/>
              <w:spacing w:line="360" w:lineRule="auto"/>
              <w:ind w:firstLine="480" w:firstLineChars="200"/>
              <w:rPr>
                <w:rFonts w:hint="default"/>
                <w:b/>
                <w:color w:val="auto"/>
                <w:sz w:val="24"/>
                <w:szCs w:val="24"/>
                <w:lang w:val="en-US" w:eastAsia="zh-CN"/>
              </w:rPr>
            </w:pPr>
            <w:r>
              <w:rPr>
                <w:rFonts w:hint="eastAsia"/>
                <w:b/>
                <w:color w:val="auto"/>
                <w:sz w:val="24"/>
                <w:szCs w:val="24"/>
                <w:lang w:val="en-US" w:eastAsia="zh-CN"/>
              </w:rPr>
              <w:t>③喷漆</w:t>
            </w:r>
          </w:p>
          <w:p>
            <w:pPr>
              <w:adjustRightInd w:val="0"/>
              <w:snapToGrid w:val="0"/>
              <w:spacing w:line="360" w:lineRule="auto"/>
              <w:ind w:firstLine="480" w:firstLineChars="200"/>
              <w:rPr>
                <w:b w:val="0"/>
                <w:bCs/>
                <w:color w:val="auto"/>
                <w:sz w:val="24"/>
                <w:szCs w:val="24"/>
              </w:rPr>
            </w:pPr>
            <w:r>
              <w:rPr>
                <w:rFonts w:hint="eastAsia"/>
                <w:b/>
                <w:color w:val="auto"/>
                <w:sz w:val="24"/>
                <w:szCs w:val="24"/>
                <w:lang w:val="en-US" w:eastAsia="zh-CN"/>
              </w:rPr>
              <w:t>喷底漆、自然晾干：</w:t>
            </w:r>
            <w:r>
              <w:rPr>
                <w:rFonts w:hint="default" w:ascii="Times New Roman" w:hAnsi="Times New Roman" w:cs="Times New Roman" w:eastAsiaTheme="minorEastAsia"/>
                <w:b w:val="0"/>
                <w:bCs/>
                <w:color w:val="auto"/>
                <w:sz w:val="24"/>
                <w:szCs w:val="24"/>
                <w:lang w:val="en-US" w:eastAsia="zh-CN"/>
              </w:rPr>
              <w:t>喷漆工序在移动式喷漆房内进行。抛丸后的工件需在6小时内完成喷漆。该过程在常温下进行，底漆需调配，调配在喷漆房进行。</w:t>
            </w:r>
            <w:r>
              <w:rPr>
                <w:rFonts w:hint="default" w:ascii="Times New Roman" w:hAnsi="Times New Roman" w:cs="Times New Roman" w:eastAsiaTheme="minorEastAsia"/>
                <w:b w:val="0"/>
                <w:bCs/>
                <w:color w:val="auto"/>
                <w:sz w:val="24"/>
                <w:szCs w:val="24"/>
              </w:rPr>
              <w:t>喷</w:t>
            </w:r>
            <w:r>
              <w:rPr>
                <w:rFonts w:hint="default" w:ascii="Times New Roman" w:hAnsi="Times New Roman" w:cs="Times New Roman" w:eastAsiaTheme="minorEastAsia"/>
                <w:color w:val="auto"/>
                <w:sz w:val="24"/>
                <w:szCs w:val="24"/>
              </w:rPr>
              <w:t>漆采用静电喷涂，利用电晕放电原理使雾化的水性漆在高压直流电场作用下产生负电荷，并吸附于正电荷基底表面放电，从而得到较均匀的涂层。喷枪与被喷表面的距离在200~300mm范围，压缩空气压力控制在2~4kg/</w:t>
            </w:r>
            <w:r>
              <w:rPr>
                <w:rFonts w:hint="eastAsia" w:ascii="Times New Roman" w:hAnsi="Times New Roman" w:cs="Times New Roman" w:eastAsiaTheme="minorEastAsia"/>
                <w:color w:val="auto"/>
                <w:sz w:val="24"/>
                <w:szCs w:val="24"/>
                <w:lang w:val="en-US" w:eastAsia="zh-CN"/>
              </w:rPr>
              <w:t>cm</w:t>
            </w:r>
            <w:r>
              <w:rPr>
                <w:rFonts w:hint="eastAsia" w:ascii="Times New Roman" w:hAnsi="Times New Roman" w:cs="Times New Roman" w:eastAsiaTheme="minorEastAsia"/>
                <w:color w:val="auto"/>
                <w:sz w:val="24"/>
                <w:szCs w:val="24"/>
                <w:vertAlign w:val="superscript"/>
                <w:lang w:val="en-US" w:eastAsia="zh-CN"/>
              </w:rPr>
              <w:t>2</w:t>
            </w:r>
            <w:r>
              <w:rPr>
                <w:rFonts w:hint="eastAsia" w:ascii="Times New Roman" w:hAnsi="Times New Roman" w:cs="Times New Roman" w:eastAsiaTheme="minorEastAsia"/>
                <w:color w:val="auto"/>
                <w:sz w:val="24"/>
                <w:szCs w:val="24"/>
                <w:lang w:val="en-US" w:eastAsia="zh-CN"/>
              </w:rPr>
              <w:t>。</w:t>
            </w:r>
            <w:r>
              <w:rPr>
                <w:rFonts w:hint="eastAsia"/>
                <w:b w:val="0"/>
                <w:bCs/>
                <w:color w:val="auto"/>
                <w:sz w:val="24"/>
                <w:szCs w:val="24"/>
              </w:rPr>
              <w:t>生产用漆属于速干漆，正常室温下，即可满足风干要求。</w:t>
            </w:r>
            <w:r>
              <w:rPr>
                <w:rFonts w:hint="eastAsia"/>
                <w:b w:val="0"/>
                <w:bCs/>
                <w:color w:val="auto"/>
                <w:sz w:val="24"/>
                <w:szCs w:val="24"/>
                <w:lang w:eastAsia="zh-CN"/>
              </w:rPr>
              <w:t>本项目金属结构件尺寸较大，</w:t>
            </w:r>
            <w:r>
              <w:rPr>
                <w:rFonts w:hint="eastAsia"/>
                <w:b w:val="0"/>
                <w:bCs/>
                <w:color w:val="auto"/>
                <w:sz w:val="24"/>
                <w:szCs w:val="24"/>
              </w:rPr>
              <w:t>因此，工件在喷漆房内进行晾干。</w:t>
            </w:r>
          </w:p>
          <w:p>
            <w:pPr>
              <w:adjustRightInd w:val="0"/>
              <w:snapToGrid w:val="0"/>
              <w:spacing w:line="360" w:lineRule="auto"/>
              <w:ind w:firstLine="480" w:firstLineChars="200"/>
              <w:rPr>
                <w:b w:val="0"/>
                <w:bCs/>
                <w:color w:val="auto"/>
                <w:sz w:val="24"/>
                <w:szCs w:val="24"/>
              </w:rPr>
            </w:pPr>
            <w:r>
              <w:rPr>
                <w:rFonts w:hint="eastAsia"/>
                <w:b/>
                <w:color w:val="auto"/>
                <w:sz w:val="24"/>
                <w:szCs w:val="24"/>
                <w:lang w:val="en-US" w:eastAsia="zh-CN"/>
              </w:rPr>
              <w:t>二次喷底漆</w:t>
            </w:r>
            <w:r>
              <w:rPr>
                <w:rFonts w:hint="eastAsia"/>
                <w:b/>
                <w:color w:val="auto"/>
                <w:sz w:val="24"/>
                <w:szCs w:val="24"/>
              </w:rPr>
              <w:t>、晾干：</w:t>
            </w:r>
            <w:r>
              <w:rPr>
                <w:rFonts w:hint="eastAsia"/>
                <w:b w:val="0"/>
                <w:bCs/>
                <w:color w:val="auto"/>
                <w:sz w:val="24"/>
                <w:szCs w:val="24"/>
                <w:lang w:val="en-US" w:eastAsia="zh-CN"/>
              </w:rPr>
              <w:t>晾干后，对工件再次喷底漆。本</w:t>
            </w:r>
            <w:r>
              <w:rPr>
                <w:rFonts w:hint="default" w:ascii="Times New Roman" w:hAnsi="Times New Roman" w:cs="Times New Roman" w:eastAsiaTheme="minorEastAsia"/>
                <w:b w:val="0"/>
                <w:bCs/>
                <w:color w:val="auto"/>
                <w:sz w:val="24"/>
                <w:szCs w:val="24"/>
                <w:lang w:val="en-US" w:eastAsia="zh-CN"/>
              </w:rPr>
              <w:t>底漆需调配，调配在喷漆房进行</w:t>
            </w:r>
            <w:r>
              <w:rPr>
                <w:rFonts w:hint="eastAsia"/>
                <w:b w:val="0"/>
                <w:bCs/>
                <w:color w:val="auto"/>
                <w:sz w:val="24"/>
                <w:szCs w:val="24"/>
              </w:rPr>
              <w:t>。生产工件经喷漆处理后，采用自然晾干的方式对工件表面漆料进行风干</w:t>
            </w:r>
            <w:r>
              <w:rPr>
                <w:rFonts w:hint="eastAsia"/>
                <w:b w:val="0"/>
                <w:bCs/>
                <w:color w:val="auto"/>
                <w:sz w:val="24"/>
                <w:szCs w:val="24"/>
                <w:lang w:eastAsia="zh-CN"/>
              </w:rPr>
              <w:t>。</w:t>
            </w:r>
            <w:r>
              <w:rPr>
                <w:rFonts w:hint="eastAsia"/>
                <w:b w:val="0"/>
                <w:bCs/>
                <w:color w:val="auto"/>
                <w:sz w:val="24"/>
                <w:szCs w:val="24"/>
              </w:rPr>
              <w:t>工件在喷漆房内进行晾干。</w:t>
            </w:r>
          </w:p>
          <w:p>
            <w:pPr>
              <w:adjustRightInd w:val="0"/>
              <w:snapToGrid w:val="0"/>
              <w:spacing w:line="360" w:lineRule="auto"/>
              <w:ind w:firstLine="480" w:firstLineChars="200"/>
              <w:rPr>
                <w:b w:val="0"/>
                <w:bCs/>
                <w:color w:val="auto"/>
                <w:sz w:val="24"/>
                <w:szCs w:val="24"/>
              </w:rPr>
            </w:pPr>
            <w:r>
              <w:rPr>
                <w:rFonts w:hint="eastAsia"/>
                <w:b/>
                <w:color w:val="auto"/>
                <w:sz w:val="24"/>
                <w:szCs w:val="24"/>
                <w:lang w:val="en-US" w:eastAsia="zh-CN"/>
              </w:rPr>
              <w:t>喷面漆</w:t>
            </w:r>
            <w:r>
              <w:rPr>
                <w:rFonts w:hint="eastAsia"/>
                <w:b/>
                <w:color w:val="auto"/>
                <w:sz w:val="24"/>
                <w:szCs w:val="24"/>
              </w:rPr>
              <w:t>、晾干</w:t>
            </w:r>
            <w:r>
              <w:rPr>
                <w:rFonts w:hint="eastAsia"/>
                <w:b/>
                <w:color w:val="auto"/>
                <w:sz w:val="24"/>
                <w:szCs w:val="24"/>
                <w:lang w:eastAsia="zh-CN"/>
              </w:rPr>
              <w:t>：</w:t>
            </w:r>
            <w:r>
              <w:rPr>
                <w:rFonts w:hint="eastAsia"/>
                <w:b w:val="0"/>
                <w:bCs/>
                <w:color w:val="auto"/>
                <w:sz w:val="24"/>
                <w:szCs w:val="24"/>
                <w:lang w:val="en-US" w:eastAsia="zh-CN"/>
              </w:rPr>
              <w:t>晾干后，对工件喷面漆。本项目面漆无需调配</w:t>
            </w:r>
            <w:r>
              <w:rPr>
                <w:rFonts w:hint="eastAsia"/>
                <w:b w:val="0"/>
                <w:bCs/>
                <w:color w:val="auto"/>
                <w:sz w:val="24"/>
                <w:szCs w:val="24"/>
              </w:rPr>
              <w:t>，因此生产过程中直接喷涂。生产工件经喷漆处理后，采用自然晾干的方式对工件表面漆料进行风干</w:t>
            </w:r>
            <w:r>
              <w:rPr>
                <w:rFonts w:hint="eastAsia"/>
                <w:b w:val="0"/>
                <w:bCs/>
                <w:color w:val="auto"/>
                <w:sz w:val="24"/>
                <w:szCs w:val="24"/>
                <w:lang w:eastAsia="zh-CN"/>
              </w:rPr>
              <w:t>。</w:t>
            </w:r>
            <w:r>
              <w:rPr>
                <w:rFonts w:hint="eastAsia"/>
                <w:b w:val="0"/>
                <w:bCs/>
                <w:color w:val="auto"/>
                <w:sz w:val="24"/>
                <w:szCs w:val="24"/>
              </w:rPr>
              <w:t>工件在喷漆房内进行晾干。</w:t>
            </w:r>
          </w:p>
          <w:p>
            <w:pPr>
              <w:adjustRightInd w:val="0"/>
              <w:snapToGrid w:val="0"/>
              <w:spacing w:line="360" w:lineRule="auto"/>
              <w:ind w:firstLine="480" w:firstLineChars="200"/>
              <w:rPr>
                <w:rFonts w:hint="default" w:eastAsia="宋体"/>
                <w:b w:val="0"/>
                <w:bCs/>
                <w:color w:val="auto"/>
                <w:sz w:val="24"/>
                <w:szCs w:val="24"/>
                <w:lang w:val="en-US" w:eastAsia="zh-CN"/>
              </w:rPr>
            </w:pPr>
            <w:r>
              <w:rPr>
                <w:rFonts w:hint="eastAsia" w:eastAsia="宋体"/>
                <w:b w:val="0"/>
                <w:bCs/>
                <w:color w:val="auto"/>
                <w:sz w:val="24"/>
                <w:szCs w:val="24"/>
                <w:lang w:val="en-US" w:eastAsia="zh-CN"/>
              </w:rPr>
              <w:t>本项目</w:t>
            </w:r>
            <w:r>
              <w:rPr>
                <w:rFonts w:hint="eastAsia"/>
                <w:b w:val="0"/>
                <w:bCs/>
                <w:color w:val="auto"/>
                <w:sz w:val="24"/>
                <w:szCs w:val="24"/>
                <w:lang w:val="en-US" w:eastAsia="zh-CN"/>
              </w:rPr>
              <w:t>调漆、</w:t>
            </w:r>
            <w:r>
              <w:rPr>
                <w:rFonts w:hint="eastAsia" w:eastAsia="宋体"/>
                <w:b w:val="0"/>
                <w:bCs/>
                <w:color w:val="auto"/>
                <w:sz w:val="24"/>
                <w:szCs w:val="24"/>
                <w:lang w:val="en-US" w:eastAsia="zh-CN"/>
              </w:rPr>
              <w:t>喷漆、晾干均在喷漆房内进行</w:t>
            </w:r>
            <w:r>
              <w:rPr>
                <w:rFonts w:hint="eastAsia"/>
                <w:b w:val="0"/>
                <w:bCs/>
                <w:color w:val="auto"/>
                <w:sz w:val="24"/>
                <w:szCs w:val="24"/>
                <w:lang w:val="en-US" w:eastAsia="zh-CN"/>
              </w:rPr>
              <w:t>。此工序产会产生为漆雾颗粒G4-1、G4-3、G4-5，有机废气G4-2、G4-4、G4-6和漆渣S4-1、S4-2、S4-3。喷漆房内配套喷枪使用后需用自来水定期清洗，喷枪约3天清洗一次，产生洗枪废液 S4-4。</w:t>
            </w:r>
          </w:p>
          <w:p>
            <w:pPr>
              <w:adjustRightInd w:val="0"/>
              <w:snapToGrid w:val="0"/>
              <w:spacing w:line="360" w:lineRule="auto"/>
              <w:ind w:firstLine="480" w:firstLineChars="200"/>
              <w:rPr>
                <w:b/>
                <w:color w:val="auto"/>
                <w:sz w:val="24"/>
                <w:szCs w:val="24"/>
              </w:rPr>
            </w:pPr>
            <w:r>
              <w:rPr>
                <w:rFonts w:hint="eastAsia"/>
                <w:b/>
                <w:color w:val="auto"/>
                <w:sz w:val="24"/>
                <w:szCs w:val="24"/>
                <w:lang w:eastAsia="zh-CN"/>
              </w:rPr>
              <w:t>二</w:t>
            </w:r>
            <w:r>
              <w:rPr>
                <w:b/>
                <w:color w:val="auto"/>
                <w:sz w:val="24"/>
                <w:szCs w:val="24"/>
              </w:rPr>
              <w:t>、</w:t>
            </w:r>
            <w:r>
              <w:rPr>
                <w:rFonts w:hint="eastAsia"/>
                <w:b/>
                <w:color w:val="auto"/>
                <w:sz w:val="24"/>
                <w:szCs w:val="24"/>
              </w:rPr>
              <w:t>污染因子识别</w:t>
            </w:r>
            <w:r>
              <w:rPr>
                <w:b/>
                <w:color w:val="auto"/>
                <w:sz w:val="24"/>
                <w:szCs w:val="24"/>
              </w:rPr>
              <w:t>：</w:t>
            </w:r>
          </w:p>
          <w:p>
            <w:pPr>
              <w:adjustRightInd w:val="0"/>
              <w:snapToGrid w:val="0"/>
              <w:spacing w:line="360" w:lineRule="auto"/>
              <w:ind w:firstLine="480" w:firstLineChars="200"/>
              <w:rPr>
                <w:rFonts w:hint="eastAsia"/>
                <w:b w:val="0"/>
                <w:bCs/>
                <w:color w:val="auto"/>
                <w:sz w:val="24"/>
                <w:szCs w:val="24"/>
                <w:lang w:eastAsia="zh-CN"/>
              </w:rPr>
            </w:pPr>
            <w:r>
              <w:rPr>
                <w:rFonts w:hint="eastAsia"/>
                <w:b w:val="0"/>
                <w:bCs/>
                <w:color w:val="auto"/>
                <w:sz w:val="24"/>
                <w:szCs w:val="24"/>
                <w:lang w:eastAsia="zh-CN"/>
              </w:rPr>
              <w:t>本项目运营期污染因子识别详见表5-1。</w:t>
            </w:r>
          </w:p>
          <w:p>
            <w:pPr>
              <w:contextualSpacing/>
              <w:jc w:val="center"/>
              <w:rPr>
                <w:b/>
                <w:color w:val="auto"/>
                <w:szCs w:val="21"/>
              </w:rPr>
            </w:pPr>
            <w:r>
              <w:rPr>
                <w:rFonts w:hint="eastAsia"/>
                <w:b/>
                <w:color w:val="auto"/>
                <w:szCs w:val="21"/>
              </w:rPr>
              <w:t>5-1 项目污染工序及污染因子汇总</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694"/>
              <w:gridCol w:w="1420"/>
              <w:gridCol w:w="1438"/>
              <w:gridCol w:w="1879"/>
              <w:gridCol w:w="20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tcBorders>
                    <w:tl2br w:val="nil"/>
                    <w:tr2bl w:val="nil"/>
                  </w:tcBorders>
                  <w:vAlign w:val="center"/>
                </w:tcPr>
                <w:p>
                  <w:pPr>
                    <w:adjustRightInd w:val="0"/>
                    <w:snapToGrid w:val="0"/>
                    <w:jc w:val="center"/>
                    <w:rPr>
                      <w:b/>
                      <w:bCs/>
                      <w:color w:val="auto"/>
                      <w:szCs w:val="21"/>
                    </w:rPr>
                  </w:pPr>
                  <w:r>
                    <w:rPr>
                      <w:b/>
                      <w:bCs/>
                      <w:color w:val="auto"/>
                      <w:szCs w:val="21"/>
                    </w:rPr>
                    <w:t>类别</w:t>
                  </w:r>
                </w:p>
              </w:tc>
              <w:tc>
                <w:tcPr>
                  <w:tcW w:w="2114" w:type="dxa"/>
                  <w:gridSpan w:val="2"/>
                  <w:tcBorders>
                    <w:tl2br w:val="nil"/>
                    <w:tr2bl w:val="nil"/>
                  </w:tcBorders>
                  <w:vAlign w:val="center"/>
                </w:tcPr>
                <w:p>
                  <w:pPr>
                    <w:adjustRightInd w:val="0"/>
                    <w:snapToGrid w:val="0"/>
                    <w:jc w:val="center"/>
                    <w:rPr>
                      <w:color w:val="auto"/>
                      <w:szCs w:val="21"/>
                    </w:rPr>
                  </w:pPr>
                  <w:r>
                    <w:rPr>
                      <w:b/>
                      <w:bCs/>
                      <w:color w:val="auto"/>
                      <w:szCs w:val="21"/>
                    </w:rPr>
                    <w:t>污染源</w:t>
                  </w:r>
                </w:p>
              </w:tc>
              <w:tc>
                <w:tcPr>
                  <w:tcW w:w="1438" w:type="dxa"/>
                  <w:tcBorders>
                    <w:tl2br w:val="nil"/>
                    <w:tr2bl w:val="nil"/>
                  </w:tcBorders>
                  <w:vAlign w:val="center"/>
                </w:tcPr>
                <w:p>
                  <w:pPr>
                    <w:adjustRightInd w:val="0"/>
                    <w:snapToGrid w:val="0"/>
                    <w:jc w:val="center"/>
                    <w:rPr>
                      <w:b/>
                      <w:bCs/>
                      <w:color w:val="auto"/>
                      <w:szCs w:val="21"/>
                    </w:rPr>
                  </w:pPr>
                  <w:r>
                    <w:rPr>
                      <w:b/>
                      <w:bCs/>
                      <w:color w:val="auto"/>
                      <w:szCs w:val="21"/>
                    </w:rPr>
                    <w:t>污染物</w:t>
                  </w:r>
                </w:p>
              </w:tc>
              <w:tc>
                <w:tcPr>
                  <w:tcW w:w="1879" w:type="dxa"/>
                  <w:tcBorders>
                    <w:tl2br w:val="nil"/>
                    <w:tr2bl w:val="nil"/>
                  </w:tcBorders>
                  <w:vAlign w:val="center"/>
                </w:tcPr>
                <w:p>
                  <w:pPr>
                    <w:adjustRightInd w:val="0"/>
                    <w:snapToGrid w:val="0"/>
                    <w:jc w:val="center"/>
                    <w:rPr>
                      <w:b/>
                      <w:bCs/>
                      <w:color w:val="auto"/>
                      <w:szCs w:val="21"/>
                    </w:rPr>
                  </w:pPr>
                  <w:r>
                    <w:rPr>
                      <w:b/>
                      <w:bCs/>
                      <w:color w:val="auto"/>
                      <w:szCs w:val="21"/>
                    </w:rPr>
                    <w:t>产生工序/产生车间</w:t>
                  </w:r>
                </w:p>
              </w:tc>
              <w:tc>
                <w:tcPr>
                  <w:tcW w:w="2081" w:type="dxa"/>
                  <w:tcBorders>
                    <w:tl2br w:val="nil"/>
                    <w:tr2bl w:val="nil"/>
                  </w:tcBorders>
                  <w:vAlign w:val="center"/>
                </w:tcPr>
                <w:p>
                  <w:pPr>
                    <w:adjustRightInd w:val="0"/>
                    <w:snapToGrid w:val="0"/>
                    <w:jc w:val="center"/>
                    <w:rPr>
                      <w:b/>
                      <w:bCs/>
                      <w:color w:val="auto"/>
                      <w:szCs w:val="21"/>
                    </w:rPr>
                  </w:pPr>
                  <w:r>
                    <w:rPr>
                      <w:b/>
                      <w:bCs/>
                      <w:color w:val="auto"/>
                      <w:szCs w:val="21"/>
                    </w:rPr>
                    <w:t>主要污染因子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800" w:type="dxa"/>
                  <w:tcBorders>
                    <w:tl2br w:val="nil"/>
                    <w:tr2bl w:val="nil"/>
                  </w:tcBorders>
                  <w:vAlign w:val="center"/>
                </w:tcPr>
                <w:p>
                  <w:pPr>
                    <w:adjustRightInd w:val="0"/>
                    <w:snapToGrid w:val="0"/>
                    <w:jc w:val="center"/>
                    <w:rPr>
                      <w:color w:val="auto"/>
                      <w:szCs w:val="21"/>
                    </w:rPr>
                  </w:pPr>
                  <w:r>
                    <w:rPr>
                      <w:rFonts w:hint="eastAsia"/>
                      <w:color w:val="auto"/>
                      <w:szCs w:val="21"/>
                    </w:rPr>
                    <w:t>废水</w:t>
                  </w:r>
                </w:p>
              </w:tc>
              <w:tc>
                <w:tcPr>
                  <w:tcW w:w="2114" w:type="dxa"/>
                  <w:gridSpan w:val="2"/>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员工日常生活</w:t>
                  </w:r>
                </w:p>
              </w:tc>
              <w:tc>
                <w:tcPr>
                  <w:tcW w:w="1438"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生活污水</w:t>
                  </w:r>
                </w:p>
              </w:tc>
              <w:tc>
                <w:tcPr>
                  <w:tcW w:w="1879"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员工日常生活</w:t>
                  </w:r>
                </w:p>
              </w:tc>
              <w:tc>
                <w:tcPr>
                  <w:tcW w:w="2081"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COD、SS、NH</w:t>
                  </w:r>
                  <w:r>
                    <w:rPr>
                      <w:rFonts w:hint="eastAsia"/>
                      <w:color w:val="auto"/>
                      <w:szCs w:val="21"/>
                      <w:vertAlign w:val="subscript"/>
                      <w:lang w:val="en-US" w:eastAsia="zh-CN"/>
                    </w:rPr>
                    <w:t>3</w:t>
                  </w:r>
                  <w:r>
                    <w:rPr>
                      <w:rFonts w:hint="eastAsia"/>
                      <w:color w:val="auto"/>
                      <w:szCs w:val="21"/>
                      <w:lang w:val="en-US" w:eastAsia="zh-CN"/>
                    </w:rPr>
                    <w:t>-H、TP、TN</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800" w:type="dxa"/>
                  <w:vMerge w:val="restart"/>
                  <w:tcBorders>
                    <w:tl2br w:val="nil"/>
                    <w:tr2bl w:val="nil"/>
                  </w:tcBorders>
                  <w:vAlign w:val="center"/>
                </w:tcPr>
                <w:p>
                  <w:pPr>
                    <w:adjustRightInd w:val="0"/>
                    <w:snapToGrid w:val="0"/>
                    <w:jc w:val="center"/>
                    <w:rPr>
                      <w:color w:val="auto"/>
                      <w:szCs w:val="21"/>
                    </w:rPr>
                  </w:pPr>
                  <w:r>
                    <w:rPr>
                      <w:rFonts w:hint="eastAsia"/>
                      <w:color w:val="auto"/>
                      <w:szCs w:val="21"/>
                    </w:rPr>
                    <w:t>废气</w:t>
                  </w:r>
                </w:p>
              </w:tc>
              <w:tc>
                <w:tcPr>
                  <w:tcW w:w="2114" w:type="dxa"/>
                  <w:gridSpan w:val="2"/>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喷砂工序</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喷砂粉尘</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喷砂工序</w:t>
                  </w:r>
                </w:p>
              </w:tc>
              <w:tc>
                <w:tcPr>
                  <w:tcW w:w="2081" w:type="dxa"/>
                  <w:tcBorders>
                    <w:tl2br w:val="nil"/>
                    <w:tr2bl w:val="nil"/>
                  </w:tcBorders>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2114" w:type="dxa"/>
                  <w:gridSpan w:val="2"/>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抛丸工序</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抛丸粉尘</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抛丸工序</w:t>
                  </w:r>
                </w:p>
              </w:tc>
              <w:tc>
                <w:tcPr>
                  <w:tcW w:w="2081" w:type="dxa"/>
                  <w:tcBorders>
                    <w:tl2br w:val="nil"/>
                    <w:tr2bl w:val="nil"/>
                  </w:tcBorders>
                  <w:vAlign w:val="center"/>
                </w:tcPr>
                <w:p>
                  <w:pPr>
                    <w:adjustRightInd w:val="0"/>
                    <w:snapToGrid w:val="0"/>
                    <w:jc w:val="center"/>
                    <w:rPr>
                      <w:color w:val="auto"/>
                      <w:szCs w:val="21"/>
                    </w:rPr>
                  </w:pPr>
                  <w:r>
                    <w:rPr>
                      <w:rFonts w:hint="eastAsia"/>
                      <w:color w:val="auto"/>
                      <w:szCs w:val="21"/>
                      <w:lang w:val="en-US" w:eastAsia="zh-CN"/>
                    </w:rPr>
                    <w:t>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2114" w:type="dxa"/>
                  <w:gridSpan w:val="2"/>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喷塑工序</w:t>
                  </w:r>
                </w:p>
              </w:tc>
              <w:tc>
                <w:tcPr>
                  <w:tcW w:w="1438" w:type="dxa"/>
                  <w:tcBorders>
                    <w:tl2br w:val="nil"/>
                    <w:tr2bl w:val="nil"/>
                  </w:tcBorders>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塑粉</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喷塑工序</w:t>
                  </w:r>
                </w:p>
              </w:tc>
              <w:tc>
                <w:tcPr>
                  <w:tcW w:w="2081" w:type="dxa"/>
                  <w:tcBorders>
                    <w:tl2br w:val="nil"/>
                    <w:tr2bl w:val="nil"/>
                  </w:tcBorders>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2114" w:type="dxa"/>
                  <w:gridSpan w:val="2"/>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固化工序</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固化废气</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固化工序</w:t>
                  </w:r>
                </w:p>
              </w:tc>
              <w:tc>
                <w:tcPr>
                  <w:tcW w:w="2081"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2114" w:type="dxa"/>
                  <w:gridSpan w:val="2"/>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喷锌工序</w:t>
                  </w:r>
                </w:p>
              </w:tc>
              <w:tc>
                <w:tcPr>
                  <w:tcW w:w="1438" w:type="dxa"/>
                  <w:tcBorders>
                    <w:tl2br w:val="nil"/>
                    <w:tr2bl w:val="nil"/>
                  </w:tcBorders>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锌雾颗粒</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喷锌工序</w:t>
                  </w:r>
                </w:p>
              </w:tc>
              <w:tc>
                <w:tcPr>
                  <w:tcW w:w="2081" w:type="dxa"/>
                  <w:tcBorders>
                    <w:tl2br w:val="nil"/>
                    <w:tr2bl w:val="nil"/>
                  </w:tcBorders>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金属颗粒物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2114" w:type="dxa"/>
                  <w:gridSpan w:val="2"/>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调漆工序、喷漆工序、自然晾干</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漆雾颗粒、有机废气</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调漆工序、喷漆工序、自然晾干</w:t>
                  </w:r>
                </w:p>
              </w:tc>
              <w:tc>
                <w:tcPr>
                  <w:tcW w:w="2081"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漆雾颗粒物、VOCs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800" w:type="dxa"/>
                  <w:tcBorders>
                    <w:tl2br w:val="nil"/>
                    <w:tr2bl w:val="nil"/>
                  </w:tcBorders>
                  <w:vAlign w:val="center"/>
                </w:tcPr>
                <w:p>
                  <w:pPr>
                    <w:adjustRightInd w:val="0"/>
                    <w:snapToGrid w:val="0"/>
                    <w:jc w:val="center"/>
                    <w:rPr>
                      <w:color w:val="auto"/>
                      <w:szCs w:val="21"/>
                    </w:rPr>
                  </w:pPr>
                  <w:r>
                    <w:rPr>
                      <w:rFonts w:hint="eastAsia"/>
                      <w:color w:val="auto"/>
                      <w:szCs w:val="21"/>
                    </w:rPr>
                    <w:t>噪声</w:t>
                  </w:r>
                </w:p>
              </w:tc>
              <w:tc>
                <w:tcPr>
                  <w:tcW w:w="2114" w:type="dxa"/>
                  <w:gridSpan w:val="2"/>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设备运行的噪声</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等效连续噪声级</w:t>
                  </w:r>
                </w:p>
              </w:tc>
              <w:tc>
                <w:tcPr>
                  <w:tcW w:w="1879"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生产车间</w:t>
                  </w:r>
                </w:p>
              </w:tc>
              <w:tc>
                <w:tcPr>
                  <w:tcW w:w="2081" w:type="dxa"/>
                  <w:tcBorders>
                    <w:tl2br w:val="nil"/>
                    <w:tr2bl w:val="nil"/>
                  </w:tcBorders>
                  <w:vAlign w:val="center"/>
                </w:tcPr>
                <w:p>
                  <w:pPr>
                    <w:adjustRightInd w:val="0"/>
                    <w:snapToGrid w:val="0"/>
                    <w:jc w:val="center"/>
                    <w:rPr>
                      <w:color w:val="auto"/>
                      <w:szCs w:val="21"/>
                    </w:rPr>
                  </w:pPr>
                  <w:r>
                    <w:rPr>
                      <w:rFonts w:hint="eastAsia"/>
                      <w:color w:val="auto"/>
                      <w:szCs w:val="21"/>
                      <w:lang w:val="en-US" w:eastAsia="zh-CN"/>
                    </w:rPr>
                    <w:t>等效连续噪声级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800" w:type="dxa"/>
                  <w:vMerge w:val="restart"/>
                  <w:tcBorders>
                    <w:tl2br w:val="nil"/>
                    <w:tr2bl w:val="nil"/>
                  </w:tcBorders>
                  <w:vAlign w:val="center"/>
                </w:tcPr>
                <w:p>
                  <w:pPr>
                    <w:adjustRightInd w:val="0"/>
                    <w:snapToGrid w:val="0"/>
                    <w:jc w:val="center"/>
                    <w:rPr>
                      <w:color w:val="auto"/>
                      <w:szCs w:val="21"/>
                    </w:rPr>
                  </w:pPr>
                  <w:r>
                    <w:rPr>
                      <w:rFonts w:hint="eastAsia"/>
                      <w:color w:val="auto"/>
                      <w:szCs w:val="21"/>
                    </w:rPr>
                    <w:t>固体废物</w:t>
                  </w:r>
                </w:p>
              </w:tc>
              <w:tc>
                <w:tcPr>
                  <w:tcW w:w="694" w:type="dxa"/>
                  <w:vMerge w:val="restart"/>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一般工业固废</w:t>
                  </w: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镗铣、初加工、打孔、精加工、清洗</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废金属碎屑</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镗铣、初加工、打孔、精加工、清洗</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废金属碎屑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喷砂工序</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收集的加工粉尘、废砂</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喷砂工序</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收集的加工粉尘、废砂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rFonts w:hint="eastAsia" w:eastAsia="宋体"/>
                      <w:color w:val="auto"/>
                      <w:szCs w:val="21"/>
                      <w:lang w:eastAsia="zh-CN"/>
                    </w:rPr>
                  </w:pP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抛丸工序</w:t>
                  </w:r>
                </w:p>
              </w:tc>
              <w:tc>
                <w:tcPr>
                  <w:tcW w:w="1438" w:type="dxa"/>
                  <w:tcBorders>
                    <w:tl2br w:val="nil"/>
                    <w:tr2bl w:val="nil"/>
                  </w:tcBorders>
                  <w:vAlign w:val="center"/>
                </w:tcPr>
                <w:p>
                  <w:pPr>
                    <w:adjustRightInd w:val="0"/>
                    <w:snapToGrid w:val="0"/>
                    <w:jc w:val="center"/>
                    <w:rPr>
                      <w:rFonts w:hint="default"/>
                      <w:color w:val="auto"/>
                      <w:szCs w:val="21"/>
                      <w:lang w:val="en-US"/>
                    </w:rPr>
                  </w:pPr>
                  <w:r>
                    <w:rPr>
                      <w:rFonts w:hint="eastAsia"/>
                      <w:color w:val="auto"/>
                      <w:szCs w:val="21"/>
                      <w:lang w:val="en-US" w:eastAsia="zh-CN"/>
                    </w:rPr>
                    <w:t>收集的加工粉尘、废铁丸</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抛丸工序</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收集的加工粉尘、废铁丸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rFonts w:hint="eastAsia" w:eastAsia="宋体"/>
                      <w:color w:val="auto"/>
                      <w:szCs w:val="21"/>
                      <w:lang w:eastAsia="zh-CN"/>
                    </w:rPr>
                  </w:pPr>
                </w:p>
              </w:tc>
              <w:tc>
                <w:tcPr>
                  <w:tcW w:w="1420"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喷锌</w:t>
                  </w: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锌渣</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喷锌</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锌渣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restart"/>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危险废物</w:t>
                  </w:r>
                </w:p>
              </w:tc>
              <w:tc>
                <w:tcPr>
                  <w:tcW w:w="1420"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镗铣、初加工、打孔、精加工</w:t>
                  </w: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废切削液</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镗铣、初加工、打孔、精加工</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废切削液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喷漆工序</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漆渣</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喷漆工序</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漆渣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喷枪清洗</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清洗废液</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喷枪清洗</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清洗废液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vMerge w:val="restart"/>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废气处理</w:t>
                  </w: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废过滤棉</w:t>
                  </w:r>
                </w:p>
              </w:tc>
              <w:tc>
                <w:tcPr>
                  <w:tcW w:w="1879" w:type="dxa"/>
                  <w:vMerge w:val="restart"/>
                  <w:tcBorders>
                    <w:tl2br w:val="nil"/>
                    <w:tr2bl w:val="nil"/>
                  </w:tcBorders>
                  <w:vAlign w:val="center"/>
                </w:tcPr>
                <w:p>
                  <w:pPr>
                    <w:adjustRightInd w:val="0"/>
                    <w:snapToGrid w:val="0"/>
                    <w:jc w:val="center"/>
                    <w:rPr>
                      <w:color w:val="auto"/>
                      <w:szCs w:val="21"/>
                    </w:rPr>
                  </w:pPr>
                  <w:r>
                    <w:rPr>
                      <w:rFonts w:hint="eastAsia"/>
                      <w:color w:val="auto"/>
                      <w:szCs w:val="21"/>
                      <w:lang w:val="en-US" w:eastAsia="zh-CN"/>
                    </w:rPr>
                    <w:t>废气处理</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废过滤棉、漆渣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vMerge w:val="continue"/>
                  <w:tcBorders>
                    <w:tl2br w:val="nil"/>
                    <w:tr2bl w:val="nil"/>
                  </w:tcBorders>
                  <w:vAlign w:val="center"/>
                </w:tcPr>
                <w:p>
                  <w:pPr>
                    <w:adjustRightInd w:val="0"/>
                    <w:snapToGrid w:val="0"/>
                    <w:jc w:val="center"/>
                    <w:rPr>
                      <w:color w:val="auto"/>
                      <w:szCs w:val="21"/>
                    </w:rPr>
                  </w:pPr>
                </w:p>
              </w:tc>
              <w:tc>
                <w:tcPr>
                  <w:tcW w:w="1438"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废活性炭</w:t>
                  </w:r>
                </w:p>
              </w:tc>
              <w:tc>
                <w:tcPr>
                  <w:tcW w:w="1879" w:type="dxa"/>
                  <w:vMerge w:val="continue"/>
                  <w:tcBorders>
                    <w:tl2br w:val="nil"/>
                    <w:tr2bl w:val="nil"/>
                  </w:tcBorders>
                  <w:vAlign w:val="center"/>
                </w:tcPr>
                <w:p>
                  <w:pPr>
                    <w:adjustRightInd w:val="0"/>
                    <w:snapToGrid w:val="0"/>
                    <w:jc w:val="center"/>
                    <w:rPr>
                      <w:color w:val="auto"/>
                      <w:szCs w:val="21"/>
                    </w:rPr>
                  </w:pP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vMerge w:val="continue"/>
                  <w:tcBorders>
                    <w:tl2br w:val="nil"/>
                    <w:tr2bl w:val="nil"/>
                  </w:tcBorders>
                  <w:vAlign w:val="center"/>
                </w:tcPr>
                <w:p>
                  <w:pPr>
                    <w:adjustRightInd w:val="0"/>
                    <w:snapToGrid w:val="0"/>
                    <w:jc w:val="center"/>
                    <w:rPr>
                      <w:color w:val="auto"/>
                      <w:szCs w:val="21"/>
                    </w:rPr>
                  </w:pP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废含漆废物</w:t>
                  </w:r>
                </w:p>
              </w:tc>
              <w:tc>
                <w:tcPr>
                  <w:tcW w:w="1879" w:type="dxa"/>
                  <w:vMerge w:val="continue"/>
                  <w:tcBorders>
                    <w:tl2br w:val="nil"/>
                    <w:tr2bl w:val="nil"/>
                  </w:tcBorders>
                  <w:vAlign w:val="center"/>
                </w:tcPr>
                <w:p>
                  <w:pPr>
                    <w:adjustRightInd w:val="0"/>
                    <w:snapToGrid w:val="0"/>
                    <w:jc w:val="center"/>
                    <w:rPr>
                      <w:color w:val="auto"/>
                      <w:szCs w:val="21"/>
                    </w:rPr>
                  </w:pP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废塑料薄膜、漆渣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设备维护</w:t>
                  </w: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废润滑油</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设备维护</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废矿物油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原料拆封</w:t>
                  </w: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废包装桶</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原料拆封</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废包装桶、切削液、矿物油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vMerge w:val="continue"/>
                  <w:tcBorders>
                    <w:tl2br w:val="nil"/>
                    <w:tr2bl w:val="nil"/>
                  </w:tcBorders>
                  <w:vAlign w:val="center"/>
                </w:tcPr>
                <w:p>
                  <w:pPr>
                    <w:adjustRightInd w:val="0"/>
                    <w:snapToGrid w:val="0"/>
                    <w:jc w:val="center"/>
                    <w:rPr>
                      <w:color w:val="auto"/>
                      <w:szCs w:val="21"/>
                    </w:rPr>
                  </w:pPr>
                </w:p>
              </w:tc>
              <w:tc>
                <w:tcPr>
                  <w:tcW w:w="1420"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生产过程</w:t>
                  </w:r>
                </w:p>
              </w:tc>
              <w:tc>
                <w:tcPr>
                  <w:tcW w:w="1438" w:type="dxa"/>
                  <w:tcBorders>
                    <w:tl2br w:val="nil"/>
                    <w:tr2bl w:val="nil"/>
                  </w:tcBorders>
                  <w:vAlign w:val="center"/>
                </w:tcPr>
                <w:p>
                  <w:pPr>
                    <w:adjustRightInd w:val="0"/>
                    <w:snapToGrid w:val="0"/>
                    <w:jc w:val="center"/>
                    <w:rPr>
                      <w:rFonts w:hint="default"/>
                      <w:color w:val="auto"/>
                      <w:szCs w:val="21"/>
                      <w:lang w:val="en-US" w:eastAsia="zh-CN"/>
                    </w:rPr>
                  </w:pPr>
                  <w:r>
                    <w:rPr>
                      <w:rFonts w:hint="eastAsia"/>
                      <w:color w:val="auto"/>
                      <w:szCs w:val="21"/>
                      <w:lang w:val="en-US" w:eastAsia="zh-CN"/>
                    </w:rPr>
                    <w:t>废劳保用品</w:t>
                  </w:r>
                </w:p>
              </w:tc>
              <w:tc>
                <w:tcPr>
                  <w:tcW w:w="1879"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生产过程</w:t>
                  </w:r>
                </w:p>
              </w:tc>
              <w:tc>
                <w:tcPr>
                  <w:tcW w:w="2081"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废劳保用品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dxa"/>
                  <w:vMerge w:val="continue"/>
                  <w:tcBorders>
                    <w:tl2br w:val="nil"/>
                    <w:tr2bl w:val="nil"/>
                  </w:tcBorders>
                  <w:vAlign w:val="center"/>
                </w:tcPr>
                <w:p>
                  <w:pPr>
                    <w:adjustRightInd w:val="0"/>
                    <w:snapToGrid w:val="0"/>
                    <w:jc w:val="center"/>
                    <w:rPr>
                      <w:color w:val="auto"/>
                      <w:szCs w:val="21"/>
                    </w:rPr>
                  </w:pPr>
                </w:p>
              </w:tc>
              <w:tc>
                <w:tcPr>
                  <w:tcW w:w="694"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生活垃圾</w:t>
                  </w:r>
                </w:p>
              </w:tc>
              <w:tc>
                <w:tcPr>
                  <w:tcW w:w="1420"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员工日常生活</w:t>
                  </w:r>
                </w:p>
              </w:tc>
              <w:tc>
                <w:tcPr>
                  <w:tcW w:w="1438"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生活垃圾</w:t>
                  </w:r>
                </w:p>
              </w:tc>
              <w:tc>
                <w:tcPr>
                  <w:tcW w:w="1879" w:type="dxa"/>
                  <w:tcBorders>
                    <w:tl2br w:val="nil"/>
                    <w:tr2bl w:val="nil"/>
                  </w:tcBorders>
                  <w:vAlign w:val="center"/>
                </w:tcPr>
                <w:p>
                  <w:pPr>
                    <w:adjustRightInd w:val="0"/>
                    <w:snapToGrid w:val="0"/>
                    <w:jc w:val="center"/>
                    <w:rPr>
                      <w:color w:val="auto"/>
                      <w:szCs w:val="21"/>
                    </w:rPr>
                  </w:pPr>
                  <w:r>
                    <w:rPr>
                      <w:rFonts w:hint="eastAsia"/>
                      <w:color w:val="auto"/>
                      <w:szCs w:val="21"/>
                      <w:lang w:eastAsia="zh-CN"/>
                    </w:rPr>
                    <w:t>员工日常生活</w:t>
                  </w:r>
                </w:p>
              </w:tc>
              <w:tc>
                <w:tcPr>
                  <w:tcW w:w="2081" w:type="dxa"/>
                  <w:tcBorders>
                    <w:tl2br w:val="nil"/>
                    <w:tr2bl w:val="nil"/>
                  </w:tcBorders>
                  <w:vAlign w:val="center"/>
                </w:tcPr>
                <w:p>
                  <w:pPr>
                    <w:adjustRightInd w:val="0"/>
                    <w:snapToGrid w:val="0"/>
                    <w:jc w:val="center"/>
                    <w:rPr>
                      <w:rFonts w:hint="eastAsia" w:eastAsia="宋体"/>
                      <w:color w:val="auto"/>
                      <w:szCs w:val="21"/>
                      <w:lang w:eastAsia="zh-CN"/>
                    </w:rPr>
                  </w:pPr>
                  <w:r>
                    <w:rPr>
                      <w:rFonts w:hint="eastAsia"/>
                      <w:color w:val="auto"/>
                      <w:szCs w:val="21"/>
                      <w:lang w:eastAsia="zh-CN"/>
                    </w:rPr>
                    <w:t>果皮、纸屑等</w:t>
                  </w:r>
                </w:p>
              </w:tc>
            </w:tr>
          </w:tbl>
          <w:p>
            <w:pPr>
              <w:spacing w:line="360" w:lineRule="auto"/>
              <w:ind w:firstLine="480" w:firstLineChars="200"/>
              <w:rPr>
                <w:b/>
                <w:color w:val="auto"/>
                <w:sz w:val="24"/>
                <w:szCs w:val="24"/>
              </w:rPr>
            </w:pPr>
            <w:r>
              <w:rPr>
                <w:rFonts w:hint="eastAsia"/>
                <w:b/>
                <w:color w:val="auto"/>
                <w:sz w:val="24"/>
                <w:szCs w:val="24"/>
                <w:lang w:eastAsia="zh-CN"/>
              </w:rPr>
              <w:t>三</w:t>
            </w:r>
            <w:r>
              <w:rPr>
                <w:rFonts w:hint="eastAsia"/>
                <w:b/>
                <w:color w:val="auto"/>
                <w:sz w:val="24"/>
                <w:szCs w:val="24"/>
              </w:rPr>
              <w:t>、污染工序及源强分析：</w:t>
            </w:r>
          </w:p>
          <w:p>
            <w:pPr>
              <w:pStyle w:val="21"/>
              <w:spacing w:after="0" w:line="360" w:lineRule="auto"/>
              <w:ind w:firstLine="480" w:firstLineChars="200"/>
              <w:rPr>
                <w:rFonts w:hint="eastAsia"/>
                <w:b/>
                <w:bCs/>
                <w:color w:val="auto"/>
                <w:sz w:val="24"/>
                <w:lang w:eastAsia="zh-CN"/>
              </w:rPr>
            </w:pPr>
            <w:r>
              <w:rPr>
                <w:rFonts w:hint="eastAsia"/>
                <w:b/>
                <w:bCs/>
                <w:color w:val="auto"/>
                <w:sz w:val="24"/>
                <w:lang w:val="en-US" w:eastAsia="zh-CN"/>
              </w:rPr>
              <w:t>①</w:t>
            </w:r>
            <w:r>
              <w:rPr>
                <w:rFonts w:hint="eastAsia"/>
                <w:b/>
                <w:bCs/>
                <w:color w:val="auto"/>
                <w:sz w:val="24"/>
                <w:lang w:eastAsia="zh-CN"/>
              </w:rPr>
              <w:t>水性漆用量核算</w:t>
            </w:r>
          </w:p>
          <w:p>
            <w:pPr>
              <w:pStyle w:val="21"/>
              <w:spacing w:after="0" w:line="360" w:lineRule="auto"/>
              <w:ind w:firstLine="480" w:firstLineChars="200"/>
              <w:rPr>
                <w:rFonts w:hint="eastAsia"/>
                <w:b/>
                <w:bCs/>
                <w:color w:val="auto"/>
                <w:sz w:val="24"/>
                <w:lang w:eastAsia="zh-CN"/>
              </w:rPr>
            </w:pPr>
            <w:r>
              <w:rPr>
                <w:rFonts w:ascii="宋体" w:hAnsi="宋体" w:eastAsia="宋体" w:cs="宋体"/>
                <w:color w:val="auto"/>
                <w:sz w:val="24"/>
                <w:szCs w:val="24"/>
              </w:rPr>
              <w:t>本项目需对</w:t>
            </w:r>
            <w:r>
              <w:rPr>
                <w:rFonts w:hint="eastAsia" w:ascii="宋体" w:hAnsi="宋体" w:eastAsia="宋体" w:cs="宋体"/>
                <w:color w:val="auto"/>
                <w:sz w:val="24"/>
                <w:szCs w:val="24"/>
                <w:lang w:val="en-US" w:eastAsia="zh-CN"/>
              </w:rPr>
              <w:t>水性漆</w:t>
            </w:r>
            <w:r>
              <w:rPr>
                <w:rFonts w:ascii="宋体" w:hAnsi="宋体" w:eastAsia="宋体" w:cs="宋体"/>
                <w:color w:val="auto"/>
                <w:sz w:val="24"/>
                <w:szCs w:val="24"/>
              </w:rPr>
              <w:t>用量进行核算，以确保企业提供的</w:t>
            </w:r>
            <w:r>
              <w:rPr>
                <w:rFonts w:hint="eastAsia" w:ascii="宋体" w:hAnsi="宋体" w:eastAsia="宋体" w:cs="宋体"/>
                <w:color w:val="auto"/>
                <w:sz w:val="24"/>
                <w:szCs w:val="24"/>
                <w:lang w:val="en-US" w:eastAsia="zh-CN"/>
              </w:rPr>
              <w:t>水性漆</w:t>
            </w:r>
            <w:r>
              <w:rPr>
                <w:rFonts w:ascii="宋体" w:hAnsi="宋体" w:eastAsia="宋体" w:cs="宋体"/>
                <w:color w:val="auto"/>
                <w:sz w:val="24"/>
                <w:szCs w:val="24"/>
              </w:rPr>
              <w:t>用量在合理范围内。 具体计算如下：</w:t>
            </w:r>
          </w:p>
          <w:p>
            <w:pPr>
              <w:pStyle w:val="21"/>
              <w:spacing w:after="0" w:line="360" w:lineRule="auto"/>
              <w:ind w:firstLine="480" w:firstLineChars="200"/>
              <w:rPr>
                <w:rFonts w:hint="default" w:ascii="Times New Roman" w:hAnsi="Times New Roman" w:cs="Times New Roman" w:eastAsiaTheme="minorEastAsia"/>
                <w:b w:val="0"/>
                <w:bCs w:val="0"/>
                <w:color w:val="auto"/>
                <w:sz w:val="24"/>
                <w:lang w:eastAsia="zh-CN"/>
              </w:rPr>
            </w:pPr>
            <w:r>
              <w:rPr>
                <w:rFonts w:hint="eastAsia"/>
                <w:b w:val="0"/>
                <w:bCs w:val="0"/>
                <w:color w:val="auto"/>
                <w:sz w:val="24"/>
                <w:lang w:eastAsia="zh-CN"/>
              </w:rPr>
              <w:t>项目共</w:t>
            </w:r>
            <w:r>
              <w:rPr>
                <w:rFonts w:hint="default" w:ascii="Times New Roman" w:hAnsi="Times New Roman" w:cs="Times New Roman" w:eastAsiaTheme="minorEastAsia"/>
                <w:b w:val="0"/>
                <w:bCs w:val="0"/>
                <w:color w:val="auto"/>
                <w:sz w:val="24"/>
                <w:lang w:eastAsia="zh-CN"/>
              </w:rPr>
              <w:t>喷</w:t>
            </w:r>
            <w:r>
              <w:rPr>
                <w:rFonts w:hint="eastAsia" w:cs="Times New Roman" w:eastAsiaTheme="minorEastAsia"/>
                <w:b w:val="0"/>
                <w:bCs w:val="0"/>
                <w:color w:val="auto"/>
                <w:sz w:val="24"/>
                <w:lang w:val="en-US" w:eastAsia="zh-CN"/>
              </w:rPr>
              <w:t>两层底漆</w:t>
            </w:r>
            <w:r>
              <w:rPr>
                <w:rFonts w:hint="default" w:ascii="Times New Roman" w:hAnsi="Times New Roman" w:cs="Times New Roman" w:eastAsiaTheme="minorEastAsia"/>
                <w:b w:val="0"/>
                <w:bCs w:val="0"/>
                <w:color w:val="auto"/>
                <w:sz w:val="24"/>
                <w:lang w:val="en-US" w:eastAsia="zh-CN"/>
              </w:rPr>
              <w:t>和一层面漆</w:t>
            </w:r>
            <w:r>
              <w:rPr>
                <w:rFonts w:hint="default" w:ascii="Times New Roman" w:hAnsi="Times New Roman" w:cs="Times New Roman" w:eastAsiaTheme="minorEastAsia"/>
                <w:b w:val="0"/>
                <w:bCs w:val="0"/>
                <w:color w:val="auto"/>
                <w:sz w:val="24"/>
                <w:lang w:eastAsia="zh-CN"/>
              </w:rPr>
              <w:t>，喷涂底漆涂层厚度为</w:t>
            </w:r>
            <w:r>
              <w:rPr>
                <w:rFonts w:hint="eastAsia" w:cs="Times New Roman" w:eastAsiaTheme="minorEastAsia"/>
                <w:b w:val="0"/>
                <w:bCs w:val="0"/>
                <w:color w:val="auto"/>
                <w:sz w:val="24"/>
                <w:lang w:val="en-US" w:eastAsia="zh-CN"/>
              </w:rPr>
              <w:t>60</w:t>
            </w:r>
            <w:r>
              <w:rPr>
                <w:rFonts w:hint="default" w:ascii="Times New Roman" w:hAnsi="Times New Roman" w:cs="Times New Roman" w:eastAsiaTheme="minorEastAsia"/>
                <w:b w:val="0"/>
                <w:bCs w:val="0"/>
                <w:color w:val="auto"/>
                <w:sz w:val="24"/>
                <w:lang w:eastAsia="zh-CN"/>
              </w:rPr>
              <w:t>μm</w:t>
            </w:r>
            <w:r>
              <w:rPr>
                <w:rFonts w:hint="eastAsia" w:cs="Times New Roman" w:eastAsiaTheme="minorEastAsia"/>
                <w:b w:val="0"/>
                <w:bCs w:val="0"/>
                <w:color w:val="auto"/>
                <w:sz w:val="24"/>
                <w:lang w:eastAsia="zh-CN"/>
              </w:rPr>
              <w:t>（</w:t>
            </w:r>
            <w:r>
              <w:rPr>
                <w:rFonts w:hint="eastAsia" w:cs="Times New Roman" w:eastAsiaTheme="minorEastAsia"/>
                <w:b w:val="0"/>
                <w:bCs w:val="0"/>
                <w:color w:val="auto"/>
                <w:sz w:val="24"/>
                <w:lang w:val="en-US" w:eastAsia="zh-CN"/>
              </w:rPr>
              <w:t>每次30</w:t>
            </w:r>
            <w:r>
              <w:rPr>
                <w:rFonts w:hint="default" w:ascii="Times New Roman" w:hAnsi="Times New Roman" w:cs="Times New Roman" w:eastAsiaTheme="minorEastAsia"/>
                <w:b w:val="0"/>
                <w:bCs w:val="0"/>
                <w:color w:val="auto"/>
                <w:sz w:val="24"/>
                <w:lang w:eastAsia="zh-CN"/>
              </w:rPr>
              <w:t>μm</w:t>
            </w:r>
            <w:r>
              <w:rPr>
                <w:rFonts w:hint="eastAsia" w:cs="Times New Roman" w:eastAsiaTheme="minorEastAsia"/>
                <w:b w:val="0"/>
                <w:bCs w:val="0"/>
                <w:color w:val="auto"/>
                <w:sz w:val="24"/>
                <w:lang w:val="en-US" w:eastAsia="zh-CN"/>
              </w:rPr>
              <w:t>，两次共60</w:t>
            </w:r>
            <w:r>
              <w:rPr>
                <w:rFonts w:hint="default" w:ascii="Times New Roman" w:hAnsi="Times New Roman" w:cs="Times New Roman" w:eastAsiaTheme="minorEastAsia"/>
                <w:b w:val="0"/>
                <w:bCs w:val="0"/>
                <w:color w:val="auto"/>
                <w:sz w:val="24"/>
                <w:lang w:eastAsia="zh-CN"/>
              </w:rPr>
              <w:t>μm</w:t>
            </w:r>
            <w:r>
              <w:rPr>
                <w:rFonts w:hint="eastAsia" w:cs="Times New Roman" w:eastAsiaTheme="minorEastAsia"/>
                <w:b w:val="0"/>
                <w:bCs w:val="0"/>
                <w:color w:val="auto"/>
                <w:sz w:val="24"/>
                <w:lang w:eastAsia="zh-CN"/>
              </w:rPr>
              <w:t>），</w:t>
            </w:r>
            <w:r>
              <w:rPr>
                <w:rFonts w:hint="default" w:ascii="Times New Roman" w:hAnsi="Times New Roman" w:cs="Times New Roman" w:eastAsiaTheme="minorEastAsia"/>
                <w:b w:val="0"/>
                <w:bCs w:val="0"/>
                <w:color w:val="auto"/>
                <w:sz w:val="24"/>
                <w:lang w:eastAsia="zh-CN"/>
              </w:rPr>
              <w:t>喷涂面漆涂层厚度</w:t>
            </w:r>
            <w:r>
              <w:rPr>
                <w:rFonts w:hint="default" w:ascii="Times New Roman" w:hAnsi="Times New Roman" w:cs="Times New Roman" w:eastAsiaTheme="minorEastAsia"/>
                <w:b w:val="0"/>
                <w:bCs w:val="0"/>
                <w:color w:val="auto"/>
                <w:sz w:val="24"/>
                <w:lang w:val="en-US" w:eastAsia="zh-CN"/>
              </w:rPr>
              <w:t>50</w:t>
            </w:r>
            <w:r>
              <w:rPr>
                <w:rFonts w:hint="default" w:ascii="Times New Roman" w:hAnsi="Times New Roman" w:cs="Times New Roman" w:eastAsiaTheme="minorEastAsia"/>
                <w:b w:val="0"/>
                <w:bCs w:val="0"/>
                <w:color w:val="auto"/>
                <w:sz w:val="24"/>
                <w:lang w:eastAsia="zh-CN"/>
              </w:rPr>
              <w:t>μm，</w:t>
            </w:r>
            <w:r>
              <w:rPr>
                <w:rFonts w:hint="default" w:ascii="Times New Roman" w:hAnsi="Times New Roman" w:cs="Times New Roman" w:eastAsiaTheme="minorEastAsia"/>
                <w:b w:val="0"/>
                <w:bCs w:val="0"/>
                <w:color w:val="auto"/>
                <w:sz w:val="24"/>
                <w:lang w:val="en-US" w:eastAsia="zh-CN"/>
              </w:rPr>
              <w:t>项目喷涂面积约</w:t>
            </w:r>
            <w:r>
              <w:rPr>
                <w:rFonts w:hint="eastAsia" w:cs="Times New Roman" w:eastAsiaTheme="minorEastAsia"/>
                <w:b w:val="0"/>
                <w:bCs w:val="0"/>
                <w:color w:val="auto"/>
                <w:sz w:val="24"/>
                <w:lang w:val="en-US" w:eastAsia="zh-CN"/>
              </w:rPr>
              <w:t>1.96</w:t>
            </w:r>
            <w:r>
              <w:rPr>
                <w:rFonts w:hint="eastAsia" w:ascii="Times New Roman" w:hAnsi="Times New Roman" w:cs="Times New Roman" w:eastAsiaTheme="minorEastAsia"/>
                <w:b w:val="0"/>
                <w:bCs w:val="0"/>
                <w:color w:val="auto"/>
                <w:sz w:val="24"/>
                <w:lang w:val="en-US" w:eastAsia="zh-CN"/>
              </w:rPr>
              <w:t>万</w:t>
            </w:r>
            <w:r>
              <w:rPr>
                <w:rFonts w:hint="default" w:ascii="Times New Roman" w:hAnsi="Times New Roman" w:cs="Times New Roman" w:eastAsiaTheme="minorEastAsia"/>
                <w:b w:val="0"/>
                <w:bCs w:val="0"/>
                <w:color w:val="auto"/>
                <w:sz w:val="24"/>
                <w:lang w:val="en-US" w:eastAsia="zh-CN"/>
              </w:rPr>
              <w:t>m</w:t>
            </w:r>
            <w:r>
              <w:rPr>
                <w:rFonts w:hint="default" w:ascii="Times New Roman" w:hAnsi="Times New Roman" w:cs="Times New Roman" w:eastAsiaTheme="minorEastAsia"/>
                <w:b w:val="0"/>
                <w:bCs w:val="0"/>
                <w:color w:val="auto"/>
                <w:sz w:val="24"/>
                <w:vertAlign w:val="superscript"/>
                <w:lang w:val="en-US" w:eastAsia="zh-CN"/>
              </w:rPr>
              <w:t>2</w:t>
            </w:r>
            <w:r>
              <w:rPr>
                <w:rFonts w:hint="default" w:ascii="Times New Roman" w:hAnsi="Times New Roman" w:cs="Times New Roman" w:eastAsiaTheme="minorEastAsia"/>
                <w:b w:val="0"/>
                <w:bCs w:val="0"/>
                <w:color w:val="auto"/>
                <w:sz w:val="24"/>
                <w:lang w:eastAsia="zh-CN"/>
              </w:rPr>
              <w:t>。</w:t>
            </w:r>
          </w:p>
          <w:p>
            <w:pPr>
              <w:spacing w:line="360" w:lineRule="auto"/>
              <w:ind w:firstLine="480" w:firstLineChars="200"/>
              <w:rPr>
                <w:rFonts w:ascii="宋体" w:hAnsi="宋体" w:eastAsia="宋体" w:cs="宋体"/>
                <w:color w:val="auto"/>
                <w:sz w:val="24"/>
                <w:szCs w:val="24"/>
              </w:rPr>
            </w:pPr>
            <w:r>
              <w:rPr>
                <w:rFonts w:ascii="宋体" w:hAnsi="宋体" w:eastAsia="宋体" w:cs="宋体"/>
                <w:color w:val="auto"/>
                <w:sz w:val="24"/>
                <w:szCs w:val="24"/>
              </w:rPr>
              <w:t>本项目从刷涂量角度出发，论证</w:t>
            </w:r>
            <w:r>
              <w:rPr>
                <w:rFonts w:hint="eastAsia" w:ascii="宋体" w:hAnsi="宋体" w:eastAsia="宋体" w:cs="宋体"/>
                <w:color w:val="auto"/>
                <w:sz w:val="24"/>
                <w:szCs w:val="24"/>
                <w:lang w:val="en-US" w:eastAsia="zh-CN"/>
              </w:rPr>
              <w:t>水性漆</w:t>
            </w:r>
            <w:r>
              <w:rPr>
                <w:rFonts w:ascii="宋体" w:hAnsi="宋体" w:eastAsia="宋体" w:cs="宋体"/>
                <w:color w:val="auto"/>
                <w:sz w:val="24"/>
                <w:szCs w:val="24"/>
              </w:rPr>
              <w:t xml:space="preserve">用量使用数据的合理性。 </w:t>
            </w:r>
          </w:p>
          <w:p>
            <w:pPr>
              <w:spacing w:line="360" w:lineRule="auto"/>
              <w:ind w:firstLine="480" w:firstLineChars="200"/>
              <w:rPr>
                <w:rFonts w:ascii="宋体" w:hAnsi="宋体" w:eastAsia="宋体" w:cs="宋体"/>
                <w:color w:val="auto"/>
                <w:sz w:val="24"/>
                <w:szCs w:val="24"/>
              </w:rPr>
            </w:pPr>
            <w:r>
              <w:rPr>
                <w:rFonts w:ascii="宋体" w:hAnsi="宋体" w:eastAsia="宋体" w:cs="宋体"/>
                <w:color w:val="auto"/>
                <w:sz w:val="24"/>
                <w:szCs w:val="24"/>
              </w:rPr>
              <w:t xml:space="preserve">根据成膜厚度（干膜厚度），核算涂装实际用量，计算公式为： </w:t>
            </w:r>
          </w:p>
          <w:p>
            <w:pPr>
              <w:pStyle w:val="21"/>
              <w:spacing w:after="0" w:line="360" w:lineRule="auto"/>
              <w:ind w:firstLine="480" w:firstLineChars="200"/>
              <w:rPr>
                <w:rFonts w:hint="default" w:ascii="Times New Roman" w:hAnsi="Times New Roman" w:cs="Times New Roman" w:eastAsiaTheme="minorEastAsia"/>
                <w:b w:val="0"/>
                <w:bCs w:val="0"/>
                <w:color w:val="auto"/>
                <w:sz w:val="24"/>
                <w:lang w:eastAsia="zh-CN"/>
              </w:rPr>
            </w:pPr>
            <w:r>
              <w:rPr>
                <w:rFonts w:ascii="宋体" w:hAnsi="宋体" w:eastAsia="宋体" w:cs="宋体"/>
                <w:color w:val="auto"/>
                <w:sz w:val="24"/>
                <w:szCs w:val="24"/>
              </w:rPr>
              <w:t>涂料实际用量=（面积×干膜厚度×密度）/（体积固体份×涂着率）</w:t>
            </w:r>
          </w:p>
          <w:p>
            <w:pPr>
              <w:pStyle w:val="21"/>
              <w:spacing w:after="0" w:line="360" w:lineRule="auto"/>
              <w:ind w:firstLine="480" w:firstLineChars="200"/>
              <w:rPr>
                <w:rFonts w:hint="eastAsia"/>
                <w:b w:val="0"/>
                <w:bCs w:val="0"/>
                <w:color w:val="auto"/>
                <w:sz w:val="24"/>
                <w:lang w:eastAsia="zh-CN"/>
              </w:rPr>
            </w:pPr>
            <w:r>
              <w:rPr>
                <w:rFonts w:hint="default" w:ascii="Times New Roman" w:hAnsi="Times New Roman" w:cs="Times New Roman" w:eastAsiaTheme="minorEastAsia"/>
                <w:b w:val="0"/>
                <w:bCs w:val="0"/>
                <w:color w:val="auto"/>
                <w:sz w:val="24"/>
                <w:lang w:eastAsia="zh-CN"/>
              </w:rPr>
              <w:t>其他计算参数见表 5-</w:t>
            </w:r>
            <w:r>
              <w:rPr>
                <w:rFonts w:hint="eastAsia" w:cs="Times New Roman" w:eastAsiaTheme="minorEastAsia"/>
                <w:b w:val="0"/>
                <w:bCs w:val="0"/>
                <w:color w:val="auto"/>
                <w:sz w:val="24"/>
                <w:lang w:val="en-US" w:eastAsia="zh-CN"/>
              </w:rPr>
              <w:t>2</w:t>
            </w:r>
            <w:r>
              <w:rPr>
                <w:rFonts w:hint="default" w:ascii="Times New Roman" w:hAnsi="Times New Roman" w:cs="Times New Roman" w:eastAsiaTheme="minorEastAsia"/>
                <w:b w:val="0"/>
                <w:bCs w:val="0"/>
                <w:color w:val="auto"/>
                <w:sz w:val="24"/>
                <w:lang w:eastAsia="zh-CN"/>
              </w:rPr>
              <w:t>。</w:t>
            </w:r>
          </w:p>
          <w:p>
            <w:pPr>
              <w:pStyle w:val="21"/>
              <w:spacing w:after="0" w:line="240" w:lineRule="auto"/>
              <w:jc w:val="center"/>
              <w:rPr>
                <w:rFonts w:hint="eastAsia"/>
                <w:b/>
                <w:bCs/>
                <w:color w:val="auto"/>
                <w:sz w:val="21"/>
                <w:szCs w:val="21"/>
                <w:lang w:val="en-US" w:eastAsia="zh-CN"/>
              </w:rPr>
            </w:pPr>
            <w:r>
              <w:rPr>
                <w:rFonts w:hint="eastAsia"/>
                <w:b/>
                <w:bCs/>
                <w:color w:val="auto"/>
                <w:sz w:val="21"/>
                <w:szCs w:val="21"/>
                <w:lang w:val="en-US" w:eastAsia="zh-CN"/>
              </w:rPr>
              <w:t>表5-2 喷漆用量计算参数一览表</w:t>
            </w:r>
          </w:p>
          <w:tbl>
            <w:tblPr>
              <w:tblStyle w:val="57"/>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4"/>
              <w:gridCol w:w="1074"/>
              <w:gridCol w:w="1141"/>
              <w:gridCol w:w="1207"/>
              <w:gridCol w:w="986"/>
              <w:gridCol w:w="787"/>
              <w:gridCol w:w="1040"/>
              <w:gridCol w:w="10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类型</w:t>
                  </w:r>
                </w:p>
              </w:tc>
              <w:tc>
                <w:tcPr>
                  <w:tcW w:w="646"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涂层面积m</w:t>
                  </w:r>
                  <w:r>
                    <w:rPr>
                      <w:rFonts w:hint="eastAsia"/>
                      <w:b/>
                      <w:bCs/>
                      <w:color w:val="auto"/>
                      <w:sz w:val="21"/>
                      <w:szCs w:val="21"/>
                      <w:vertAlign w:val="superscript"/>
                      <w:lang w:val="en-US" w:eastAsia="zh-CN"/>
                    </w:rPr>
                    <w:t>2</w:t>
                  </w:r>
                </w:p>
              </w:tc>
              <w:tc>
                <w:tcPr>
                  <w:tcW w:w="686"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水性漆密度g/cm</w:t>
                  </w:r>
                  <w:r>
                    <w:rPr>
                      <w:rFonts w:hint="eastAsia"/>
                      <w:b/>
                      <w:bCs/>
                      <w:color w:val="auto"/>
                      <w:sz w:val="21"/>
                      <w:szCs w:val="21"/>
                      <w:vertAlign w:val="superscript"/>
                      <w:lang w:val="en-US" w:eastAsia="zh-CN"/>
                    </w:rPr>
                    <w:t>3</w:t>
                  </w:r>
                </w:p>
              </w:tc>
              <w:tc>
                <w:tcPr>
                  <w:tcW w:w="726" w:type="pct"/>
                  <w:tcBorders>
                    <w:tl2br w:val="nil"/>
                    <w:tr2bl w:val="nil"/>
                  </w:tcBorders>
                  <w:vAlign w:val="center"/>
                </w:tcPr>
                <w:p>
                  <w:pPr>
                    <w:spacing w:line="240" w:lineRule="auto"/>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涂层厚度</w:t>
                  </w:r>
                </w:p>
                <w:p>
                  <w:pPr>
                    <w:spacing w:line="240" w:lineRule="auto"/>
                    <w:jc w:val="center"/>
                    <w:rPr>
                      <w:rFonts w:hint="default"/>
                      <w:b/>
                      <w:bCs/>
                      <w:color w:val="auto"/>
                      <w:sz w:val="21"/>
                      <w:szCs w:val="21"/>
                      <w:vertAlign w:val="baseline"/>
                      <w:lang w:val="en-US" w:eastAsia="zh-CN"/>
                    </w:rPr>
                  </w:pPr>
                  <w:r>
                    <w:rPr>
                      <w:rFonts w:hint="default" w:ascii="Times New Roman" w:hAnsi="Times New Roman" w:cs="Times New Roman" w:eastAsiaTheme="minorEastAsia"/>
                      <w:b/>
                      <w:bCs/>
                      <w:color w:val="auto"/>
                      <w:sz w:val="21"/>
                      <w:szCs w:val="21"/>
                      <w:lang w:eastAsia="zh-CN"/>
                    </w:rPr>
                    <w:t>μm</w:t>
                  </w:r>
                </w:p>
              </w:tc>
              <w:tc>
                <w:tcPr>
                  <w:tcW w:w="593"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固体份%</w:t>
                  </w:r>
                </w:p>
              </w:tc>
              <w:tc>
                <w:tcPr>
                  <w:tcW w:w="473"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上漆率%</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水性漆理论用量t/a</w:t>
                  </w:r>
                </w:p>
              </w:tc>
              <w:tc>
                <w:tcPr>
                  <w:tcW w:w="625" w:type="pct"/>
                  <w:tcBorders>
                    <w:tl2br w:val="nil"/>
                    <w:tr2bl w:val="nil"/>
                  </w:tcBorders>
                  <w:vAlign w:val="center"/>
                </w:tcPr>
                <w:p>
                  <w:pPr>
                    <w:spacing w:line="240" w:lineRule="auto"/>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本项目设计用量t/a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622"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底漆（含固化剂，喷两次）</w:t>
                  </w:r>
                </w:p>
              </w:tc>
              <w:tc>
                <w:tcPr>
                  <w:tcW w:w="646"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19600</w:t>
                  </w:r>
                </w:p>
              </w:tc>
              <w:tc>
                <w:tcPr>
                  <w:tcW w:w="686"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1.0</w:t>
                  </w:r>
                </w:p>
              </w:tc>
              <w:tc>
                <w:tcPr>
                  <w:tcW w:w="726"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60</w:t>
                  </w:r>
                </w:p>
              </w:tc>
              <w:tc>
                <w:tcPr>
                  <w:tcW w:w="593"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56.6</w:t>
                  </w:r>
                </w:p>
              </w:tc>
              <w:tc>
                <w:tcPr>
                  <w:tcW w:w="473"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75</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2.77</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面漆（含固化剂，喷一次）</w:t>
                  </w:r>
                </w:p>
              </w:tc>
              <w:tc>
                <w:tcPr>
                  <w:tcW w:w="646" w:type="pct"/>
                  <w:tcBorders>
                    <w:tl2br w:val="nil"/>
                    <w:tr2bl w:val="nil"/>
                  </w:tcBorders>
                  <w:vAlign w:val="center"/>
                </w:tcPr>
                <w:p>
                  <w:pPr>
                    <w:jc w:val="center"/>
                    <w:rPr>
                      <w:rFonts w:hint="eastAsia"/>
                      <w:color w:val="auto"/>
                      <w:vertAlign w:val="baseline"/>
                      <w:lang w:val="en-US" w:eastAsia="zh-CN"/>
                    </w:rPr>
                  </w:pPr>
                  <w:r>
                    <w:rPr>
                      <w:rFonts w:hint="eastAsia"/>
                      <w:color w:val="auto"/>
                      <w:vertAlign w:val="baseline"/>
                      <w:lang w:val="en-US" w:eastAsia="zh-CN"/>
                    </w:rPr>
                    <w:t>19600</w:t>
                  </w:r>
                </w:p>
              </w:tc>
              <w:tc>
                <w:tcPr>
                  <w:tcW w:w="686"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1.10</w:t>
                  </w:r>
                </w:p>
              </w:tc>
              <w:tc>
                <w:tcPr>
                  <w:tcW w:w="726"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50</w:t>
                  </w:r>
                </w:p>
              </w:tc>
              <w:tc>
                <w:tcPr>
                  <w:tcW w:w="593"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58.0</w:t>
                  </w:r>
                </w:p>
              </w:tc>
              <w:tc>
                <w:tcPr>
                  <w:tcW w:w="473"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75</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2.48</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2.7</w:t>
                  </w:r>
                </w:p>
              </w:tc>
            </w:tr>
          </w:tbl>
          <w:p>
            <w:pPr>
              <w:spacing w:line="360" w:lineRule="auto"/>
              <w:ind w:firstLine="480" w:firstLineChars="200"/>
              <w:rPr>
                <w:rFonts w:hint="default" w:ascii="Times New Roman" w:hAnsi="Times New Roman" w:cs="Times New Roman"/>
                <w:b/>
                <w:bCs/>
                <w:color w:val="auto"/>
                <w:sz w:val="24"/>
                <w:lang w:eastAsia="zh-CN"/>
              </w:rPr>
            </w:pPr>
            <w:r>
              <w:rPr>
                <w:rFonts w:hint="default" w:ascii="Times New Roman" w:hAnsi="Times New Roman" w:eastAsia="宋体" w:cs="Times New Roman"/>
                <w:color w:val="auto"/>
                <w:sz w:val="24"/>
                <w:szCs w:val="24"/>
              </w:rPr>
              <w:t>根据计算，核算底漆</w:t>
            </w:r>
            <w:r>
              <w:rPr>
                <w:rFonts w:hint="eastAsia" w:cs="Times New Roman"/>
                <w:color w:val="auto"/>
                <w:sz w:val="24"/>
                <w:szCs w:val="24"/>
                <w:lang w:eastAsia="zh-CN"/>
              </w:rPr>
              <w:t>（</w:t>
            </w:r>
            <w:r>
              <w:rPr>
                <w:rFonts w:hint="eastAsia" w:cs="Times New Roman"/>
                <w:color w:val="auto"/>
                <w:sz w:val="24"/>
                <w:szCs w:val="24"/>
                <w:lang w:val="en-US" w:eastAsia="zh-CN"/>
              </w:rPr>
              <w:t>含固化剂</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年使用量约</w:t>
            </w:r>
            <w:r>
              <w:rPr>
                <w:rFonts w:hint="eastAsia" w:cs="Times New Roman"/>
                <w:color w:val="auto"/>
                <w:sz w:val="24"/>
                <w:szCs w:val="24"/>
                <w:lang w:val="en-US" w:eastAsia="zh-CN"/>
              </w:rPr>
              <w:t>2.77</w:t>
            </w:r>
            <w:r>
              <w:rPr>
                <w:rFonts w:hint="default" w:ascii="Times New Roman" w:hAnsi="Times New Roman" w:eastAsia="宋体" w:cs="Times New Roman"/>
                <w:color w:val="auto"/>
                <w:sz w:val="24"/>
                <w:szCs w:val="24"/>
              </w:rPr>
              <w:t>t，</w:t>
            </w:r>
            <w:r>
              <w:rPr>
                <w:rFonts w:hint="eastAsia" w:cs="Times New Roman"/>
                <w:color w:val="auto"/>
                <w:sz w:val="24"/>
                <w:szCs w:val="24"/>
                <w:lang w:val="en-US" w:eastAsia="zh-CN"/>
              </w:rPr>
              <w:t>面</w:t>
            </w:r>
            <w:r>
              <w:rPr>
                <w:rFonts w:hint="default" w:ascii="Times New Roman" w:hAnsi="Times New Roman" w:eastAsia="宋体" w:cs="Times New Roman"/>
                <w:color w:val="auto"/>
                <w:sz w:val="24"/>
                <w:szCs w:val="24"/>
                <w:lang w:val="en-US" w:eastAsia="zh-CN"/>
              </w:rPr>
              <w:t>漆</w:t>
            </w:r>
            <w:r>
              <w:rPr>
                <w:rFonts w:hint="eastAsia" w:cs="Times New Roman"/>
                <w:color w:val="auto"/>
                <w:sz w:val="24"/>
                <w:szCs w:val="24"/>
                <w:lang w:eastAsia="zh-CN"/>
              </w:rPr>
              <w:t>（</w:t>
            </w:r>
            <w:r>
              <w:rPr>
                <w:rFonts w:hint="eastAsia" w:cs="Times New Roman"/>
                <w:color w:val="auto"/>
                <w:sz w:val="24"/>
                <w:szCs w:val="24"/>
                <w:lang w:val="en-US" w:eastAsia="zh-CN"/>
              </w:rPr>
              <w:t>含固化剂</w:t>
            </w:r>
            <w:r>
              <w:rPr>
                <w:rFonts w:hint="eastAsia" w:cs="Times New Roman"/>
                <w:color w:val="auto"/>
                <w:sz w:val="24"/>
                <w:szCs w:val="24"/>
                <w:lang w:eastAsia="zh-CN"/>
              </w:rPr>
              <w:t>）</w:t>
            </w:r>
            <w:r>
              <w:rPr>
                <w:rFonts w:hint="eastAsia" w:cs="Times New Roman"/>
                <w:color w:val="auto"/>
                <w:sz w:val="24"/>
                <w:szCs w:val="24"/>
                <w:lang w:val="en-US" w:eastAsia="zh-CN"/>
              </w:rPr>
              <w:t>年</w:t>
            </w:r>
            <w:r>
              <w:rPr>
                <w:rFonts w:hint="default" w:ascii="Times New Roman" w:hAnsi="Times New Roman" w:eastAsia="宋体" w:cs="Times New Roman"/>
                <w:color w:val="auto"/>
                <w:sz w:val="24"/>
                <w:szCs w:val="24"/>
                <w:lang w:val="en-US" w:eastAsia="zh-CN"/>
              </w:rPr>
              <w:t>使用量为</w:t>
            </w:r>
            <w:r>
              <w:rPr>
                <w:rFonts w:hint="eastAsia" w:cs="Times New Roman"/>
                <w:color w:val="auto"/>
                <w:sz w:val="24"/>
                <w:szCs w:val="24"/>
                <w:lang w:val="en-US" w:eastAsia="zh-CN"/>
              </w:rPr>
              <w:t>2.48</w:t>
            </w:r>
            <w:r>
              <w:rPr>
                <w:rFonts w:hint="default" w:ascii="Times New Roman" w:hAnsi="Times New Roman" w:eastAsia="宋体" w:cs="Times New Roman"/>
                <w:color w:val="auto"/>
                <w:sz w:val="24"/>
                <w:szCs w:val="24"/>
                <w:lang w:val="en-US" w:eastAsia="zh-CN"/>
              </w:rPr>
              <w:t>t。</w:t>
            </w:r>
            <w:r>
              <w:rPr>
                <w:rFonts w:hint="default" w:ascii="Times New Roman" w:hAnsi="Times New Roman" w:eastAsia="宋体" w:cs="Times New Roman"/>
                <w:color w:val="auto"/>
                <w:sz w:val="24"/>
                <w:szCs w:val="24"/>
              </w:rPr>
              <w:t>与本项目所用底漆（</w:t>
            </w:r>
            <w:r>
              <w:rPr>
                <w:rFonts w:hint="eastAsia" w:cs="Times New Roman"/>
                <w:color w:val="auto"/>
                <w:sz w:val="24"/>
                <w:szCs w:val="24"/>
                <w:lang w:val="en-US" w:eastAsia="zh-CN"/>
              </w:rPr>
              <w:t>3.0</w:t>
            </w:r>
            <w:r>
              <w:rPr>
                <w:rFonts w:hint="default" w:ascii="Times New Roman" w:hAnsi="Times New Roman" w:eastAsia="宋体" w:cs="Times New Roman"/>
                <w:color w:val="auto"/>
                <w:sz w:val="24"/>
                <w:szCs w:val="24"/>
              </w:rPr>
              <w:t>t）</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面漆（</w:t>
            </w:r>
            <w:r>
              <w:rPr>
                <w:rFonts w:hint="eastAsia" w:cs="Times New Roman"/>
                <w:color w:val="auto"/>
                <w:sz w:val="24"/>
                <w:szCs w:val="24"/>
                <w:lang w:val="en-US" w:eastAsia="zh-CN"/>
              </w:rPr>
              <w:t>2.7</w:t>
            </w:r>
            <w:r>
              <w:rPr>
                <w:rFonts w:hint="default" w:ascii="Times New Roman" w:hAnsi="Times New Roman" w:eastAsia="宋体" w:cs="Times New Roman"/>
                <w:color w:val="auto"/>
                <w:sz w:val="24"/>
                <w:szCs w:val="24"/>
              </w:rPr>
              <w:t>t）使用量基本吻合。</w:t>
            </w:r>
          </w:p>
          <w:p>
            <w:pPr>
              <w:pStyle w:val="21"/>
              <w:spacing w:after="0" w:line="360" w:lineRule="auto"/>
              <w:ind w:firstLine="480" w:firstLineChars="200"/>
              <w:rPr>
                <w:rFonts w:hint="default"/>
                <w:b/>
                <w:bCs/>
                <w:color w:val="auto"/>
                <w:sz w:val="24"/>
                <w:lang w:val="en-US" w:eastAsia="zh-CN"/>
              </w:rPr>
            </w:pPr>
            <w:r>
              <w:rPr>
                <w:rFonts w:hint="eastAsia"/>
                <w:b/>
                <w:bCs/>
                <w:color w:val="auto"/>
                <w:sz w:val="24"/>
                <w:lang w:val="en-US" w:eastAsia="zh-CN"/>
              </w:rPr>
              <w:t>②塑粉用量核算</w:t>
            </w:r>
          </w:p>
          <w:p>
            <w:pPr>
              <w:pStyle w:val="21"/>
              <w:spacing w:after="0" w:line="360" w:lineRule="auto"/>
              <w:ind w:firstLine="480" w:firstLineChars="200"/>
              <w:rPr>
                <w:rFonts w:hint="eastAsia"/>
                <w:b w:val="0"/>
                <w:bCs w:val="0"/>
                <w:color w:val="auto"/>
                <w:sz w:val="24"/>
                <w:lang w:eastAsia="zh-CN"/>
              </w:rPr>
            </w:pPr>
            <w:r>
              <w:rPr>
                <w:rFonts w:hint="eastAsia"/>
                <w:b w:val="0"/>
                <w:bCs w:val="0"/>
                <w:color w:val="auto"/>
                <w:sz w:val="24"/>
                <w:lang w:eastAsia="zh-CN"/>
              </w:rPr>
              <w:t>本项目需对</w:t>
            </w:r>
            <w:r>
              <w:rPr>
                <w:rFonts w:hint="eastAsia"/>
                <w:b w:val="0"/>
                <w:bCs w:val="0"/>
                <w:color w:val="auto"/>
                <w:sz w:val="24"/>
                <w:lang w:val="en-US" w:eastAsia="zh-CN"/>
              </w:rPr>
              <w:t>塑粉用量</w:t>
            </w:r>
            <w:r>
              <w:rPr>
                <w:rFonts w:hint="eastAsia"/>
                <w:b w:val="0"/>
                <w:bCs w:val="0"/>
                <w:color w:val="auto"/>
                <w:sz w:val="24"/>
                <w:lang w:eastAsia="zh-CN"/>
              </w:rPr>
              <w:t>进行核算，以确保企业提供的</w:t>
            </w:r>
            <w:r>
              <w:rPr>
                <w:rFonts w:hint="eastAsia"/>
                <w:b w:val="0"/>
                <w:bCs w:val="0"/>
                <w:color w:val="auto"/>
                <w:sz w:val="24"/>
                <w:lang w:val="en-US" w:eastAsia="zh-CN"/>
              </w:rPr>
              <w:t>塑粉</w:t>
            </w:r>
            <w:r>
              <w:rPr>
                <w:rFonts w:hint="eastAsia"/>
                <w:b w:val="0"/>
                <w:bCs w:val="0"/>
                <w:color w:val="auto"/>
                <w:sz w:val="24"/>
                <w:lang w:eastAsia="zh-CN"/>
              </w:rPr>
              <w:t>用量在合理范围内。 具体计算如下：</w:t>
            </w:r>
          </w:p>
          <w:p>
            <w:pPr>
              <w:pStyle w:val="21"/>
              <w:spacing w:after="0" w:line="360" w:lineRule="auto"/>
              <w:ind w:firstLine="480" w:firstLineChars="200"/>
              <w:rPr>
                <w:rFonts w:hint="eastAsia"/>
                <w:b w:val="0"/>
                <w:bCs w:val="0"/>
                <w:color w:val="auto"/>
                <w:sz w:val="24"/>
                <w:lang w:eastAsia="zh-CN"/>
              </w:rPr>
            </w:pPr>
            <w:r>
              <w:rPr>
                <w:rFonts w:hint="eastAsia"/>
                <w:b w:val="0"/>
                <w:bCs w:val="0"/>
                <w:color w:val="auto"/>
                <w:sz w:val="24"/>
                <w:lang w:eastAsia="zh-CN"/>
              </w:rPr>
              <w:t>项目</w:t>
            </w:r>
            <w:r>
              <w:rPr>
                <w:rFonts w:hint="eastAsia"/>
                <w:b w:val="0"/>
                <w:bCs w:val="0"/>
                <w:color w:val="auto"/>
                <w:sz w:val="24"/>
                <w:lang w:val="en-US" w:eastAsia="zh-CN"/>
              </w:rPr>
              <w:t>喷塑涂层</w:t>
            </w:r>
            <w:r>
              <w:rPr>
                <w:rFonts w:hint="eastAsia"/>
                <w:b w:val="0"/>
                <w:bCs w:val="0"/>
                <w:color w:val="auto"/>
                <w:sz w:val="24"/>
                <w:lang w:eastAsia="zh-CN"/>
              </w:rPr>
              <w:t>厚度为</w:t>
            </w:r>
            <w:r>
              <w:rPr>
                <w:rFonts w:hint="eastAsia"/>
                <w:b w:val="0"/>
                <w:bCs w:val="0"/>
                <w:color w:val="auto"/>
                <w:sz w:val="24"/>
                <w:lang w:val="en-US" w:eastAsia="zh-CN"/>
              </w:rPr>
              <w:t>100</w:t>
            </w:r>
            <w:r>
              <w:rPr>
                <w:rFonts w:hint="eastAsia"/>
                <w:b w:val="0"/>
                <w:bCs w:val="0"/>
                <w:color w:val="auto"/>
                <w:sz w:val="24"/>
                <w:lang w:eastAsia="zh-CN"/>
              </w:rPr>
              <w:t>μm，项目喷涂面积约</w:t>
            </w:r>
            <w:r>
              <w:rPr>
                <w:rFonts w:hint="eastAsia"/>
                <w:b w:val="0"/>
                <w:bCs w:val="0"/>
                <w:color w:val="auto"/>
                <w:sz w:val="24"/>
                <w:lang w:val="en-US" w:eastAsia="zh-CN"/>
              </w:rPr>
              <w:t>11900</w:t>
            </w:r>
            <w:r>
              <w:rPr>
                <w:rFonts w:hint="eastAsia"/>
                <w:b w:val="0"/>
                <w:bCs w:val="0"/>
                <w:color w:val="auto"/>
                <w:sz w:val="24"/>
                <w:lang w:eastAsia="zh-CN"/>
              </w:rPr>
              <w:t>m</w:t>
            </w:r>
            <w:r>
              <w:rPr>
                <w:rFonts w:hint="eastAsia"/>
                <w:b w:val="0"/>
                <w:bCs w:val="0"/>
                <w:color w:val="auto"/>
                <w:sz w:val="24"/>
                <w:vertAlign w:val="superscript"/>
                <w:lang w:eastAsia="zh-CN"/>
              </w:rPr>
              <w:t>2</w:t>
            </w:r>
            <w:r>
              <w:rPr>
                <w:rFonts w:hint="eastAsia"/>
                <w:b w:val="0"/>
                <w:bCs w:val="0"/>
                <w:color w:val="auto"/>
                <w:sz w:val="24"/>
                <w:lang w:eastAsia="zh-CN"/>
              </w:rPr>
              <w:t>。</w:t>
            </w:r>
          </w:p>
          <w:p>
            <w:pPr>
              <w:pStyle w:val="21"/>
              <w:spacing w:after="0" w:line="360" w:lineRule="auto"/>
              <w:ind w:firstLine="480" w:firstLineChars="200"/>
              <w:rPr>
                <w:rFonts w:hint="eastAsia"/>
                <w:b w:val="0"/>
                <w:bCs w:val="0"/>
                <w:color w:val="auto"/>
                <w:sz w:val="24"/>
                <w:lang w:eastAsia="zh-CN"/>
              </w:rPr>
            </w:pPr>
            <w:r>
              <w:rPr>
                <w:rFonts w:hint="eastAsia"/>
                <w:b w:val="0"/>
                <w:bCs w:val="0"/>
                <w:color w:val="auto"/>
                <w:sz w:val="24"/>
                <w:lang w:eastAsia="zh-CN"/>
              </w:rPr>
              <w:t>根据成膜厚度（干膜厚度），核算</w:t>
            </w:r>
            <w:r>
              <w:rPr>
                <w:rFonts w:hint="eastAsia"/>
                <w:b w:val="0"/>
                <w:bCs w:val="0"/>
                <w:color w:val="auto"/>
                <w:sz w:val="24"/>
                <w:lang w:val="en-US" w:eastAsia="zh-CN"/>
              </w:rPr>
              <w:t>塑粉</w:t>
            </w:r>
            <w:r>
              <w:rPr>
                <w:rFonts w:hint="eastAsia"/>
                <w:b w:val="0"/>
                <w:bCs w:val="0"/>
                <w:color w:val="auto"/>
                <w:sz w:val="24"/>
                <w:lang w:eastAsia="zh-CN"/>
              </w:rPr>
              <w:t>实际用量，计算公式为：</w:t>
            </w:r>
          </w:p>
          <w:p>
            <w:pPr>
              <w:pStyle w:val="21"/>
              <w:spacing w:after="0" w:line="360" w:lineRule="auto"/>
              <w:ind w:firstLine="480" w:firstLineChars="200"/>
              <w:rPr>
                <w:rFonts w:hint="default" w:ascii="Times New Roman" w:hAnsi="Times New Roman" w:cs="Times New Roman" w:eastAsiaTheme="minorEastAsia"/>
                <w:b w:val="0"/>
                <w:bCs w:val="0"/>
                <w:color w:val="auto"/>
                <w:sz w:val="24"/>
                <w:lang w:eastAsia="zh-CN"/>
              </w:rPr>
            </w:pPr>
            <w:r>
              <w:rPr>
                <w:rFonts w:ascii="宋体" w:hAnsi="宋体" w:eastAsia="宋体" w:cs="宋体"/>
                <w:color w:val="auto"/>
                <w:sz w:val="24"/>
                <w:szCs w:val="24"/>
              </w:rPr>
              <w:t>涂料实际用量=（面积×</w:t>
            </w:r>
            <w:r>
              <w:rPr>
                <w:rFonts w:hint="eastAsia" w:ascii="宋体" w:hAnsi="宋体" w:cs="宋体"/>
                <w:color w:val="auto"/>
                <w:sz w:val="24"/>
                <w:szCs w:val="24"/>
                <w:lang w:val="en-US" w:eastAsia="zh-CN"/>
              </w:rPr>
              <w:t>涂层</w:t>
            </w:r>
            <w:r>
              <w:rPr>
                <w:rFonts w:ascii="宋体" w:hAnsi="宋体" w:eastAsia="宋体" w:cs="宋体"/>
                <w:color w:val="auto"/>
                <w:sz w:val="24"/>
                <w:szCs w:val="24"/>
              </w:rPr>
              <w:t>厚度×密度）/（体积固体份×涂着率）</w:t>
            </w:r>
          </w:p>
          <w:p>
            <w:pPr>
              <w:pStyle w:val="21"/>
              <w:spacing w:after="0" w:line="240" w:lineRule="auto"/>
              <w:jc w:val="center"/>
              <w:rPr>
                <w:rFonts w:hint="eastAsia"/>
                <w:b/>
                <w:bCs/>
                <w:color w:val="auto"/>
                <w:sz w:val="21"/>
                <w:szCs w:val="21"/>
                <w:lang w:val="en-US" w:eastAsia="zh-CN"/>
              </w:rPr>
            </w:pPr>
            <w:r>
              <w:rPr>
                <w:rFonts w:hint="eastAsia"/>
                <w:b/>
                <w:bCs/>
                <w:color w:val="auto"/>
                <w:sz w:val="21"/>
                <w:szCs w:val="21"/>
                <w:lang w:val="en-US" w:eastAsia="zh-CN"/>
              </w:rPr>
              <w:t>表5-3 塑粉用量计算参数一览表</w:t>
            </w:r>
          </w:p>
          <w:tbl>
            <w:tblPr>
              <w:tblStyle w:val="57"/>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1039"/>
              <w:gridCol w:w="1039"/>
              <w:gridCol w:w="1039"/>
              <w:gridCol w:w="1039"/>
              <w:gridCol w:w="1039"/>
              <w:gridCol w:w="1039"/>
              <w:gridCol w:w="10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4"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类型</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喷涂面积</w:t>
                  </w:r>
                  <w:r>
                    <w:rPr>
                      <w:rFonts w:hint="eastAsia"/>
                      <w:b w:val="0"/>
                      <w:bCs w:val="0"/>
                      <w:color w:val="auto"/>
                      <w:sz w:val="24"/>
                      <w:lang w:eastAsia="zh-CN"/>
                    </w:rPr>
                    <w:t>m</w:t>
                  </w:r>
                  <w:r>
                    <w:rPr>
                      <w:rFonts w:hint="eastAsia"/>
                      <w:b w:val="0"/>
                      <w:bCs w:val="0"/>
                      <w:color w:val="auto"/>
                      <w:sz w:val="24"/>
                      <w:vertAlign w:val="superscript"/>
                      <w:lang w:eastAsia="zh-CN"/>
                    </w:rPr>
                    <w:t>2</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塑粉密度g/cm</w:t>
                  </w:r>
                  <w:r>
                    <w:rPr>
                      <w:rFonts w:hint="eastAsia"/>
                      <w:b/>
                      <w:bCs/>
                      <w:color w:val="auto"/>
                      <w:sz w:val="21"/>
                      <w:szCs w:val="21"/>
                      <w:vertAlign w:val="superscript"/>
                      <w:lang w:val="en-US" w:eastAsia="zh-CN"/>
                    </w:rPr>
                    <w:t>3</w:t>
                  </w:r>
                </w:p>
              </w:tc>
              <w:tc>
                <w:tcPr>
                  <w:tcW w:w="625" w:type="pct"/>
                  <w:tcBorders>
                    <w:tl2br w:val="nil"/>
                    <w:tr2bl w:val="nil"/>
                  </w:tcBorders>
                  <w:vAlign w:val="center"/>
                </w:tcPr>
                <w:p>
                  <w:pPr>
                    <w:spacing w:line="240" w:lineRule="auto"/>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涂层厚度</w:t>
                  </w:r>
                </w:p>
                <w:p>
                  <w:pPr>
                    <w:spacing w:line="240" w:lineRule="auto"/>
                    <w:jc w:val="center"/>
                    <w:rPr>
                      <w:rFonts w:hint="default"/>
                      <w:b/>
                      <w:bCs/>
                      <w:color w:val="auto"/>
                      <w:sz w:val="21"/>
                      <w:szCs w:val="21"/>
                      <w:vertAlign w:val="baseline"/>
                      <w:lang w:val="en-US" w:eastAsia="zh-CN"/>
                    </w:rPr>
                  </w:pPr>
                  <w:r>
                    <w:rPr>
                      <w:rFonts w:hint="default" w:ascii="Times New Roman" w:hAnsi="Times New Roman" w:cs="Times New Roman" w:eastAsiaTheme="minorEastAsia"/>
                      <w:b/>
                      <w:bCs/>
                      <w:color w:val="auto"/>
                      <w:sz w:val="21"/>
                      <w:szCs w:val="21"/>
                      <w:lang w:eastAsia="zh-CN"/>
                    </w:rPr>
                    <w:t>μm</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固体份%</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利用率%</w:t>
                  </w:r>
                </w:p>
              </w:tc>
              <w:tc>
                <w:tcPr>
                  <w:tcW w:w="625"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塑粉理论用量t/a</w:t>
                  </w:r>
                </w:p>
              </w:tc>
              <w:tc>
                <w:tcPr>
                  <w:tcW w:w="625" w:type="pct"/>
                  <w:tcBorders>
                    <w:tl2br w:val="nil"/>
                    <w:tr2bl w:val="nil"/>
                  </w:tcBorders>
                  <w:vAlign w:val="center"/>
                </w:tcPr>
                <w:p>
                  <w:pPr>
                    <w:spacing w:line="240" w:lineRule="auto"/>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本项目设计用量t/a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624"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塑粉</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11900</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1.1</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100</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99.4</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98.6</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1.34</w:t>
                  </w:r>
                </w:p>
              </w:tc>
              <w:tc>
                <w:tcPr>
                  <w:tcW w:w="625"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1.4</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b/>
                <w:bCs/>
                <w:color w:val="auto"/>
                <w:sz w:val="24"/>
                <w:lang w:val="en-US" w:eastAsia="zh-CN"/>
              </w:rPr>
            </w:pPr>
            <w:r>
              <w:rPr>
                <w:rFonts w:hint="default" w:ascii="Times New Roman" w:hAnsi="Times New Roman" w:eastAsia="宋体" w:cs="Times New Roman"/>
                <w:color w:val="auto"/>
                <w:sz w:val="24"/>
                <w:szCs w:val="24"/>
              </w:rPr>
              <w:t>根据计算，核算</w:t>
            </w:r>
            <w:r>
              <w:rPr>
                <w:rFonts w:hint="eastAsia" w:cs="Times New Roman"/>
                <w:color w:val="auto"/>
                <w:sz w:val="24"/>
                <w:szCs w:val="24"/>
                <w:lang w:val="en-US" w:eastAsia="zh-CN"/>
              </w:rPr>
              <w:t>塑粉</w:t>
            </w:r>
            <w:r>
              <w:rPr>
                <w:rFonts w:hint="default" w:ascii="Times New Roman" w:hAnsi="Times New Roman" w:eastAsia="宋体" w:cs="Times New Roman"/>
                <w:color w:val="auto"/>
                <w:sz w:val="24"/>
                <w:szCs w:val="24"/>
              </w:rPr>
              <w:t>年使用量约</w:t>
            </w:r>
            <w:r>
              <w:rPr>
                <w:rFonts w:hint="eastAsia" w:cs="Times New Roman"/>
                <w:color w:val="auto"/>
                <w:sz w:val="24"/>
                <w:szCs w:val="24"/>
                <w:lang w:val="en-US" w:eastAsia="zh-CN"/>
              </w:rPr>
              <w:t>1.34</w:t>
            </w:r>
            <w:r>
              <w:rPr>
                <w:rFonts w:hint="default" w:ascii="Times New Roman" w:hAnsi="Times New Roman" w:eastAsia="宋体" w:cs="Times New Roman"/>
                <w:color w:val="auto"/>
                <w:sz w:val="24"/>
                <w:szCs w:val="24"/>
              </w:rPr>
              <w:t>t，与本项目所用</w:t>
            </w:r>
            <w:r>
              <w:rPr>
                <w:rFonts w:hint="eastAsia" w:cs="Times New Roman"/>
                <w:color w:val="auto"/>
                <w:sz w:val="24"/>
                <w:szCs w:val="24"/>
                <w:lang w:val="en-US" w:eastAsia="zh-CN"/>
              </w:rPr>
              <w:t>塑粉（1.4t）</w:t>
            </w:r>
            <w:r>
              <w:rPr>
                <w:rFonts w:hint="default" w:ascii="Times New Roman" w:hAnsi="Times New Roman" w:eastAsia="宋体" w:cs="Times New Roman"/>
                <w:color w:val="auto"/>
                <w:sz w:val="24"/>
                <w:szCs w:val="24"/>
              </w:rPr>
              <w:t>使用量基本吻合。</w:t>
            </w:r>
          </w:p>
          <w:p>
            <w:pPr>
              <w:pStyle w:val="21"/>
              <w:spacing w:after="0" w:line="360" w:lineRule="auto"/>
              <w:ind w:firstLine="480" w:firstLineChars="200"/>
              <w:rPr>
                <w:rFonts w:hint="default"/>
                <w:b/>
                <w:bCs/>
                <w:color w:val="auto"/>
                <w:sz w:val="24"/>
                <w:lang w:val="en-US" w:eastAsia="zh-CN"/>
              </w:rPr>
            </w:pPr>
            <w:r>
              <w:rPr>
                <w:rFonts w:hint="eastAsia"/>
                <w:b/>
                <w:bCs/>
                <w:color w:val="auto"/>
                <w:sz w:val="24"/>
                <w:lang w:val="en-US" w:eastAsia="zh-CN"/>
              </w:rPr>
              <w:t>③锌丝用量核算</w:t>
            </w:r>
          </w:p>
          <w:p>
            <w:pPr>
              <w:pStyle w:val="21"/>
              <w:spacing w:after="0" w:line="360" w:lineRule="auto"/>
              <w:ind w:firstLine="480" w:firstLineChars="200"/>
              <w:rPr>
                <w:rFonts w:hint="eastAsia"/>
                <w:b w:val="0"/>
                <w:bCs w:val="0"/>
                <w:color w:val="auto"/>
                <w:sz w:val="24"/>
                <w:lang w:eastAsia="zh-CN"/>
              </w:rPr>
            </w:pPr>
            <w:r>
              <w:rPr>
                <w:rFonts w:hint="eastAsia"/>
                <w:b w:val="0"/>
                <w:bCs w:val="0"/>
                <w:color w:val="auto"/>
                <w:sz w:val="24"/>
                <w:lang w:eastAsia="zh-CN"/>
              </w:rPr>
              <w:t>本项目需对</w:t>
            </w:r>
            <w:r>
              <w:rPr>
                <w:rFonts w:hint="eastAsia"/>
                <w:b w:val="0"/>
                <w:bCs w:val="0"/>
                <w:color w:val="auto"/>
                <w:sz w:val="24"/>
                <w:lang w:val="en-US" w:eastAsia="zh-CN"/>
              </w:rPr>
              <w:t>锌丝用量</w:t>
            </w:r>
            <w:r>
              <w:rPr>
                <w:rFonts w:hint="eastAsia"/>
                <w:b w:val="0"/>
                <w:bCs w:val="0"/>
                <w:color w:val="auto"/>
                <w:sz w:val="24"/>
                <w:lang w:eastAsia="zh-CN"/>
              </w:rPr>
              <w:t>进行核算，以确保企业提供的</w:t>
            </w:r>
            <w:r>
              <w:rPr>
                <w:rFonts w:hint="eastAsia"/>
                <w:b w:val="0"/>
                <w:bCs w:val="0"/>
                <w:color w:val="auto"/>
                <w:sz w:val="24"/>
                <w:lang w:val="en-US" w:eastAsia="zh-CN"/>
              </w:rPr>
              <w:t>锌丝</w:t>
            </w:r>
            <w:r>
              <w:rPr>
                <w:rFonts w:hint="eastAsia"/>
                <w:b w:val="0"/>
                <w:bCs w:val="0"/>
                <w:color w:val="auto"/>
                <w:sz w:val="24"/>
                <w:lang w:eastAsia="zh-CN"/>
              </w:rPr>
              <w:t>用量在合理范围内。 具体计算如下：</w:t>
            </w:r>
          </w:p>
          <w:p>
            <w:pPr>
              <w:pStyle w:val="21"/>
              <w:spacing w:after="0" w:line="240" w:lineRule="auto"/>
              <w:jc w:val="center"/>
              <w:rPr>
                <w:rFonts w:hint="eastAsia"/>
                <w:b/>
                <w:bCs/>
                <w:color w:val="auto"/>
                <w:sz w:val="21"/>
                <w:szCs w:val="21"/>
                <w:lang w:val="en-US" w:eastAsia="zh-CN"/>
              </w:rPr>
            </w:pPr>
            <w:r>
              <w:rPr>
                <w:rFonts w:hint="eastAsia"/>
                <w:b/>
                <w:bCs/>
                <w:color w:val="auto"/>
                <w:sz w:val="21"/>
                <w:szCs w:val="21"/>
                <w:lang w:val="en-US" w:eastAsia="zh-CN"/>
              </w:rPr>
              <w:t>表5-4锌丝用量计算参数一览表</w:t>
            </w:r>
          </w:p>
          <w:tbl>
            <w:tblPr>
              <w:tblStyle w:val="57"/>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79"/>
              <w:gridCol w:w="1382"/>
              <w:gridCol w:w="1387"/>
              <w:gridCol w:w="1387"/>
              <w:gridCol w:w="1387"/>
              <w:gridCol w:w="13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0"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类型</w:t>
                  </w:r>
                </w:p>
              </w:tc>
              <w:tc>
                <w:tcPr>
                  <w:tcW w:w="831" w:type="pct"/>
                  <w:tcBorders>
                    <w:tl2br w:val="nil"/>
                    <w:tr2bl w:val="nil"/>
                  </w:tcBorders>
                  <w:vAlign w:val="center"/>
                </w:tcPr>
                <w:p>
                  <w:pPr>
                    <w:spacing w:line="240" w:lineRule="auto"/>
                    <w:jc w:val="center"/>
                    <w:rPr>
                      <w:rFonts w:hint="default" w:ascii="Times New Roman" w:hAnsi="Times New Roman" w:cs="Times New Roman" w:eastAsiaTheme="minorEastAsia"/>
                      <w:b/>
                      <w:bCs/>
                      <w:color w:val="auto"/>
                      <w:sz w:val="21"/>
                      <w:szCs w:val="21"/>
                      <w:lang w:val="en-US" w:eastAsia="zh-CN"/>
                    </w:rPr>
                  </w:pPr>
                  <w:r>
                    <w:rPr>
                      <w:rFonts w:hint="eastAsia" w:cs="Times New Roman" w:eastAsiaTheme="minorEastAsia"/>
                      <w:b/>
                      <w:bCs/>
                      <w:color w:val="auto"/>
                      <w:sz w:val="21"/>
                      <w:szCs w:val="21"/>
                      <w:lang w:val="en-US" w:eastAsia="zh-CN"/>
                    </w:rPr>
                    <w:t>喷涂面积</w:t>
                  </w:r>
                  <w:r>
                    <w:rPr>
                      <w:rFonts w:hint="eastAsia"/>
                      <w:b w:val="0"/>
                      <w:bCs w:val="0"/>
                      <w:color w:val="auto"/>
                      <w:sz w:val="24"/>
                      <w:lang w:eastAsia="zh-CN"/>
                    </w:rPr>
                    <w:t>m</w:t>
                  </w:r>
                  <w:r>
                    <w:rPr>
                      <w:rFonts w:hint="eastAsia"/>
                      <w:b w:val="0"/>
                      <w:bCs w:val="0"/>
                      <w:color w:val="auto"/>
                      <w:sz w:val="24"/>
                      <w:vertAlign w:val="superscript"/>
                      <w:lang w:eastAsia="zh-CN"/>
                    </w:rPr>
                    <w:t>2</w:t>
                  </w:r>
                </w:p>
              </w:tc>
              <w:tc>
                <w:tcPr>
                  <w:tcW w:w="834"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喷涂率</w:t>
                  </w:r>
                  <w:r>
                    <w:rPr>
                      <w:rFonts w:hint="eastAsia"/>
                      <w:b w:val="0"/>
                      <w:bCs w:val="0"/>
                      <w:color w:val="auto"/>
                      <w:sz w:val="24"/>
                      <w:lang w:val="en-US" w:eastAsia="zh-CN"/>
                    </w:rPr>
                    <w:t>g/m</w:t>
                  </w:r>
                  <w:r>
                    <w:rPr>
                      <w:rFonts w:hint="eastAsia"/>
                      <w:b w:val="0"/>
                      <w:bCs w:val="0"/>
                      <w:color w:val="auto"/>
                      <w:sz w:val="24"/>
                      <w:vertAlign w:val="superscript"/>
                      <w:lang w:val="en-US" w:eastAsia="zh-CN"/>
                    </w:rPr>
                    <w:t>2</w:t>
                  </w:r>
                </w:p>
              </w:tc>
              <w:tc>
                <w:tcPr>
                  <w:tcW w:w="834"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锌层沉积率%</w:t>
                  </w:r>
                </w:p>
              </w:tc>
              <w:tc>
                <w:tcPr>
                  <w:tcW w:w="834" w:type="pct"/>
                  <w:tcBorders>
                    <w:tl2br w:val="nil"/>
                    <w:tr2bl w:val="nil"/>
                  </w:tcBorders>
                  <w:vAlign w:val="center"/>
                </w:tcPr>
                <w:p>
                  <w:pPr>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塑粉锌丝用量t/a</w:t>
                  </w:r>
                </w:p>
              </w:tc>
              <w:tc>
                <w:tcPr>
                  <w:tcW w:w="834" w:type="pct"/>
                  <w:tcBorders>
                    <w:tl2br w:val="nil"/>
                    <w:tr2bl w:val="nil"/>
                  </w:tcBorders>
                  <w:vAlign w:val="center"/>
                </w:tcPr>
                <w:p>
                  <w:pPr>
                    <w:spacing w:line="240" w:lineRule="auto"/>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本项目设计用量t/a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0"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锌丝</w:t>
                  </w:r>
                </w:p>
              </w:tc>
              <w:tc>
                <w:tcPr>
                  <w:tcW w:w="831"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3500</w:t>
                  </w:r>
                </w:p>
              </w:tc>
              <w:tc>
                <w:tcPr>
                  <w:tcW w:w="834"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250</w:t>
                  </w:r>
                </w:p>
              </w:tc>
              <w:tc>
                <w:tcPr>
                  <w:tcW w:w="834"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75</w:t>
                  </w:r>
                </w:p>
              </w:tc>
              <w:tc>
                <w:tcPr>
                  <w:tcW w:w="834"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1.17</w:t>
                  </w:r>
                </w:p>
              </w:tc>
              <w:tc>
                <w:tcPr>
                  <w:tcW w:w="834" w:type="pct"/>
                  <w:tcBorders>
                    <w:tl2br w:val="nil"/>
                    <w:tr2bl w:val="nil"/>
                  </w:tcBorders>
                  <w:vAlign w:val="center"/>
                </w:tcPr>
                <w:p>
                  <w:pPr>
                    <w:jc w:val="center"/>
                    <w:rPr>
                      <w:rFonts w:hint="default"/>
                      <w:color w:val="auto"/>
                      <w:vertAlign w:val="baseline"/>
                      <w:lang w:val="en-US" w:eastAsia="zh-CN"/>
                    </w:rPr>
                  </w:pPr>
                  <w:r>
                    <w:rPr>
                      <w:rFonts w:hint="eastAsia"/>
                      <w:color w:val="auto"/>
                      <w:vertAlign w:val="baseline"/>
                      <w:lang w:val="en-US" w:eastAsia="zh-CN"/>
                    </w:rPr>
                    <w:t>1.2</w:t>
                  </w:r>
                </w:p>
              </w:tc>
            </w:tr>
          </w:tbl>
          <w:p>
            <w:pPr>
              <w:pStyle w:val="21"/>
              <w:spacing w:after="0" w:line="360" w:lineRule="auto"/>
              <w:ind w:firstLine="480" w:firstLineChars="200"/>
              <w:rPr>
                <w:rFonts w:hint="eastAsia"/>
                <w:b w:val="0"/>
                <w:bCs w:val="0"/>
                <w:color w:val="auto"/>
                <w:sz w:val="24"/>
                <w:lang w:eastAsia="zh-CN"/>
              </w:rPr>
            </w:pPr>
            <w:r>
              <w:rPr>
                <w:rFonts w:hint="eastAsia"/>
                <w:b w:val="0"/>
                <w:bCs w:val="0"/>
                <w:color w:val="auto"/>
                <w:sz w:val="24"/>
                <w:lang w:val="en-US" w:eastAsia="zh-CN"/>
              </w:rPr>
              <w:t>经计算，本项目锌丝年使用量为1.17t，与本项目设计量（1.2t）基本吻合</w:t>
            </w:r>
            <w:r>
              <w:rPr>
                <w:rFonts w:hint="eastAsia"/>
                <w:b w:val="0"/>
                <w:bCs w:val="0"/>
                <w:color w:val="auto"/>
                <w:sz w:val="24"/>
                <w:lang w:eastAsia="zh-CN"/>
              </w:rPr>
              <w:t>。</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b/>
                <w:bCs/>
                <w:color w:val="auto"/>
                <w:sz w:val="24"/>
                <w:szCs w:val="22"/>
                <w:lang w:val="en-US"/>
              </w:rPr>
            </w:pPr>
            <w:r>
              <w:rPr>
                <w:rFonts w:hint="eastAsia"/>
                <w:b/>
                <w:bCs/>
                <w:color w:val="auto"/>
                <w:sz w:val="24"/>
                <w:lang w:val="en-US" w:eastAsia="zh-CN"/>
              </w:rPr>
              <w:t>1、废气</w:t>
            </w:r>
          </w:p>
          <w:p>
            <w:pPr>
              <w:pStyle w:val="21"/>
              <w:spacing w:after="0" w:line="360" w:lineRule="auto"/>
              <w:ind w:firstLine="480" w:firstLineChars="200"/>
              <w:rPr>
                <w:rFonts w:hint="default"/>
                <w:b w:val="0"/>
                <w:bCs w:val="0"/>
                <w:color w:val="auto"/>
                <w:sz w:val="24"/>
                <w:szCs w:val="22"/>
                <w:lang w:val="en-US" w:eastAsia="zh-CN"/>
              </w:rPr>
            </w:pPr>
            <w:r>
              <w:rPr>
                <w:rFonts w:hint="eastAsia"/>
                <w:b w:val="0"/>
                <w:bCs w:val="0"/>
                <w:color w:val="auto"/>
                <w:sz w:val="24"/>
                <w:szCs w:val="22"/>
                <w:lang w:val="en-US" w:eastAsia="zh-CN"/>
              </w:rPr>
              <w:t>营运期废气主要为喷砂和抛丸工序产生的加工粉尘（G1-1、G1-2），喷塑工序产生的喷塑废气（G2-1）和固化废气（G2-2），喷锌产生的喷锌废气</w:t>
            </w:r>
            <w:r>
              <w:rPr>
                <w:rFonts w:hint="eastAsia"/>
                <w:b w:val="0"/>
                <w:bCs w:val="0"/>
                <w:color w:val="auto"/>
                <w:sz w:val="24"/>
                <w:szCs w:val="22"/>
                <w:lang w:eastAsia="zh-CN"/>
              </w:rPr>
              <w:t>（</w:t>
            </w:r>
            <w:r>
              <w:rPr>
                <w:rFonts w:hint="eastAsia"/>
                <w:b w:val="0"/>
                <w:bCs w:val="0"/>
                <w:color w:val="auto"/>
                <w:sz w:val="24"/>
                <w:szCs w:val="22"/>
                <w:lang w:val="en-US" w:eastAsia="zh-CN"/>
              </w:rPr>
              <w:t>G3-1</w:t>
            </w:r>
            <w:r>
              <w:rPr>
                <w:rFonts w:hint="eastAsia"/>
                <w:b w:val="0"/>
                <w:bCs w:val="0"/>
                <w:color w:val="auto"/>
                <w:sz w:val="24"/>
                <w:szCs w:val="22"/>
                <w:lang w:eastAsia="zh-CN"/>
              </w:rPr>
              <w:t>）</w:t>
            </w:r>
            <w:r>
              <w:rPr>
                <w:rFonts w:hint="eastAsia"/>
                <w:b w:val="0"/>
                <w:bCs w:val="0"/>
                <w:color w:val="auto"/>
                <w:sz w:val="24"/>
                <w:szCs w:val="22"/>
                <w:lang w:val="en-US" w:eastAsia="zh-CN"/>
              </w:rPr>
              <w:t>，喷漆工序产生的漆雾颗粒（</w:t>
            </w:r>
            <w:r>
              <w:rPr>
                <w:rFonts w:hint="eastAsia"/>
                <w:b w:val="0"/>
                <w:bCs/>
                <w:color w:val="auto"/>
                <w:sz w:val="24"/>
                <w:szCs w:val="24"/>
                <w:lang w:val="en-US" w:eastAsia="zh-CN"/>
              </w:rPr>
              <w:t>G4-1、G4-3、G4-5</w:t>
            </w:r>
            <w:r>
              <w:rPr>
                <w:rFonts w:hint="eastAsia"/>
                <w:b w:val="0"/>
                <w:bCs w:val="0"/>
                <w:color w:val="auto"/>
                <w:sz w:val="24"/>
                <w:szCs w:val="22"/>
                <w:lang w:val="en-US" w:eastAsia="zh-CN"/>
              </w:rPr>
              <w:t>）和有机废气VOCs（</w:t>
            </w:r>
            <w:r>
              <w:rPr>
                <w:rFonts w:hint="eastAsia"/>
                <w:b w:val="0"/>
                <w:bCs/>
                <w:color w:val="auto"/>
                <w:sz w:val="24"/>
                <w:szCs w:val="24"/>
                <w:lang w:val="en-US" w:eastAsia="zh-CN"/>
              </w:rPr>
              <w:t>G4-2、G4-4、G4-6</w:t>
            </w:r>
            <w:r>
              <w:rPr>
                <w:rFonts w:hint="eastAsia"/>
                <w:b w:val="0"/>
                <w:bCs w:val="0"/>
                <w:color w:val="auto"/>
                <w:sz w:val="24"/>
                <w:szCs w:val="22"/>
                <w:lang w:val="en-US" w:eastAsia="zh-CN"/>
              </w:rPr>
              <w:t>）。</w:t>
            </w:r>
          </w:p>
          <w:p>
            <w:pPr>
              <w:pStyle w:val="21"/>
              <w:spacing w:after="0" w:line="360" w:lineRule="auto"/>
              <w:ind w:firstLine="480" w:firstLineChars="200"/>
              <w:rPr>
                <w:rFonts w:hint="eastAsia" w:eastAsia="宋体"/>
                <w:b/>
                <w:bCs/>
                <w:color w:val="auto"/>
                <w:sz w:val="24"/>
                <w:szCs w:val="22"/>
                <w:lang w:eastAsia="zh-CN"/>
              </w:rPr>
            </w:pPr>
            <w:r>
              <w:rPr>
                <w:rFonts w:hint="eastAsia"/>
                <w:b/>
                <w:bCs/>
                <w:color w:val="auto"/>
                <w:sz w:val="24"/>
                <w:szCs w:val="22"/>
                <w:lang w:val="en-US" w:eastAsia="zh-CN"/>
              </w:rPr>
              <w:t>（1）颗粒物</w:t>
            </w:r>
          </w:p>
          <w:p>
            <w:pPr>
              <w:pStyle w:val="21"/>
              <w:spacing w:after="0" w:line="360" w:lineRule="auto"/>
              <w:ind w:firstLine="480" w:firstLineChars="200"/>
              <w:rPr>
                <w:rFonts w:hint="default" w:eastAsia="宋体"/>
                <w:b/>
                <w:bCs/>
                <w:color w:val="auto"/>
                <w:sz w:val="24"/>
                <w:szCs w:val="22"/>
                <w:lang w:val="en-US" w:eastAsia="zh-CN"/>
              </w:rPr>
            </w:pPr>
            <w:r>
              <w:rPr>
                <w:rFonts w:hint="eastAsia"/>
                <w:b/>
                <w:bCs/>
                <w:color w:val="auto"/>
                <w:sz w:val="24"/>
                <w:szCs w:val="22"/>
                <w:lang w:val="en-US" w:eastAsia="zh-CN"/>
              </w:rPr>
              <w:t>①加工粉尘（喷砂废气、抛丸废气）</w:t>
            </w:r>
          </w:p>
          <w:p>
            <w:pPr>
              <w:pStyle w:val="21"/>
              <w:spacing w:after="0" w:line="360" w:lineRule="auto"/>
              <w:ind w:firstLine="480" w:firstLineChars="200"/>
              <w:rPr>
                <w:rFonts w:hint="eastAsia"/>
                <w:b w:val="0"/>
                <w:bCs w:val="0"/>
                <w:color w:val="auto"/>
                <w:sz w:val="24"/>
                <w:szCs w:val="22"/>
              </w:rPr>
            </w:pPr>
            <w:r>
              <w:rPr>
                <w:rFonts w:hint="eastAsia"/>
                <w:b w:val="0"/>
                <w:bCs w:val="0"/>
                <w:color w:val="auto"/>
                <w:sz w:val="24"/>
                <w:szCs w:val="22"/>
              </w:rPr>
              <w:t>本项目共设1间喷砂</w:t>
            </w:r>
            <w:r>
              <w:rPr>
                <w:rFonts w:hint="eastAsia"/>
                <w:b w:val="0"/>
                <w:bCs w:val="0"/>
                <w:color w:val="auto"/>
                <w:sz w:val="24"/>
                <w:szCs w:val="22"/>
                <w:lang w:val="en-US" w:eastAsia="zh-CN"/>
              </w:rPr>
              <w:t>室和1间抛丸室</w:t>
            </w:r>
            <w:r>
              <w:rPr>
                <w:rFonts w:hint="eastAsia"/>
                <w:b w:val="0"/>
                <w:bCs w:val="0"/>
                <w:color w:val="auto"/>
                <w:sz w:val="24"/>
                <w:szCs w:val="22"/>
              </w:rPr>
              <w:t>，喷砂</w:t>
            </w:r>
            <w:r>
              <w:rPr>
                <w:rFonts w:hint="eastAsia"/>
                <w:b w:val="0"/>
                <w:bCs w:val="0"/>
                <w:color w:val="auto"/>
                <w:sz w:val="24"/>
                <w:szCs w:val="22"/>
                <w:lang w:eastAsia="zh-CN"/>
              </w:rPr>
              <w:t>、</w:t>
            </w:r>
            <w:r>
              <w:rPr>
                <w:rFonts w:hint="eastAsia"/>
                <w:b w:val="0"/>
                <w:bCs w:val="0"/>
                <w:color w:val="auto"/>
                <w:sz w:val="24"/>
                <w:szCs w:val="22"/>
                <w:lang w:val="en-US" w:eastAsia="zh-CN"/>
              </w:rPr>
              <w:t>抛丸</w:t>
            </w:r>
            <w:r>
              <w:rPr>
                <w:rFonts w:hint="eastAsia"/>
                <w:b w:val="0"/>
                <w:bCs w:val="0"/>
                <w:color w:val="auto"/>
                <w:sz w:val="24"/>
                <w:szCs w:val="22"/>
              </w:rPr>
              <w:t>时会产生</w:t>
            </w:r>
            <w:r>
              <w:rPr>
                <w:rFonts w:hint="eastAsia"/>
                <w:b w:val="0"/>
                <w:bCs w:val="0"/>
                <w:color w:val="auto"/>
                <w:sz w:val="24"/>
                <w:szCs w:val="22"/>
                <w:lang w:val="en-US" w:eastAsia="zh-CN"/>
              </w:rPr>
              <w:t>加工粉尘</w:t>
            </w:r>
            <w:r>
              <w:rPr>
                <w:rFonts w:hint="eastAsia"/>
                <w:b w:val="0"/>
                <w:bCs w:val="0"/>
                <w:color w:val="auto"/>
                <w:sz w:val="24"/>
                <w:szCs w:val="22"/>
              </w:rPr>
              <w:t>，粉尘主要成分为金属氧化皮碎片、砂屑和其它钢材表面颗粒杂质。</w:t>
            </w:r>
            <w:r>
              <w:rPr>
                <w:rFonts w:hint="eastAsia"/>
                <w:b w:val="0"/>
                <w:bCs w:val="0"/>
                <w:color w:val="auto"/>
                <w:sz w:val="24"/>
                <w:szCs w:val="22"/>
                <w:lang w:val="en-US" w:eastAsia="zh-CN"/>
              </w:rPr>
              <w:t>根据参考《第二次全国污染源普查工业污染源产排污系数手册（试用）》中机械行业系数手册中抛丸、喷砂、打磨的产污系数2.19kg/t（原料）</w:t>
            </w:r>
            <w:r>
              <w:rPr>
                <w:rFonts w:hint="eastAsia"/>
                <w:b w:val="0"/>
                <w:bCs w:val="0"/>
                <w:color w:val="auto"/>
                <w:sz w:val="24"/>
                <w:szCs w:val="22"/>
                <w:lang w:eastAsia="zh-CN"/>
              </w:rPr>
              <w:t>。</w:t>
            </w:r>
            <w:r>
              <w:rPr>
                <w:rFonts w:hint="eastAsia"/>
                <w:b w:val="0"/>
                <w:bCs w:val="0"/>
                <w:color w:val="auto"/>
                <w:sz w:val="24"/>
                <w:szCs w:val="22"/>
              </w:rPr>
              <w:t>本</w:t>
            </w:r>
            <w:r>
              <w:rPr>
                <w:rFonts w:hint="eastAsia"/>
                <w:b w:val="0"/>
                <w:bCs w:val="0"/>
                <w:color w:val="auto"/>
                <w:sz w:val="24"/>
                <w:szCs w:val="22"/>
                <w:lang w:val="en-US" w:eastAsia="zh-CN"/>
              </w:rPr>
              <w:t>项目需喷砂的工件约2000件（约6000t），需抛丸的工件约3000件（约9000t），则喷砂室产生的</w:t>
            </w:r>
            <w:r>
              <w:rPr>
                <w:rFonts w:hint="eastAsia"/>
                <w:b w:val="0"/>
                <w:bCs w:val="0"/>
                <w:color w:val="auto"/>
                <w:sz w:val="24"/>
                <w:szCs w:val="22"/>
              </w:rPr>
              <w:t>粉尘量为</w:t>
            </w:r>
            <w:r>
              <w:rPr>
                <w:rFonts w:hint="eastAsia"/>
                <w:b w:val="0"/>
                <w:bCs w:val="0"/>
                <w:color w:val="auto"/>
                <w:sz w:val="24"/>
                <w:szCs w:val="22"/>
                <w:lang w:val="en-US" w:eastAsia="zh-CN"/>
              </w:rPr>
              <w:t>13.14</w:t>
            </w:r>
            <w:r>
              <w:rPr>
                <w:rFonts w:hint="eastAsia"/>
                <w:b w:val="0"/>
                <w:bCs w:val="0"/>
                <w:color w:val="auto"/>
                <w:sz w:val="24"/>
                <w:szCs w:val="22"/>
              </w:rPr>
              <w:t>t/a</w:t>
            </w:r>
            <w:r>
              <w:rPr>
                <w:rFonts w:hint="eastAsia"/>
                <w:b w:val="0"/>
                <w:bCs w:val="0"/>
                <w:color w:val="auto"/>
                <w:sz w:val="24"/>
                <w:szCs w:val="22"/>
                <w:lang w:eastAsia="zh-CN"/>
              </w:rPr>
              <w:t>，</w:t>
            </w:r>
            <w:r>
              <w:rPr>
                <w:rFonts w:hint="eastAsia"/>
                <w:b w:val="0"/>
                <w:bCs w:val="0"/>
                <w:color w:val="auto"/>
                <w:sz w:val="24"/>
                <w:szCs w:val="22"/>
                <w:lang w:val="en-US" w:eastAsia="zh-CN"/>
              </w:rPr>
              <w:t>抛丸室产生的粉尘量为19.17t/a</w:t>
            </w:r>
            <w:r>
              <w:rPr>
                <w:rFonts w:hint="eastAsia"/>
                <w:b w:val="0"/>
                <w:bCs w:val="0"/>
                <w:color w:val="auto"/>
                <w:sz w:val="24"/>
                <w:szCs w:val="22"/>
              </w:rPr>
              <w:t>。</w:t>
            </w:r>
          </w:p>
          <w:p>
            <w:pPr>
              <w:pStyle w:val="21"/>
              <w:spacing w:after="0" w:line="360" w:lineRule="auto"/>
              <w:ind w:firstLine="480" w:firstLineChars="200"/>
              <w:rPr>
                <w:rFonts w:hint="default"/>
                <w:b w:val="0"/>
                <w:bCs w:val="0"/>
                <w:color w:val="auto"/>
                <w:sz w:val="24"/>
                <w:szCs w:val="22"/>
                <w:lang w:val="en-US" w:eastAsia="zh-CN"/>
              </w:rPr>
            </w:pPr>
            <w:r>
              <w:rPr>
                <w:rFonts w:hint="eastAsia"/>
                <w:b w:val="0"/>
                <w:bCs w:val="0"/>
                <w:color w:val="auto"/>
                <w:sz w:val="24"/>
                <w:szCs w:val="22"/>
                <w:lang w:val="en-US" w:eastAsia="zh-CN"/>
              </w:rPr>
              <w:t>根据建设单位提供资料可知，喷砂和抛丸工序全年作业3000h，喷砂机和抛丸机经各自自带的引风装置和布袋除尘器（TA001、TA002）处理后有组织排放。单台引风机风量为20000m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/h，废气经引风机收集(收集效率为95%)，经自带的布袋除尘器处理后（处理效率为99%），经风管引至15m高排气筒DA001排放，则加工粉尘有组织排放量为0.307t/a，排放速率为0.102kg/h。</w:t>
            </w:r>
          </w:p>
          <w:p>
            <w:pPr>
              <w:pStyle w:val="21"/>
              <w:spacing w:after="0" w:line="360" w:lineRule="auto"/>
              <w:ind w:firstLine="480" w:firstLineChars="200"/>
              <w:rPr>
                <w:rFonts w:hint="eastAsia"/>
                <w:b w:val="0"/>
                <w:bCs w:val="0"/>
                <w:color w:val="auto"/>
                <w:sz w:val="24"/>
                <w:szCs w:val="22"/>
                <w:lang w:val="en-US" w:eastAsia="zh-CN"/>
              </w:rPr>
            </w:pPr>
            <w:r>
              <w:rPr>
                <w:rFonts w:hint="eastAsia"/>
                <w:b w:val="0"/>
                <w:bCs w:val="0"/>
                <w:color w:val="auto"/>
                <w:sz w:val="24"/>
                <w:szCs w:val="22"/>
                <w:lang w:val="en-US" w:eastAsia="zh-CN"/>
              </w:rPr>
              <w:t>未捕集的加工粉尘经约90%在各自的加工室内沉降，建设单位定期清扫。</w:t>
            </w:r>
          </w:p>
          <w:p>
            <w:pPr>
              <w:pStyle w:val="21"/>
              <w:spacing w:after="0" w:line="360" w:lineRule="auto"/>
              <w:ind w:firstLine="480" w:firstLineChars="200"/>
              <w:rPr>
                <w:rFonts w:hint="default"/>
                <w:b w:val="0"/>
                <w:bCs w:val="0"/>
                <w:color w:val="auto"/>
                <w:sz w:val="24"/>
                <w:szCs w:val="22"/>
                <w:lang w:val="en-US" w:eastAsia="zh-CN"/>
              </w:rPr>
            </w:pPr>
            <w:r>
              <w:rPr>
                <w:rFonts w:hint="eastAsia"/>
                <w:b w:val="0"/>
                <w:bCs w:val="0"/>
                <w:color w:val="auto"/>
                <w:sz w:val="24"/>
                <w:szCs w:val="22"/>
                <w:lang w:val="en-US" w:eastAsia="zh-CN"/>
              </w:rPr>
              <w:t>喷砂、抛丸工序产生的加工粉尘的情况见下表：</w:t>
            </w:r>
          </w:p>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5-5 喷砂、抛丸有组织废气产生情况一览表</w:t>
            </w:r>
          </w:p>
          <w:tbl>
            <w:tblPr>
              <w:tblStyle w:val="5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3"/>
              <w:gridCol w:w="876"/>
              <w:gridCol w:w="1090"/>
              <w:gridCol w:w="1172"/>
              <w:gridCol w:w="1334"/>
              <w:gridCol w:w="1501"/>
              <w:gridCol w:w="16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9"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污染工序</w:t>
                  </w:r>
                </w:p>
              </w:tc>
              <w:tc>
                <w:tcPr>
                  <w:tcW w:w="527"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污染物</w:t>
                  </w:r>
                </w:p>
              </w:tc>
              <w:tc>
                <w:tcPr>
                  <w:tcW w:w="656" w:type="pct"/>
                  <w:tcBorders>
                    <w:tl2br w:val="nil"/>
                    <w:tr2bl w:val="nil"/>
                  </w:tcBorders>
                  <w:vAlign w:val="center"/>
                </w:tcPr>
                <w:p>
                  <w:pPr>
                    <w:pStyle w:val="21"/>
                    <w:spacing w:line="240" w:lineRule="auto"/>
                    <w:jc w:val="center"/>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收集效率</w:t>
                  </w:r>
                </w:p>
              </w:tc>
              <w:tc>
                <w:tcPr>
                  <w:tcW w:w="705" w:type="pct"/>
                  <w:tcBorders>
                    <w:tl2br w:val="nil"/>
                    <w:tr2bl w:val="nil"/>
                  </w:tcBorders>
                  <w:vAlign w:val="center"/>
                </w:tcPr>
                <w:p>
                  <w:pPr>
                    <w:pStyle w:val="21"/>
                    <w:spacing w:line="240" w:lineRule="auto"/>
                    <w:jc w:val="center"/>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风量m</w:t>
                  </w:r>
                  <w:r>
                    <w:rPr>
                      <w:rFonts w:hint="eastAsia"/>
                      <w:b/>
                      <w:bCs w:val="0"/>
                      <w:color w:val="auto"/>
                      <w:sz w:val="21"/>
                      <w:szCs w:val="21"/>
                      <w:vertAlign w:val="superscript"/>
                      <w:lang w:val="en-US" w:eastAsia="zh-CN"/>
                    </w:rPr>
                    <w:t>3</w:t>
                  </w:r>
                  <w:r>
                    <w:rPr>
                      <w:rFonts w:hint="eastAsia"/>
                      <w:b/>
                      <w:bCs w:val="0"/>
                      <w:color w:val="auto"/>
                      <w:sz w:val="21"/>
                      <w:szCs w:val="21"/>
                      <w:vertAlign w:val="baseline"/>
                      <w:lang w:val="en-US" w:eastAsia="zh-CN"/>
                    </w:rPr>
                    <w:t>/h</w:t>
                  </w:r>
                </w:p>
              </w:tc>
              <w:tc>
                <w:tcPr>
                  <w:tcW w:w="803" w:type="pct"/>
                  <w:tcBorders>
                    <w:tl2br w:val="nil"/>
                    <w:tr2bl w:val="nil"/>
                  </w:tcBorders>
                  <w:vAlign w:val="center"/>
                </w:tcPr>
                <w:p>
                  <w:pPr>
                    <w:pStyle w:val="21"/>
                    <w:spacing w:line="240" w:lineRule="auto"/>
                    <w:jc w:val="center"/>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产生量t/a</w:t>
                  </w:r>
                </w:p>
              </w:tc>
              <w:tc>
                <w:tcPr>
                  <w:tcW w:w="903"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产生速率kg/h</w:t>
                  </w:r>
                </w:p>
              </w:tc>
              <w:tc>
                <w:tcPr>
                  <w:tcW w:w="1004"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产生浓度</w:t>
                  </w:r>
                  <w:r>
                    <w:rPr>
                      <w:rFonts w:hint="eastAsia"/>
                      <w:b/>
                      <w:bCs w:val="0"/>
                      <w:color w:val="auto"/>
                      <w:sz w:val="21"/>
                      <w:szCs w:val="21"/>
                    </w:rPr>
                    <w:t>mg/m</w:t>
                  </w:r>
                  <w:r>
                    <w:rPr>
                      <w:rFonts w:hint="eastAsia"/>
                      <w:b/>
                      <w:bCs w:val="0"/>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喷砂</w:t>
                  </w:r>
                </w:p>
              </w:tc>
              <w:tc>
                <w:tcPr>
                  <w:tcW w:w="52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颗粒物</w:t>
                  </w:r>
                </w:p>
              </w:tc>
              <w:tc>
                <w:tcPr>
                  <w:tcW w:w="6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95%</w:t>
                  </w:r>
                </w:p>
              </w:tc>
              <w:tc>
                <w:tcPr>
                  <w:tcW w:w="7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20000</w:t>
                  </w:r>
                </w:p>
              </w:tc>
              <w:tc>
                <w:tcPr>
                  <w:tcW w:w="803"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12.48</w:t>
                  </w:r>
                </w:p>
              </w:tc>
              <w:tc>
                <w:tcPr>
                  <w:tcW w:w="903"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4.16</w:t>
                  </w:r>
                </w:p>
              </w:tc>
              <w:tc>
                <w:tcPr>
                  <w:tcW w:w="100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208.0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抛丸</w:t>
                  </w:r>
                </w:p>
              </w:tc>
              <w:tc>
                <w:tcPr>
                  <w:tcW w:w="52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颗粒物</w:t>
                  </w:r>
                </w:p>
              </w:tc>
              <w:tc>
                <w:tcPr>
                  <w:tcW w:w="6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95%</w:t>
                  </w:r>
                </w:p>
              </w:tc>
              <w:tc>
                <w:tcPr>
                  <w:tcW w:w="7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20000</w:t>
                  </w:r>
                </w:p>
              </w:tc>
              <w:tc>
                <w:tcPr>
                  <w:tcW w:w="803"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18.21</w:t>
                  </w:r>
                </w:p>
              </w:tc>
              <w:tc>
                <w:tcPr>
                  <w:tcW w:w="903"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6.07</w:t>
                  </w:r>
                </w:p>
              </w:tc>
              <w:tc>
                <w:tcPr>
                  <w:tcW w:w="100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宋体" w:eastAsia="宋体" w:cs="Times New Roman"/>
                      <w:color w:val="auto"/>
                      <w:kern w:val="0"/>
                      <w:sz w:val="21"/>
                      <w:szCs w:val="21"/>
                      <w:lang w:val="en-US" w:eastAsia="zh-CN" w:bidi="ar-SA"/>
                    </w:rPr>
                  </w:pPr>
                  <w:r>
                    <w:rPr>
                      <w:rFonts w:hint="eastAsia" w:ascii="Times New Roman" w:hAnsi="宋体" w:eastAsia="宋体" w:cs="Times New Roman"/>
                      <w:color w:val="auto"/>
                      <w:kern w:val="0"/>
                      <w:sz w:val="21"/>
                      <w:szCs w:val="21"/>
                      <w:lang w:val="en-US" w:eastAsia="zh-CN" w:bidi="ar-SA"/>
                    </w:rPr>
                    <w:t>303.5</w:t>
                  </w:r>
                </w:p>
              </w:tc>
            </w:tr>
          </w:tbl>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5-6 喷砂、抛丸废气无组织产生情况一览表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6"/>
              <w:gridCol w:w="2268"/>
              <w:gridCol w:w="2341"/>
              <w:gridCol w:w="227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vAlign w:val="center"/>
                </w:tcPr>
                <w:p>
                  <w:pPr>
                    <w:pStyle w:val="123"/>
                    <w:rPr>
                      <w:rFonts w:hint="eastAsia" w:eastAsia="宋体"/>
                      <w:b/>
                      <w:color w:val="auto"/>
                      <w:lang w:eastAsia="zh-CN"/>
                    </w:rPr>
                  </w:pPr>
                  <w:r>
                    <w:rPr>
                      <w:b/>
                      <w:color w:val="auto"/>
                    </w:rPr>
                    <w:t>污染</w:t>
                  </w:r>
                  <w:r>
                    <w:rPr>
                      <w:rFonts w:hint="eastAsia"/>
                      <w:b/>
                      <w:color w:val="auto"/>
                      <w:lang w:eastAsia="zh-CN"/>
                    </w:rPr>
                    <w:t>工序</w:t>
                  </w:r>
                </w:p>
              </w:tc>
              <w:tc>
                <w:tcPr>
                  <w:tcW w:w="1364" w:type="pct"/>
                  <w:vAlign w:val="center"/>
                </w:tcPr>
                <w:p>
                  <w:pPr>
                    <w:pStyle w:val="123"/>
                    <w:rPr>
                      <w:b/>
                      <w:color w:val="auto"/>
                    </w:rPr>
                  </w:pPr>
                  <w:r>
                    <w:rPr>
                      <w:b/>
                      <w:color w:val="auto"/>
                    </w:rPr>
                    <w:t>污染物名称</w:t>
                  </w:r>
                </w:p>
              </w:tc>
              <w:tc>
                <w:tcPr>
                  <w:tcW w:w="1408" w:type="pct"/>
                  <w:vAlign w:val="center"/>
                </w:tcPr>
                <w:p>
                  <w:pPr>
                    <w:pStyle w:val="123"/>
                    <w:rPr>
                      <w:b/>
                      <w:color w:val="auto"/>
                    </w:rPr>
                  </w:pPr>
                  <w:r>
                    <w:rPr>
                      <w:b/>
                      <w:color w:val="auto"/>
                    </w:rPr>
                    <w:t>产生量t/a</w:t>
                  </w:r>
                </w:p>
              </w:tc>
              <w:tc>
                <w:tcPr>
                  <w:tcW w:w="1368" w:type="pct"/>
                  <w:vAlign w:val="center"/>
                </w:tcPr>
                <w:p>
                  <w:pPr>
                    <w:pStyle w:val="123"/>
                    <w:rPr>
                      <w:b/>
                      <w:color w:val="auto"/>
                    </w:rPr>
                  </w:pPr>
                  <w:r>
                    <w:rPr>
                      <w:b/>
                      <w:color w:val="auto"/>
                    </w:rPr>
                    <w:t>产生速率kg/h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vAlign w:val="center"/>
                </w:tcPr>
                <w:p>
                  <w:pPr>
                    <w:pStyle w:val="261"/>
                    <w:ind w:right="-107"/>
                    <w:rPr>
                      <w:rFonts w:hint="default" w:ascii="Times New Roman" w:eastAsia="宋体"/>
                      <w:color w:val="auto"/>
                      <w:sz w:val="21"/>
                      <w:szCs w:val="21"/>
                      <w:lang w:val="en-US" w:eastAsia="zh-CN"/>
                    </w:rPr>
                  </w:pPr>
                  <w:r>
                    <w:rPr>
                      <w:rFonts w:hint="eastAsia" w:ascii="Times New Roman"/>
                      <w:color w:val="auto"/>
                      <w:sz w:val="21"/>
                      <w:szCs w:val="21"/>
                      <w:lang w:val="en-US" w:eastAsia="zh-CN"/>
                    </w:rPr>
                    <w:t>喷砂工序</w:t>
                  </w:r>
                </w:p>
              </w:tc>
              <w:tc>
                <w:tcPr>
                  <w:tcW w:w="1364"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颗粒物</w:t>
                  </w:r>
                </w:p>
              </w:tc>
              <w:tc>
                <w:tcPr>
                  <w:tcW w:w="1408"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0.066</w:t>
                  </w:r>
                </w:p>
              </w:tc>
              <w:tc>
                <w:tcPr>
                  <w:tcW w:w="1368"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抛丸工序</w:t>
                  </w:r>
                </w:p>
              </w:tc>
              <w:tc>
                <w:tcPr>
                  <w:tcW w:w="1364"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颗粒物</w:t>
                  </w:r>
                </w:p>
              </w:tc>
              <w:tc>
                <w:tcPr>
                  <w:tcW w:w="1408"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0.096</w:t>
                  </w:r>
                </w:p>
              </w:tc>
              <w:tc>
                <w:tcPr>
                  <w:tcW w:w="1368" w:type="pct"/>
                  <w:vAlign w:val="center"/>
                </w:tcPr>
                <w:p>
                  <w:pPr>
                    <w:pStyle w:val="261"/>
                    <w:ind w:right="-107"/>
                    <w:rPr>
                      <w:rFonts w:hint="default" w:ascii="Times New Roman"/>
                      <w:color w:val="auto"/>
                      <w:sz w:val="21"/>
                      <w:szCs w:val="21"/>
                      <w:lang w:val="en-US" w:eastAsia="zh-CN"/>
                    </w:rPr>
                  </w:pPr>
                  <w:r>
                    <w:rPr>
                      <w:rFonts w:hint="eastAsia" w:ascii="Times New Roman"/>
                      <w:color w:val="auto"/>
                      <w:sz w:val="21"/>
                      <w:szCs w:val="21"/>
                      <w:lang w:val="en-US" w:eastAsia="zh-CN"/>
                    </w:rPr>
                    <w:t>0.005</w:t>
                  </w:r>
                </w:p>
              </w:tc>
            </w:tr>
          </w:tbl>
          <w:p>
            <w:pPr>
              <w:pStyle w:val="21"/>
              <w:spacing w:after="0" w:line="360" w:lineRule="auto"/>
              <w:ind w:firstLine="480" w:firstLineChars="200"/>
              <w:rPr>
                <w:rFonts w:hint="default" w:eastAsia="宋体"/>
                <w:b w:val="0"/>
                <w:bCs w:val="0"/>
                <w:color w:val="auto"/>
                <w:sz w:val="24"/>
                <w:szCs w:val="22"/>
                <w:lang w:val="en-US" w:eastAsia="zh-CN"/>
              </w:rPr>
            </w:pPr>
            <w:r>
              <w:rPr>
                <w:rFonts w:hint="eastAsia"/>
                <w:b w:val="0"/>
                <w:bCs w:val="0"/>
                <w:color w:val="auto"/>
                <w:sz w:val="24"/>
                <w:szCs w:val="22"/>
                <w:lang w:val="en-US" w:eastAsia="zh-CN"/>
              </w:rPr>
              <w:t>②喷塑废气、固化废气</w:t>
            </w:r>
          </w:p>
          <w:p>
            <w:pPr>
              <w:pStyle w:val="21"/>
              <w:spacing w:after="0" w:line="360" w:lineRule="auto"/>
              <w:ind w:firstLine="480" w:firstLineChars="200"/>
              <w:rPr>
                <w:rFonts w:hint="eastAsia" w:eastAsia="宋体"/>
                <w:color w:val="auto"/>
                <w:sz w:val="24"/>
                <w:szCs w:val="22"/>
                <w:lang w:val="en-US" w:eastAsia="zh-CN"/>
              </w:rPr>
            </w:pPr>
            <w:r>
              <w:rPr>
                <w:rFonts w:hint="eastAsia"/>
                <w:color w:val="auto"/>
                <w:sz w:val="24"/>
                <w:szCs w:val="22"/>
              </w:rPr>
              <w:t>喷塑</w:t>
            </w:r>
            <w:r>
              <w:rPr>
                <w:rFonts w:hint="eastAsia"/>
                <w:color w:val="auto"/>
                <w:sz w:val="24"/>
                <w:szCs w:val="22"/>
                <w:lang w:val="en-US" w:eastAsia="zh-CN"/>
              </w:rPr>
              <w:t>流水线</w:t>
            </w:r>
            <w:r>
              <w:rPr>
                <w:rFonts w:hint="eastAsia"/>
                <w:color w:val="auto"/>
                <w:sz w:val="24"/>
                <w:szCs w:val="22"/>
              </w:rPr>
              <w:t>将整个喷塑工艺包裹在一个相对封闭的环境内，依据《中国环境管理干部学院学报》第26卷第6期《喷塑行业污染物源强估算及治理方法探讨》，塑粉平均附着率为80%-90%，本环评按照80%计算，项目年用塑粉</w:t>
            </w:r>
            <w:r>
              <w:rPr>
                <w:rFonts w:hint="eastAsia"/>
                <w:color w:val="auto"/>
                <w:sz w:val="24"/>
                <w:szCs w:val="22"/>
                <w:lang w:val="en-US" w:eastAsia="zh-CN"/>
              </w:rPr>
              <w:t>1.4</w:t>
            </w:r>
            <w:r>
              <w:rPr>
                <w:rFonts w:hint="eastAsia"/>
                <w:color w:val="auto"/>
                <w:sz w:val="24"/>
                <w:szCs w:val="22"/>
              </w:rPr>
              <w:t>t/a，粉尘产生量约为</w:t>
            </w:r>
            <w:r>
              <w:rPr>
                <w:rFonts w:hint="eastAsia"/>
                <w:color w:val="auto"/>
                <w:sz w:val="24"/>
                <w:szCs w:val="22"/>
                <w:lang w:val="en-US" w:eastAsia="zh-CN"/>
              </w:rPr>
              <w:t>0.28</w:t>
            </w:r>
            <w:r>
              <w:rPr>
                <w:rFonts w:hint="eastAsia"/>
                <w:color w:val="auto"/>
                <w:sz w:val="24"/>
                <w:szCs w:val="22"/>
              </w:rPr>
              <w:t>t/a。喷塑工序</w:t>
            </w:r>
            <w:r>
              <w:rPr>
                <w:rFonts w:hint="eastAsia"/>
                <w:color w:val="auto"/>
                <w:sz w:val="24"/>
                <w:szCs w:val="22"/>
                <w:lang w:val="en-US" w:eastAsia="zh-CN"/>
              </w:rPr>
              <w:t>每年作业</w:t>
            </w:r>
            <w:r>
              <w:rPr>
                <w:rFonts w:hint="eastAsia"/>
                <w:color w:val="auto"/>
                <w:sz w:val="24"/>
                <w:szCs w:val="22"/>
              </w:rPr>
              <w:t>3</w:t>
            </w:r>
            <w:r>
              <w:rPr>
                <w:rFonts w:hint="eastAsia"/>
                <w:color w:val="auto"/>
                <w:sz w:val="24"/>
                <w:szCs w:val="22"/>
                <w:lang w:val="en-US" w:eastAsia="zh-CN"/>
              </w:rPr>
              <w:t>000</w:t>
            </w:r>
            <w:r>
              <w:rPr>
                <w:rFonts w:hint="eastAsia"/>
                <w:color w:val="auto"/>
                <w:sz w:val="24"/>
                <w:szCs w:val="22"/>
              </w:rPr>
              <w:t>h，由于喷塑</w:t>
            </w:r>
            <w:r>
              <w:rPr>
                <w:rFonts w:hint="eastAsia"/>
                <w:color w:val="auto"/>
                <w:sz w:val="24"/>
                <w:szCs w:val="22"/>
                <w:lang w:val="en-US" w:eastAsia="zh-CN"/>
              </w:rPr>
              <w:t>流水线</w:t>
            </w:r>
            <w:r>
              <w:rPr>
                <w:rFonts w:hint="eastAsia"/>
                <w:color w:val="auto"/>
                <w:sz w:val="24"/>
                <w:szCs w:val="22"/>
              </w:rPr>
              <w:t>工作时为封闭状态，只有工作人员进出时会打开喷塑房，因此未附着的塑粉考虑有39%沉降地面，1%无组织排放，60%经负压吸气装置收集，则粉尘有组织产生量为0.</w:t>
            </w:r>
            <w:r>
              <w:rPr>
                <w:rFonts w:hint="eastAsia"/>
                <w:color w:val="auto"/>
                <w:sz w:val="24"/>
                <w:szCs w:val="22"/>
                <w:lang w:val="en-US" w:eastAsia="zh-CN"/>
              </w:rPr>
              <w:t>168</w:t>
            </w:r>
            <w:r>
              <w:rPr>
                <w:rFonts w:hint="eastAsia"/>
                <w:color w:val="auto"/>
                <w:sz w:val="24"/>
                <w:szCs w:val="22"/>
              </w:rPr>
              <w:t>t/a，经自带滤简除尘设施</w:t>
            </w:r>
            <w:r>
              <w:rPr>
                <w:rFonts w:hint="eastAsia"/>
                <w:color w:val="auto"/>
                <w:sz w:val="24"/>
                <w:szCs w:val="22"/>
                <w:lang w:eastAsia="zh-CN"/>
              </w:rPr>
              <w:t>（</w:t>
            </w:r>
            <w:r>
              <w:rPr>
                <w:rFonts w:hint="eastAsia"/>
                <w:color w:val="auto"/>
                <w:sz w:val="24"/>
                <w:szCs w:val="22"/>
                <w:lang w:val="en-US" w:eastAsia="zh-CN"/>
              </w:rPr>
              <w:t>TA003</w:t>
            </w:r>
            <w:r>
              <w:rPr>
                <w:rFonts w:hint="eastAsia"/>
                <w:color w:val="auto"/>
                <w:sz w:val="24"/>
                <w:szCs w:val="22"/>
                <w:lang w:eastAsia="zh-CN"/>
              </w:rPr>
              <w:t>）</w:t>
            </w:r>
            <w:r>
              <w:rPr>
                <w:rFonts w:hint="eastAsia"/>
                <w:color w:val="auto"/>
                <w:sz w:val="24"/>
                <w:szCs w:val="22"/>
              </w:rPr>
              <w:t>处理后与经二级活性炭处理后固化废气</w:t>
            </w:r>
            <w:r>
              <w:rPr>
                <w:rFonts w:hint="eastAsia"/>
                <w:color w:val="auto"/>
                <w:sz w:val="24"/>
                <w:szCs w:val="22"/>
                <w:lang w:val="en-US" w:eastAsia="zh-CN"/>
              </w:rPr>
              <w:t>一</w:t>
            </w:r>
            <w:r>
              <w:rPr>
                <w:rFonts w:hint="eastAsia"/>
                <w:color w:val="auto"/>
                <w:sz w:val="24"/>
                <w:szCs w:val="22"/>
              </w:rPr>
              <w:t>起通过15米高排气筒</w:t>
            </w:r>
            <w:r>
              <w:rPr>
                <w:rFonts w:hint="eastAsia"/>
                <w:color w:val="auto"/>
                <w:sz w:val="24"/>
                <w:szCs w:val="22"/>
                <w:lang w:val="en-US" w:eastAsia="zh-CN"/>
              </w:rPr>
              <w:t>DA002</w:t>
            </w:r>
            <w:r>
              <w:rPr>
                <w:rFonts w:hint="eastAsia"/>
                <w:color w:val="auto"/>
                <w:sz w:val="24"/>
                <w:szCs w:val="22"/>
              </w:rPr>
              <w:t>排放，滤筒除尘处理效率取90%，则有组织排放量为0.0</w:t>
            </w:r>
            <w:r>
              <w:rPr>
                <w:rFonts w:hint="eastAsia"/>
                <w:color w:val="auto"/>
                <w:sz w:val="24"/>
                <w:szCs w:val="22"/>
                <w:lang w:val="en-US" w:eastAsia="zh-CN"/>
              </w:rPr>
              <w:t>17</w:t>
            </w:r>
            <w:r>
              <w:rPr>
                <w:rFonts w:hint="eastAsia"/>
                <w:color w:val="auto"/>
                <w:sz w:val="24"/>
                <w:szCs w:val="22"/>
              </w:rPr>
              <w:t>t/a</w:t>
            </w:r>
            <w:r>
              <w:rPr>
                <w:rFonts w:hint="eastAsia"/>
                <w:color w:val="auto"/>
                <w:sz w:val="24"/>
                <w:szCs w:val="22"/>
                <w:lang w:val="en-US" w:eastAsia="zh-CN"/>
              </w:rPr>
              <w:t>。</w:t>
            </w:r>
          </w:p>
          <w:p>
            <w:pPr>
              <w:pStyle w:val="21"/>
              <w:spacing w:after="0" w:line="360" w:lineRule="auto"/>
              <w:ind w:firstLine="480" w:firstLineChars="200"/>
              <w:rPr>
                <w:rFonts w:hint="eastAsia"/>
                <w:color w:val="auto"/>
                <w:sz w:val="24"/>
                <w:szCs w:val="22"/>
              </w:rPr>
            </w:pPr>
            <w:r>
              <w:rPr>
                <w:rFonts w:hint="eastAsia"/>
                <w:color w:val="auto"/>
                <w:sz w:val="24"/>
                <w:szCs w:val="22"/>
              </w:rPr>
              <w:t>将喷塑过后的工件转移至烘道进行固化，本项目喷塑后固化废气主要为环氧树脂粉末的受热气化物</w:t>
            </w:r>
            <w:r>
              <w:rPr>
                <w:rFonts w:hint="eastAsia"/>
                <w:color w:val="auto"/>
                <w:sz w:val="24"/>
                <w:szCs w:val="22"/>
                <w:lang w:eastAsia="zh-CN"/>
              </w:rPr>
              <w:t>，</w:t>
            </w:r>
            <w:r>
              <w:rPr>
                <w:rFonts w:hint="eastAsia"/>
                <w:color w:val="auto"/>
                <w:sz w:val="24"/>
                <w:szCs w:val="22"/>
                <w:lang w:val="en-US" w:eastAsia="zh-CN"/>
              </w:rPr>
              <w:t>以TVOC计</w:t>
            </w:r>
            <w:r>
              <w:rPr>
                <w:rFonts w:hint="eastAsia"/>
                <w:color w:val="auto"/>
                <w:sz w:val="24"/>
                <w:szCs w:val="22"/>
              </w:rPr>
              <w:t>。因喷塑粉尘收集后重新回用，因此进入固化的塑粉为</w:t>
            </w:r>
            <w:r>
              <w:rPr>
                <w:rFonts w:hint="eastAsia"/>
                <w:color w:val="auto"/>
                <w:sz w:val="24"/>
                <w:szCs w:val="22"/>
                <w:lang w:val="en-US" w:eastAsia="zh-CN"/>
              </w:rPr>
              <w:t>1.38</w:t>
            </w:r>
            <w:r>
              <w:rPr>
                <w:rFonts w:hint="eastAsia"/>
                <w:color w:val="auto"/>
                <w:sz w:val="24"/>
                <w:szCs w:val="22"/>
              </w:rPr>
              <w:t>t/a，依据《中国环境管理干部学院学报》第26卷第6期《喷塑行业污染物源强估算及治理方法探讨》，有机废气产生量为塑粉总用量的3~6%，本项目</w:t>
            </w:r>
            <w:r>
              <w:rPr>
                <w:rFonts w:hint="eastAsia"/>
                <w:color w:val="auto"/>
                <w:sz w:val="24"/>
                <w:szCs w:val="22"/>
                <w:lang w:val="en-US" w:eastAsia="zh-CN"/>
              </w:rPr>
              <w:t>考虑最不利影响</w:t>
            </w:r>
            <w:r>
              <w:rPr>
                <w:rFonts w:hint="eastAsia"/>
                <w:color w:val="auto"/>
                <w:sz w:val="24"/>
                <w:szCs w:val="22"/>
              </w:rPr>
              <w:t>取值6%，则有机废气产生量为0.</w:t>
            </w:r>
            <w:r>
              <w:rPr>
                <w:rFonts w:hint="eastAsia"/>
                <w:color w:val="auto"/>
                <w:sz w:val="24"/>
                <w:szCs w:val="22"/>
                <w:lang w:val="en-US" w:eastAsia="zh-CN"/>
              </w:rPr>
              <w:t>083</w:t>
            </w:r>
            <w:r>
              <w:rPr>
                <w:rFonts w:hint="eastAsia"/>
                <w:color w:val="auto"/>
                <w:sz w:val="24"/>
                <w:szCs w:val="22"/>
              </w:rPr>
              <w:t>t/a，经</w:t>
            </w:r>
            <w:r>
              <w:rPr>
                <w:rFonts w:hint="eastAsia"/>
                <w:color w:val="auto"/>
                <w:sz w:val="24"/>
                <w:szCs w:val="22"/>
                <w:lang w:val="en-US" w:eastAsia="zh-CN"/>
              </w:rPr>
              <w:t>半密闭的</w:t>
            </w:r>
            <w:r>
              <w:rPr>
                <w:rFonts w:hint="eastAsia"/>
                <w:color w:val="auto"/>
                <w:sz w:val="24"/>
                <w:szCs w:val="22"/>
              </w:rPr>
              <w:t>集气罩收集后经二级活性炭吸附装置</w:t>
            </w:r>
            <w:r>
              <w:rPr>
                <w:rFonts w:hint="eastAsia"/>
                <w:color w:val="auto"/>
                <w:sz w:val="24"/>
                <w:szCs w:val="22"/>
                <w:lang w:eastAsia="zh-CN"/>
              </w:rPr>
              <w:t>（</w:t>
            </w:r>
            <w:r>
              <w:rPr>
                <w:rFonts w:hint="eastAsia"/>
                <w:color w:val="auto"/>
                <w:sz w:val="24"/>
                <w:szCs w:val="22"/>
                <w:lang w:val="en-US" w:eastAsia="zh-CN"/>
              </w:rPr>
              <w:t>TA004</w:t>
            </w:r>
            <w:r>
              <w:rPr>
                <w:rFonts w:hint="eastAsia"/>
                <w:color w:val="auto"/>
                <w:sz w:val="24"/>
                <w:szCs w:val="22"/>
                <w:lang w:eastAsia="zh-CN"/>
              </w:rPr>
              <w:t>）</w:t>
            </w:r>
            <w:r>
              <w:rPr>
                <w:rFonts w:hint="eastAsia"/>
                <w:color w:val="auto"/>
                <w:sz w:val="24"/>
                <w:szCs w:val="22"/>
              </w:rPr>
              <w:t>处理后与经自带滤简除尘后的喷粉粉尘经15m高</w:t>
            </w:r>
            <w:r>
              <w:rPr>
                <w:rFonts w:hint="eastAsia"/>
                <w:color w:val="auto"/>
                <w:sz w:val="24"/>
                <w:szCs w:val="22"/>
                <w:lang w:val="en-US" w:eastAsia="zh-CN"/>
              </w:rPr>
              <w:t>排气筒DA002</w:t>
            </w:r>
            <w:r>
              <w:rPr>
                <w:rFonts w:hint="eastAsia"/>
                <w:color w:val="auto"/>
                <w:sz w:val="24"/>
                <w:szCs w:val="22"/>
              </w:rPr>
              <w:t>排放</w:t>
            </w:r>
            <w:r>
              <w:rPr>
                <w:rFonts w:hint="eastAsia"/>
                <w:color w:val="auto"/>
                <w:sz w:val="24"/>
                <w:szCs w:val="22"/>
                <w:lang w:eastAsia="zh-CN"/>
              </w:rPr>
              <w:t>。</w:t>
            </w:r>
            <w:r>
              <w:rPr>
                <w:rFonts w:hint="eastAsia"/>
                <w:color w:val="auto"/>
                <w:sz w:val="24"/>
                <w:szCs w:val="22"/>
                <w:lang w:val="en-US" w:eastAsia="zh-CN"/>
              </w:rPr>
              <w:t>半密闭的</w:t>
            </w:r>
            <w:r>
              <w:rPr>
                <w:rFonts w:hint="eastAsia"/>
                <w:color w:val="auto"/>
                <w:sz w:val="24"/>
                <w:szCs w:val="22"/>
              </w:rPr>
              <w:t>气罩收集效率</w:t>
            </w:r>
            <w:r>
              <w:rPr>
                <w:rFonts w:hint="eastAsia"/>
                <w:color w:val="auto"/>
                <w:sz w:val="24"/>
                <w:szCs w:val="22"/>
                <w:lang w:val="en-US" w:eastAsia="zh-CN"/>
              </w:rPr>
              <w:t>以80</w:t>
            </w:r>
            <w:r>
              <w:rPr>
                <w:rFonts w:hint="eastAsia"/>
                <w:color w:val="auto"/>
                <w:sz w:val="24"/>
                <w:szCs w:val="22"/>
              </w:rPr>
              <w:t>%</w:t>
            </w:r>
            <w:r>
              <w:rPr>
                <w:rFonts w:hint="eastAsia"/>
                <w:color w:val="auto"/>
                <w:sz w:val="24"/>
                <w:szCs w:val="22"/>
                <w:lang w:val="en-US" w:eastAsia="zh-CN"/>
              </w:rPr>
              <w:t>计算</w:t>
            </w:r>
            <w:r>
              <w:rPr>
                <w:rFonts w:hint="eastAsia"/>
                <w:color w:val="auto"/>
                <w:sz w:val="24"/>
                <w:szCs w:val="22"/>
              </w:rPr>
              <w:t>，则固化废气有组织产生量为0.0</w:t>
            </w:r>
            <w:r>
              <w:rPr>
                <w:rFonts w:hint="eastAsia"/>
                <w:color w:val="auto"/>
                <w:sz w:val="24"/>
                <w:szCs w:val="22"/>
                <w:lang w:val="en-US" w:eastAsia="zh-CN"/>
              </w:rPr>
              <w:t>66</w:t>
            </w:r>
            <w:r>
              <w:rPr>
                <w:rFonts w:hint="eastAsia"/>
                <w:color w:val="auto"/>
                <w:sz w:val="24"/>
                <w:szCs w:val="22"/>
              </w:rPr>
              <w:t>t/a</w:t>
            </w:r>
            <w:r>
              <w:rPr>
                <w:rFonts w:hint="eastAsia"/>
                <w:color w:val="auto"/>
                <w:sz w:val="24"/>
                <w:szCs w:val="22"/>
                <w:lang w:eastAsia="zh-CN"/>
              </w:rPr>
              <w:t>，</w:t>
            </w:r>
            <w:r>
              <w:rPr>
                <w:rFonts w:hint="eastAsia"/>
                <w:color w:val="auto"/>
                <w:sz w:val="24"/>
                <w:szCs w:val="22"/>
              </w:rPr>
              <w:t>二级活性炭吸附</w:t>
            </w:r>
            <w:r>
              <w:rPr>
                <w:rFonts w:hint="eastAsia"/>
                <w:color w:val="auto"/>
                <w:sz w:val="24"/>
                <w:szCs w:val="22"/>
                <w:lang w:val="en-US" w:eastAsia="zh-CN"/>
              </w:rPr>
              <w:t>处理</w:t>
            </w:r>
            <w:r>
              <w:rPr>
                <w:rFonts w:hint="eastAsia"/>
                <w:color w:val="auto"/>
                <w:sz w:val="24"/>
                <w:szCs w:val="22"/>
              </w:rPr>
              <w:t>效率为80%，则固化废气有组织排放量为0.</w:t>
            </w:r>
            <w:r>
              <w:rPr>
                <w:rFonts w:hint="eastAsia"/>
                <w:color w:val="auto"/>
                <w:sz w:val="24"/>
                <w:szCs w:val="22"/>
                <w:lang w:val="en-US" w:eastAsia="zh-CN"/>
              </w:rPr>
              <w:t>013</w:t>
            </w:r>
            <w:r>
              <w:rPr>
                <w:rFonts w:hint="eastAsia"/>
                <w:color w:val="auto"/>
                <w:sz w:val="24"/>
                <w:szCs w:val="22"/>
              </w:rPr>
              <w:t>t/a，固化</w:t>
            </w:r>
            <w:r>
              <w:rPr>
                <w:rFonts w:hint="eastAsia"/>
                <w:color w:val="auto"/>
                <w:sz w:val="24"/>
                <w:szCs w:val="22"/>
                <w:lang w:val="en-US" w:eastAsia="zh-CN"/>
              </w:rPr>
              <w:t>每年作业</w:t>
            </w:r>
            <w:r>
              <w:rPr>
                <w:rFonts w:hint="eastAsia"/>
                <w:color w:val="auto"/>
                <w:sz w:val="24"/>
                <w:szCs w:val="22"/>
              </w:rPr>
              <w:t>3000h</w:t>
            </w:r>
            <w:r>
              <w:rPr>
                <w:rFonts w:hint="eastAsia"/>
                <w:color w:val="auto"/>
                <w:sz w:val="24"/>
                <w:szCs w:val="22"/>
                <w:lang w:eastAsia="zh-CN"/>
              </w:rPr>
              <w:t>，</w:t>
            </w:r>
            <w:r>
              <w:rPr>
                <w:rFonts w:hint="eastAsia"/>
                <w:color w:val="auto"/>
                <w:sz w:val="24"/>
                <w:szCs w:val="22"/>
                <w:lang w:val="en-US" w:eastAsia="zh-CN"/>
              </w:rPr>
              <w:t>则固化废气有组织排放速率为0.004kg/h</w:t>
            </w:r>
            <w:r>
              <w:rPr>
                <w:rFonts w:hint="eastAsia"/>
                <w:color w:val="auto"/>
                <w:sz w:val="24"/>
                <w:szCs w:val="22"/>
              </w:rPr>
              <w:t>。</w:t>
            </w:r>
          </w:p>
          <w:p>
            <w:pPr>
              <w:pStyle w:val="21"/>
              <w:spacing w:after="0" w:line="360" w:lineRule="auto"/>
              <w:ind w:firstLine="480" w:firstLineChars="200"/>
              <w:rPr>
                <w:rFonts w:hint="default"/>
                <w:b w:val="0"/>
                <w:bCs w:val="0"/>
                <w:color w:val="auto"/>
                <w:sz w:val="24"/>
                <w:szCs w:val="22"/>
                <w:lang w:val="en-US" w:eastAsia="zh-CN"/>
              </w:rPr>
            </w:pPr>
            <w:r>
              <w:rPr>
                <w:rFonts w:hint="eastAsia"/>
                <w:b w:val="0"/>
                <w:bCs w:val="0"/>
                <w:color w:val="auto"/>
                <w:sz w:val="24"/>
                <w:szCs w:val="22"/>
                <w:lang w:val="en-US" w:eastAsia="zh-CN"/>
              </w:rPr>
              <w:t>喷塑、固化工序产生的废气情况见下表：</w:t>
            </w:r>
          </w:p>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5-7 喷塑、固化有组织废气产生情况一览表</w:t>
            </w:r>
          </w:p>
          <w:tbl>
            <w:tblPr>
              <w:tblStyle w:val="5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1413"/>
              <w:gridCol w:w="1065"/>
              <w:gridCol w:w="1155"/>
              <w:gridCol w:w="1117"/>
              <w:gridCol w:w="1569"/>
              <w:gridCol w:w="13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8"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污染工序</w:t>
                  </w:r>
                </w:p>
              </w:tc>
              <w:tc>
                <w:tcPr>
                  <w:tcW w:w="850"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污染物</w:t>
                  </w:r>
                </w:p>
              </w:tc>
              <w:tc>
                <w:tcPr>
                  <w:tcW w:w="641"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收集效率</w:t>
                  </w:r>
                </w:p>
              </w:tc>
              <w:tc>
                <w:tcPr>
                  <w:tcW w:w="695" w:type="pct"/>
                  <w:tcBorders>
                    <w:tl2br w:val="nil"/>
                    <w:tr2bl w:val="nil"/>
                  </w:tcBorders>
                  <w:vAlign w:val="center"/>
                </w:tcPr>
                <w:p>
                  <w:pPr>
                    <w:pStyle w:val="21"/>
                    <w:spacing w:line="240" w:lineRule="auto"/>
                    <w:jc w:val="center"/>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风量</w:t>
                  </w:r>
                  <w:r>
                    <w:rPr>
                      <w:rFonts w:hint="eastAsia"/>
                      <w:b/>
                      <w:bCs w:val="0"/>
                      <w:color w:val="auto"/>
                      <w:sz w:val="21"/>
                      <w:szCs w:val="21"/>
                    </w:rPr>
                    <w:t>m</w:t>
                  </w:r>
                  <w:r>
                    <w:rPr>
                      <w:rFonts w:hint="eastAsia"/>
                      <w:b/>
                      <w:bCs w:val="0"/>
                      <w:color w:val="auto"/>
                      <w:sz w:val="21"/>
                      <w:szCs w:val="21"/>
                      <w:vertAlign w:val="superscript"/>
                    </w:rPr>
                    <w:t>3</w:t>
                  </w:r>
                  <w:r>
                    <w:rPr>
                      <w:rFonts w:hint="eastAsia"/>
                      <w:b/>
                      <w:bCs w:val="0"/>
                      <w:color w:val="auto"/>
                      <w:sz w:val="21"/>
                      <w:szCs w:val="21"/>
                    </w:rPr>
                    <w:t>/h</w:t>
                  </w:r>
                </w:p>
              </w:tc>
              <w:tc>
                <w:tcPr>
                  <w:tcW w:w="672"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产生量t/a</w:t>
                  </w:r>
                </w:p>
              </w:tc>
              <w:tc>
                <w:tcPr>
                  <w:tcW w:w="944"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产生速率kg/h</w:t>
                  </w:r>
                </w:p>
              </w:tc>
              <w:tc>
                <w:tcPr>
                  <w:tcW w:w="797" w:type="pct"/>
                  <w:tcBorders>
                    <w:tl2br w:val="nil"/>
                    <w:tr2bl w:val="nil"/>
                  </w:tcBorders>
                  <w:vAlign w:val="center"/>
                </w:tcPr>
                <w:p>
                  <w:pPr>
                    <w:pStyle w:val="21"/>
                    <w:spacing w:line="240" w:lineRule="auto"/>
                    <w:jc w:val="center"/>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vertAlign w:val="baseline"/>
                      <w:lang w:val="en-US" w:eastAsia="zh-CN"/>
                    </w:rPr>
                    <w:t>产生浓度</w:t>
                  </w:r>
                  <w:r>
                    <w:rPr>
                      <w:rFonts w:hint="eastAsia"/>
                      <w:b/>
                      <w:bCs w:val="0"/>
                      <w:color w:val="auto"/>
                      <w:sz w:val="21"/>
                      <w:szCs w:val="21"/>
                    </w:rPr>
                    <w:t>mg/m</w:t>
                  </w:r>
                  <w:r>
                    <w:rPr>
                      <w:rFonts w:hint="eastAsia"/>
                      <w:b/>
                      <w:bCs w:val="0"/>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8"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喷塑</w:t>
                  </w:r>
                </w:p>
              </w:tc>
              <w:tc>
                <w:tcPr>
                  <w:tcW w:w="850"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颗粒物</w:t>
                  </w:r>
                </w:p>
              </w:tc>
              <w:tc>
                <w:tcPr>
                  <w:tcW w:w="64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60%</w:t>
                  </w:r>
                </w:p>
              </w:tc>
              <w:tc>
                <w:tcPr>
                  <w:tcW w:w="69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5000</w:t>
                  </w:r>
                </w:p>
              </w:tc>
              <w:tc>
                <w:tcPr>
                  <w:tcW w:w="672"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0.168</w:t>
                  </w:r>
                </w:p>
              </w:tc>
              <w:tc>
                <w:tcPr>
                  <w:tcW w:w="94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0.056</w:t>
                  </w:r>
                </w:p>
              </w:tc>
              <w:tc>
                <w:tcPr>
                  <w:tcW w:w="79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11.2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398"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固化</w:t>
                  </w:r>
                </w:p>
              </w:tc>
              <w:tc>
                <w:tcPr>
                  <w:tcW w:w="850"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非甲烷总烃</w:t>
                  </w:r>
                </w:p>
              </w:tc>
              <w:tc>
                <w:tcPr>
                  <w:tcW w:w="64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80%</w:t>
                  </w:r>
                </w:p>
              </w:tc>
              <w:tc>
                <w:tcPr>
                  <w:tcW w:w="69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5000</w:t>
                  </w:r>
                </w:p>
              </w:tc>
              <w:tc>
                <w:tcPr>
                  <w:tcW w:w="672"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0.066</w:t>
                  </w:r>
                </w:p>
              </w:tc>
              <w:tc>
                <w:tcPr>
                  <w:tcW w:w="94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0.022</w:t>
                  </w:r>
                </w:p>
              </w:tc>
              <w:tc>
                <w:tcPr>
                  <w:tcW w:w="79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4.4</w:t>
                  </w:r>
                </w:p>
              </w:tc>
            </w:tr>
          </w:tbl>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5-8 喷塑、固化废气无组织产生情况一览表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6"/>
              <w:gridCol w:w="3112"/>
              <w:gridCol w:w="1730"/>
              <w:gridCol w:w="20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vAlign w:val="center"/>
                </w:tcPr>
                <w:p>
                  <w:pPr>
                    <w:pStyle w:val="123"/>
                    <w:rPr>
                      <w:rFonts w:hint="eastAsia" w:eastAsia="宋体"/>
                      <w:b/>
                      <w:color w:val="auto"/>
                      <w:lang w:eastAsia="zh-CN"/>
                    </w:rPr>
                  </w:pPr>
                  <w:r>
                    <w:rPr>
                      <w:b/>
                      <w:color w:val="auto"/>
                    </w:rPr>
                    <w:t>污染</w:t>
                  </w:r>
                  <w:r>
                    <w:rPr>
                      <w:rFonts w:hint="eastAsia"/>
                      <w:b/>
                      <w:color w:val="auto"/>
                      <w:lang w:eastAsia="zh-CN"/>
                    </w:rPr>
                    <w:t>工序</w:t>
                  </w:r>
                </w:p>
              </w:tc>
              <w:tc>
                <w:tcPr>
                  <w:tcW w:w="1872" w:type="pct"/>
                  <w:vAlign w:val="center"/>
                </w:tcPr>
                <w:p>
                  <w:pPr>
                    <w:pStyle w:val="123"/>
                    <w:rPr>
                      <w:b/>
                      <w:color w:val="auto"/>
                    </w:rPr>
                  </w:pPr>
                  <w:r>
                    <w:rPr>
                      <w:b/>
                      <w:color w:val="auto"/>
                    </w:rPr>
                    <w:t>污染物名称</w:t>
                  </w:r>
                </w:p>
              </w:tc>
              <w:tc>
                <w:tcPr>
                  <w:tcW w:w="1041" w:type="pct"/>
                  <w:vAlign w:val="center"/>
                </w:tcPr>
                <w:p>
                  <w:pPr>
                    <w:pStyle w:val="123"/>
                    <w:rPr>
                      <w:b/>
                      <w:color w:val="auto"/>
                    </w:rPr>
                  </w:pPr>
                  <w:r>
                    <w:rPr>
                      <w:b/>
                      <w:color w:val="auto"/>
                    </w:rPr>
                    <w:t>产生量t/a</w:t>
                  </w:r>
                </w:p>
              </w:tc>
              <w:tc>
                <w:tcPr>
                  <w:tcW w:w="1228" w:type="pct"/>
                  <w:vAlign w:val="center"/>
                </w:tcPr>
                <w:p>
                  <w:pPr>
                    <w:pStyle w:val="123"/>
                    <w:rPr>
                      <w:b/>
                      <w:color w:val="auto"/>
                    </w:rPr>
                  </w:pPr>
                  <w:r>
                    <w:rPr>
                      <w:b/>
                      <w:color w:val="auto"/>
                    </w:rPr>
                    <w:t>产生速率kg/h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6" w:type="dxa"/>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喷塑</w:t>
                  </w:r>
                </w:p>
              </w:tc>
              <w:tc>
                <w:tcPr>
                  <w:tcW w:w="3112" w:type="dxa"/>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颗粒物</w:t>
                  </w:r>
                </w:p>
              </w:tc>
              <w:tc>
                <w:tcPr>
                  <w:tcW w:w="104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0.003</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6" w:type="dxa"/>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固化</w:t>
                  </w:r>
                </w:p>
              </w:tc>
              <w:tc>
                <w:tcPr>
                  <w:tcW w:w="3112" w:type="dxa"/>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非甲烷总烃</w:t>
                  </w:r>
                </w:p>
              </w:tc>
              <w:tc>
                <w:tcPr>
                  <w:tcW w:w="104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0.017</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s="Times New Roman"/>
                      <w:bCs/>
                      <w:color w:val="auto"/>
                      <w:kern w:val="2"/>
                      <w:sz w:val="21"/>
                      <w:szCs w:val="21"/>
                      <w:vertAlign w:val="baseline"/>
                      <w:lang w:val="en-US" w:eastAsia="zh-CN" w:bidi="ar-SA"/>
                    </w:rPr>
                  </w:pPr>
                  <w:r>
                    <w:rPr>
                      <w:rFonts w:hint="eastAsia" w:cs="Times New Roman"/>
                      <w:bCs/>
                      <w:color w:val="auto"/>
                      <w:kern w:val="2"/>
                      <w:sz w:val="21"/>
                      <w:szCs w:val="21"/>
                      <w:vertAlign w:val="baseline"/>
                      <w:lang w:val="en-US" w:eastAsia="zh-CN" w:bidi="ar-SA"/>
                    </w:rPr>
                    <w:t>0.006</w:t>
                  </w:r>
                </w:p>
              </w:tc>
            </w:tr>
          </w:tbl>
          <w:p>
            <w:pPr>
              <w:pStyle w:val="21"/>
              <w:spacing w:after="0" w:line="360" w:lineRule="auto"/>
              <w:ind w:firstLine="480" w:firstLineChars="200"/>
              <w:rPr>
                <w:rFonts w:hint="default" w:eastAsia="宋体"/>
                <w:color w:val="auto"/>
                <w:sz w:val="24"/>
                <w:szCs w:val="22"/>
                <w:lang w:val="en-US" w:eastAsia="zh-CN"/>
              </w:rPr>
            </w:pPr>
            <w:r>
              <w:rPr>
                <w:rFonts w:hint="eastAsia"/>
                <w:color w:val="auto"/>
                <w:sz w:val="24"/>
                <w:szCs w:val="22"/>
                <w:lang w:val="en-US" w:eastAsia="zh-CN"/>
              </w:rPr>
              <w:t>③喷锌废气：</w:t>
            </w:r>
          </w:p>
          <w:p>
            <w:pPr>
              <w:pStyle w:val="21"/>
              <w:spacing w:after="0" w:line="360" w:lineRule="auto"/>
              <w:ind w:firstLine="480" w:firstLineChars="200"/>
              <w:rPr>
                <w:rFonts w:hint="eastAsia"/>
                <w:color w:val="auto"/>
                <w:sz w:val="24"/>
                <w:lang w:val="en-US" w:eastAsia="zh-CN"/>
              </w:rPr>
            </w:pPr>
            <w:r>
              <w:rPr>
                <w:rFonts w:hint="eastAsia"/>
                <w:color w:val="auto"/>
                <w:sz w:val="24"/>
              </w:rPr>
              <w:t>喷锌工序中产生颗粒物废气，根据企业提供的资料，锌层沉积率</w:t>
            </w:r>
            <w:r>
              <w:rPr>
                <w:rFonts w:hint="eastAsia"/>
                <w:color w:val="auto"/>
                <w:sz w:val="24"/>
                <w:lang w:val="en-US" w:eastAsia="zh-CN"/>
              </w:rPr>
              <w:t>以</w:t>
            </w:r>
            <w:r>
              <w:rPr>
                <w:rFonts w:hint="eastAsia"/>
                <w:color w:val="auto"/>
                <w:sz w:val="24"/>
              </w:rPr>
              <w:t>75%</w:t>
            </w:r>
            <w:r>
              <w:rPr>
                <w:rFonts w:hint="eastAsia"/>
                <w:color w:val="auto"/>
                <w:sz w:val="24"/>
                <w:lang w:val="en-US" w:eastAsia="zh-CN"/>
              </w:rPr>
              <w:t>计</w:t>
            </w:r>
            <w:r>
              <w:rPr>
                <w:rFonts w:hint="eastAsia"/>
                <w:color w:val="auto"/>
                <w:sz w:val="24"/>
              </w:rPr>
              <w:t>，项目锌丝使用量为</w:t>
            </w:r>
            <w:r>
              <w:rPr>
                <w:rFonts w:hint="eastAsia"/>
                <w:color w:val="auto"/>
                <w:sz w:val="24"/>
                <w:lang w:val="en-US" w:eastAsia="zh-CN"/>
              </w:rPr>
              <w:t>1.2</w:t>
            </w:r>
            <w:r>
              <w:rPr>
                <w:rFonts w:hint="eastAsia"/>
                <w:color w:val="auto"/>
                <w:sz w:val="24"/>
              </w:rPr>
              <w:t>吨/年，则颗粒物最大产生量为0.</w:t>
            </w:r>
            <w:r>
              <w:rPr>
                <w:rFonts w:hint="eastAsia"/>
                <w:color w:val="auto"/>
                <w:sz w:val="24"/>
                <w:lang w:val="en-US" w:eastAsia="zh-CN"/>
              </w:rPr>
              <w:t>3</w:t>
            </w:r>
            <w:r>
              <w:rPr>
                <w:rFonts w:hint="eastAsia"/>
                <w:color w:val="auto"/>
                <w:sz w:val="24"/>
              </w:rPr>
              <w:t>t/a</w:t>
            </w:r>
            <w:r>
              <w:rPr>
                <w:rFonts w:hint="eastAsia"/>
                <w:color w:val="auto"/>
                <w:sz w:val="24"/>
                <w:lang w:eastAsia="zh-CN"/>
              </w:rPr>
              <w:t>；</w:t>
            </w:r>
            <w:r>
              <w:rPr>
                <w:rFonts w:hint="eastAsia"/>
                <w:color w:val="auto"/>
                <w:sz w:val="24"/>
              </w:rPr>
              <w:t>项目喷锌颗粒物</w:t>
            </w:r>
            <w:r>
              <w:rPr>
                <w:rFonts w:hint="eastAsia"/>
                <w:color w:val="auto"/>
                <w:sz w:val="24"/>
                <w:lang w:val="en-US" w:eastAsia="zh-CN"/>
              </w:rPr>
              <w:t>经集气罩（收集效率为80%）收集后经布袋除尘器（TA005，</w:t>
            </w:r>
            <w:r>
              <w:rPr>
                <w:rFonts w:hint="eastAsia"/>
                <w:color w:val="auto"/>
                <w:sz w:val="24"/>
              </w:rPr>
              <w:t>除尘效率以</w:t>
            </w:r>
            <w:r>
              <w:rPr>
                <w:rFonts w:hint="eastAsia"/>
                <w:color w:val="auto"/>
                <w:sz w:val="24"/>
                <w:lang w:val="en-US" w:eastAsia="zh-CN"/>
              </w:rPr>
              <w:t>95%</w:t>
            </w:r>
            <w:r>
              <w:rPr>
                <w:rFonts w:hint="eastAsia"/>
                <w:color w:val="auto"/>
                <w:sz w:val="24"/>
              </w:rPr>
              <w:t>计</w:t>
            </w:r>
            <w:r>
              <w:rPr>
                <w:rFonts w:hint="eastAsia"/>
                <w:color w:val="auto"/>
                <w:sz w:val="24"/>
                <w:lang w:val="en-US" w:eastAsia="zh-CN"/>
              </w:rPr>
              <w:t>）处理</w:t>
            </w:r>
            <w:r>
              <w:rPr>
                <w:rFonts w:hint="eastAsia"/>
                <w:color w:val="auto"/>
                <w:sz w:val="24"/>
              </w:rPr>
              <w:t>，处理风量为</w:t>
            </w:r>
            <w:r>
              <w:rPr>
                <w:rFonts w:hint="eastAsia"/>
                <w:color w:val="auto"/>
                <w:sz w:val="24"/>
                <w:lang w:val="en-US" w:eastAsia="zh-CN"/>
              </w:rPr>
              <w:t>10</w:t>
            </w:r>
            <w:r>
              <w:rPr>
                <w:rFonts w:hint="eastAsia"/>
                <w:color w:val="auto"/>
                <w:sz w:val="24"/>
              </w:rPr>
              <w:t>000m</w:t>
            </w:r>
            <w:r>
              <w:rPr>
                <w:rFonts w:hint="eastAsia"/>
                <w:color w:val="auto"/>
                <w:sz w:val="24"/>
                <w:vertAlign w:val="superscript"/>
                <w:lang w:val="en-US" w:eastAsia="zh-CN"/>
              </w:rPr>
              <w:t>3</w:t>
            </w:r>
            <w:r>
              <w:rPr>
                <w:rFonts w:hint="eastAsia"/>
                <w:color w:val="auto"/>
                <w:sz w:val="24"/>
              </w:rPr>
              <w:t>/h，</w:t>
            </w:r>
            <w:r>
              <w:rPr>
                <w:rFonts w:hint="eastAsia"/>
                <w:color w:val="auto"/>
                <w:sz w:val="24"/>
                <w:lang w:val="en-US" w:eastAsia="zh-CN"/>
              </w:rPr>
              <w:t>根据建设单位提供资料，喷锌工序年作业时长为1800</w:t>
            </w:r>
            <w:r>
              <w:rPr>
                <w:rFonts w:hint="eastAsia"/>
                <w:color w:val="auto"/>
                <w:sz w:val="24"/>
              </w:rPr>
              <w:t>h/a计算，喷锌颗粒物</w:t>
            </w:r>
            <w:r>
              <w:rPr>
                <w:rFonts w:hint="eastAsia"/>
                <w:color w:val="auto"/>
                <w:sz w:val="24"/>
                <w:lang w:val="en-US" w:eastAsia="zh-CN"/>
              </w:rPr>
              <w:t>有组织</w:t>
            </w:r>
            <w:r>
              <w:rPr>
                <w:rFonts w:hint="eastAsia"/>
                <w:color w:val="auto"/>
                <w:sz w:val="24"/>
              </w:rPr>
              <w:t>排放量约为0.</w:t>
            </w:r>
            <w:r>
              <w:rPr>
                <w:rFonts w:hint="eastAsia"/>
                <w:color w:val="auto"/>
                <w:sz w:val="24"/>
                <w:lang w:val="en-US" w:eastAsia="zh-CN"/>
              </w:rPr>
              <w:t>012t/a</w:t>
            </w:r>
            <w:r>
              <w:rPr>
                <w:rFonts w:hint="eastAsia"/>
                <w:color w:val="auto"/>
                <w:sz w:val="24"/>
              </w:rPr>
              <w:t>，</w:t>
            </w:r>
            <w:r>
              <w:rPr>
                <w:rFonts w:hint="eastAsia"/>
                <w:color w:val="auto"/>
                <w:sz w:val="24"/>
                <w:lang w:val="en-US" w:eastAsia="zh-CN"/>
              </w:rPr>
              <w:t>有组织排放速率为0.007kg/h。</w:t>
            </w:r>
          </w:p>
          <w:p>
            <w:pPr>
              <w:pStyle w:val="21"/>
              <w:spacing w:after="0" w:line="360" w:lineRule="auto"/>
              <w:ind w:firstLine="480" w:firstLineChars="200"/>
              <w:rPr>
                <w:rFonts w:hint="eastAsia"/>
                <w:color w:val="auto"/>
                <w:sz w:val="24"/>
              </w:rPr>
            </w:pPr>
            <w:r>
              <w:rPr>
                <w:rFonts w:hint="eastAsia"/>
                <w:color w:val="auto"/>
                <w:sz w:val="24"/>
                <w:lang w:val="en-US" w:eastAsia="zh-CN"/>
              </w:rPr>
              <w:t>未捕集的喷锌颗粒物约90%在喷漆房内沉降，其余10%无组织排放</w:t>
            </w:r>
            <w:r>
              <w:rPr>
                <w:rFonts w:hint="eastAsia"/>
                <w:color w:val="auto"/>
                <w:sz w:val="24"/>
              </w:rPr>
              <w:t>。</w:t>
            </w:r>
          </w:p>
          <w:p>
            <w:pPr>
              <w:pStyle w:val="21"/>
              <w:spacing w:after="0" w:line="360" w:lineRule="auto"/>
              <w:ind w:firstLine="480" w:firstLineChars="200"/>
              <w:rPr>
                <w:rFonts w:hint="default"/>
                <w:b w:val="0"/>
                <w:bCs w:val="0"/>
                <w:color w:val="auto"/>
                <w:sz w:val="24"/>
                <w:szCs w:val="22"/>
                <w:lang w:val="en-US" w:eastAsia="zh-CN"/>
              </w:rPr>
            </w:pPr>
            <w:r>
              <w:rPr>
                <w:rFonts w:hint="eastAsia"/>
                <w:b w:val="0"/>
                <w:bCs w:val="0"/>
                <w:color w:val="auto"/>
                <w:sz w:val="24"/>
                <w:szCs w:val="22"/>
                <w:lang w:val="en-US" w:eastAsia="zh-CN"/>
              </w:rPr>
              <w:t>喷塑、固化工序产生的废气情况见下表：</w:t>
            </w:r>
          </w:p>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5-9喷锌废气有组织产生情况一览表</w:t>
            </w:r>
          </w:p>
          <w:tbl>
            <w:tblPr>
              <w:tblStyle w:val="5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3"/>
              <w:gridCol w:w="876"/>
              <w:gridCol w:w="1090"/>
              <w:gridCol w:w="1409"/>
              <w:gridCol w:w="1162"/>
              <w:gridCol w:w="1349"/>
              <w:gridCol w:w="175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9" w:hRule="atLeast"/>
              </w:trPr>
              <w:tc>
                <w:tcPr>
                  <w:tcW w:w="3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污染工序</w:t>
                  </w:r>
                </w:p>
              </w:tc>
              <w:tc>
                <w:tcPr>
                  <w:tcW w:w="52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污染物</w:t>
                  </w:r>
                </w:p>
              </w:tc>
              <w:tc>
                <w:tcPr>
                  <w:tcW w:w="6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收集效率</w:t>
                  </w:r>
                </w:p>
              </w:tc>
              <w:tc>
                <w:tcPr>
                  <w:tcW w:w="848"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风量m3/h</w:t>
                  </w:r>
                </w:p>
              </w:tc>
              <w:tc>
                <w:tcPr>
                  <w:tcW w:w="6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产生量t/a</w:t>
                  </w:r>
                </w:p>
              </w:tc>
              <w:tc>
                <w:tcPr>
                  <w:tcW w:w="812"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产生速率kg/h</w:t>
                  </w:r>
                </w:p>
              </w:tc>
              <w:tc>
                <w:tcPr>
                  <w:tcW w:w="10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产生浓度</w:t>
                  </w:r>
                </w:p>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bCs w:val="0"/>
                      <w:color w:val="auto"/>
                      <w:kern w:val="2"/>
                      <w:sz w:val="21"/>
                      <w:szCs w:val="21"/>
                      <w:vertAlign w:val="baseline"/>
                      <w:lang w:val="en-US" w:eastAsia="zh-CN" w:bidi="ar-SA"/>
                    </w:rPr>
                  </w:pPr>
                  <w:r>
                    <w:rPr>
                      <w:rFonts w:hint="eastAsia"/>
                      <w:b/>
                      <w:bCs w:val="0"/>
                      <w:color w:val="auto"/>
                      <w:sz w:val="21"/>
                      <w:szCs w:val="21"/>
                    </w:rPr>
                    <w:t>mg/m</w:t>
                  </w:r>
                  <w:r>
                    <w:rPr>
                      <w:rFonts w:hint="eastAsia"/>
                      <w:b/>
                      <w:bCs w:val="0"/>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喷锌</w:t>
                  </w:r>
                </w:p>
              </w:tc>
              <w:tc>
                <w:tcPr>
                  <w:tcW w:w="527"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颗粒物</w:t>
                  </w:r>
                </w:p>
              </w:tc>
              <w:tc>
                <w:tcPr>
                  <w:tcW w:w="6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80%</w:t>
                  </w:r>
                </w:p>
              </w:tc>
              <w:tc>
                <w:tcPr>
                  <w:tcW w:w="848"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10000</w:t>
                  </w:r>
                </w:p>
              </w:tc>
              <w:tc>
                <w:tcPr>
                  <w:tcW w:w="6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0.24</w:t>
                  </w:r>
                </w:p>
              </w:tc>
              <w:tc>
                <w:tcPr>
                  <w:tcW w:w="812"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0.133</w:t>
                  </w:r>
                </w:p>
              </w:tc>
              <w:tc>
                <w:tcPr>
                  <w:tcW w:w="1056"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13.3</w:t>
                  </w:r>
                </w:p>
              </w:tc>
            </w:tr>
          </w:tbl>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5-10 喷锌废气无组织产生情况一览表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6"/>
              <w:gridCol w:w="2219"/>
              <w:gridCol w:w="2139"/>
              <w:gridCol w:w="252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858" w:type="pct"/>
                  <w:vAlign w:val="center"/>
                </w:tcPr>
                <w:p>
                  <w:pPr>
                    <w:pStyle w:val="123"/>
                    <w:rPr>
                      <w:rFonts w:hint="eastAsia" w:eastAsia="宋体"/>
                      <w:b/>
                      <w:color w:val="auto"/>
                      <w:lang w:eastAsia="zh-CN"/>
                    </w:rPr>
                  </w:pPr>
                  <w:r>
                    <w:rPr>
                      <w:b/>
                      <w:color w:val="auto"/>
                    </w:rPr>
                    <w:t>污染</w:t>
                  </w:r>
                  <w:r>
                    <w:rPr>
                      <w:rFonts w:hint="eastAsia"/>
                      <w:b/>
                      <w:color w:val="auto"/>
                      <w:lang w:eastAsia="zh-CN"/>
                    </w:rPr>
                    <w:t>工序</w:t>
                  </w:r>
                </w:p>
              </w:tc>
              <w:tc>
                <w:tcPr>
                  <w:tcW w:w="1335" w:type="pct"/>
                  <w:vAlign w:val="center"/>
                </w:tcPr>
                <w:p>
                  <w:pPr>
                    <w:pStyle w:val="123"/>
                    <w:rPr>
                      <w:b/>
                      <w:color w:val="auto"/>
                    </w:rPr>
                  </w:pPr>
                  <w:r>
                    <w:rPr>
                      <w:b/>
                      <w:color w:val="auto"/>
                    </w:rPr>
                    <w:t>污染物名称</w:t>
                  </w:r>
                </w:p>
              </w:tc>
              <w:tc>
                <w:tcPr>
                  <w:tcW w:w="1287" w:type="pct"/>
                  <w:vAlign w:val="center"/>
                </w:tcPr>
                <w:p>
                  <w:pPr>
                    <w:pStyle w:val="123"/>
                    <w:rPr>
                      <w:b/>
                      <w:color w:val="auto"/>
                    </w:rPr>
                  </w:pPr>
                  <w:r>
                    <w:rPr>
                      <w:b/>
                      <w:color w:val="auto"/>
                    </w:rPr>
                    <w:t>产生量t/a</w:t>
                  </w:r>
                </w:p>
              </w:tc>
              <w:tc>
                <w:tcPr>
                  <w:tcW w:w="1519" w:type="pct"/>
                  <w:vAlign w:val="center"/>
                </w:tcPr>
                <w:p>
                  <w:pPr>
                    <w:pStyle w:val="123"/>
                    <w:keepNext w:val="0"/>
                    <w:keepLines w:val="0"/>
                    <w:pageBreakBefore w:val="0"/>
                    <w:widowControl w:val="0"/>
                    <w:kinsoku/>
                    <w:wordWrap/>
                    <w:overflowPunct/>
                    <w:topLinePunct w:val="0"/>
                    <w:autoSpaceDE/>
                    <w:autoSpaceDN/>
                    <w:bidi w:val="0"/>
                    <w:adjustRightInd w:val="0"/>
                    <w:snapToGrid w:val="0"/>
                    <w:textAlignment w:val="auto"/>
                    <w:rPr>
                      <w:b/>
                      <w:color w:val="auto"/>
                    </w:rPr>
                  </w:pPr>
                  <w:r>
                    <w:rPr>
                      <w:b/>
                      <w:color w:val="auto"/>
                    </w:rPr>
                    <w:t>产生速率kg/h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喷锌</w:t>
                  </w:r>
                </w:p>
              </w:tc>
              <w:tc>
                <w:tcPr>
                  <w:tcW w:w="133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颗粒物</w:t>
                  </w:r>
                </w:p>
              </w:tc>
              <w:tc>
                <w:tcPr>
                  <w:tcW w:w="128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0.006</w:t>
                  </w:r>
                </w:p>
              </w:tc>
              <w:tc>
                <w:tcPr>
                  <w:tcW w:w="1519"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0.003</w:t>
                  </w:r>
                </w:p>
              </w:tc>
            </w:tr>
          </w:tbl>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eastAsia="宋体"/>
                <w:color w:val="auto"/>
                <w:sz w:val="24"/>
                <w:lang w:val="en-US" w:eastAsia="zh-CN"/>
              </w:rPr>
            </w:pPr>
            <w:r>
              <w:rPr>
                <w:rFonts w:hint="eastAsia"/>
                <w:color w:val="auto"/>
                <w:sz w:val="24"/>
                <w:lang w:val="en-US" w:eastAsia="zh-CN"/>
              </w:rPr>
              <w:t>④调漆废气、喷漆废气、晾干废气</w:t>
            </w:r>
          </w:p>
          <w:p>
            <w:pPr>
              <w:pStyle w:val="214"/>
              <w:keepNext w:val="0"/>
              <w:keepLines w:val="0"/>
              <w:pageBreakBefore w:val="0"/>
              <w:widowControl w:val="0"/>
              <w:tabs>
                <w:tab w:val="left" w:pos="3870"/>
              </w:tabs>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olor w:val="auto"/>
                <w:kern w:val="2"/>
                <w:szCs w:val="24"/>
                <w:lang w:val="en-US" w:eastAsia="zh-CN"/>
              </w:rPr>
            </w:pPr>
            <w:r>
              <w:rPr>
                <w:rFonts w:hint="eastAsia" w:ascii="Times New Roman" w:hAnsi="Times New Roman" w:eastAsia="宋体"/>
                <w:color w:val="auto"/>
                <w:kern w:val="2"/>
                <w:szCs w:val="24"/>
                <w:lang w:val="en-US" w:eastAsia="zh-CN"/>
              </w:rPr>
              <w:t>本项目设置2间喷漆房，每间喷漆房均喷漆1400件，每间喷漆房均配套1套干式喷漆柜，喷漆废气（漆雾、VOCs）经各自的干式喷漆柜（TA006、TA008）处理后引入1套“二级活性炭吸附装置”</w:t>
            </w:r>
            <w:r>
              <w:rPr>
                <w:rFonts w:hint="eastAsia" w:ascii="Times New Roman" w:hAnsi="Times New Roman" w:eastAsia="宋体" w:cs="Times New Roman"/>
                <w:color w:val="auto"/>
                <w:sz w:val="24"/>
                <w:szCs w:val="22"/>
                <w:lang w:val="en-US" w:eastAsia="zh-CN"/>
              </w:rPr>
              <w:t>（TA007）</w:t>
            </w:r>
            <w:r>
              <w:rPr>
                <w:rFonts w:hint="eastAsia" w:ascii="Times New Roman" w:hAnsi="Times New Roman" w:eastAsia="宋体"/>
                <w:color w:val="auto"/>
                <w:kern w:val="2"/>
                <w:szCs w:val="24"/>
                <w:lang w:val="en-US" w:eastAsia="zh-CN"/>
              </w:rPr>
              <w:t>处理后经1根排气筒（DA003）排放。</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color w:val="auto"/>
                <w:sz w:val="24"/>
                <w:lang w:val="en-US" w:eastAsia="zh-CN"/>
              </w:rPr>
            </w:pPr>
            <w:r>
              <w:rPr>
                <w:rFonts w:hint="eastAsia"/>
                <w:color w:val="auto"/>
                <w:sz w:val="24"/>
                <w:lang w:val="en-US" w:eastAsia="zh-CN"/>
              </w:rPr>
              <w:t>本项目所用漆料需进行调配，均在喷漆房进行调配。喷漆废气收集后经过滤棉预处理后与晾干废气一起经二级活性炭处理后经15m高排气筒排放，项目调配、喷漆、晾干均在封闭喷漆房内进行，主要污染物为漆雾以及挥发性有机物，根据企业提供资料，喷漆工序每天喷涂时间均为4h，晾干工序为6h。因此喷漆工序年工作时间为1200h，晾干工序年工作时长为1800h。</w:t>
            </w:r>
          </w:p>
          <w:p>
            <w:pPr>
              <w:pStyle w:val="21"/>
              <w:spacing w:after="0" w:line="360" w:lineRule="auto"/>
              <w:ind w:firstLine="480" w:firstLineChars="200"/>
              <w:rPr>
                <w:rFonts w:hint="eastAsia"/>
                <w:color w:val="auto"/>
                <w:sz w:val="24"/>
                <w:lang w:val="en-US" w:eastAsia="zh-CN"/>
              </w:rPr>
            </w:pPr>
            <w:r>
              <w:rPr>
                <w:rFonts w:hint="eastAsia"/>
                <w:color w:val="auto"/>
                <w:sz w:val="24"/>
                <w:lang w:val="en-US" w:eastAsia="zh-CN"/>
              </w:rPr>
              <w:t>喷漆废气中主要为漆雾（颗粒物）和VOCs；</w:t>
            </w:r>
          </w:p>
          <w:p>
            <w:pPr>
              <w:pStyle w:val="21"/>
              <w:spacing w:after="0" w:line="360" w:lineRule="auto"/>
              <w:ind w:firstLine="480" w:firstLineChars="200"/>
              <w:rPr>
                <w:rFonts w:hint="eastAsia"/>
                <w:color w:val="auto"/>
                <w:sz w:val="24"/>
                <w:lang w:val="en-US" w:eastAsia="zh-CN"/>
              </w:rPr>
            </w:pPr>
            <w:r>
              <w:rPr>
                <w:rFonts w:hint="eastAsia"/>
                <w:color w:val="auto"/>
                <w:sz w:val="24"/>
                <w:lang w:val="en-US" w:eastAsia="zh-CN"/>
              </w:rPr>
              <w:t>漆雾（颗粒物）：根据相关经验，项目底漆和面漆喷涂时，项目使用喷枪手</w:t>
            </w:r>
          </w:p>
          <w:p>
            <w:pPr>
              <w:pStyle w:val="21"/>
              <w:spacing w:after="0" w:line="360" w:lineRule="auto"/>
              <w:rPr>
                <w:rFonts w:hint="eastAsia"/>
                <w:color w:val="auto"/>
                <w:sz w:val="24"/>
                <w:lang w:val="en-US" w:eastAsia="zh-CN"/>
              </w:rPr>
            </w:pPr>
            <w:r>
              <w:rPr>
                <w:rFonts w:hint="eastAsia"/>
                <w:color w:val="auto"/>
                <w:sz w:val="24"/>
                <w:lang w:val="en-US" w:eastAsia="zh-CN"/>
              </w:rPr>
              <w:t>动喷涂，使用的喷枪口径在1.5mm左右，工作时喷涂距离为15~20cm，根据《涂装工艺与设备》（化学工业出版社），喷涂距离在15~20cm之间时，涂着效率</w:t>
            </w:r>
          </w:p>
          <w:p>
            <w:pPr>
              <w:pStyle w:val="21"/>
              <w:spacing w:after="0" w:line="360" w:lineRule="auto"/>
              <w:rPr>
                <w:rFonts w:hint="eastAsia"/>
                <w:color w:val="auto"/>
                <w:sz w:val="24"/>
                <w:lang w:val="en-US" w:eastAsia="zh-CN"/>
              </w:rPr>
            </w:pPr>
            <w:r>
              <w:rPr>
                <w:rFonts w:hint="eastAsia"/>
                <w:color w:val="auto"/>
                <w:sz w:val="24"/>
                <w:lang w:val="en-US" w:eastAsia="zh-CN"/>
              </w:rPr>
              <w:t>约为75%~85%，本次上漆率取75%，即固份中有75%涂着于工件表面，</w:t>
            </w:r>
            <w:r>
              <w:rPr>
                <w:rFonts w:hint="eastAsia"/>
                <w:bCs/>
                <w:color w:val="auto"/>
                <w:sz w:val="24"/>
                <w:szCs w:val="24"/>
              </w:rPr>
              <w:t>即</w:t>
            </w:r>
            <w:r>
              <w:rPr>
                <w:rFonts w:hint="eastAsia"/>
                <w:bCs/>
                <w:color w:val="auto"/>
                <w:sz w:val="24"/>
                <w:szCs w:val="24"/>
                <w:lang w:val="en-US" w:eastAsia="zh-CN"/>
              </w:rPr>
              <w:t>25</w:t>
            </w:r>
            <w:r>
              <w:rPr>
                <w:rFonts w:hint="eastAsia"/>
                <w:bCs/>
                <w:color w:val="auto"/>
                <w:sz w:val="24"/>
                <w:szCs w:val="24"/>
              </w:rPr>
              <w:t>%水性漆固份没有附着在工件上，</w:t>
            </w:r>
            <w:r>
              <w:rPr>
                <w:rFonts w:hint="eastAsia"/>
                <w:bCs/>
                <w:color w:val="auto"/>
                <w:sz w:val="24"/>
                <w:szCs w:val="24"/>
                <w:lang w:eastAsia="zh-CN"/>
              </w:rPr>
              <w:t>其中</w:t>
            </w:r>
            <w:r>
              <w:rPr>
                <w:rFonts w:hint="eastAsia"/>
                <w:bCs/>
                <w:color w:val="auto"/>
                <w:sz w:val="24"/>
                <w:szCs w:val="24"/>
                <w:lang w:val="en-US" w:eastAsia="zh-CN"/>
              </w:rPr>
              <w:t>5%形成漆渣散落在喷漆房，其余20%全部以漆雾形式挥发，</w:t>
            </w:r>
            <w:r>
              <w:rPr>
                <w:rFonts w:hint="eastAsia"/>
                <w:bCs/>
                <w:color w:val="auto"/>
                <w:sz w:val="24"/>
                <w:szCs w:val="24"/>
              </w:rPr>
              <w:t>喷涂过程中有机废气挥发量占</w:t>
            </w:r>
            <w:r>
              <w:rPr>
                <w:rFonts w:hint="eastAsia"/>
                <w:bCs/>
                <w:color w:val="auto"/>
                <w:sz w:val="24"/>
                <w:szCs w:val="24"/>
                <w:lang w:eastAsia="zh-CN"/>
              </w:rPr>
              <w:t>总挥发量的</w:t>
            </w:r>
            <w:r>
              <w:rPr>
                <w:rFonts w:hint="eastAsia"/>
                <w:bCs/>
                <w:color w:val="auto"/>
                <w:sz w:val="24"/>
                <w:szCs w:val="24"/>
                <w:lang w:val="en-US" w:eastAsia="zh-CN"/>
              </w:rPr>
              <w:t>3</w:t>
            </w:r>
            <w:r>
              <w:rPr>
                <w:rFonts w:hint="eastAsia"/>
                <w:bCs/>
                <w:color w:val="auto"/>
                <w:sz w:val="24"/>
                <w:szCs w:val="24"/>
              </w:rPr>
              <w:t>0%，</w:t>
            </w:r>
            <w:r>
              <w:rPr>
                <w:rFonts w:hint="eastAsia"/>
                <w:bCs/>
                <w:color w:val="auto"/>
                <w:sz w:val="24"/>
                <w:szCs w:val="24"/>
                <w:lang w:eastAsia="zh-CN"/>
              </w:rPr>
              <w:t>其余在</w:t>
            </w:r>
            <w:r>
              <w:rPr>
                <w:rFonts w:hint="eastAsia"/>
                <w:bCs/>
                <w:color w:val="auto"/>
                <w:sz w:val="24"/>
                <w:szCs w:val="24"/>
                <w:lang w:val="en-US" w:eastAsia="zh-CN"/>
              </w:rPr>
              <w:t>调配</w:t>
            </w:r>
            <w:r>
              <w:rPr>
                <w:rFonts w:hint="eastAsia"/>
                <w:bCs/>
                <w:color w:val="auto"/>
                <w:sz w:val="24"/>
                <w:szCs w:val="24"/>
                <w:lang w:eastAsia="zh-CN"/>
              </w:rPr>
              <w:t>和</w:t>
            </w:r>
            <w:r>
              <w:rPr>
                <w:rFonts w:hint="eastAsia"/>
                <w:bCs/>
                <w:color w:val="auto"/>
                <w:sz w:val="24"/>
                <w:szCs w:val="24"/>
                <w:lang w:val="en-US" w:eastAsia="zh-CN"/>
              </w:rPr>
              <w:t>自然晾干</w:t>
            </w:r>
            <w:r>
              <w:rPr>
                <w:rFonts w:hint="eastAsia"/>
                <w:bCs/>
                <w:color w:val="auto"/>
                <w:sz w:val="24"/>
                <w:szCs w:val="24"/>
              </w:rPr>
              <w:t>工序</w:t>
            </w:r>
            <w:r>
              <w:rPr>
                <w:rFonts w:hint="eastAsia"/>
                <w:bCs/>
                <w:color w:val="auto"/>
                <w:sz w:val="24"/>
                <w:szCs w:val="24"/>
                <w:lang w:eastAsia="zh-CN"/>
              </w:rPr>
              <w:t>全部挥发。</w:t>
            </w:r>
          </w:p>
          <w:p>
            <w:pPr>
              <w:pStyle w:val="21"/>
              <w:spacing w:after="0" w:line="360" w:lineRule="auto"/>
              <w:ind w:firstLine="480" w:firstLineChars="200"/>
              <w:rPr>
                <w:rFonts w:hint="eastAsia"/>
                <w:color w:val="auto"/>
                <w:sz w:val="24"/>
                <w:szCs w:val="22"/>
                <w:lang w:val="en-US" w:eastAsia="zh-CN"/>
              </w:rPr>
            </w:pPr>
            <w:r>
              <w:rPr>
                <w:rFonts w:hint="eastAsia"/>
                <w:color w:val="auto"/>
                <w:sz w:val="24"/>
                <w:szCs w:val="22"/>
                <w:lang w:val="en-US" w:eastAsia="zh-CN"/>
              </w:rPr>
              <w:t>VOCs：</w:t>
            </w:r>
            <w:r>
              <w:rPr>
                <w:rFonts w:hint="eastAsia"/>
                <w:color w:val="auto"/>
                <w:sz w:val="24"/>
                <w:lang w:val="en-US" w:eastAsia="zh-CN"/>
              </w:rPr>
              <w:t>项目调配、喷漆、晾干均会产生VOCs。调配工序产生的</w:t>
            </w:r>
            <w:r>
              <w:rPr>
                <w:rFonts w:hint="eastAsia"/>
                <w:color w:val="auto"/>
                <w:sz w:val="24"/>
                <w:szCs w:val="22"/>
                <w:lang w:val="en-US" w:eastAsia="zh-CN"/>
              </w:rPr>
              <w:t>有机废气产生量约占总有机废气量的10</w:t>
            </w:r>
            <w:r>
              <w:rPr>
                <w:rFonts w:hint="default"/>
                <w:color w:val="auto"/>
                <w:sz w:val="24"/>
                <w:szCs w:val="22"/>
                <w:lang w:val="en-US" w:eastAsia="zh-CN"/>
              </w:rPr>
              <w:t>%</w:t>
            </w:r>
            <w:r>
              <w:rPr>
                <w:rFonts w:hint="eastAsia"/>
                <w:color w:val="auto"/>
                <w:sz w:val="24"/>
                <w:szCs w:val="22"/>
                <w:lang w:val="en-US" w:eastAsia="zh-CN"/>
              </w:rPr>
              <w:t>；喷漆工序有机废气产生量约占总有机废气量的30</w:t>
            </w:r>
            <w:r>
              <w:rPr>
                <w:rFonts w:hint="default"/>
                <w:color w:val="auto"/>
                <w:sz w:val="24"/>
                <w:szCs w:val="22"/>
                <w:lang w:val="en-US" w:eastAsia="zh-CN"/>
              </w:rPr>
              <w:t>%</w:t>
            </w:r>
            <w:r>
              <w:rPr>
                <w:rFonts w:hint="eastAsia"/>
                <w:color w:val="auto"/>
                <w:sz w:val="24"/>
                <w:szCs w:val="22"/>
                <w:lang w:val="en-US" w:eastAsia="zh-CN"/>
              </w:rPr>
              <w:t>，晾干</w:t>
            </w:r>
            <w:r>
              <w:rPr>
                <w:rFonts w:hint="eastAsia"/>
                <w:color w:val="auto"/>
                <w:sz w:val="24"/>
                <w:lang w:val="en-US" w:eastAsia="zh-CN"/>
              </w:rPr>
              <w:t>工序产生的</w:t>
            </w:r>
            <w:r>
              <w:rPr>
                <w:rFonts w:hint="eastAsia"/>
                <w:color w:val="auto"/>
                <w:sz w:val="24"/>
                <w:szCs w:val="22"/>
                <w:lang w:val="en-US" w:eastAsia="zh-CN"/>
              </w:rPr>
              <w:t>有机废气产生量约占总有机废气量的60</w:t>
            </w:r>
            <w:r>
              <w:rPr>
                <w:rFonts w:hint="default"/>
                <w:color w:val="auto"/>
                <w:sz w:val="24"/>
                <w:szCs w:val="22"/>
                <w:lang w:val="en-US" w:eastAsia="zh-CN"/>
              </w:rPr>
              <w:t>%</w:t>
            </w:r>
            <w:r>
              <w:rPr>
                <w:rFonts w:hint="eastAsia"/>
                <w:color w:val="auto"/>
                <w:sz w:val="24"/>
                <w:szCs w:val="22"/>
                <w:lang w:val="en-US" w:eastAsia="zh-CN"/>
              </w:rPr>
              <w:t>，</w:t>
            </w:r>
            <w:r>
              <w:rPr>
                <w:rFonts w:hint="eastAsia"/>
                <w:color w:val="auto"/>
                <w:sz w:val="24"/>
                <w:lang w:val="en-US" w:eastAsia="zh-CN"/>
              </w:rPr>
              <w:t>项目调配、喷漆、晾干均在封闭喷漆房内进行。</w:t>
            </w:r>
            <w:r>
              <w:rPr>
                <w:rFonts w:hint="default"/>
                <w:color w:val="auto"/>
                <w:sz w:val="24"/>
                <w:szCs w:val="22"/>
                <w:lang w:val="en-US" w:eastAsia="zh-CN"/>
              </w:rPr>
              <w:t xml:space="preserve">VOCs </w:t>
            </w:r>
            <w:r>
              <w:rPr>
                <w:rFonts w:hint="eastAsia"/>
                <w:color w:val="auto"/>
                <w:sz w:val="24"/>
                <w:szCs w:val="22"/>
                <w:lang w:val="en-US" w:eastAsia="zh-CN"/>
              </w:rPr>
              <w:t>经微负压收集（收集效率取</w:t>
            </w:r>
            <w:r>
              <w:rPr>
                <w:rFonts w:hint="default"/>
                <w:color w:val="auto"/>
                <w:sz w:val="24"/>
                <w:szCs w:val="22"/>
                <w:lang w:val="en-US" w:eastAsia="zh-CN"/>
              </w:rPr>
              <w:t>90%</w:t>
            </w:r>
            <w:r>
              <w:rPr>
                <w:rFonts w:hint="eastAsia"/>
                <w:color w:val="auto"/>
                <w:sz w:val="24"/>
                <w:szCs w:val="22"/>
                <w:lang w:val="en-US" w:eastAsia="zh-CN"/>
              </w:rPr>
              <w:t>）后进入二级活性炭吸附装置</w:t>
            </w:r>
            <w:r>
              <w:rPr>
                <w:rFonts w:hint="eastAsia" w:ascii="Times New Roman" w:hAnsi="Times New Roman" w:eastAsia="宋体" w:cs="Times New Roman"/>
                <w:color w:val="auto"/>
                <w:sz w:val="24"/>
                <w:szCs w:val="22"/>
                <w:lang w:val="en-US" w:eastAsia="zh-CN"/>
              </w:rPr>
              <w:t>（TA007）</w:t>
            </w:r>
            <w:r>
              <w:rPr>
                <w:rFonts w:hint="eastAsia"/>
                <w:color w:val="auto"/>
                <w:sz w:val="24"/>
                <w:szCs w:val="22"/>
                <w:lang w:val="en-US" w:eastAsia="zh-CN"/>
              </w:rPr>
              <w:t>进行处理（总去除效率取80</w:t>
            </w:r>
            <w:r>
              <w:rPr>
                <w:rFonts w:hint="default"/>
                <w:color w:val="auto"/>
                <w:sz w:val="24"/>
                <w:szCs w:val="22"/>
                <w:lang w:val="en-US" w:eastAsia="zh-CN"/>
              </w:rPr>
              <w:t>%</w:t>
            </w:r>
            <w:r>
              <w:rPr>
                <w:rFonts w:hint="eastAsia"/>
                <w:color w:val="auto"/>
                <w:sz w:val="24"/>
                <w:szCs w:val="22"/>
                <w:lang w:val="en-US" w:eastAsia="zh-CN"/>
              </w:rPr>
              <w:t>），处理后通过</w:t>
            </w:r>
            <w:r>
              <w:rPr>
                <w:rFonts w:hint="default"/>
                <w:color w:val="auto"/>
                <w:sz w:val="24"/>
                <w:szCs w:val="22"/>
                <w:lang w:val="en-US" w:eastAsia="zh-CN"/>
              </w:rPr>
              <w:t>15m</w:t>
            </w:r>
            <w:r>
              <w:rPr>
                <w:rFonts w:hint="eastAsia"/>
                <w:color w:val="auto"/>
                <w:sz w:val="24"/>
                <w:szCs w:val="22"/>
                <w:lang w:val="en-US" w:eastAsia="zh-CN"/>
              </w:rPr>
              <w:t>高排气筒（DA003），未经捕集部分直接无组织排放。</w:t>
            </w:r>
          </w:p>
          <w:p>
            <w:pPr>
              <w:pStyle w:val="214"/>
              <w:keepNext w:val="0"/>
              <w:keepLines w:val="0"/>
              <w:pageBreakBefore w:val="0"/>
              <w:widowControl w:val="0"/>
              <w:tabs>
                <w:tab w:val="left" w:pos="3870"/>
              </w:tabs>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eastAsia="宋体"/>
                <w:color w:val="auto"/>
                <w:kern w:val="2"/>
                <w:szCs w:val="24"/>
                <w:lang w:val="en-US" w:eastAsia="zh-CN"/>
              </w:rPr>
            </w:pPr>
            <w:r>
              <w:rPr>
                <w:rFonts w:ascii="Times New Roman" w:hAnsi="Times New Roman" w:eastAsia="宋体"/>
                <w:color w:val="auto"/>
                <w:kern w:val="2"/>
                <w:szCs w:val="24"/>
              </w:rPr>
              <w:t>本项目水性漆</w:t>
            </w:r>
            <w:r>
              <w:rPr>
                <w:rFonts w:hint="eastAsia" w:ascii="Times New Roman" w:eastAsia="宋体"/>
                <w:color w:val="auto"/>
                <w:kern w:val="2"/>
                <w:szCs w:val="24"/>
                <w:lang w:eastAsia="zh-CN"/>
              </w:rPr>
              <w:t>漆料各组分含量见下表</w:t>
            </w:r>
            <w:r>
              <w:rPr>
                <w:rFonts w:hint="eastAsia" w:ascii="Times New Roman" w:eastAsia="宋体"/>
                <w:color w:val="auto"/>
                <w:kern w:val="2"/>
                <w:szCs w:val="24"/>
                <w:lang w:val="en-US" w:eastAsia="zh-CN"/>
              </w:rPr>
              <w:t>。</w:t>
            </w:r>
          </w:p>
          <w:p>
            <w:pPr>
              <w:spacing w:line="240" w:lineRule="auto"/>
              <w:jc w:val="center"/>
              <w:rPr>
                <w:rFonts w:hint="eastAsia"/>
                <w:b/>
                <w:bCs/>
                <w:color w:val="auto"/>
                <w:sz w:val="21"/>
                <w:szCs w:val="21"/>
                <w:lang w:val="en-US" w:eastAsia="zh-CN"/>
              </w:rPr>
            </w:pPr>
            <w:r>
              <w:rPr>
                <w:rFonts w:hint="eastAsia"/>
                <w:b/>
                <w:bCs/>
                <w:color w:val="auto"/>
                <w:sz w:val="21"/>
                <w:szCs w:val="21"/>
                <w:lang w:eastAsia="zh-CN"/>
              </w:rPr>
              <w:t>表</w:t>
            </w:r>
            <w:r>
              <w:rPr>
                <w:rFonts w:hint="eastAsia"/>
                <w:b/>
                <w:bCs/>
                <w:color w:val="auto"/>
                <w:sz w:val="21"/>
                <w:szCs w:val="21"/>
                <w:lang w:val="en-US" w:eastAsia="zh-CN"/>
              </w:rPr>
              <w:t>5-11 水性漆漆料各组分含量一览表（t/a）</w:t>
            </w:r>
          </w:p>
          <w:tbl>
            <w:tblPr>
              <w:tblStyle w:val="57"/>
              <w:tblW w:w="8302"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10"/>
              <w:gridCol w:w="1845"/>
              <w:gridCol w:w="915"/>
              <w:gridCol w:w="1080"/>
              <w:gridCol w:w="1581"/>
              <w:gridCol w:w="1188"/>
              <w:gridCol w:w="11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序号</w:t>
                  </w:r>
                </w:p>
              </w:tc>
              <w:tc>
                <w:tcPr>
                  <w:tcW w:w="1845"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项目</w:t>
                  </w:r>
                </w:p>
              </w:tc>
              <w:tc>
                <w:tcPr>
                  <w:tcW w:w="915" w:type="dxa"/>
                  <w:tcBorders>
                    <w:tl2br w:val="nil"/>
                    <w:tr2bl w:val="nil"/>
                  </w:tcBorders>
                  <w:vAlign w:val="center"/>
                </w:tcPr>
                <w:p>
                  <w:pPr>
                    <w:keepNext w:val="0"/>
                    <w:keepLines w:val="0"/>
                    <w:pageBreakBefore w:val="0"/>
                    <w:kinsoku/>
                    <w:wordWrap/>
                    <w:overflowPunct/>
                    <w:topLinePunct w:val="0"/>
                    <w:autoSpaceDE/>
                    <w:autoSpaceDN/>
                    <w:bidi w:val="0"/>
                    <w:adjustRightInd/>
                    <w:snapToGrid/>
                    <w:jc w:val="center"/>
                    <w:rPr>
                      <w:rFonts w:hint="eastAsia"/>
                      <w:b/>
                      <w:bCs/>
                      <w:color w:val="auto"/>
                      <w:sz w:val="21"/>
                      <w:szCs w:val="21"/>
                      <w:vertAlign w:val="baseline"/>
                      <w:lang w:val="en-US" w:eastAsia="zh-CN"/>
                    </w:rPr>
                  </w:pPr>
                  <w:r>
                    <w:rPr>
                      <w:rFonts w:hint="default" w:ascii="Times New Roman" w:hAnsi="Times New Roman" w:eastAsia="宋体" w:cs="Times New Roman"/>
                      <w:b/>
                      <w:bCs/>
                      <w:i w:val="0"/>
                      <w:color w:val="auto"/>
                      <w:kern w:val="0"/>
                      <w:sz w:val="21"/>
                      <w:szCs w:val="21"/>
                      <w:u w:val="none"/>
                      <w:lang w:val="en-US" w:eastAsia="zh-CN" w:bidi="ar"/>
                    </w:rPr>
                    <w:t>水性面漆</w:t>
                  </w:r>
                </w:p>
              </w:tc>
              <w:tc>
                <w:tcPr>
                  <w:tcW w:w="1080" w:type="dxa"/>
                  <w:tcBorders>
                    <w:tl2br w:val="nil"/>
                    <w:tr2bl w:val="nil"/>
                  </w:tcBorders>
                  <w:vAlign w:val="center"/>
                </w:tcPr>
                <w:p>
                  <w:pPr>
                    <w:keepNext w:val="0"/>
                    <w:keepLines w:val="0"/>
                    <w:pageBreakBefore w:val="0"/>
                    <w:kinsoku/>
                    <w:wordWrap/>
                    <w:overflowPunct/>
                    <w:topLinePunct w:val="0"/>
                    <w:autoSpaceDE/>
                    <w:autoSpaceDN/>
                    <w:bidi w:val="0"/>
                    <w:adjustRightInd/>
                    <w:snapToGrid/>
                    <w:jc w:val="center"/>
                    <w:rPr>
                      <w:rFonts w:hint="eastAsia"/>
                      <w:b/>
                      <w:bCs/>
                      <w:color w:val="auto"/>
                      <w:sz w:val="21"/>
                      <w:szCs w:val="21"/>
                      <w:vertAlign w:val="baseline"/>
                      <w:lang w:val="en-US" w:eastAsia="zh-CN"/>
                    </w:rPr>
                  </w:pPr>
                  <w:r>
                    <w:rPr>
                      <w:rFonts w:hint="default" w:ascii="Times New Roman" w:hAnsi="Times New Roman" w:eastAsia="宋体" w:cs="Times New Roman"/>
                      <w:b/>
                      <w:bCs/>
                      <w:i w:val="0"/>
                      <w:color w:val="auto"/>
                      <w:kern w:val="0"/>
                      <w:sz w:val="21"/>
                      <w:szCs w:val="21"/>
                      <w:u w:val="none"/>
                      <w:lang w:val="en-US" w:eastAsia="zh-CN" w:bidi="ar"/>
                    </w:rPr>
                    <w:t>水性面漆固化剂</w:t>
                  </w:r>
                </w:p>
              </w:tc>
              <w:tc>
                <w:tcPr>
                  <w:tcW w:w="1581" w:type="dxa"/>
                  <w:tcBorders>
                    <w:tl2br w:val="nil"/>
                    <w:tr2bl w:val="nil"/>
                  </w:tcBorders>
                  <w:vAlign w:val="center"/>
                </w:tcPr>
                <w:p>
                  <w:pPr>
                    <w:keepNext w:val="0"/>
                    <w:keepLines w:val="0"/>
                    <w:pageBreakBefore w:val="0"/>
                    <w:kinsoku/>
                    <w:wordWrap/>
                    <w:overflowPunct/>
                    <w:topLinePunct w:val="0"/>
                    <w:autoSpaceDE/>
                    <w:autoSpaceDN/>
                    <w:bidi w:val="0"/>
                    <w:adjustRightInd/>
                    <w:snapToGrid/>
                    <w:jc w:val="center"/>
                    <w:rPr>
                      <w:rFonts w:hint="eastAsia"/>
                      <w:b/>
                      <w:bCs/>
                      <w:color w:val="auto"/>
                      <w:sz w:val="21"/>
                      <w:szCs w:val="21"/>
                      <w:vertAlign w:val="baseline"/>
                      <w:lang w:val="en-US" w:eastAsia="zh-CN"/>
                    </w:rPr>
                  </w:pPr>
                  <w:r>
                    <w:rPr>
                      <w:rFonts w:hint="default" w:ascii="Times New Roman" w:hAnsi="Times New Roman" w:eastAsia="宋体" w:cs="Times New Roman"/>
                      <w:b/>
                      <w:bCs/>
                      <w:i w:val="0"/>
                      <w:color w:val="auto"/>
                      <w:kern w:val="0"/>
                      <w:sz w:val="21"/>
                      <w:szCs w:val="21"/>
                      <w:u w:val="none"/>
                      <w:lang w:val="en-US" w:eastAsia="zh-CN" w:bidi="ar"/>
                    </w:rPr>
                    <w:t>水性底漆</w:t>
                  </w:r>
                </w:p>
              </w:tc>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snapToGrid/>
                    <w:jc w:val="center"/>
                    <w:rPr>
                      <w:rFonts w:hint="eastAsia"/>
                      <w:b/>
                      <w:bCs/>
                      <w:color w:val="auto"/>
                      <w:sz w:val="21"/>
                      <w:szCs w:val="21"/>
                      <w:vertAlign w:val="baseline"/>
                      <w:lang w:val="en-US" w:eastAsia="zh-CN"/>
                    </w:rPr>
                  </w:pPr>
                  <w:r>
                    <w:rPr>
                      <w:rFonts w:hint="default" w:ascii="Times New Roman" w:hAnsi="Times New Roman" w:eastAsia="宋体" w:cs="Times New Roman"/>
                      <w:b/>
                      <w:bCs/>
                      <w:i w:val="0"/>
                      <w:color w:val="auto"/>
                      <w:kern w:val="0"/>
                      <w:sz w:val="21"/>
                      <w:szCs w:val="21"/>
                      <w:u w:val="none"/>
                      <w:lang w:val="en-US" w:eastAsia="zh-CN" w:bidi="ar"/>
                    </w:rPr>
                    <w:t>水性底漆漆固化剂</w:t>
                  </w:r>
                </w:p>
              </w:tc>
              <w:tc>
                <w:tcPr>
                  <w:tcW w:w="1183" w:type="dxa"/>
                  <w:tcBorders>
                    <w:tl2br w:val="nil"/>
                    <w:tr2bl w:val="nil"/>
                  </w:tcBorders>
                  <w:vAlign w:val="center"/>
                </w:tcPr>
                <w:p>
                  <w:pPr>
                    <w:keepNext w:val="0"/>
                    <w:keepLines w:val="0"/>
                    <w:pageBreakBefore w:val="0"/>
                    <w:kinsoku/>
                    <w:wordWrap/>
                    <w:overflowPunct/>
                    <w:topLinePunct w:val="0"/>
                    <w:autoSpaceDE/>
                    <w:autoSpaceDN/>
                    <w:bidi w:val="0"/>
                    <w:adjustRightInd/>
                    <w:snapToGrid/>
                    <w:jc w:val="center"/>
                    <w:rPr>
                      <w:rFonts w:hint="eastAsia"/>
                      <w:b/>
                      <w:bCs/>
                      <w:color w:val="auto"/>
                      <w:sz w:val="21"/>
                      <w:szCs w:val="21"/>
                      <w:vertAlign w:val="baseline"/>
                      <w:lang w:val="en-US" w:eastAsia="zh-CN"/>
                    </w:rPr>
                  </w:pPr>
                  <w:r>
                    <w:rPr>
                      <w:rFonts w:hint="eastAsia"/>
                      <w:b/>
                      <w:bCs/>
                      <w:color w:val="auto"/>
                      <w:sz w:val="21"/>
                      <w:szCs w:val="21"/>
                      <w:vertAlign w:val="baseline"/>
                      <w:lang w:val="en-US" w:eastAsia="zh-CN"/>
                    </w:rPr>
                    <w:t>总计</w:t>
                  </w:r>
                  <w:r>
                    <w:rPr>
                      <w:rFonts w:hint="default" w:ascii="Times New Roman" w:hAnsi="Times New Roman" w:cs="Times New Roman"/>
                      <w:b/>
                      <w:bCs/>
                      <w:i w:val="0"/>
                      <w:color w:val="auto"/>
                      <w:kern w:val="0"/>
                      <w:sz w:val="21"/>
                      <w:szCs w:val="21"/>
                      <w:u w:val="none"/>
                      <w:lang w:val="en-US" w:eastAsia="zh-CN" w:bidi="ar"/>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1</w:t>
                  </w:r>
                </w:p>
              </w:tc>
              <w:tc>
                <w:tcPr>
                  <w:tcW w:w="184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eastAsia"/>
                      <w:b/>
                      <w:bCs/>
                      <w:color w:val="auto"/>
                      <w:sz w:val="21"/>
                      <w:szCs w:val="21"/>
                      <w:vertAlign w:val="baseline"/>
                      <w:lang w:val="en-US" w:eastAsia="zh-CN"/>
                    </w:rPr>
                  </w:pPr>
                  <w:r>
                    <w:rPr>
                      <w:rFonts w:hint="default" w:ascii="Times New Roman" w:hAnsi="Times New Roman" w:eastAsia="宋体" w:cs="Times New Roman"/>
                      <w:i w:val="0"/>
                      <w:color w:val="auto"/>
                      <w:kern w:val="0"/>
                      <w:sz w:val="21"/>
                      <w:szCs w:val="21"/>
                      <w:u w:val="none"/>
                      <w:lang w:val="en-US" w:eastAsia="zh-CN" w:bidi="ar"/>
                    </w:rPr>
                    <w:t>固份</w:t>
                  </w:r>
                  <w:r>
                    <w:rPr>
                      <w:rFonts w:hint="default" w:ascii="Times New Roman" w:hAnsi="Times New Roman" w:cs="Times New Roman"/>
                      <w:i w:val="0"/>
                      <w:color w:val="auto"/>
                      <w:kern w:val="0"/>
                      <w:sz w:val="21"/>
                      <w:szCs w:val="21"/>
                      <w:u w:val="none"/>
                      <w:lang w:val="en-US" w:eastAsia="zh-CN" w:bidi="ar"/>
                    </w:rPr>
                    <w:t>（t/a）</w:t>
                  </w:r>
                </w:p>
              </w:tc>
              <w:tc>
                <w:tcPr>
                  <w:tcW w:w="915"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0.846</w:t>
                  </w:r>
                </w:p>
              </w:tc>
              <w:tc>
                <w:tcPr>
                  <w:tcW w:w="1080"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0.702</w:t>
                  </w:r>
                </w:p>
              </w:tc>
              <w:tc>
                <w:tcPr>
                  <w:tcW w:w="1581"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1.08</w:t>
                  </w:r>
                </w:p>
              </w:tc>
              <w:tc>
                <w:tcPr>
                  <w:tcW w:w="1188"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0.588</w:t>
                  </w:r>
                </w:p>
              </w:tc>
              <w:tc>
                <w:tcPr>
                  <w:tcW w:w="1183" w:type="dxa"/>
                  <w:tcBorders>
                    <w:tl2br w:val="nil"/>
                    <w:tr2bl w:val="nil"/>
                  </w:tcBorders>
                  <w:vAlign w:val="center"/>
                </w:tcPr>
                <w:p>
                  <w:pPr>
                    <w:keepNext w:val="0"/>
                    <w:keepLines w:val="0"/>
                    <w:widowControl/>
                    <w:suppressLineNumbers w:val="0"/>
                    <w:jc w:val="center"/>
                    <w:textAlignment w:val="center"/>
                    <w:rPr>
                      <w:rFonts w:hint="eastAsia"/>
                      <w:b w:val="0"/>
                      <w:bCs w:val="0"/>
                      <w:color w:val="auto"/>
                      <w:sz w:val="21"/>
                      <w:szCs w:val="21"/>
                      <w:vertAlign w:val="baseline"/>
                      <w:lang w:val="en-US" w:eastAsia="zh-CN"/>
                    </w:rPr>
                  </w:pPr>
                  <w:r>
                    <w:rPr>
                      <w:rFonts w:hint="eastAsia"/>
                      <w:b w:val="0"/>
                      <w:bCs w:val="0"/>
                      <w:color w:val="auto"/>
                      <w:sz w:val="21"/>
                      <w:szCs w:val="21"/>
                      <w:vertAlign w:val="baseline"/>
                      <w:lang w:val="en-US" w:eastAsia="zh-CN"/>
                    </w:rPr>
                    <w:t>3.216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10"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2</w:t>
                  </w:r>
                </w:p>
              </w:tc>
              <w:tc>
                <w:tcPr>
                  <w:tcW w:w="184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eastAsia"/>
                      <w:b/>
                      <w:bCs/>
                      <w:color w:val="auto"/>
                      <w:sz w:val="21"/>
                      <w:szCs w:val="21"/>
                      <w:vertAlign w:val="baseline"/>
                      <w:lang w:val="en-US" w:eastAsia="zh-CN"/>
                    </w:rPr>
                  </w:pPr>
                  <w:r>
                    <w:rPr>
                      <w:rFonts w:hint="eastAsia" w:cs="Times New Roman"/>
                      <w:i w:val="0"/>
                      <w:color w:val="auto"/>
                      <w:kern w:val="0"/>
                      <w:sz w:val="21"/>
                      <w:szCs w:val="21"/>
                      <w:u w:val="none"/>
                      <w:lang w:val="en-US" w:eastAsia="zh-CN" w:bidi="ar"/>
                    </w:rPr>
                    <w:t>VOCs</w:t>
                  </w:r>
                  <w:r>
                    <w:rPr>
                      <w:rFonts w:hint="default" w:ascii="Times New Roman" w:hAnsi="Times New Roman" w:cs="Times New Roman"/>
                      <w:i w:val="0"/>
                      <w:color w:val="auto"/>
                      <w:kern w:val="0"/>
                      <w:sz w:val="21"/>
                      <w:szCs w:val="21"/>
                      <w:u w:val="none"/>
                      <w:lang w:val="en-US" w:eastAsia="zh-CN" w:bidi="ar"/>
                    </w:rPr>
                    <w:t>（t/a）</w:t>
                  </w:r>
                </w:p>
              </w:tc>
              <w:tc>
                <w:tcPr>
                  <w:tcW w:w="915"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0.504</w:t>
                  </w:r>
                </w:p>
              </w:tc>
              <w:tc>
                <w:tcPr>
                  <w:tcW w:w="1080"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0.018</w:t>
                  </w:r>
                </w:p>
              </w:tc>
              <w:tc>
                <w:tcPr>
                  <w:tcW w:w="1581"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0.12</w:t>
                  </w:r>
                </w:p>
              </w:tc>
              <w:tc>
                <w:tcPr>
                  <w:tcW w:w="1188"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0.032</w:t>
                  </w:r>
                </w:p>
              </w:tc>
              <w:tc>
                <w:tcPr>
                  <w:tcW w:w="1183" w:type="dxa"/>
                  <w:tcBorders>
                    <w:tl2br w:val="nil"/>
                    <w:tr2bl w:val="nil"/>
                  </w:tcBorders>
                  <w:vAlign w:val="center"/>
                </w:tcPr>
                <w:p>
                  <w:pPr>
                    <w:keepNext w:val="0"/>
                    <w:keepLines w:val="0"/>
                    <w:widowControl/>
                    <w:suppressLineNumbers w:val="0"/>
                    <w:jc w:val="center"/>
                    <w:textAlignment w:val="center"/>
                    <w:rPr>
                      <w:rFonts w:hint="eastAsia"/>
                      <w:b w:val="0"/>
                      <w:bCs w:val="0"/>
                      <w:color w:val="auto"/>
                      <w:sz w:val="21"/>
                      <w:szCs w:val="21"/>
                      <w:vertAlign w:val="baseline"/>
                      <w:lang w:val="en-US" w:eastAsia="zh-CN"/>
                    </w:rPr>
                  </w:pPr>
                  <w:r>
                    <w:rPr>
                      <w:rFonts w:hint="eastAsia"/>
                      <w:b w:val="0"/>
                      <w:bCs w:val="0"/>
                      <w:color w:val="auto"/>
                      <w:sz w:val="21"/>
                      <w:szCs w:val="21"/>
                      <w:vertAlign w:val="baseline"/>
                      <w:lang w:val="en-US" w:eastAsia="zh-CN"/>
                    </w:rPr>
                    <w:t>0.674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510"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3</w:t>
                  </w:r>
                </w:p>
              </w:tc>
              <w:tc>
                <w:tcPr>
                  <w:tcW w:w="184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eastAsia"/>
                      <w:b/>
                      <w:bCs/>
                      <w:color w:val="auto"/>
                      <w:sz w:val="21"/>
                      <w:szCs w:val="21"/>
                      <w:vertAlign w:val="baseline"/>
                      <w:lang w:val="en-US" w:eastAsia="zh-CN"/>
                    </w:rPr>
                  </w:pPr>
                  <w:r>
                    <w:rPr>
                      <w:rFonts w:hint="default" w:ascii="Times New Roman" w:hAnsi="Times New Roman" w:eastAsia="宋体" w:cs="Times New Roman"/>
                      <w:i w:val="0"/>
                      <w:color w:val="auto"/>
                      <w:kern w:val="0"/>
                      <w:sz w:val="21"/>
                      <w:szCs w:val="21"/>
                      <w:u w:val="none"/>
                      <w:lang w:val="en-US" w:eastAsia="zh-CN" w:bidi="ar"/>
                    </w:rPr>
                    <w:t>水分</w:t>
                  </w:r>
                  <w:r>
                    <w:rPr>
                      <w:rFonts w:hint="default" w:ascii="Times New Roman" w:hAnsi="Times New Roman" w:cs="Times New Roman"/>
                      <w:i w:val="0"/>
                      <w:color w:val="auto"/>
                      <w:kern w:val="0"/>
                      <w:sz w:val="21"/>
                      <w:szCs w:val="21"/>
                      <w:u w:val="none"/>
                      <w:lang w:val="en-US" w:eastAsia="zh-CN" w:bidi="ar"/>
                    </w:rPr>
                    <w:t>（t/a）</w:t>
                  </w:r>
                </w:p>
              </w:tc>
              <w:tc>
                <w:tcPr>
                  <w:tcW w:w="915"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cs="Times New Roman"/>
                      <w:b w:val="0"/>
                      <w:bCs w:val="0"/>
                      <w:i w:val="0"/>
                      <w:color w:val="auto"/>
                      <w:kern w:val="0"/>
                      <w:sz w:val="21"/>
                      <w:szCs w:val="21"/>
                      <w:u w:val="none"/>
                      <w:lang w:val="en-US" w:eastAsia="zh-CN" w:bidi="ar"/>
                    </w:rPr>
                    <w:t>0.45</w:t>
                  </w:r>
                </w:p>
              </w:tc>
              <w:tc>
                <w:tcPr>
                  <w:tcW w:w="1080"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0.18</w:t>
                  </w:r>
                </w:p>
              </w:tc>
              <w:tc>
                <w:tcPr>
                  <w:tcW w:w="1581"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0.8</w:t>
                  </w:r>
                </w:p>
              </w:tc>
              <w:tc>
                <w:tcPr>
                  <w:tcW w:w="1188"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0.38</w:t>
                  </w:r>
                </w:p>
              </w:tc>
              <w:tc>
                <w:tcPr>
                  <w:tcW w:w="1183" w:type="dxa"/>
                  <w:tcBorders>
                    <w:tl2br w:val="nil"/>
                    <w:tr2bl w:val="nil"/>
                  </w:tcBorders>
                  <w:vAlign w:val="center"/>
                </w:tcPr>
                <w:p>
                  <w:pPr>
                    <w:keepNext w:val="0"/>
                    <w:keepLines w:val="0"/>
                    <w:widowControl/>
                    <w:suppressLineNumbers w:val="0"/>
                    <w:jc w:val="center"/>
                    <w:textAlignment w:val="center"/>
                    <w:rPr>
                      <w:rFonts w:hint="eastAsia"/>
                      <w:b w:val="0"/>
                      <w:bCs w:val="0"/>
                      <w:color w:val="auto"/>
                      <w:sz w:val="21"/>
                      <w:szCs w:val="21"/>
                      <w:vertAlign w:val="baseline"/>
                      <w:lang w:val="en-US" w:eastAsia="zh-CN"/>
                    </w:rPr>
                  </w:pPr>
                  <w:r>
                    <w:rPr>
                      <w:rFonts w:hint="eastAsia"/>
                      <w:b w:val="0"/>
                      <w:bCs w:val="0"/>
                      <w:color w:val="auto"/>
                      <w:sz w:val="21"/>
                      <w:szCs w:val="21"/>
                      <w:vertAlign w:val="baseline"/>
                      <w:lang w:val="en-US" w:eastAsia="zh-CN"/>
                    </w:rPr>
                    <w:t>1.81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 w:type="dxa"/>
                  <w:tcBorders>
                    <w:tl2br w:val="nil"/>
                    <w:tr2bl w:val="nil"/>
                  </w:tcBorders>
                  <w:vAlign w:val="center"/>
                </w:tcPr>
                <w:p>
                  <w:pPr>
                    <w:pStyle w:val="21"/>
                    <w:keepNext w:val="0"/>
                    <w:keepLines w:val="0"/>
                    <w:pageBreakBefore w:val="0"/>
                    <w:kinsoku/>
                    <w:wordWrap/>
                    <w:overflowPunct/>
                    <w:topLinePunct w:val="0"/>
                    <w:autoSpaceDE/>
                    <w:autoSpaceDN/>
                    <w:bidi w:val="0"/>
                    <w:adjustRightInd/>
                    <w:snapToGrid/>
                    <w:spacing w:after="0"/>
                    <w:jc w:val="center"/>
                    <w:rPr>
                      <w:rFonts w:hint="eastAsia"/>
                      <w:b w:val="0"/>
                      <w:bCs w:val="0"/>
                      <w:color w:val="auto"/>
                      <w:sz w:val="21"/>
                      <w:szCs w:val="21"/>
                      <w:vertAlign w:val="baseline"/>
                      <w:lang w:val="en-US" w:eastAsia="zh-CN"/>
                    </w:rPr>
                  </w:pPr>
                  <w:r>
                    <w:rPr>
                      <w:rFonts w:hint="eastAsia"/>
                      <w:b w:val="0"/>
                      <w:bCs w:val="0"/>
                      <w:color w:val="auto"/>
                      <w:sz w:val="21"/>
                      <w:szCs w:val="21"/>
                      <w:vertAlign w:val="baseline"/>
                      <w:lang w:val="en-US" w:eastAsia="zh-CN"/>
                    </w:rPr>
                    <w:t>4</w:t>
                  </w:r>
                </w:p>
              </w:tc>
              <w:tc>
                <w:tcPr>
                  <w:tcW w:w="184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合计</w:t>
                  </w:r>
                  <w:r>
                    <w:rPr>
                      <w:rFonts w:hint="default" w:ascii="Times New Roman" w:hAnsi="Times New Roman" w:cs="Times New Roman"/>
                      <w:i w:val="0"/>
                      <w:color w:val="auto"/>
                      <w:kern w:val="0"/>
                      <w:sz w:val="21"/>
                      <w:szCs w:val="21"/>
                      <w:u w:val="none"/>
                      <w:lang w:val="en-US" w:eastAsia="zh-CN" w:bidi="ar"/>
                    </w:rPr>
                    <w:t>（t/a）</w:t>
                  </w:r>
                </w:p>
              </w:tc>
              <w:tc>
                <w:tcPr>
                  <w:tcW w:w="91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1.8</w:t>
                  </w:r>
                </w:p>
              </w:tc>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w:t>
                  </w:r>
                  <w:r>
                    <w:rPr>
                      <w:rFonts w:hint="eastAsia" w:cs="Times New Roman"/>
                      <w:i w:val="0"/>
                      <w:color w:val="auto"/>
                      <w:kern w:val="0"/>
                      <w:sz w:val="21"/>
                      <w:szCs w:val="21"/>
                      <w:u w:val="none"/>
                      <w:lang w:val="en-US" w:eastAsia="zh-CN" w:bidi="ar"/>
                    </w:rPr>
                    <w:t>9</w:t>
                  </w:r>
                </w:p>
              </w:tc>
              <w:tc>
                <w:tcPr>
                  <w:tcW w:w="1581"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2.0</w:t>
                  </w:r>
                </w:p>
              </w:tc>
              <w:tc>
                <w:tcPr>
                  <w:tcW w:w="118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1.0</w:t>
                  </w:r>
                </w:p>
              </w:tc>
              <w:tc>
                <w:tcPr>
                  <w:tcW w:w="1183" w:type="dxa"/>
                  <w:tcBorders>
                    <w:tl2br w:val="nil"/>
                    <w:tr2bl w:val="nil"/>
                  </w:tcBorders>
                  <w:vAlign w:val="center"/>
                </w:tcPr>
                <w:p>
                  <w:pPr>
                    <w:keepNext w:val="0"/>
                    <w:keepLines w:val="0"/>
                    <w:widowControl/>
                    <w:suppressLineNumbers w:val="0"/>
                    <w:jc w:val="center"/>
                    <w:textAlignment w:val="center"/>
                    <w:rPr>
                      <w:rFonts w:hint="default"/>
                      <w:b w:val="0"/>
                      <w:bCs w:val="0"/>
                      <w:color w:val="auto"/>
                      <w:sz w:val="21"/>
                      <w:szCs w:val="21"/>
                      <w:vertAlign w:val="baseline"/>
                      <w:lang w:val="en-US" w:eastAsia="zh-CN"/>
                    </w:rPr>
                  </w:pPr>
                  <w:r>
                    <w:rPr>
                      <w:rFonts w:hint="eastAsia"/>
                      <w:b w:val="0"/>
                      <w:bCs w:val="0"/>
                      <w:color w:val="auto"/>
                      <w:sz w:val="21"/>
                      <w:szCs w:val="21"/>
                      <w:vertAlign w:val="baseline"/>
                      <w:lang w:val="en-US" w:eastAsia="zh-CN"/>
                    </w:rPr>
                    <w:t>5.7</w:t>
                  </w:r>
                </w:p>
              </w:tc>
            </w:tr>
          </w:tbl>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b/>
                <w:bCs w:val="0"/>
                <w:color w:val="auto"/>
                <w:sz w:val="21"/>
                <w:szCs w:val="21"/>
                <w:lang w:eastAsia="zh-CN"/>
              </w:rPr>
            </w:pPr>
            <w:r>
              <w:rPr>
                <w:rFonts w:hint="eastAsia"/>
                <w:b w:val="0"/>
                <w:bCs w:val="0"/>
                <w:color w:val="auto"/>
                <w:sz w:val="24"/>
                <w:szCs w:val="22"/>
                <w:lang w:val="en-US" w:eastAsia="zh-CN"/>
              </w:rPr>
              <w:t>项目调漆、喷漆、晾干工序产生的废气情况见下表：</w:t>
            </w:r>
          </w:p>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5-12 有组织调漆、喷漆、晾干工序废气产生情况一览表</w:t>
            </w:r>
          </w:p>
          <w:tbl>
            <w:tblPr>
              <w:tblStyle w:val="5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93"/>
              <w:gridCol w:w="426"/>
              <w:gridCol w:w="716"/>
              <w:gridCol w:w="839"/>
              <w:gridCol w:w="929"/>
              <w:gridCol w:w="1138"/>
              <w:gridCol w:w="1198"/>
              <w:gridCol w:w="1328"/>
              <w:gridCol w:w="113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44" w:type="pct"/>
                  <w:gridSpan w:val="3"/>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污染工序</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污染物</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收集效率%</w:t>
                  </w:r>
                </w:p>
              </w:tc>
              <w:tc>
                <w:tcPr>
                  <w:tcW w:w="68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风量mg/m</w:t>
                  </w:r>
                  <w:r>
                    <w:rPr>
                      <w:rFonts w:hint="eastAsia"/>
                      <w:b/>
                      <w:bCs w:val="0"/>
                      <w:color w:val="auto"/>
                      <w:sz w:val="21"/>
                      <w:szCs w:val="21"/>
                      <w:vertAlign w:val="superscript"/>
                      <w:lang w:val="en-US" w:eastAsia="zh-CN"/>
                    </w:rPr>
                    <w:t>3</w:t>
                  </w: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产生量t/a</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产生速率kg/h</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vertAlign w:val="baseline"/>
                      <w:lang w:val="en-US" w:eastAsia="zh-CN"/>
                    </w:rPr>
                  </w:pPr>
                  <w:r>
                    <w:rPr>
                      <w:rFonts w:hint="eastAsia"/>
                      <w:b/>
                      <w:bCs w:val="0"/>
                      <w:color w:val="auto"/>
                      <w:sz w:val="21"/>
                      <w:szCs w:val="21"/>
                      <w:vertAlign w:val="baseline"/>
                      <w:lang w:val="en-US" w:eastAsia="zh-CN"/>
                    </w:rPr>
                    <w:t>产生浓度mg/m</w:t>
                  </w:r>
                  <w:r>
                    <w:rPr>
                      <w:rFonts w:hint="eastAsia"/>
                      <w:b/>
                      <w:bCs w:val="0"/>
                      <w:color w:val="auto"/>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7" w:type="pct"/>
                  <w:vMerge w:val="restart"/>
                  <w:tcBorders>
                    <w:tl2br w:val="nil"/>
                    <w:tr2bl w:val="nil"/>
                  </w:tcBorders>
                  <w:vAlign w:val="center"/>
                </w:tcPr>
                <w:p>
                  <w:pPr>
                    <w:pStyle w:val="21"/>
                    <w:spacing w:line="240" w:lineRule="auto"/>
                    <w:jc w:val="center"/>
                    <w:rPr>
                      <w:rFonts w:hint="default"/>
                      <w:bCs/>
                      <w:color w:val="auto"/>
                      <w:sz w:val="21"/>
                      <w:szCs w:val="21"/>
                      <w:vertAlign w:val="baseline"/>
                      <w:lang w:val="en-US" w:eastAsia="zh-CN"/>
                    </w:rPr>
                  </w:pPr>
                  <w:r>
                    <w:rPr>
                      <w:rFonts w:hint="eastAsia"/>
                      <w:bCs/>
                      <w:color w:val="auto"/>
                      <w:sz w:val="21"/>
                      <w:szCs w:val="21"/>
                      <w:vertAlign w:val="baseline"/>
                      <w:lang w:val="en-US" w:eastAsia="zh-CN"/>
                    </w:rPr>
                    <w:t>喷漆工序</w:t>
                  </w:r>
                </w:p>
              </w:tc>
              <w:tc>
                <w:tcPr>
                  <w:tcW w:w="256" w:type="pct"/>
                  <w:vMerge w:val="restart"/>
                  <w:tcBorders>
                    <w:tl2br w:val="nil"/>
                    <w:tr2bl w:val="nil"/>
                  </w:tcBorders>
                  <w:vAlign w:val="center"/>
                </w:tcPr>
                <w:p>
                  <w:pPr>
                    <w:pStyle w:val="21"/>
                    <w:spacing w:line="240" w:lineRule="auto"/>
                    <w:jc w:val="center"/>
                    <w:rPr>
                      <w:rFonts w:hint="default"/>
                      <w:bCs/>
                      <w:color w:val="auto"/>
                      <w:sz w:val="21"/>
                      <w:szCs w:val="21"/>
                      <w:vertAlign w:val="baseline"/>
                      <w:lang w:val="en-US" w:eastAsia="zh-CN"/>
                    </w:rPr>
                  </w:pPr>
                  <w:r>
                    <w:rPr>
                      <w:rFonts w:hint="eastAsia"/>
                      <w:bCs/>
                      <w:color w:val="auto"/>
                      <w:sz w:val="21"/>
                      <w:szCs w:val="21"/>
                      <w:vertAlign w:val="baseline"/>
                      <w:lang w:val="en-US" w:eastAsia="zh-CN"/>
                    </w:rPr>
                    <w:t>1号喷漆房</w:t>
                  </w:r>
                </w:p>
              </w:tc>
              <w:tc>
                <w:tcPr>
                  <w:tcW w:w="43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调配</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restar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20000</w:t>
                  </w: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0.030</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0.2</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default"/>
                      <w:bCs/>
                      <w:color w:val="auto"/>
                      <w:sz w:val="21"/>
                      <w:szCs w:val="21"/>
                      <w:vertAlign w:val="baseline"/>
                      <w:lang w:val="en-US" w:eastAsia="zh-CN"/>
                    </w:rPr>
                    <w:t>1</w:t>
                  </w:r>
                  <w:r>
                    <w:rPr>
                      <w:rFonts w:hint="eastAsia"/>
                      <w:bCs/>
                      <w:color w:val="auto"/>
                      <w:sz w:val="21"/>
                      <w:szCs w:val="21"/>
                      <w:vertAlign w:val="baseline"/>
                      <w:lang w:val="en-US" w:eastAsia="zh-CN"/>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vMerge w:val="restar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喷漆</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漆雾</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0.290</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0.242</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12.1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0.091</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0.076</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default"/>
                      <w:bCs/>
                      <w:color w:val="auto"/>
                      <w:sz w:val="21"/>
                      <w:szCs w:val="21"/>
                      <w:vertAlign w:val="baseline"/>
                      <w:lang w:val="en-US" w:eastAsia="zh-CN"/>
                    </w:rPr>
                    <w:t>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晾干</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0.182</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bCs/>
                      <w:color w:val="auto"/>
                      <w:sz w:val="21"/>
                      <w:szCs w:val="21"/>
                      <w:vertAlign w:val="baseline"/>
                      <w:lang w:val="en-US" w:eastAsia="zh-CN"/>
                    </w:rPr>
                  </w:pPr>
                  <w:r>
                    <w:rPr>
                      <w:rFonts w:hint="eastAsia"/>
                      <w:bCs/>
                      <w:color w:val="auto"/>
                      <w:sz w:val="21"/>
                      <w:szCs w:val="21"/>
                      <w:vertAlign w:val="baseline"/>
                      <w:lang w:val="en-US" w:eastAsia="zh-CN"/>
                    </w:rPr>
                    <w:t>0.101</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5.05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restart"/>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r>
                    <w:rPr>
                      <w:rFonts w:hint="eastAsia"/>
                      <w:bCs/>
                      <w:color w:val="auto"/>
                      <w:sz w:val="21"/>
                      <w:szCs w:val="21"/>
                      <w:vertAlign w:val="baseline"/>
                      <w:lang w:val="en-US" w:eastAsia="zh-CN"/>
                    </w:rPr>
                    <w:t>2号喷漆房</w:t>
                  </w:r>
                </w:p>
              </w:tc>
              <w:tc>
                <w:tcPr>
                  <w:tcW w:w="43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调配</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restar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20000</w:t>
                  </w: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0.030</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0.2</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1</w:t>
                  </w:r>
                  <w:r>
                    <w:rPr>
                      <w:rFonts w:hint="eastAsia"/>
                      <w:bCs/>
                      <w:color w:val="auto"/>
                      <w:sz w:val="21"/>
                      <w:szCs w:val="21"/>
                      <w:vertAlign w:val="baseline"/>
                      <w:lang w:val="en-US" w:eastAsia="zh-CN"/>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vMerge w:val="restar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喷漆</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漆雾</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0.290</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0.242</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12.1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0.091</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0.076</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7"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256" w:type="pct"/>
                  <w:vMerge w:val="continue"/>
                  <w:tcBorders>
                    <w:tl2br w:val="nil"/>
                    <w:tr2bl w:val="nil"/>
                  </w:tcBorders>
                  <w:vAlign w:val="center"/>
                </w:tcPr>
                <w:p>
                  <w:pPr>
                    <w:pStyle w:val="21"/>
                    <w:spacing w:line="240" w:lineRule="auto"/>
                    <w:jc w:val="center"/>
                    <w:rPr>
                      <w:rFonts w:hint="eastAsia" w:ascii="Times New Roman" w:hAnsi="Times New Roman" w:eastAsia="宋体" w:cs="Times New Roman"/>
                      <w:bCs/>
                      <w:color w:val="auto"/>
                      <w:kern w:val="2"/>
                      <w:sz w:val="21"/>
                      <w:szCs w:val="21"/>
                      <w:vertAlign w:val="baseline"/>
                      <w:lang w:val="en-US" w:eastAsia="zh-CN" w:bidi="ar-SA"/>
                    </w:rPr>
                  </w:pPr>
                </w:p>
              </w:tc>
              <w:tc>
                <w:tcPr>
                  <w:tcW w:w="43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晾干</w:t>
                  </w:r>
                </w:p>
              </w:tc>
              <w:tc>
                <w:tcPr>
                  <w:tcW w:w="505"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VOCs</w:t>
                  </w:r>
                </w:p>
              </w:tc>
              <w:tc>
                <w:tcPr>
                  <w:tcW w:w="55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90</w:t>
                  </w:r>
                </w:p>
              </w:tc>
              <w:tc>
                <w:tcPr>
                  <w:tcW w:w="685" w:type="pct"/>
                  <w:vMerge w:val="continue"/>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p>
              </w:tc>
              <w:tc>
                <w:tcPr>
                  <w:tcW w:w="721"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0.182</w:t>
                  </w:r>
                </w:p>
              </w:tc>
              <w:tc>
                <w:tcPr>
                  <w:tcW w:w="799"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eastAsia"/>
                      <w:bCs/>
                      <w:color w:val="auto"/>
                      <w:sz w:val="21"/>
                      <w:szCs w:val="21"/>
                      <w:vertAlign w:val="baseline"/>
                      <w:lang w:val="en-US" w:eastAsia="zh-CN"/>
                    </w:rPr>
                    <w:t>0.101</w:t>
                  </w:r>
                </w:p>
              </w:tc>
              <w:tc>
                <w:tcPr>
                  <w:tcW w:w="684" w:type="pct"/>
                  <w:tcBorders>
                    <w:tl2br w:val="nil"/>
                    <w:tr2bl w:val="nil"/>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Cs/>
                      <w:color w:val="auto"/>
                      <w:sz w:val="21"/>
                      <w:szCs w:val="21"/>
                      <w:vertAlign w:val="baseline"/>
                      <w:lang w:val="en-US" w:eastAsia="zh-CN"/>
                    </w:rPr>
                  </w:pPr>
                  <w:r>
                    <w:rPr>
                      <w:rFonts w:hint="default"/>
                      <w:bCs/>
                      <w:color w:val="auto"/>
                      <w:sz w:val="21"/>
                      <w:szCs w:val="21"/>
                      <w:vertAlign w:val="baseline"/>
                      <w:lang w:val="en-US" w:eastAsia="zh-CN"/>
                    </w:rPr>
                    <w:t>5.05</w:t>
                  </w:r>
                </w:p>
              </w:tc>
            </w:tr>
          </w:tbl>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val="0"/>
                <w:color w:val="auto"/>
                <w:sz w:val="21"/>
                <w:szCs w:val="21"/>
                <w:lang w:val="en-US" w:eastAsia="zh-CN"/>
              </w:rPr>
            </w:pPr>
            <w:r>
              <w:rPr>
                <w:rFonts w:hint="eastAsia"/>
                <w:b/>
                <w:bCs w:val="0"/>
                <w:color w:val="auto"/>
                <w:sz w:val="21"/>
                <w:szCs w:val="21"/>
                <w:lang w:eastAsia="zh-CN"/>
              </w:rPr>
              <w:t>表</w:t>
            </w:r>
            <w:r>
              <w:rPr>
                <w:rFonts w:hint="eastAsia"/>
                <w:b/>
                <w:bCs w:val="0"/>
                <w:color w:val="auto"/>
                <w:sz w:val="21"/>
                <w:szCs w:val="21"/>
                <w:lang w:val="en-US" w:eastAsia="zh-CN"/>
              </w:rPr>
              <w:t>5-13 调漆、喷漆、晾干工序废气无组织产生情况一览表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13"/>
              <w:gridCol w:w="713"/>
              <w:gridCol w:w="2003"/>
              <w:gridCol w:w="2839"/>
              <w:gridCol w:w="20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8" w:type="pct"/>
                  <w:gridSpan w:val="2"/>
                  <w:vAlign w:val="center"/>
                </w:tcPr>
                <w:p>
                  <w:pPr>
                    <w:pStyle w:val="123"/>
                    <w:jc w:val="center"/>
                    <w:rPr>
                      <w:rFonts w:hint="eastAsia"/>
                      <w:b/>
                      <w:color w:val="auto"/>
                      <w:lang w:eastAsia="zh-CN"/>
                    </w:rPr>
                  </w:pPr>
                  <w:r>
                    <w:rPr>
                      <w:b/>
                      <w:color w:val="auto"/>
                    </w:rPr>
                    <w:t>污染</w:t>
                  </w:r>
                  <w:r>
                    <w:rPr>
                      <w:rFonts w:hint="eastAsia"/>
                      <w:b/>
                      <w:color w:val="auto"/>
                      <w:lang w:eastAsia="zh-CN"/>
                    </w:rPr>
                    <w:t>工序</w:t>
                  </w:r>
                </w:p>
              </w:tc>
              <w:tc>
                <w:tcPr>
                  <w:tcW w:w="1205" w:type="pct"/>
                  <w:vAlign w:val="center"/>
                </w:tcPr>
                <w:p>
                  <w:pPr>
                    <w:pStyle w:val="123"/>
                    <w:jc w:val="center"/>
                    <w:rPr>
                      <w:b/>
                      <w:color w:val="auto"/>
                    </w:rPr>
                  </w:pPr>
                  <w:r>
                    <w:rPr>
                      <w:b/>
                      <w:color w:val="auto"/>
                    </w:rPr>
                    <w:t>污染物名称</w:t>
                  </w:r>
                </w:p>
              </w:tc>
              <w:tc>
                <w:tcPr>
                  <w:tcW w:w="1708" w:type="pct"/>
                  <w:vAlign w:val="center"/>
                </w:tcPr>
                <w:p>
                  <w:pPr>
                    <w:pStyle w:val="123"/>
                    <w:jc w:val="center"/>
                    <w:rPr>
                      <w:b/>
                      <w:color w:val="auto"/>
                    </w:rPr>
                  </w:pPr>
                  <w:r>
                    <w:rPr>
                      <w:b/>
                      <w:color w:val="auto"/>
                    </w:rPr>
                    <w:t>产生量t/a</w:t>
                  </w:r>
                </w:p>
              </w:tc>
              <w:tc>
                <w:tcPr>
                  <w:tcW w:w="1228" w:type="pct"/>
                  <w:vAlign w:val="center"/>
                </w:tcPr>
                <w:p>
                  <w:pPr>
                    <w:pStyle w:val="123"/>
                    <w:jc w:val="center"/>
                    <w:rPr>
                      <w:b/>
                      <w:color w:val="auto"/>
                    </w:rPr>
                  </w:pPr>
                  <w:r>
                    <w:rPr>
                      <w:b/>
                      <w:color w:val="auto"/>
                    </w:rPr>
                    <w:t>产生速率</w:t>
                  </w:r>
                </w:p>
                <w:p>
                  <w:pPr>
                    <w:pStyle w:val="123"/>
                    <w:jc w:val="center"/>
                    <w:rPr>
                      <w:b/>
                      <w:color w:val="auto"/>
                    </w:rPr>
                  </w:pPr>
                  <w:r>
                    <w:rPr>
                      <w:b/>
                      <w:color w:val="auto"/>
                    </w:rPr>
                    <w:t>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1号喷漆房</w:t>
                  </w:r>
                </w:p>
              </w:tc>
              <w:tc>
                <w:tcPr>
                  <w:tcW w:w="429"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调漆</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0.004</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喷漆</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颗粒物（漆雾）</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0.032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0.01</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晾干</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合计</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颗粒物（漆雾）</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0.032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0.034</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2号喷漆房</w:t>
                  </w:r>
                </w:p>
              </w:tc>
              <w:tc>
                <w:tcPr>
                  <w:tcW w:w="429"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调漆</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0.004</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喷漆</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颗粒物（漆雾）</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0.032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0.01</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晾干</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合计</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颗粒物（漆雾）</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0.032</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429" w:type="pct"/>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0.034</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0.046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8" w:type="pct"/>
                  <w:gridSpan w:val="2"/>
                  <w:vMerge w:val="restar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喷漆工序（合计）</w:t>
                  </w: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颗粒物（漆雾）</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0.064</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858" w:type="pct"/>
                  <w:gridSpan w:val="2"/>
                  <w:vMerge w:val="continue"/>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p>
              </w:tc>
              <w:tc>
                <w:tcPr>
                  <w:tcW w:w="1205"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color w:val="auto"/>
                      <w:sz w:val="21"/>
                      <w:szCs w:val="21"/>
                      <w:lang w:val="en-US" w:eastAsia="zh-CN"/>
                    </w:rPr>
                  </w:pPr>
                  <w:r>
                    <w:rPr>
                      <w:rFonts w:hint="eastAsia"/>
                      <w:color w:val="auto"/>
                      <w:sz w:val="21"/>
                      <w:szCs w:val="21"/>
                      <w:lang w:val="en-US" w:eastAsia="zh-CN"/>
                    </w:rPr>
                    <w:t>VOCs</w:t>
                  </w:r>
                </w:p>
              </w:tc>
              <w:tc>
                <w:tcPr>
                  <w:tcW w:w="170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0.068</w:t>
                  </w:r>
                </w:p>
              </w:tc>
              <w:tc>
                <w:tcPr>
                  <w:tcW w:w="122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color w:val="auto"/>
                      <w:sz w:val="21"/>
                      <w:szCs w:val="21"/>
                      <w:lang w:val="en-US" w:eastAsia="zh-CN"/>
                    </w:rPr>
                  </w:pPr>
                  <w:r>
                    <w:rPr>
                      <w:rFonts w:hint="eastAsia"/>
                      <w:color w:val="auto"/>
                      <w:sz w:val="21"/>
                      <w:szCs w:val="21"/>
                      <w:lang w:val="en-US" w:eastAsia="zh-CN"/>
                    </w:rPr>
                    <w:t>0.092</w:t>
                  </w:r>
                </w:p>
              </w:tc>
            </w:tr>
          </w:tbl>
          <w:p>
            <w:pPr>
              <w:pStyle w:val="21"/>
              <w:spacing w:after="0" w:line="360" w:lineRule="auto"/>
              <w:ind w:firstLine="480" w:firstLineChars="200"/>
              <w:rPr>
                <w:color w:val="auto"/>
                <w:sz w:val="24"/>
              </w:rPr>
            </w:pPr>
            <w:r>
              <w:rPr>
                <w:rFonts w:hint="eastAsia"/>
                <w:color w:val="auto"/>
                <w:sz w:val="24"/>
              </w:rPr>
              <w:t>本项目废气产生及排放情况见下表。</w:t>
            </w:r>
          </w:p>
          <w:p>
            <w:pPr>
              <w:pStyle w:val="21"/>
              <w:spacing w:after="0" w:line="360" w:lineRule="auto"/>
              <w:ind w:firstLine="480" w:firstLineChars="200"/>
              <w:rPr>
                <w:color w:val="auto"/>
                <w:sz w:val="24"/>
              </w:rPr>
            </w:pPr>
          </w:p>
          <w:p>
            <w:pPr>
              <w:pStyle w:val="21"/>
              <w:spacing w:after="0" w:line="360" w:lineRule="auto"/>
              <w:ind w:firstLine="480" w:firstLineChars="200"/>
              <w:rPr>
                <w:color w:val="auto"/>
                <w:sz w:val="24"/>
              </w:rPr>
            </w:pPr>
          </w:p>
          <w:p>
            <w:pPr>
              <w:rPr>
                <w:color w:val="auto"/>
                <w:sz w:val="24"/>
              </w:rPr>
            </w:pPr>
          </w:p>
          <w:p>
            <w:pPr>
              <w:spacing w:line="360" w:lineRule="auto"/>
              <w:rPr>
                <w:color w:val="auto"/>
                <w:sz w:val="24"/>
                <w:szCs w:val="24"/>
              </w:rPr>
            </w:pPr>
          </w:p>
        </w:tc>
      </w:tr>
    </w:tbl>
    <w:p>
      <w:pPr>
        <w:pStyle w:val="312"/>
        <w:rPr>
          <w:rFonts w:ascii="Times New Roman" w:hAnsi="Times New Roman"/>
          <w:color w:val="auto"/>
        </w:rPr>
        <w:sectPr>
          <w:pgSz w:w="11906" w:h="16838"/>
          <w:pgMar w:top="1440" w:right="1797" w:bottom="1440" w:left="1797" w:header="851" w:footer="992" w:gutter="0"/>
          <w:pgBorders>
            <w:top w:val="none" w:sz="0" w:space="0"/>
            <w:left w:val="none" w:sz="0" w:space="0"/>
            <w:bottom w:val="none" w:sz="0" w:space="0"/>
            <w:right w:val="none" w:sz="0" w:space="0"/>
          </w:pgBorders>
          <w:cols w:space="720" w:num="1"/>
          <w:docGrid w:type="linesAndChars" w:linePitch="312" w:charSpace="0"/>
        </w:sectPr>
      </w:pPr>
    </w:p>
    <w:tbl>
      <w:tblPr>
        <w:tblStyle w:val="5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fixed"/>
        <w:tblCellMar>
          <w:top w:w="0" w:type="dxa"/>
          <w:left w:w="108" w:type="dxa"/>
          <w:bottom w:w="0" w:type="dxa"/>
          <w:right w:w="108" w:type="dxa"/>
        </w:tblCellMar>
      </w:tblPr>
      <w:tblGrid>
        <w:gridCol w:w="14174"/>
      </w:tblGrid>
      <w:tr>
        <w:tblPrEx>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CellMar>
            <w:top w:w="0" w:type="dxa"/>
            <w:left w:w="108" w:type="dxa"/>
            <w:bottom w:w="0" w:type="dxa"/>
            <w:right w:w="108" w:type="dxa"/>
          </w:tblCellMar>
        </w:tblPrEx>
        <w:tc>
          <w:tcPr>
            <w:tcW w:w="14174" w:type="dxa"/>
            <w:tcBorders>
              <w:tl2br w:val="nil"/>
              <w:tr2bl w:val="nil"/>
            </w:tcBorders>
          </w:tcPr>
          <w:p>
            <w:pPr>
              <w:adjustRightInd w:val="0"/>
              <w:snapToGrid w:val="0"/>
              <w:jc w:val="center"/>
              <w:rPr>
                <w:b/>
                <w:color w:val="auto"/>
                <w:szCs w:val="21"/>
              </w:rPr>
            </w:pPr>
            <w:r>
              <w:rPr>
                <w:b/>
                <w:color w:val="auto"/>
                <w:szCs w:val="21"/>
              </w:rPr>
              <w:t>表5-</w:t>
            </w:r>
            <w:r>
              <w:rPr>
                <w:rFonts w:hint="eastAsia"/>
                <w:b/>
                <w:color w:val="auto"/>
                <w:szCs w:val="21"/>
                <w:lang w:val="en-US" w:eastAsia="zh-CN"/>
              </w:rPr>
              <w:t>14</w:t>
            </w:r>
            <w:r>
              <w:rPr>
                <w:b/>
                <w:color w:val="auto"/>
                <w:szCs w:val="21"/>
              </w:rPr>
              <w:t xml:space="preserve"> </w:t>
            </w:r>
            <w:r>
              <w:rPr>
                <w:rFonts w:hint="eastAsia"/>
                <w:b/>
                <w:color w:val="auto"/>
                <w:szCs w:val="21"/>
                <w:lang w:val="en-US" w:eastAsia="zh-CN"/>
              </w:rPr>
              <w:t>项目</w:t>
            </w:r>
            <w:r>
              <w:rPr>
                <w:b/>
                <w:color w:val="auto"/>
                <w:szCs w:val="21"/>
              </w:rPr>
              <w:t>有组织废气产生及排放情况一览表</w:t>
            </w:r>
          </w:p>
          <w:tbl>
            <w:tblPr>
              <w:tblStyle w:val="56"/>
              <w:tblW w:w="4997"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11" w:type="dxa"/>
                <w:bottom w:w="0" w:type="dxa"/>
                <w:right w:w="11" w:type="dxa"/>
              </w:tblCellMar>
            </w:tblPr>
            <w:tblGrid>
              <w:gridCol w:w="482"/>
              <w:gridCol w:w="510"/>
              <w:gridCol w:w="525"/>
              <w:gridCol w:w="520"/>
              <w:gridCol w:w="732"/>
              <w:gridCol w:w="402"/>
              <w:gridCol w:w="718"/>
              <w:gridCol w:w="701"/>
              <w:gridCol w:w="832"/>
              <w:gridCol w:w="1092"/>
              <w:gridCol w:w="886"/>
              <w:gridCol w:w="581"/>
              <w:gridCol w:w="807"/>
              <w:gridCol w:w="869"/>
              <w:gridCol w:w="1053"/>
              <w:gridCol w:w="712"/>
              <w:gridCol w:w="620"/>
              <w:gridCol w:w="620"/>
              <w:gridCol w:w="659"/>
              <w:gridCol w:w="629"/>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8" w:hRule="atLeast"/>
                <w:jc w:val="center"/>
              </w:trPr>
              <w:tc>
                <w:tcPr>
                  <w:tcW w:w="172" w:type="pct"/>
                  <w:vMerge w:val="restart"/>
                  <w:tcBorders>
                    <w:tl2br w:val="nil"/>
                    <w:tr2bl w:val="nil"/>
                  </w:tcBorders>
                  <w:tcMar>
                    <w:top w:w="28" w:type="dxa"/>
                    <w:left w:w="28" w:type="dxa"/>
                    <w:bottom w:w="28" w:type="dxa"/>
                    <w:right w:w="28" w:type="dxa"/>
                  </w:tcMar>
                  <w:vAlign w:val="center"/>
                </w:tcPr>
                <w:p>
                  <w:pPr>
                    <w:adjustRightInd w:val="0"/>
                    <w:snapToGrid w:val="0"/>
                    <w:jc w:val="center"/>
                    <w:rPr>
                      <w:color w:val="auto"/>
                      <w:sz w:val="18"/>
                      <w:szCs w:val="18"/>
                    </w:rPr>
                  </w:pPr>
                  <w:r>
                    <w:rPr>
                      <w:b/>
                      <w:snapToGrid w:val="0"/>
                      <w:color w:val="auto"/>
                      <w:kern w:val="18"/>
                      <w:sz w:val="18"/>
                      <w:szCs w:val="18"/>
                    </w:rPr>
                    <w:t>工序/生产线</w:t>
                  </w:r>
                </w:p>
              </w:tc>
              <w:tc>
                <w:tcPr>
                  <w:tcW w:w="182" w:type="pct"/>
                  <w:vMerge w:val="restar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装置</w:t>
                  </w:r>
                </w:p>
              </w:tc>
              <w:tc>
                <w:tcPr>
                  <w:tcW w:w="188" w:type="pct"/>
                  <w:vMerge w:val="restar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排放源</w:t>
                  </w:r>
                </w:p>
              </w:tc>
              <w:tc>
                <w:tcPr>
                  <w:tcW w:w="186" w:type="pct"/>
                  <w:vMerge w:val="restar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污染物名称</w:t>
                  </w:r>
                </w:p>
              </w:tc>
              <w:tc>
                <w:tcPr>
                  <w:tcW w:w="26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eastAsia="宋体"/>
                      <w:b/>
                      <w:snapToGrid w:val="0"/>
                      <w:color w:val="auto"/>
                      <w:kern w:val="18"/>
                      <w:sz w:val="18"/>
                      <w:szCs w:val="18"/>
                      <w:lang w:val="en-US" w:eastAsia="zh-CN"/>
                    </w:rPr>
                  </w:pPr>
                  <w:r>
                    <w:rPr>
                      <w:b/>
                      <w:snapToGrid w:val="0"/>
                      <w:color w:val="auto"/>
                      <w:kern w:val="18"/>
                      <w:sz w:val="18"/>
                      <w:szCs w:val="18"/>
                    </w:rPr>
                    <w:t>风机风量</w:t>
                  </w:r>
                  <w:r>
                    <w:rPr>
                      <w:rFonts w:hint="eastAsia"/>
                      <w:b/>
                      <w:bCs/>
                      <w:color w:val="auto"/>
                      <w:sz w:val="18"/>
                      <w:szCs w:val="18"/>
                    </w:rPr>
                    <w:t>m</w:t>
                  </w:r>
                  <w:r>
                    <w:rPr>
                      <w:rFonts w:hint="eastAsia"/>
                      <w:b/>
                      <w:bCs/>
                      <w:color w:val="auto"/>
                      <w:sz w:val="18"/>
                      <w:szCs w:val="18"/>
                      <w:vertAlign w:val="superscript"/>
                    </w:rPr>
                    <w:t>3</w:t>
                  </w:r>
                  <w:r>
                    <w:rPr>
                      <w:rFonts w:hint="eastAsia"/>
                      <w:b/>
                      <w:bCs/>
                      <w:color w:val="auto"/>
                      <w:sz w:val="18"/>
                      <w:szCs w:val="18"/>
                    </w:rPr>
                    <w:t>/</w:t>
                  </w:r>
                  <w:r>
                    <w:rPr>
                      <w:rFonts w:hint="eastAsia"/>
                      <w:b/>
                      <w:bCs/>
                      <w:color w:val="auto"/>
                      <w:sz w:val="18"/>
                      <w:szCs w:val="18"/>
                      <w:lang w:val="en-US" w:eastAsia="zh-CN"/>
                    </w:rPr>
                    <w:t>h</w:t>
                  </w:r>
                </w:p>
              </w:tc>
              <w:tc>
                <w:tcPr>
                  <w:tcW w:w="950" w:type="pct"/>
                  <w:gridSpan w:val="4"/>
                  <w:tcBorders>
                    <w:tl2br w:val="nil"/>
                    <w:tr2bl w:val="nil"/>
                  </w:tcBorders>
                  <w:vAlign w:val="center"/>
                </w:tcPr>
                <w:p>
                  <w:pPr>
                    <w:adjustRightInd w:val="0"/>
                    <w:snapToGrid w:val="0"/>
                    <w:jc w:val="center"/>
                    <w:rPr>
                      <w:b/>
                      <w:snapToGrid w:val="0"/>
                      <w:color w:val="auto"/>
                      <w:kern w:val="18"/>
                      <w:sz w:val="18"/>
                      <w:szCs w:val="18"/>
                    </w:rPr>
                  </w:pPr>
                  <w:r>
                    <w:rPr>
                      <w:b/>
                      <w:snapToGrid w:val="0"/>
                      <w:color w:val="auto"/>
                      <w:kern w:val="18"/>
                      <w:sz w:val="18"/>
                      <w:szCs w:val="18"/>
                    </w:rPr>
                    <w:t>污染物产生</w:t>
                  </w:r>
                </w:p>
              </w:tc>
              <w:tc>
                <w:tcPr>
                  <w:tcW w:w="708" w:type="pct"/>
                  <w:gridSpan w:val="2"/>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治理措施</w:t>
                  </w:r>
                </w:p>
              </w:tc>
              <w:tc>
                <w:tcPr>
                  <w:tcW w:w="1186" w:type="pct"/>
                  <w:gridSpan w:val="4"/>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污染物排放</w:t>
                  </w:r>
                </w:p>
              </w:tc>
              <w:tc>
                <w:tcPr>
                  <w:tcW w:w="935" w:type="pct"/>
                  <w:gridSpan w:val="4"/>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rFonts w:hint="eastAsia"/>
                      <w:b/>
                      <w:snapToGrid w:val="0"/>
                      <w:color w:val="auto"/>
                      <w:kern w:val="18"/>
                      <w:sz w:val="18"/>
                      <w:szCs w:val="18"/>
                    </w:rPr>
                    <w:t>排放参数</w:t>
                  </w:r>
                </w:p>
              </w:tc>
              <w:tc>
                <w:tcPr>
                  <w:tcW w:w="225" w:type="pct"/>
                  <w:vMerge w:val="restar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排放时间</w:t>
                  </w:r>
                  <w:r>
                    <w:rPr>
                      <w:rFonts w:hint="eastAsia"/>
                      <w:b/>
                      <w:snapToGrid w:val="0"/>
                      <w:color w:val="auto"/>
                      <w:kern w:val="18"/>
                      <w:sz w:val="18"/>
                      <w:szCs w:val="18"/>
                    </w:rPr>
                    <w:t>h/a</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Merge w:val="continue"/>
                  <w:tcBorders>
                    <w:tl2br w:val="nil"/>
                    <w:tr2bl w:val="nil"/>
                  </w:tcBorders>
                  <w:vAlign w:val="center"/>
                </w:tcPr>
                <w:p>
                  <w:pPr>
                    <w:widowControl/>
                    <w:jc w:val="center"/>
                    <w:rPr>
                      <w:color w:val="auto"/>
                      <w:sz w:val="18"/>
                      <w:szCs w:val="18"/>
                    </w:rPr>
                  </w:pPr>
                </w:p>
              </w:tc>
              <w:tc>
                <w:tcPr>
                  <w:tcW w:w="18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8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86"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6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44" w:type="pct"/>
                  <w:tcBorders>
                    <w:tl2br w:val="nil"/>
                    <w:tr2bl w:val="nil"/>
                  </w:tcBorders>
                  <w:vAlign w:val="center"/>
                </w:tcPr>
                <w:p>
                  <w:pPr>
                    <w:adjustRightInd w:val="0"/>
                    <w:snapToGrid w:val="0"/>
                    <w:jc w:val="center"/>
                    <w:rPr>
                      <w:b/>
                      <w:snapToGrid w:val="0"/>
                      <w:color w:val="auto"/>
                      <w:kern w:val="18"/>
                      <w:sz w:val="18"/>
                      <w:szCs w:val="18"/>
                    </w:rPr>
                  </w:pPr>
                  <w:r>
                    <w:rPr>
                      <w:b/>
                      <w:snapToGrid w:val="0"/>
                      <w:color w:val="auto"/>
                      <w:kern w:val="18"/>
                      <w:sz w:val="18"/>
                      <w:szCs w:val="18"/>
                    </w:rPr>
                    <w:t>核算</w:t>
                  </w:r>
                </w:p>
                <w:p>
                  <w:pPr>
                    <w:adjustRightInd w:val="0"/>
                    <w:snapToGrid w:val="0"/>
                    <w:jc w:val="center"/>
                    <w:rPr>
                      <w:b/>
                      <w:snapToGrid w:val="0"/>
                      <w:color w:val="auto"/>
                      <w:kern w:val="18"/>
                      <w:sz w:val="18"/>
                      <w:szCs w:val="18"/>
                    </w:rPr>
                  </w:pPr>
                  <w:r>
                    <w:rPr>
                      <w:b/>
                      <w:snapToGrid w:val="0"/>
                      <w:color w:val="auto"/>
                      <w:kern w:val="18"/>
                      <w:sz w:val="18"/>
                      <w:szCs w:val="18"/>
                    </w:rPr>
                    <w:t>方法</w:t>
                  </w:r>
                </w:p>
              </w:tc>
              <w:tc>
                <w:tcPr>
                  <w:tcW w:w="257"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产生量</w:t>
                  </w:r>
                </w:p>
                <w:p>
                  <w:pPr>
                    <w:adjustRightInd w:val="0"/>
                    <w:snapToGrid w:val="0"/>
                    <w:jc w:val="center"/>
                    <w:rPr>
                      <w:b/>
                      <w:snapToGrid w:val="0"/>
                      <w:color w:val="auto"/>
                      <w:kern w:val="18"/>
                      <w:sz w:val="18"/>
                      <w:szCs w:val="18"/>
                    </w:rPr>
                  </w:pPr>
                  <w:r>
                    <w:rPr>
                      <w:b/>
                      <w:snapToGrid w:val="0"/>
                      <w:color w:val="auto"/>
                      <w:kern w:val="18"/>
                      <w:sz w:val="18"/>
                      <w:szCs w:val="18"/>
                    </w:rPr>
                    <w:t>t/a</w:t>
                  </w:r>
                </w:p>
              </w:tc>
              <w:tc>
                <w:tcPr>
                  <w:tcW w:w="251"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速率</w:t>
                  </w:r>
                </w:p>
                <w:p>
                  <w:pPr>
                    <w:adjustRightInd w:val="0"/>
                    <w:snapToGrid w:val="0"/>
                    <w:jc w:val="center"/>
                    <w:rPr>
                      <w:b/>
                      <w:snapToGrid w:val="0"/>
                      <w:color w:val="auto"/>
                      <w:kern w:val="18"/>
                      <w:sz w:val="18"/>
                      <w:szCs w:val="18"/>
                    </w:rPr>
                  </w:pPr>
                  <w:r>
                    <w:rPr>
                      <w:b/>
                      <w:snapToGrid w:val="0"/>
                      <w:color w:val="auto"/>
                      <w:kern w:val="18"/>
                      <w:sz w:val="18"/>
                      <w:szCs w:val="18"/>
                    </w:rPr>
                    <w:t>kg/h</w:t>
                  </w:r>
                </w:p>
              </w:tc>
              <w:tc>
                <w:tcPr>
                  <w:tcW w:w="298"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浓度</w:t>
                  </w:r>
                </w:p>
                <w:p>
                  <w:pPr>
                    <w:adjustRightInd w:val="0"/>
                    <w:snapToGrid w:val="0"/>
                    <w:jc w:val="center"/>
                    <w:rPr>
                      <w:b/>
                      <w:snapToGrid w:val="0"/>
                      <w:color w:val="auto"/>
                      <w:kern w:val="18"/>
                      <w:sz w:val="18"/>
                      <w:szCs w:val="18"/>
                    </w:rPr>
                  </w:pPr>
                  <w:r>
                    <w:rPr>
                      <w:b/>
                      <w:snapToGrid w:val="0"/>
                      <w:color w:val="auto"/>
                      <w:kern w:val="18"/>
                      <w:sz w:val="18"/>
                      <w:szCs w:val="18"/>
                    </w:rPr>
                    <w:t>mg/m</w:t>
                  </w:r>
                  <w:r>
                    <w:rPr>
                      <w:b/>
                      <w:snapToGrid w:val="0"/>
                      <w:color w:val="auto"/>
                      <w:kern w:val="18"/>
                      <w:sz w:val="18"/>
                      <w:szCs w:val="18"/>
                      <w:vertAlign w:val="superscript"/>
                    </w:rPr>
                    <w:t>3</w:t>
                  </w:r>
                </w:p>
              </w:tc>
              <w:tc>
                <w:tcPr>
                  <w:tcW w:w="391" w:type="pct"/>
                  <w:tcBorders>
                    <w:tl2br w:val="nil"/>
                    <w:tr2bl w:val="nil"/>
                  </w:tcBorders>
                  <w:vAlign w:val="center"/>
                </w:tcPr>
                <w:p>
                  <w:pPr>
                    <w:adjustRightInd w:val="0"/>
                    <w:snapToGrid w:val="0"/>
                    <w:jc w:val="center"/>
                    <w:rPr>
                      <w:b/>
                      <w:snapToGrid w:val="0"/>
                      <w:color w:val="auto"/>
                      <w:kern w:val="18"/>
                      <w:sz w:val="18"/>
                      <w:szCs w:val="18"/>
                    </w:rPr>
                  </w:pPr>
                  <w:r>
                    <w:rPr>
                      <w:b/>
                      <w:snapToGrid w:val="0"/>
                      <w:color w:val="auto"/>
                      <w:kern w:val="18"/>
                      <w:sz w:val="18"/>
                      <w:szCs w:val="18"/>
                    </w:rPr>
                    <w:t>工艺</w:t>
                  </w:r>
                </w:p>
              </w:tc>
              <w:tc>
                <w:tcPr>
                  <w:tcW w:w="317" w:type="pct"/>
                  <w:tcBorders>
                    <w:tl2br w:val="nil"/>
                    <w:tr2bl w:val="nil"/>
                  </w:tcBorders>
                  <w:vAlign w:val="center"/>
                </w:tcPr>
                <w:p>
                  <w:pPr>
                    <w:adjustRightInd w:val="0"/>
                    <w:snapToGrid w:val="0"/>
                    <w:jc w:val="center"/>
                    <w:rPr>
                      <w:b/>
                      <w:snapToGrid w:val="0"/>
                      <w:color w:val="auto"/>
                      <w:kern w:val="18"/>
                      <w:sz w:val="18"/>
                      <w:szCs w:val="18"/>
                    </w:rPr>
                  </w:pPr>
                  <w:r>
                    <w:rPr>
                      <w:b/>
                      <w:snapToGrid w:val="0"/>
                      <w:color w:val="auto"/>
                      <w:kern w:val="18"/>
                      <w:sz w:val="18"/>
                      <w:szCs w:val="18"/>
                    </w:rPr>
                    <w:t>效率</w:t>
                  </w:r>
                </w:p>
              </w:tc>
              <w:tc>
                <w:tcPr>
                  <w:tcW w:w="208" w:type="pct"/>
                  <w:tcBorders>
                    <w:tl2br w:val="nil"/>
                    <w:tr2bl w:val="nil"/>
                  </w:tcBorders>
                  <w:vAlign w:val="center"/>
                </w:tcPr>
                <w:p>
                  <w:pPr>
                    <w:adjustRightInd w:val="0"/>
                    <w:snapToGrid w:val="0"/>
                    <w:jc w:val="center"/>
                    <w:rPr>
                      <w:b/>
                      <w:snapToGrid w:val="0"/>
                      <w:color w:val="auto"/>
                      <w:kern w:val="18"/>
                      <w:sz w:val="18"/>
                      <w:szCs w:val="18"/>
                    </w:rPr>
                  </w:pPr>
                  <w:r>
                    <w:rPr>
                      <w:b/>
                      <w:snapToGrid w:val="0"/>
                      <w:color w:val="auto"/>
                      <w:kern w:val="18"/>
                      <w:sz w:val="18"/>
                      <w:szCs w:val="18"/>
                    </w:rPr>
                    <w:t>核算</w:t>
                  </w:r>
                </w:p>
                <w:p>
                  <w:pPr>
                    <w:adjustRightInd w:val="0"/>
                    <w:snapToGrid w:val="0"/>
                    <w:jc w:val="center"/>
                    <w:rPr>
                      <w:b/>
                      <w:snapToGrid w:val="0"/>
                      <w:color w:val="auto"/>
                      <w:kern w:val="18"/>
                      <w:sz w:val="18"/>
                      <w:szCs w:val="18"/>
                    </w:rPr>
                  </w:pPr>
                  <w:r>
                    <w:rPr>
                      <w:b/>
                      <w:snapToGrid w:val="0"/>
                      <w:color w:val="auto"/>
                      <w:kern w:val="18"/>
                      <w:sz w:val="18"/>
                      <w:szCs w:val="18"/>
                    </w:rPr>
                    <w:t>方法</w:t>
                  </w: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排放量t/a</w:t>
                  </w:r>
                </w:p>
              </w:tc>
              <w:tc>
                <w:tcPr>
                  <w:tcW w:w="311"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速率</w:t>
                  </w:r>
                </w:p>
                <w:p>
                  <w:pPr>
                    <w:adjustRightInd w:val="0"/>
                    <w:snapToGrid w:val="0"/>
                    <w:jc w:val="center"/>
                    <w:rPr>
                      <w:b/>
                      <w:snapToGrid w:val="0"/>
                      <w:color w:val="auto"/>
                      <w:kern w:val="18"/>
                      <w:sz w:val="18"/>
                      <w:szCs w:val="18"/>
                    </w:rPr>
                  </w:pPr>
                  <w:r>
                    <w:rPr>
                      <w:b/>
                      <w:snapToGrid w:val="0"/>
                      <w:color w:val="auto"/>
                      <w:kern w:val="18"/>
                      <w:sz w:val="18"/>
                      <w:szCs w:val="18"/>
                    </w:rPr>
                    <w:t>kg/h</w:t>
                  </w:r>
                </w:p>
              </w:tc>
              <w:tc>
                <w:tcPr>
                  <w:tcW w:w="377"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b/>
                      <w:snapToGrid w:val="0"/>
                      <w:color w:val="auto"/>
                      <w:kern w:val="18"/>
                      <w:sz w:val="18"/>
                      <w:szCs w:val="18"/>
                    </w:rPr>
                    <w:t>浓度</w:t>
                  </w:r>
                </w:p>
                <w:p>
                  <w:pPr>
                    <w:adjustRightInd w:val="0"/>
                    <w:snapToGrid w:val="0"/>
                    <w:jc w:val="center"/>
                    <w:rPr>
                      <w:b/>
                      <w:snapToGrid w:val="0"/>
                      <w:color w:val="auto"/>
                      <w:kern w:val="18"/>
                      <w:sz w:val="18"/>
                      <w:szCs w:val="18"/>
                    </w:rPr>
                  </w:pPr>
                  <w:r>
                    <w:rPr>
                      <w:b/>
                      <w:snapToGrid w:val="0"/>
                      <w:color w:val="auto"/>
                      <w:kern w:val="18"/>
                      <w:sz w:val="18"/>
                      <w:szCs w:val="18"/>
                    </w:rPr>
                    <w:t>mg/m</w:t>
                  </w:r>
                  <w:r>
                    <w:rPr>
                      <w:b/>
                      <w:snapToGrid w:val="0"/>
                      <w:color w:val="auto"/>
                      <w:kern w:val="18"/>
                      <w:sz w:val="18"/>
                      <w:szCs w:val="18"/>
                      <w:vertAlign w:val="superscript"/>
                    </w:rPr>
                    <w:t>3</w:t>
                  </w:r>
                </w:p>
              </w:tc>
              <w:tc>
                <w:tcPr>
                  <w:tcW w:w="255" w:type="pct"/>
                  <w:tcBorders>
                    <w:tl2br w:val="nil"/>
                    <w:tr2bl w:val="nil"/>
                  </w:tcBorders>
                  <w:tcMar>
                    <w:top w:w="28" w:type="dxa"/>
                    <w:left w:w="28" w:type="dxa"/>
                    <w:bottom w:w="28" w:type="dxa"/>
                    <w:right w:w="28" w:type="dxa"/>
                  </w:tcMar>
                  <w:vAlign w:val="center"/>
                </w:tcPr>
                <w:p>
                  <w:pPr>
                    <w:adjustRightInd w:val="0"/>
                    <w:snapToGrid w:val="0"/>
                    <w:jc w:val="center"/>
                    <w:rPr>
                      <w:rFonts w:hint="eastAsia" w:eastAsia="宋体"/>
                      <w:b/>
                      <w:snapToGrid w:val="0"/>
                      <w:color w:val="auto"/>
                      <w:kern w:val="18"/>
                      <w:sz w:val="18"/>
                      <w:szCs w:val="18"/>
                      <w:lang w:val="en-US" w:eastAsia="zh-CN"/>
                    </w:rPr>
                  </w:pPr>
                  <w:r>
                    <w:rPr>
                      <w:rFonts w:hint="eastAsia"/>
                      <w:b/>
                      <w:snapToGrid w:val="0"/>
                      <w:color w:val="auto"/>
                      <w:kern w:val="18"/>
                      <w:sz w:val="18"/>
                      <w:szCs w:val="18"/>
                      <w:lang w:val="en-US" w:eastAsia="zh-CN"/>
                    </w:rPr>
                    <w:t>风量</w:t>
                  </w:r>
                  <w:r>
                    <w:rPr>
                      <w:rFonts w:hint="eastAsia"/>
                      <w:b/>
                      <w:bCs/>
                      <w:color w:val="auto"/>
                      <w:sz w:val="18"/>
                      <w:szCs w:val="18"/>
                    </w:rPr>
                    <w:t>m</w:t>
                  </w:r>
                  <w:r>
                    <w:rPr>
                      <w:rFonts w:hint="eastAsia"/>
                      <w:b/>
                      <w:bCs/>
                      <w:color w:val="auto"/>
                      <w:sz w:val="18"/>
                      <w:szCs w:val="18"/>
                      <w:vertAlign w:val="superscript"/>
                    </w:rPr>
                    <w:t>3</w:t>
                  </w:r>
                  <w:r>
                    <w:rPr>
                      <w:rFonts w:hint="eastAsia"/>
                      <w:b/>
                      <w:bCs/>
                      <w:color w:val="auto"/>
                      <w:sz w:val="18"/>
                      <w:szCs w:val="18"/>
                    </w:rPr>
                    <w:t>/</w:t>
                  </w:r>
                  <w:r>
                    <w:rPr>
                      <w:rFonts w:hint="eastAsia"/>
                      <w:b/>
                      <w:bCs/>
                      <w:color w:val="auto"/>
                      <w:sz w:val="18"/>
                      <w:szCs w:val="18"/>
                      <w:lang w:val="en-US" w:eastAsia="zh-CN"/>
                    </w:rPr>
                    <w:t>h</w:t>
                  </w:r>
                </w:p>
              </w:tc>
              <w:tc>
                <w:tcPr>
                  <w:tcW w:w="222"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rFonts w:hint="eastAsia"/>
                      <w:b/>
                      <w:snapToGrid w:val="0"/>
                      <w:color w:val="auto"/>
                      <w:kern w:val="18"/>
                      <w:sz w:val="18"/>
                      <w:szCs w:val="18"/>
                    </w:rPr>
                    <w:t>高度</w:t>
                  </w:r>
                </w:p>
              </w:tc>
              <w:tc>
                <w:tcPr>
                  <w:tcW w:w="222"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rFonts w:hint="eastAsia"/>
                      <w:b/>
                      <w:snapToGrid w:val="0"/>
                      <w:color w:val="auto"/>
                      <w:kern w:val="18"/>
                      <w:sz w:val="18"/>
                      <w:szCs w:val="18"/>
                    </w:rPr>
                    <w:t>直径</w:t>
                  </w:r>
                </w:p>
              </w:tc>
              <w:tc>
                <w:tcPr>
                  <w:tcW w:w="236" w:type="pct"/>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r>
                    <w:rPr>
                      <w:rFonts w:hint="eastAsia"/>
                      <w:b/>
                      <w:snapToGrid w:val="0"/>
                      <w:color w:val="auto"/>
                      <w:kern w:val="18"/>
                      <w:sz w:val="18"/>
                      <w:szCs w:val="18"/>
                    </w:rPr>
                    <w:t>温度</w:t>
                  </w:r>
                </w:p>
              </w:tc>
              <w:tc>
                <w:tcPr>
                  <w:tcW w:w="225" w:type="pct"/>
                  <w:vMerge w:val="continue"/>
                  <w:tcBorders>
                    <w:tl2br w:val="nil"/>
                    <w:tr2bl w:val="nil"/>
                  </w:tcBorders>
                  <w:tcMar>
                    <w:top w:w="28" w:type="dxa"/>
                    <w:left w:w="28" w:type="dxa"/>
                    <w:bottom w:w="28" w:type="dxa"/>
                    <w:right w:w="28" w:type="dxa"/>
                  </w:tcMar>
                  <w:vAlign w:val="center"/>
                </w:tcPr>
                <w:p>
                  <w:pPr>
                    <w:adjustRightInd w:val="0"/>
                    <w:snapToGrid w:val="0"/>
                    <w:jc w:val="center"/>
                    <w:rPr>
                      <w:b/>
                      <w:snapToGrid w:val="0"/>
                      <w:color w:val="auto"/>
                      <w:kern w:val="18"/>
                      <w:sz w:val="18"/>
                      <w:szCs w:val="18"/>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tcBorders>
                    <w:tl2br w:val="nil"/>
                    <w:tr2bl w:val="nil"/>
                  </w:tcBorders>
                  <w:vAlign w:val="center"/>
                </w:tcPr>
                <w:p>
                  <w:pPr>
                    <w:widowControl/>
                    <w:jc w:val="center"/>
                    <w:rPr>
                      <w:rFonts w:hint="default" w:eastAsia="宋体"/>
                      <w:color w:val="auto"/>
                      <w:sz w:val="18"/>
                      <w:szCs w:val="18"/>
                      <w:lang w:val="en-US" w:eastAsia="zh-CN"/>
                    </w:rPr>
                  </w:pPr>
                  <w:r>
                    <w:rPr>
                      <w:rFonts w:hint="eastAsia"/>
                      <w:color w:val="auto"/>
                      <w:sz w:val="18"/>
                      <w:szCs w:val="18"/>
                      <w:lang w:val="en-US" w:eastAsia="zh-CN"/>
                    </w:rPr>
                    <w:t>喷砂工序</w:t>
                  </w:r>
                </w:p>
              </w:tc>
              <w:tc>
                <w:tcPr>
                  <w:tcW w:w="182" w:type="pc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喷砂机</w:t>
                  </w:r>
                </w:p>
              </w:tc>
              <w:tc>
                <w:tcPr>
                  <w:tcW w:w="188" w:type="pct"/>
                  <w:vMerge w:val="restart"/>
                  <w:tcBorders>
                    <w:tl2br w:val="nil"/>
                    <w:tr2bl w:val="nil"/>
                  </w:tcBorders>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排气筒DA001</w:t>
                  </w:r>
                </w:p>
              </w:tc>
              <w:tc>
                <w:tcPr>
                  <w:tcW w:w="186" w:type="pct"/>
                  <w:tcBorders>
                    <w:tl2br w:val="nil"/>
                    <w:tr2bl w:val="nil"/>
                  </w:tcBorders>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颗粒物</w:t>
                  </w:r>
                </w:p>
              </w:tc>
              <w:tc>
                <w:tcPr>
                  <w:tcW w:w="262" w:type="pc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20000</w:t>
                  </w:r>
                </w:p>
              </w:tc>
              <w:tc>
                <w:tcPr>
                  <w:tcW w:w="144" w:type="pct"/>
                  <w:vMerge w:val="restar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产污系数法</w:t>
                  </w:r>
                </w:p>
              </w:tc>
              <w:tc>
                <w:tcPr>
                  <w:tcW w:w="257"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12.48</w:t>
                  </w:r>
                </w:p>
              </w:tc>
              <w:tc>
                <w:tcPr>
                  <w:tcW w:w="251"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4.16</w:t>
                  </w:r>
                </w:p>
              </w:tc>
              <w:tc>
                <w:tcPr>
                  <w:tcW w:w="298"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208.0</w:t>
                  </w:r>
                </w:p>
              </w:tc>
              <w:tc>
                <w:tcPr>
                  <w:tcW w:w="391" w:type="pc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设备自带的布袋除尘器（TA001）</w:t>
                  </w:r>
                </w:p>
              </w:tc>
              <w:tc>
                <w:tcPr>
                  <w:tcW w:w="317" w:type="pc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99%</w:t>
                  </w:r>
                </w:p>
              </w:tc>
              <w:tc>
                <w:tcPr>
                  <w:tcW w:w="208"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89"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0.125</w:t>
                  </w:r>
                </w:p>
              </w:tc>
              <w:tc>
                <w:tcPr>
                  <w:tcW w:w="311"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0.042</w:t>
                  </w:r>
                </w:p>
              </w:tc>
              <w:tc>
                <w:tcPr>
                  <w:tcW w:w="377"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w:t>
                  </w:r>
                </w:p>
              </w:tc>
              <w:tc>
                <w:tcPr>
                  <w:tcW w:w="255"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40000</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15</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rPr>
                  </w:pPr>
                </w:p>
              </w:tc>
              <w:tc>
                <w:tcPr>
                  <w:tcW w:w="236"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25℃</w:t>
                  </w: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3000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抛丸工序</w:t>
                  </w:r>
                </w:p>
              </w:tc>
              <w:tc>
                <w:tcPr>
                  <w:tcW w:w="182" w:type="pct"/>
                  <w:tcBorders>
                    <w:tl2br w:val="nil"/>
                    <w:tr2bl w:val="nil"/>
                  </w:tcBorders>
                  <w:vAlign w:val="center"/>
                </w:tcPr>
                <w:p>
                  <w:pPr>
                    <w:widowControl/>
                    <w:jc w:val="center"/>
                    <w:rPr>
                      <w:rFonts w:hint="eastAsia" w:cs="Times New Roman"/>
                      <w:color w:val="auto"/>
                      <w:kern w:val="2"/>
                      <w:sz w:val="18"/>
                      <w:szCs w:val="18"/>
                      <w:lang w:val="en-US" w:eastAsia="zh-CN" w:bidi="ar-SA"/>
                    </w:rPr>
                  </w:pPr>
                  <w:r>
                    <w:rPr>
                      <w:rFonts w:hint="eastAsia" w:cs="Times New Roman"/>
                      <w:color w:val="auto"/>
                      <w:kern w:val="2"/>
                      <w:sz w:val="18"/>
                      <w:szCs w:val="18"/>
                      <w:lang w:val="en-US" w:eastAsia="zh-CN" w:bidi="ar-SA"/>
                    </w:rPr>
                    <w:t>抛丸机</w:t>
                  </w:r>
                </w:p>
              </w:tc>
              <w:tc>
                <w:tcPr>
                  <w:tcW w:w="188" w:type="pct"/>
                  <w:vMerge w:val="continue"/>
                  <w:tcBorders>
                    <w:tl2br w:val="nil"/>
                    <w:tr2bl w:val="nil"/>
                  </w:tcBorders>
                  <w:vAlign w:val="center"/>
                </w:tcPr>
                <w:p>
                  <w:pPr>
                    <w:widowControl/>
                    <w:jc w:val="center"/>
                    <w:rPr>
                      <w:rFonts w:hint="default" w:cs="Times New Roman"/>
                      <w:color w:val="auto"/>
                      <w:kern w:val="2"/>
                      <w:sz w:val="18"/>
                      <w:szCs w:val="18"/>
                      <w:lang w:val="en-US" w:eastAsia="zh-CN" w:bidi="ar-SA"/>
                    </w:rPr>
                  </w:pPr>
                </w:p>
              </w:tc>
              <w:tc>
                <w:tcPr>
                  <w:tcW w:w="186" w:type="pct"/>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颗粒物</w:t>
                  </w:r>
                </w:p>
              </w:tc>
              <w:tc>
                <w:tcPr>
                  <w:tcW w:w="262" w:type="pct"/>
                  <w:tcBorders>
                    <w:tl2br w:val="nil"/>
                    <w:tr2bl w:val="nil"/>
                  </w:tcBorders>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20000</w:t>
                  </w:r>
                </w:p>
              </w:tc>
              <w:tc>
                <w:tcPr>
                  <w:tcW w:w="144" w:type="pct"/>
                  <w:vMerge w:val="continue"/>
                  <w:tcBorders>
                    <w:tl2br w:val="nil"/>
                    <w:tr2bl w:val="nil"/>
                  </w:tcBorders>
                  <w:vAlign w:val="center"/>
                </w:tcPr>
                <w:p>
                  <w:pPr>
                    <w:adjustRightInd w:val="0"/>
                    <w:snapToGrid w:val="0"/>
                    <w:jc w:val="center"/>
                    <w:rPr>
                      <w:b w:val="0"/>
                      <w:bCs/>
                      <w:snapToGrid w:val="0"/>
                      <w:color w:val="auto"/>
                      <w:kern w:val="18"/>
                      <w:sz w:val="18"/>
                      <w:szCs w:val="18"/>
                    </w:rPr>
                  </w:pPr>
                </w:p>
              </w:tc>
              <w:tc>
                <w:tcPr>
                  <w:tcW w:w="257"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18.21</w:t>
                  </w:r>
                </w:p>
              </w:tc>
              <w:tc>
                <w:tcPr>
                  <w:tcW w:w="251"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6.07</w:t>
                  </w:r>
                </w:p>
              </w:tc>
              <w:tc>
                <w:tcPr>
                  <w:tcW w:w="298"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303.5</w:t>
                  </w:r>
                </w:p>
              </w:tc>
              <w:tc>
                <w:tcPr>
                  <w:tcW w:w="391" w:type="pct"/>
                  <w:tcBorders>
                    <w:tl2br w:val="nil"/>
                    <w:tr2bl w:val="nil"/>
                  </w:tcBorders>
                  <w:vAlign w:val="center"/>
                </w:tcPr>
                <w:p>
                  <w:pPr>
                    <w:adjustRightInd w:val="0"/>
                    <w:snapToGrid w:val="0"/>
                    <w:jc w:val="center"/>
                    <w:rPr>
                      <w:b w:val="0"/>
                      <w:bCs/>
                      <w:snapToGrid w:val="0"/>
                      <w:color w:val="auto"/>
                      <w:kern w:val="18"/>
                      <w:sz w:val="18"/>
                      <w:szCs w:val="18"/>
                    </w:rPr>
                  </w:pPr>
                  <w:r>
                    <w:rPr>
                      <w:rFonts w:hint="eastAsia"/>
                      <w:b w:val="0"/>
                      <w:bCs/>
                      <w:snapToGrid w:val="0"/>
                      <w:color w:val="auto"/>
                      <w:kern w:val="18"/>
                      <w:sz w:val="18"/>
                      <w:szCs w:val="18"/>
                      <w:lang w:val="en-US" w:eastAsia="zh-CN"/>
                    </w:rPr>
                    <w:t>设备自带的布袋除尘器（TA002）</w:t>
                  </w:r>
                </w:p>
              </w:tc>
              <w:tc>
                <w:tcPr>
                  <w:tcW w:w="317" w:type="pct"/>
                  <w:tcBorders>
                    <w:tl2br w:val="nil"/>
                    <w:tr2bl w:val="nil"/>
                  </w:tcBorders>
                  <w:vAlign w:val="center"/>
                </w:tcPr>
                <w:p>
                  <w:pPr>
                    <w:adjustRightInd w:val="0"/>
                    <w:snapToGrid w:val="0"/>
                    <w:jc w:val="center"/>
                    <w:rPr>
                      <w:b w:val="0"/>
                      <w:bCs/>
                      <w:snapToGrid w:val="0"/>
                      <w:color w:val="auto"/>
                      <w:kern w:val="18"/>
                      <w:sz w:val="18"/>
                      <w:szCs w:val="18"/>
                    </w:rPr>
                  </w:pPr>
                  <w:r>
                    <w:rPr>
                      <w:rFonts w:hint="eastAsia"/>
                      <w:b w:val="0"/>
                      <w:bCs/>
                      <w:snapToGrid w:val="0"/>
                      <w:color w:val="auto"/>
                      <w:kern w:val="18"/>
                      <w:sz w:val="18"/>
                      <w:szCs w:val="18"/>
                      <w:lang w:val="en-US" w:eastAsia="zh-CN"/>
                    </w:rPr>
                    <w:t>99%</w:t>
                  </w:r>
                </w:p>
              </w:tc>
              <w:tc>
                <w:tcPr>
                  <w:tcW w:w="20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89"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0.182</w:t>
                  </w:r>
                </w:p>
              </w:tc>
              <w:tc>
                <w:tcPr>
                  <w:tcW w:w="311"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0.061</w:t>
                  </w:r>
                </w:p>
              </w:tc>
              <w:tc>
                <w:tcPr>
                  <w:tcW w:w="377"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3000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355" w:type="pct"/>
                  <w:gridSpan w:val="2"/>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合计</w:t>
                  </w:r>
                </w:p>
              </w:tc>
              <w:tc>
                <w:tcPr>
                  <w:tcW w:w="188" w:type="pct"/>
                  <w:vMerge w:val="continue"/>
                  <w:tcBorders>
                    <w:tl2br w:val="nil"/>
                    <w:tr2bl w:val="nil"/>
                  </w:tcBorders>
                  <w:vAlign w:val="center"/>
                </w:tcPr>
                <w:p>
                  <w:pPr>
                    <w:widowControl/>
                    <w:jc w:val="center"/>
                    <w:rPr>
                      <w:rFonts w:hint="default" w:cs="Times New Roman"/>
                      <w:color w:val="auto"/>
                      <w:kern w:val="2"/>
                      <w:sz w:val="18"/>
                      <w:szCs w:val="18"/>
                      <w:lang w:val="en-US" w:eastAsia="zh-CN" w:bidi="ar-SA"/>
                    </w:rPr>
                  </w:pPr>
                </w:p>
              </w:tc>
              <w:tc>
                <w:tcPr>
                  <w:tcW w:w="186" w:type="pct"/>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颗粒物</w:t>
                  </w:r>
                </w:p>
              </w:tc>
              <w:tc>
                <w:tcPr>
                  <w:tcW w:w="262"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40000</w:t>
                  </w:r>
                </w:p>
              </w:tc>
              <w:tc>
                <w:tcPr>
                  <w:tcW w:w="144" w:type="pct"/>
                  <w:vMerge w:val="continue"/>
                  <w:tcBorders>
                    <w:tl2br w:val="nil"/>
                    <w:tr2bl w:val="nil"/>
                  </w:tcBorders>
                  <w:vAlign w:val="center"/>
                </w:tcPr>
                <w:p>
                  <w:pPr>
                    <w:adjustRightInd w:val="0"/>
                    <w:snapToGrid w:val="0"/>
                    <w:jc w:val="center"/>
                    <w:rPr>
                      <w:b w:val="0"/>
                      <w:bCs/>
                      <w:snapToGrid w:val="0"/>
                      <w:color w:val="auto"/>
                      <w:kern w:val="18"/>
                      <w:sz w:val="18"/>
                      <w:szCs w:val="18"/>
                    </w:rPr>
                  </w:pPr>
                </w:p>
              </w:tc>
              <w:tc>
                <w:tcPr>
                  <w:tcW w:w="257"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30.69</w:t>
                  </w:r>
                </w:p>
              </w:tc>
              <w:tc>
                <w:tcPr>
                  <w:tcW w:w="251"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10.13</w:t>
                  </w:r>
                </w:p>
              </w:tc>
              <w:tc>
                <w:tcPr>
                  <w:tcW w:w="298"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253.25</w:t>
                  </w:r>
                </w:p>
              </w:tc>
              <w:tc>
                <w:tcPr>
                  <w:tcW w:w="391"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布袋除尘器（TA001、TA002）</w:t>
                  </w:r>
                </w:p>
              </w:tc>
              <w:tc>
                <w:tcPr>
                  <w:tcW w:w="317"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99%</w:t>
                  </w:r>
                </w:p>
              </w:tc>
              <w:tc>
                <w:tcPr>
                  <w:tcW w:w="20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89"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0.307</w:t>
                  </w:r>
                </w:p>
              </w:tc>
              <w:tc>
                <w:tcPr>
                  <w:tcW w:w="311"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0.102</w:t>
                  </w:r>
                </w:p>
              </w:tc>
              <w:tc>
                <w:tcPr>
                  <w:tcW w:w="377" w:type="pct"/>
                  <w:tcBorders>
                    <w:tl2br w:val="nil"/>
                    <w:tr2bl w:val="nil"/>
                  </w:tcBorders>
                  <w:tcMar>
                    <w:top w:w="28" w:type="dxa"/>
                    <w:left w:w="28" w:type="dxa"/>
                    <w:bottom w:w="28" w:type="dxa"/>
                    <w:right w:w="28" w:type="dxa"/>
                  </w:tcMar>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2.55</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3000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喷塑废气</w:t>
                  </w:r>
                </w:p>
              </w:tc>
              <w:tc>
                <w:tcPr>
                  <w:tcW w:w="18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喷塑装置</w:t>
                  </w:r>
                </w:p>
              </w:tc>
              <w:tc>
                <w:tcPr>
                  <w:tcW w:w="188" w:type="pct"/>
                  <w:vMerge w:val="restar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排气筒DA002</w:t>
                  </w:r>
                </w:p>
              </w:tc>
              <w:tc>
                <w:tcPr>
                  <w:tcW w:w="186" w:type="pct"/>
                  <w:tcBorders>
                    <w:tl2br w:val="nil"/>
                    <w:tr2bl w:val="nil"/>
                  </w:tcBorders>
                  <w:vAlign w:val="center"/>
                </w:tcPr>
                <w:p>
                  <w:pPr>
                    <w:widowControl/>
                    <w:jc w:val="center"/>
                    <w:rPr>
                      <w:rFonts w:hint="eastAsia" w:cs="Times New Roman"/>
                      <w:color w:val="auto"/>
                      <w:kern w:val="2"/>
                      <w:sz w:val="18"/>
                      <w:szCs w:val="18"/>
                      <w:lang w:val="en-US" w:eastAsia="zh-CN" w:bidi="ar-SA"/>
                    </w:rPr>
                  </w:pPr>
                  <w:r>
                    <w:rPr>
                      <w:rFonts w:hint="eastAsia" w:cs="Times New Roman"/>
                      <w:color w:val="auto"/>
                      <w:kern w:val="2"/>
                      <w:sz w:val="18"/>
                      <w:szCs w:val="18"/>
                      <w:lang w:val="en-US" w:eastAsia="zh-CN" w:bidi="ar-SA"/>
                    </w:rPr>
                    <w:t>颗粒物</w:t>
                  </w:r>
                </w:p>
              </w:tc>
              <w:tc>
                <w:tcPr>
                  <w:tcW w:w="262" w:type="pct"/>
                  <w:tcBorders>
                    <w:tl2br w:val="nil"/>
                    <w:tr2bl w:val="nil"/>
                  </w:tcBorders>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25</w:t>
                  </w:r>
                  <w:r>
                    <w:rPr>
                      <w:rFonts w:hint="eastAsia" w:ascii="Times New Roman" w:hAnsi="Times New Roman" w:eastAsia="宋体" w:cs="Times New Roman"/>
                      <w:b w:val="0"/>
                      <w:bCs/>
                      <w:snapToGrid w:val="0"/>
                      <w:color w:val="auto"/>
                      <w:kern w:val="18"/>
                      <w:sz w:val="18"/>
                      <w:szCs w:val="18"/>
                      <w:lang w:val="en-US" w:eastAsia="zh-CN" w:bidi="ar-SA"/>
                    </w:rPr>
                    <w:t>00</w:t>
                  </w:r>
                </w:p>
              </w:tc>
              <w:tc>
                <w:tcPr>
                  <w:tcW w:w="144"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57"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0.168</w:t>
                  </w:r>
                </w:p>
              </w:tc>
              <w:tc>
                <w:tcPr>
                  <w:tcW w:w="251"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0.056</w:t>
                  </w:r>
                </w:p>
              </w:tc>
              <w:tc>
                <w:tcPr>
                  <w:tcW w:w="298"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22.4</w:t>
                  </w:r>
                </w:p>
              </w:tc>
              <w:tc>
                <w:tcPr>
                  <w:tcW w:w="391"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设备自带塑粉回收滤筒（TA003）</w:t>
                  </w:r>
                </w:p>
              </w:tc>
              <w:tc>
                <w:tcPr>
                  <w:tcW w:w="317"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0.034</w:t>
                  </w:r>
                </w:p>
              </w:tc>
              <w:tc>
                <w:tcPr>
                  <w:tcW w:w="311" w:type="pct"/>
                  <w:tcBorders>
                    <w:tl2br w:val="nil"/>
                    <w:tr2bl w:val="nil"/>
                  </w:tcBorders>
                  <w:tcMar>
                    <w:top w:w="28" w:type="dxa"/>
                    <w:left w:w="28" w:type="dxa"/>
                    <w:bottom w:w="28" w:type="dxa"/>
                    <w:right w:w="28" w:type="dxa"/>
                  </w:tcMar>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0.011</w:t>
                  </w:r>
                </w:p>
              </w:tc>
              <w:tc>
                <w:tcPr>
                  <w:tcW w:w="377" w:type="pct"/>
                  <w:tcBorders>
                    <w:tl2br w:val="nil"/>
                    <w:tr2bl w:val="nil"/>
                  </w:tcBorders>
                  <w:tcMar>
                    <w:top w:w="28" w:type="dxa"/>
                    <w:left w:w="28" w:type="dxa"/>
                    <w:bottom w:w="28" w:type="dxa"/>
                    <w:right w:w="28" w:type="dxa"/>
                  </w:tcMar>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2.2</w:t>
                  </w:r>
                </w:p>
              </w:tc>
              <w:tc>
                <w:tcPr>
                  <w:tcW w:w="255"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5000</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15</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r>
                    <w:rPr>
                      <w:rFonts w:hint="eastAsia"/>
                      <w:b w:val="0"/>
                      <w:bCs/>
                      <w:snapToGrid w:val="0"/>
                      <w:color w:val="auto"/>
                      <w:kern w:val="18"/>
                      <w:sz w:val="18"/>
                      <w:szCs w:val="18"/>
                      <w:lang w:val="en-US" w:eastAsia="zh-CN"/>
                    </w:rPr>
                    <w:t>25℃</w:t>
                  </w: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3000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固化废气</w:t>
                  </w:r>
                </w:p>
              </w:tc>
              <w:tc>
                <w:tcPr>
                  <w:tcW w:w="18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固化烘道</w:t>
                  </w:r>
                </w:p>
              </w:tc>
              <w:tc>
                <w:tcPr>
                  <w:tcW w:w="188" w:type="pct"/>
                  <w:vMerge w:val="continue"/>
                  <w:tcBorders>
                    <w:tl2br w:val="nil"/>
                    <w:tr2bl w:val="nil"/>
                  </w:tcBorders>
                  <w:vAlign w:val="center"/>
                </w:tcPr>
                <w:p>
                  <w:pPr>
                    <w:widowControl/>
                    <w:jc w:val="center"/>
                    <w:rPr>
                      <w:rFonts w:hint="eastAsia" w:cs="Times New Roman"/>
                      <w:color w:val="auto"/>
                      <w:kern w:val="2"/>
                      <w:sz w:val="18"/>
                      <w:szCs w:val="18"/>
                      <w:lang w:val="en-US" w:eastAsia="zh-CN" w:bidi="ar-SA"/>
                    </w:rPr>
                  </w:pPr>
                </w:p>
              </w:tc>
              <w:tc>
                <w:tcPr>
                  <w:tcW w:w="186" w:type="pct"/>
                  <w:tcBorders>
                    <w:tl2br w:val="nil"/>
                    <w:tr2bl w:val="nil"/>
                  </w:tcBorders>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非甲烷总烃</w:t>
                  </w:r>
                </w:p>
              </w:tc>
              <w:tc>
                <w:tcPr>
                  <w:tcW w:w="262" w:type="pct"/>
                  <w:tcBorders>
                    <w:tl2br w:val="nil"/>
                    <w:tr2bl w:val="nil"/>
                  </w:tcBorders>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25</w:t>
                  </w:r>
                  <w:r>
                    <w:rPr>
                      <w:rFonts w:hint="eastAsia" w:ascii="Times New Roman" w:hAnsi="Times New Roman" w:eastAsia="宋体" w:cs="Times New Roman"/>
                      <w:b w:val="0"/>
                      <w:bCs/>
                      <w:snapToGrid w:val="0"/>
                      <w:color w:val="auto"/>
                      <w:kern w:val="18"/>
                      <w:sz w:val="18"/>
                      <w:szCs w:val="18"/>
                      <w:lang w:val="en-US" w:eastAsia="zh-CN" w:bidi="ar-SA"/>
                    </w:rPr>
                    <w:t>00</w:t>
                  </w:r>
                </w:p>
              </w:tc>
              <w:tc>
                <w:tcPr>
                  <w:tcW w:w="144"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57"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0.066</w:t>
                  </w:r>
                </w:p>
              </w:tc>
              <w:tc>
                <w:tcPr>
                  <w:tcW w:w="251"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0.022</w:t>
                  </w:r>
                </w:p>
              </w:tc>
              <w:tc>
                <w:tcPr>
                  <w:tcW w:w="298" w:type="pct"/>
                  <w:tcBorders>
                    <w:tl2br w:val="nil"/>
                    <w:tr2bl w:val="nil"/>
                  </w:tcBorders>
                  <w:tcMar>
                    <w:top w:w="28" w:type="dxa"/>
                    <w:left w:w="28" w:type="dxa"/>
                    <w:bottom w:w="28" w:type="dxa"/>
                    <w:right w:w="28" w:type="dxa"/>
                  </w:tcMar>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8.8</w:t>
                  </w:r>
                </w:p>
              </w:tc>
              <w:tc>
                <w:tcPr>
                  <w:tcW w:w="391"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二级活性炭吸附设备（TA004）</w:t>
                  </w:r>
                </w:p>
              </w:tc>
              <w:tc>
                <w:tcPr>
                  <w:tcW w:w="317" w:type="pct"/>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0.013</w:t>
                  </w:r>
                </w:p>
              </w:tc>
              <w:tc>
                <w:tcPr>
                  <w:tcW w:w="311" w:type="pct"/>
                  <w:tcBorders>
                    <w:tl2br w:val="nil"/>
                    <w:tr2bl w:val="nil"/>
                  </w:tcBorders>
                  <w:tcMar>
                    <w:top w:w="28" w:type="dxa"/>
                    <w:left w:w="28" w:type="dxa"/>
                    <w:bottom w:w="28" w:type="dxa"/>
                    <w:right w:w="28" w:type="dxa"/>
                  </w:tcMar>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0.004</w:t>
                  </w:r>
                </w:p>
              </w:tc>
              <w:tc>
                <w:tcPr>
                  <w:tcW w:w="377" w:type="pct"/>
                  <w:tcBorders>
                    <w:tl2br w:val="nil"/>
                    <w:tr2bl w:val="nil"/>
                  </w:tcBorders>
                  <w:tcMar>
                    <w:top w:w="28" w:type="dxa"/>
                    <w:left w:w="28" w:type="dxa"/>
                    <w:bottom w:w="28" w:type="dxa"/>
                    <w:right w:w="28" w:type="dxa"/>
                  </w:tcMar>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0.8</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lang w:val="en-US" w:eastAsia="zh-CN"/>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snapToGrid w:val="0"/>
                      <w:color w:val="auto"/>
                      <w:kern w:val="18"/>
                      <w:sz w:val="18"/>
                      <w:szCs w:val="18"/>
                      <w:lang w:val="en-US" w:eastAsia="zh-CN"/>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3000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喷锌废气</w:t>
                  </w:r>
                </w:p>
              </w:tc>
              <w:tc>
                <w:tcPr>
                  <w:tcW w:w="182" w:type="pct"/>
                  <w:tcBorders>
                    <w:tl2br w:val="nil"/>
                    <w:tr2bl w:val="nil"/>
                  </w:tcBorders>
                  <w:vAlign w:val="center"/>
                </w:tcPr>
                <w:p>
                  <w:pPr>
                    <w:widowControl/>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喷锌室</w:t>
                  </w:r>
                </w:p>
              </w:tc>
              <w:tc>
                <w:tcPr>
                  <w:tcW w:w="188"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cs="Times New Roman"/>
                      <w:color w:val="auto"/>
                      <w:kern w:val="2"/>
                      <w:sz w:val="18"/>
                      <w:szCs w:val="18"/>
                      <w:lang w:val="en-US" w:eastAsia="zh-CN" w:bidi="ar-SA"/>
                    </w:rPr>
                    <w:t>排气筒DA003</w:t>
                  </w:r>
                </w:p>
                <w:p>
                  <w:pPr>
                    <w:adjustRightInd w:val="0"/>
                    <w:snapToGrid w:val="0"/>
                    <w:jc w:val="center"/>
                    <w:rPr>
                      <w:rFonts w:hint="eastAsia" w:ascii="Times New Roman" w:hAnsi="Times New Roman" w:eastAsia="宋体" w:cs="Times New Roman"/>
                      <w:b/>
                      <w:snapToGrid w:val="0"/>
                      <w:color w:val="auto"/>
                      <w:kern w:val="18"/>
                      <w:sz w:val="18"/>
                      <w:szCs w:val="18"/>
                      <w:lang w:val="en-US" w:eastAsia="zh-CN" w:bidi="ar-SA"/>
                    </w:rPr>
                  </w:pPr>
                </w:p>
              </w:tc>
              <w:tc>
                <w:tcPr>
                  <w:tcW w:w="186" w:type="pct"/>
                  <w:tcBorders>
                    <w:tl2br w:val="nil"/>
                    <w:tr2bl w:val="nil"/>
                  </w:tcBorders>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颗粒物</w:t>
                  </w:r>
                </w:p>
              </w:tc>
              <w:tc>
                <w:tcPr>
                  <w:tcW w:w="262" w:type="pct"/>
                  <w:tcBorders>
                    <w:tl2br w:val="nil"/>
                    <w:tr2bl w:val="nil"/>
                  </w:tcBorders>
                  <w:vAlign w:val="center"/>
                </w:tcPr>
                <w:p>
                  <w:pPr>
                    <w:adjustRightInd w:val="0"/>
                    <w:snapToGrid w:val="0"/>
                    <w:jc w:val="center"/>
                    <w:rPr>
                      <w:rFonts w:hint="default" w:eastAsia="宋体"/>
                      <w:b/>
                      <w:snapToGrid w:val="0"/>
                      <w:color w:val="auto"/>
                      <w:kern w:val="18"/>
                      <w:sz w:val="18"/>
                      <w:szCs w:val="18"/>
                      <w:lang w:val="en-US" w:eastAsia="zh-CN"/>
                    </w:rPr>
                  </w:pPr>
                  <w:r>
                    <w:rPr>
                      <w:rFonts w:hint="eastAsia" w:cs="Times New Roman"/>
                      <w:b w:val="0"/>
                      <w:bCs/>
                      <w:snapToGrid w:val="0"/>
                      <w:color w:val="auto"/>
                      <w:kern w:val="18"/>
                      <w:sz w:val="18"/>
                      <w:szCs w:val="18"/>
                      <w:lang w:val="en-US" w:eastAsia="zh-CN" w:bidi="ar-SA"/>
                    </w:rPr>
                    <w:t>10000</w:t>
                  </w:r>
                </w:p>
              </w:tc>
              <w:tc>
                <w:tcPr>
                  <w:tcW w:w="144" w:type="pc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57"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0.24</w:t>
                  </w:r>
                </w:p>
              </w:tc>
              <w:tc>
                <w:tcPr>
                  <w:tcW w:w="251"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0.133</w:t>
                  </w:r>
                </w:p>
              </w:tc>
              <w:tc>
                <w:tcPr>
                  <w:tcW w:w="298" w:type="pct"/>
                  <w:tcBorders>
                    <w:tl2br w:val="nil"/>
                    <w:tr2bl w:val="nil"/>
                  </w:tcBorders>
                  <w:tcMar>
                    <w:top w:w="28" w:type="dxa"/>
                    <w:left w:w="28" w:type="dxa"/>
                    <w:bottom w:w="28" w:type="dxa"/>
                    <w:right w:w="28" w:type="dxa"/>
                  </w:tcMar>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13.3</w:t>
                  </w:r>
                </w:p>
              </w:tc>
              <w:tc>
                <w:tcPr>
                  <w:tcW w:w="391"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布袋除尘器（TA005）</w:t>
                  </w:r>
                </w:p>
              </w:tc>
              <w:tc>
                <w:tcPr>
                  <w:tcW w:w="317"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95%</w:t>
                  </w:r>
                </w:p>
              </w:tc>
              <w:tc>
                <w:tcPr>
                  <w:tcW w:w="208" w:type="pc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0.012</w:t>
                  </w:r>
                </w:p>
              </w:tc>
              <w:tc>
                <w:tcPr>
                  <w:tcW w:w="311"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0.007</w:t>
                  </w:r>
                </w:p>
              </w:tc>
              <w:tc>
                <w:tcPr>
                  <w:tcW w:w="377"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50000</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15</w:t>
                  </w:r>
                </w:p>
              </w:tc>
              <w:tc>
                <w:tcPr>
                  <w:tcW w:w="222"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restar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25℃</w:t>
                  </w: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1800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trHeight w:val="735" w:hRule="atLeast"/>
                <w:jc w:val="center"/>
              </w:trPr>
              <w:tc>
                <w:tcPr>
                  <w:tcW w:w="172" w:type="pct"/>
                  <w:tcBorders>
                    <w:tl2br w:val="nil"/>
                    <w:tr2bl w:val="nil"/>
                  </w:tcBorders>
                  <w:vAlign w:val="center"/>
                </w:tcPr>
                <w:p>
                  <w:pPr>
                    <w:widowControl/>
                    <w:jc w:val="center"/>
                    <w:rPr>
                      <w:rFonts w:hint="default" w:eastAsia="宋体"/>
                      <w:color w:val="auto"/>
                      <w:sz w:val="18"/>
                      <w:szCs w:val="18"/>
                      <w:lang w:val="en-US" w:eastAsia="zh-CN"/>
                    </w:rPr>
                  </w:pPr>
                  <w:r>
                    <w:rPr>
                      <w:rFonts w:hint="eastAsia"/>
                      <w:color w:val="auto"/>
                      <w:sz w:val="18"/>
                      <w:szCs w:val="18"/>
                      <w:lang w:val="en-US" w:eastAsia="zh-CN"/>
                    </w:rPr>
                    <w:t>调漆废气</w:t>
                  </w:r>
                </w:p>
              </w:tc>
              <w:tc>
                <w:tcPr>
                  <w:tcW w:w="182" w:type="pct"/>
                  <w:vMerge w:val="restart"/>
                  <w:tcBorders>
                    <w:tl2br w:val="nil"/>
                    <w:tr2bl w:val="nil"/>
                  </w:tcBorders>
                  <w:vAlign w:val="center"/>
                </w:tcPr>
                <w:p>
                  <w:pPr>
                    <w:widowControl/>
                    <w:jc w:val="center"/>
                    <w:rPr>
                      <w:rFonts w:hint="eastAsia" w:cs="Times New Roman"/>
                      <w:color w:val="auto"/>
                      <w:kern w:val="2"/>
                      <w:sz w:val="18"/>
                      <w:szCs w:val="18"/>
                      <w:lang w:val="en-US" w:eastAsia="zh-CN" w:bidi="ar-SA"/>
                    </w:rPr>
                  </w:pPr>
                  <w:r>
                    <w:rPr>
                      <w:rFonts w:hint="eastAsia" w:cs="Times New Roman"/>
                      <w:color w:val="auto"/>
                      <w:kern w:val="2"/>
                      <w:sz w:val="18"/>
                      <w:szCs w:val="18"/>
                      <w:lang w:val="en-US" w:eastAsia="zh-CN" w:bidi="ar-SA"/>
                    </w:rPr>
                    <w:t>1号喷漆房</w:t>
                  </w:r>
                </w:p>
              </w:tc>
              <w:tc>
                <w:tcPr>
                  <w:tcW w:w="18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86" w:type="pct"/>
                  <w:tcBorders>
                    <w:tl2br w:val="nil"/>
                    <w:tr2bl w:val="nil"/>
                  </w:tcBorders>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restart"/>
                  <w:tcBorders>
                    <w:tl2br w:val="nil"/>
                    <w:tr2bl w:val="nil"/>
                  </w:tcBorders>
                  <w:vAlign w:val="center"/>
                </w:tcPr>
                <w:p>
                  <w:pPr>
                    <w:adjustRightInd w:val="0"/>
                    <w:snapToGrid w:val="0"/>
                    <w:jc w:val="center"/>
                    <w:rPr>
                      <w:rFonts w:hint="default" w:eastAsia="宋体"/>
                      <w:b/>
                      <w:snapToGrid w:val="0"/>
                      <w:color w:val="auto"/>
                      <w:kern w:val="18"/>
                      <w:sz w:val="18"/>
                      <w:szCs w:val="18"/>
                      <w:lang w:val="en-US" w:eastAsia="zh-CN"/>
                    </w:rPr>
                  </w:pPr>
                  <w:r>
                    <w:rPr>
                      <w:rFonts w:hint="eastAsia" w:ascii="Times New Roman" w:hAnsi="Times New Roman" w:eastAsia="宋体" w:cs="Times New Roman"/>
                      <w:b w:val="0"/>
                      <w:bCs/>
                      <w:snapToGrid w:val="0"/>
                      <w:color w:val="auto"/>
                      <w:kern w:val="18"/>
                      <w:sz w:val="18"/>
                      <w:szCs w:val="18"/>
                      <w:lang w:val="en-US" w:eastAsia="zh-CN" w:bidi="ar-SA"/>
                    </w:rPr>
                    <w:t>20000</w:t>
                  </w:r>
                </w:p>
              </w:tc>
              <w:tc>
                <w:tcPr>
                  <w:tcW w:w="144"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57"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Cs/>
                      <w:color w:val="auto"/>
                      <w:kern w:val="2"/>
                      <w:sz w:val="21"/>
                      <w:szCs w:val="21"/>
                      <w:vertAlign w:val="baseline"/>
                      <w:lang w:val="en-US" w:eastAsia="zh-CN" w:bidi="ar-SA"/>
                    </w:rPr>
                    <w:t>0.030</w:t>
                  </w:r>
                </w:p>
              </w:tc>
              <w:tc>
                <w:tcPr>
                  <w:tcW w:w="251"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Cs/>
                      <w:color w:val="auto"/>
                      <w:kern w:val="2"/>
                      <w:sz w:val="21"/>
                      <w:szCs w:val="21"/>
                      <w:vertAlign w:val="baseline"/>
                      <w:lang w:val="en-US" w:eastAsia="zh-CN" w:bidi="ar-SA"/>
                    </w:rPr>
                    <w:t>0.2</w:t>
                  </w:r>
                </w:p>
              </w:tc>
              <w:tc>
                <w:tcPr>
                  <w:tcW w:w="298" w:type="pct"/>
                  <w:tcBorders>
                    <w:tl2br w:val="nil"/>
                    <w:tr2bl w:val="nil"/>
                  </w:tcBorders>
                  <w:tcMar>
                    <w:top w:w="28" w:type="dxa"/>
                    <w:left w:w="28" w:type="dxa"/>
                    <w:bottom w:w="28" w:type="dxa"/>
                    <w:right w:w="28" w:type="dxa"/>
                  </w:tcMar>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i w:val="0"/>
                      <w:color w:val="auto"/>
                      <w:kern w:val="0"/>
                      <w:sz w:val="21"/>
                      <w:szCs w:val="21"/>
                      <w:u w:val="none"/>
                      <w:lang w:val="en-US" w:eastAsia="zh-CN" w:bidi="ar"/>
                    </w:rPr>
                    <w:t>1</w:t>
                  </w:r>
                  <w:r>
                    <w:rPr>
                      <w:rFonts w:hint="eastAsia" w:cs="Times New Roman"/>
                      <w:i w:val="0"/>
                      <w:color w:val="auto"/>
                      <w:kern w:val="0"/>
                      <w:sz w:val="21"/>
                      <w:szCs w:val="21"/>
                      <w:u w:val="none"/>
                      <w:lang w:val="en-US" w:eastAsia="zh-CN" w:bidi="ar"/>
                    </w:rPr>
                    <w:t>0</w:t>
                  </w:r>
                </w:p>
              </w:tc>
              <w:tc>
                <w:tcPr>
                  <w:tcW w:w="391" w:type="pct"/>
                  <w:vMerge w:val="restar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干式喷漆柜（TA006）+二级活性炭吸附装置（TA007）</w:t>
                  </w:r>
                </w:p>
              </w:tc>
              <w:tc>
                <w:tcPr>
                  <w:tcW w:w="317" w:type="pct"/>
                  <w:tcBorders>
                    <w:tl2br w:val="nil"/>
                    <w:tr2bl w:val="nil"/>
                  </w:tcBorders>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restart"/>
                  <w:tcBorders>
                    <w:tl2br w:val="nil"/>
                    <w:tr2bl w:val="nil"/>
                  </w:tcBorders>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产污系数法</w:t>
                  </w: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0.006</w:t>
                  </w:r>
                </w:p>
              </w:tc>
              <w:tc>
                <w:tcPr>
                  <w:tcW w:w="311"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0.04</w:t>
                  </w:r>
                </w:p>
              </w:tc>
              <w:tc>
                <w:tcPr>
                  <w:tcW w:w="377"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150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Merge w:val="restart"/>
                  <w:tcBorders>
                    <w:tl2br w:val="nil"/>
                    <w:tr2bl w:val="nil"/>
                  </w:tcBorders>
                  <w:vAlign w:val="center"/>
                </w:tcPr>
                <w:p>
                  <w:pPr>
                    <w:widowControl/>
                    <w:jc w:val="center"/>
                    <w:rPr>
                      <w:rFonts w:hint="default"/>
                      <w:color w:val="auto"/>
                      <w:sz w:val="18"/>
                      <w:szCs w:val="18"/>
                      <w:lang w:val="en-US" w:eastAsia="zh-CN"/>
                    </w:rPr>
                  </w:pPr>
                  <w:r>
                    <w:rPr>
                      <w:rFonts w:hint="eastAsia"/>
                      <w:color w:val="auto"/>
                      <w:sz w:val="18"/>
                      <w:szCs w:val="18"/>
                      <w:lang w:val="en-US" w:eastAsia="zh-CN"/>
                    </w:rPr>
                    <w:t>喷漆废气</w:t>
                  </w:r>
                </w:p>
              </w:tc>
              <w:tc>
                <w:tcPr>
                  <w:tcW w:w="18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88" w:type="pct"/>
                  <w:vMerge w:val="continue"/>
                  <w:tcBorders>
                    <w:tl2br w:val="nil"/>
                    <w:tr2bl w:val="nil"/>
                  </w:tcBorders>
                  <w:vAlign w:val="center"/>
                </w:tcPr>
                <w:p>
                  <w:pPr>
                    <w:adjustRightInd w:val="0"/>
                    <w:snapToGrid w:val="0"/>
                    <w:jc w:val="center"/>
                    <w:rPr>
                      <w:rFonts w:hint="eastAsia" w:cs="Times New Roman"/>
                      <w:color w:val="auto"/>
                      <w:kern w:val="2"/>
                      <w:sz w:val="18"/>
                      <w:szCs w:val="18"/>
                      <w:lang w:val="en-US" w:eastAsia="zh-CN" w:bidi="ar-SA"/>
                    </w:rPr>
                  </w:pPr>
                </w:p>
              </w:tc>
              <w:tc>
                <w:tcPr>
                  <w:tcW w:w="186" w:type="pct"/>
                  <w:tcBorders>
                    <w:tl2br w:val="nil"/>
                    <w:tr2bl w:val="nil"/>
                  </w:tcBorders>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漆雾</w:t>
                  </w:r>
                </w:p>
              </w:tc>
              <w:tc>
                <w:tcPr>
                  <w:tcW w:w="26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44"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57"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0.290</w:t>
                  </w:r>
                </w:p>
              </w:tc>
              <w:tc>
                <w:tcPr>
                  <w:tcW w:w="251"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0.242</w:t>
                  </w:r>
                </w:p>
              </w:tc>
              <w:tc>
                <w:tcPr>
                  <w:tcW w:w="298"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12.1</w:t>
                  </w:r>
                </w:p>
              </w:tc>
              <w:tc>
                <w:tcPr>
                  <w:tcW w:w="391" w:type="pct"/>
                  <w:vMerge w:val="continue"/>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p>
              </w:tc>
              <w:tc>
                <w:tcPr>
                  <w:tcW w:w="317" w:type="pct"/>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90%</w:t>
                  </w:r>
                </w:p>
              </w:tc>
              <w:tc>
                <w:tcPr>
                  <w:tcW w:w="20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0.029</w:t>
                  </w:r>
                </w:p>
              </w:tc>
              <w:tc>
                <w:tcPr>
                  <w:tcW w:w="311"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0.024</w:t>
                  </w:r>
                </w:p>
              </w:tc>
              <w:tc>
                <w:tcPr>
                  <w:tcW w:w="377"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1200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Merge w:val="continue"/>
                  <w:tcBorders>
                    <w:tl2br w:val="nil"/>
                    <w:tr2bl w:val="nil"/>
                  </w:tcBorders>
                  <w:vAlign w:val="center"/>
                </w:tcPr>
                <w:p>
                  <w:pPr>
                    <w:widowControl/>
                    <w:jc w:val="center"/>
                    <w:rPr>
                      <w:rFonts w:hint="default"/>
                      <w:color w:val="auto"/>
                      <w:sz w:val="18"/>
                      <w:szCs w:val="18"/>
                      <w:lang w:val="en-US" w:eastAsia="zh-CN"/>
                    </w:rPr>
                  </w:pPr>
                </w:p>
              </w:tc>
              <w:tc>
                <w:tcPr>
                  <w:tcW w:w="18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88" w:type="pct"/>
                  <w:vMerge w:val="continue"/>
                  <w:tcBorders>
                    <w:tl2br w:val="nil"/>
                    <w:tr2bl w:val="nil"/>
                  </w:tcBorders>
                  <w:vAlign w:val="center"/>
                </w:tcPr>
                <w:p>
                  <w:pPr>
                    <w:adjustRightInd w:val="0"/>
                    <w:snapToGrid w:val="0"/>
                    <w:jc w:val="center"/>
                    <w:rPr>
                      <w:rFonts w:hint="eastAsia" w:cs="Times New Roman"/>
                      <w:color w:val="auto"/>
                      <w:kern w:val="2"/>
                      <w:sz w:val="18"/>
                      <w:szCs w:val="18"/>
                      <w:lang w:val="en-US" w:eastAsia="zh-CN" w:bidi="ar-SA"/>
                    </w:rPr>
                  </w:pPr>
                </w:p>
              </w:tc>
              <w:tc>
                <w:tcPr>
                  <w:tcW w:w="186" w:type="pct"/>
                  <w:tcBorders>
                    <w:tl2br w:val="nil"/>
                    <w:tr2bl w:val="nil"/>
                  </w:tcBorders>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144"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57"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0.091</w:t>
                  </w:r>
                </w:p>
              </w:tc>
              <w:tc>
                <w:tcPr>
                  <w:tcW w:w="251"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0.076</w:t>
                  </w:r>
                </w:p>
              </w:tc>
              <w:tc>
                <w:tcPr>
                  <w:tcW w:w="298" w:type="pct"/>
                  <w:tcBorders>
                    <w:tl2br w:val="nil"/>
                    <w:tr2bl w:val="nil"/>
                  </w:tcBorders>
                  <w:tcMar>
                    <w:top w:w="28" w:type="dxa"/>
                    <w:left w:w="28" w:type="dxa"/>
                    <w:bottom w:w="28" w:type="dxa"/>
                    <w:right w:w="28" w:type="dxa"/>
                  </w:tcMar>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3.8</w:t>
                  </w:r>
                </w:p>
              </w:tc>
              <w:tc>
                <w:tcPr>
                  <w:tcW w:w="391" w:type="pct"/>
                  <w:vMerge w:val="continue"/>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p>
              </w:tc>
              <w:tc>
                <w:tcPr>
                  <w:tcW w:w="317" w:type="pct"/>
                  <w:tcBorders>
                    <w:tl2br w:val="nil"/>
                    <w:tr2bl w:val="nil"/>
                  </w:tcBorders>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continue"/>
                  <w:tcBorders>
                    <w:tl2br w:val="nil"/>
                    <w:tr2bl w:val="nil"/>
                  </w:tcBorders>
                  <w:vAlign w:val="center"/>
                </w:tcPr>
                <w:p>
                  <w:pPr>
                    <w:adjustRightInd w:val="0"/>
                    <w:snapToGrid w:val="0"/>
                    <w:jc w:val="center"/>
                    <w:rPr>
                      <w:b/>
                      <w:snapToGrid w:val="0"/>
                      <w:color w:val="auto"/>
                      <w:kern w:val="18"/>
                      <w:sz w:val="18"/>
                      <w:szCs w:val="18"/>
                    </w:rPr>
                  </w:pPr>
                </w:p>
              </w:tc>
              <w:tc>
                <w:tcPr>
                  <w:tcW w:w="289"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0.018</w:t>
                  </w:r>
                </w:p>
              </w:tc>
              <w:tc>
                <w:tcPr>
                  <w:tcW w:w="311"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0.015</w:t>
                  </w:r>
                </w:p>
              </w:tc>
              <w:tc>
                <w:tcPr>
                  <w:tcW w:w="377" w:type="pct"/>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22"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snapToGrid w:val="0"/>
                      <w:color w:val="auto"/>
                      <w:kern w:val="18"/>
                      <w:sz w:val="18"/>
                      <w:szCs w:val="18"/>
                    </w:rPr>
                  </w:pPr>
                </w:p>
              </w:tc>
              <w:tc>
                <w:tcPr>
                  <w:tcW w:w="236" w:type="pct"/>
                  <w:vMerge w:val="continue"/>
                  <w:tcBorders>
                    <w:tl2br w:val="nil"/>
                    <w:tr2bl w:val="nil"/>
                  </w:tcBorders>
                  <w:tcMar>
                    <w:top w:w="28" w:type="dxa"/>
                    <w:left w:w="28" w:type="dxa"/>
                    <w:bottom w:w="28" w:type="dxa"/>
                    <w:right w:w="28" w:type="dxa"/>
                  </w:tcMar>
                  <w:vAlign w:val="center"/>
                </w:tcPr>
                <w:p>
                  <w:pPr>
                    <w:adjustRightInd w:val="0"/>
                    <w:snapToGrid w:val="0"/>
                    <w:jc w:val="center"/>
                    <w:rPr>
                      <w:rFonts w:hint="eastAsia"/>
                      <w:b w:val="0"/>
                      <w:bCs/>
                      <w:snapToGrid w:val="0"/>
                      <w:color w:val="auto"/>
                      <w:kern w:val="18"/>
                      <w:sz w:val="18"/>
                      <w:szCs w:val="18"/>
                      <w:lang w:val="en-US" w:eastAsia="zh-CN"/>
                    </w:rPr>
                  </w:pPr>
                </w:p>
              </w:tc>
              <w:tc>
                <w:tcPr>
                  <w:tcW w:w="225" w:type="pct"/>
                  <w:tcBorders>
                    <w:tl2br w:val="nil"/>
                    <w:tr2bl w:val="nil"/>
                  </w:tcBorders>
                  <w:tcMar>
                    <w:top w:w="28" w:type="dxa"/>
                    <w:left w:w="28" w:type="dxa"/>
                    <w:bottom w:w="28" w:type="dxa"/>
                    <w:right w:w="28" w:type="dxa"/>
                  </w:tcMar>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1200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Align w:val="center"/>
                </w:tcPr>
                <w:p>
                  <w:pPr>
                    <w:widowControl/>
                    <w:jc w:val="center"/>
                    <w:rPr>
                      <w:rFonts w:hint="default"/>
                      <w:color w:val="auto"/>
                      <w:sz w:val="18"/>
                      <w:szCs w:val="18"/>
                      <w:lang w:val="en-US" w:eastAsia="zh-CN"/>
                    </w:rPr>
                  </w:pPr>
                  <w:r>
                    <w:rPr>
                      <w:rFonts w:hint="eastAsia"/>
                      <w:color w:val="auto"/>
                      <w:sz w:val="18"/>
                      <w:szCs w:val="18"/>
                      <w:lang w:val="en-US" w:eastAsia="zh-CN"/>
                    </w:rPr>
                    <w:t>晾干废气</w:t>
                  </w:r>
                </w:p>
              </w:tc>
              <w:tc>
                <w:tcPr>
                  <w:tcW w:w="182" w:type="pct"/>
                  <w:vMerge w:val="continue"/>
                  <w:vAlign w:val="center"/>
                </w:tcPr>
                <w:p>
                  <w:pPr>
                    <w:adjustRightInd w:val="0"/>
                    <w:snapToGrid w:val="0"/>
                    <w:jc w:val="center"/>
                    <w:rPr>
                      <w:b/>
                      <w:snapToGrid w:val="0"/>
                      <w:color w:val="auto"/>
                      <w:kern w:val="18"/>
                      <w:sz w:val="18"/>
                      <w:szCs w:val="18"/>
                    </w:rPr>
                  </w:pP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continue"/>
                  <w:vAlign w:val="center"/>
                </w:tcPr>
                <w:p>
                  <w:pPr>
                    <w:adjustRightInd w:val="0"/>
                    <w:snapToGrid w:val="0"/>
                    <w:jc w:val="center"/>
                    <w:rPr>
                      <w:b/>
                      <w:snapToGrid w:val="0"/>
                      <w:color w:val="auto"/>
                      <w:kern w:val="18"/>
                      <w:sz w:val="18"/>
                      <w:szCs w:val="18"/>
                    </w:rPr>
                  </w:pP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0.182</w:t>
                  </w:r>
                </w:p>
              </w:tc>
              <w:tc>
                <w:tcPr>
                  <w:tcW w:w="25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0.101</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5.05</w:t>
                  </w:r>
                </w:p>
              </w:tc>
              <w:tc>
                <w:tcPr>
                  <w:tcW w:w="391" w:type="pct"/>
                  <w:vMerge w:val="continue"/>
                  <w:vAlign w:val="center"/>
                </w:tcPr>
                <w:p>
                  <w:pPr>
                    <w:adjustRightInd w:val="0"/>
                    <w:snapToGrid w:val="0"/>
                    <w:jc w:val="center"/>
                    <w:rPr>
                      <w:rFonts w:hint="eastAsia"/>
                      <w:b w:val="0"/>
                      <w:bCs/>
                      <w:snapToGrid w:val="0"/>
                      <w:color w:val="auto"/>
                      <w:kern w:val="18"/>
                      <w:sz w:val="18"/>
                      <w:szCs w:val="18"/>
                      <w:lang w:val="en-US" w:eastAsia="zh-CN"/>
                    </w:rPr>
                  </w:pPr>
                </w:p>
              </w:tc>
              <w:tc>
                <w:tcPr>
                  <w:tcW w:w="31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0.036</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0.020</w:t>
                  </w:r>
                </w:p>
              </w:tc>
              <w:tc>
                <w:tcPr>
                  <w:tcW w:w="37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val="0"/>
                      <w:bCs/>
                      <w:snapToGrid w:val="0"/>
                      <w:color w:val="auto"/>
                      <w:kern w:val="18"/>
                      <w:sz w:val="18"/>
                      <w:szCs w:val="18"/>
                      <w:lang w:val="en-US" w:eastAsia="zh-CN"/>
                    </w:rPr>
                  </w:pPr>
                </w:p>
              </w:tc>
              <w:tc>
                <w:tcPr>
                  <w:tcW w:w="225" w:type="pct"/>
                  <w:vAlign w:val="center"/>
                </w:tcPr>
                <w:p>
                  <w:pPr>
                    <w:adjustRightInd w:val="0"/>
                    <w:snapToGrid w:val="0"/>
                    <w:jc w:val="center"/>
                    <w:rPr>
                      <w:rFonts w:hint="default" w:eastAsia="宋体"/>
                      <w:b w:val="0"/>
                      <w:bCs/>
                      <w:snapToGrid w:val="0"/>
                      <w:color w:val="auto"/>
                      <w:kern w:val="18"/>
                      <w:sz w:val="18"/>
                      <w:szCs w:val="18"/>
                      <w:lang w:val="en-US" w:eastAsia="zh-CN"/>
                    </w:rPr>
                  </w:pPr>
                  <w:r>
                    <w:rPr>
                      <w:rFonts w:hint="eastAsia"/>
                      <w:b w:val="0"/>
                      <w:bCs/>
                      <w:snapToGrid w:val="0"/>
                      <w:color w:val="auto"/>
                      <w:kern w:val="18"/>
                      <w:sz w:val="18"/>
                      <w:szCs w:val="18"/>
                      <w:lang w:val="en-US" w:eastAsia="zh-CN"/>
                    </w:rPr>
                    <w:t>1800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val="en-US" w:eastAsia="zh-CN"/>
                    </w:rPr>
                    <w:t>调漆废气</w:t>
                  </w:r>
                </w:p>
              </w:tc>
              <w:tc>
                <w:tcPr>
                  <w:tcW w:w="182" w:type="pct"/>
                  <w:vMerge w:val="restart"/>
                  <w:vAlign w:val="center"/>
                </w:tcPr>
                <w:p>
                  <w:pPr>
                    <w:widowControl/>
                    <w:jc w:val="center"/>
                    <w:rPr>
                      <w:rFonts w:hint="eastAsia"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2号喷漆房</w:t>
                  </w:r>
                </w:p>
              </w:tc>
              <w:tc>
                <w:tcPr>
                  <w:tcW w:w="188" w:type="pct"/>
                  <w:vMerge w:val="continue"/>
                  <w:vAlign w:val="center"/>
                </w:tcPr>
                <w:p>
                  <w:pPr>
                    <w:adjustRightInd w:val="0"/>
                    <w:snapToGrid w:val="0"/>
                    <w:jc w:val="center"/>
                    <w:rPr>
                      <w:rFonts w:hint="eastAsia" w:ascii="Times New Roman" w:hAnsi="Times New Roman" w:eastAsia="宋体" w:cs="Times New Roman"/>
                      <w:b/>
                      <w:snapToGrid w:val="0"/>
                      <w:color w:val="auto"/>
                      <w:kern w:val="18"/>
                      <w:sz w:val="18"/>
                      <w:szCs w:val="18"/>
                      <w:lang w:val="en-US" w:eastAsia="zh-CN" w:bidi="ar-SA"/>
                    </w:rPr>
                  </w:pPr>
                </w:p>
              </w:tc>
              <w:tc>
                <w:tcPr>
                  <w:tcW w:w="186" w:type="pct"/>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restart"/>
                  <w:vAlign w:val="center"/>
                </w:tcPr>
                <w:p>
                  <w:pPr>
                    <w:adjustRightInd w:val="0"/>
                    <w:snapToGrid w:val="0"/>
                    <w:jc w:val="center"/>
                    <w:rPr>
                      <w:rFonts w:hint="default" w:ascii="Times New Roman" w:hAnsi="Times New Roman" w:eastAsia="宋体" w:cs="Times New Roman"/>
                      <w:b/>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20000</w:t>
                  </w:r>
                </w:p>
              </w:tc>
              <w:tc>
                <w:tcPr>
                  <w:tcW w:w="144" w:type="pct"/>
                  <w:vMerge w:val="continue"/>
                  <w:vAlign w:val="center"/>
                </w:tcPr>
                <w:p>
                  <w:pPr>
                    <w:adjustRightInd w:val="0"/>
                    <w:snapToGrid w:val="0"/>
                    <w:jc w:val="center"/>
                    <w:rPr>
                      <w:rFonts w:ascii="Times New Roman" w:hAnsi="Times New Roman" w:eastAsia="宋体" w:cs="Times New Roman"/>
                      <w:b/>
                      <w:snapToGrid w:val="0"/>
                      <w:color w:val="auto"/>
                      <w:kern w:val="18"/>
                      <w:sz w:val="18"/>
                      <w:szCs w:val="18"/>
                      <w:lang w:val="en-US" w:eastAsia="zh-CN" w:bidi="ar-SA"/>
                    </w:rPr>
                  </w:pPr>
                </w:p>
              </w:tc>
              <w:tc>
                <w:tcPr>
                  <w:tcW w:w="25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cs="Times New Roman"/>
                      <w:bCs/>
                      <w:color w:val="auto"/>
                      <w:kern w:val="2"/>
                      <w:sz w:val="21"/>
                      <w:szCs w:val="21"/>
                      <w:vertAlign w:val="baseline"/>
                      <w:lang w:val="en-US" w:eastAsia="zh-CN" w:bidi="ar-SA"/>
                    </w:rPr>
                    <w:t>0.030</w:t>
                  </w:r>
                </w:p>
              </w:tc>
              <w:tc>
                <w:tcPr>
                  <w:tcW w:w="25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cs="Times New Roman"/>
                      <w:bCs/>
                      <w:color w:val="auto"/>
                      <w:kern w:val="2"/>
                      <w:sz w:val="21"/>
                      <w:szCs w:val="21"/>
                      <w:vertAlign w:val="baseline"/>
                      <w:lang w:val="en-US" w:eastAsia="zh-CN" w:bidi="ar-SA"/>
                    </w:rPr>
                    <w:t>0.2</w:t>
                  </w:r>
                </w:p>
              </w:tc>
              <w:tc>
                <w:tcPr>
                  <w:tcW w:w="298" w:type="pct"/>
                  <w:vAlign w:val="center"/>
                </w:tcPr>
                <w:p>
                  <w:pPr>
                    <w:keepNext w:val="0"/>
                    <w:keepLines w:val="0"/>
                    <w:widowControl/>
                    <w:suppressLineNumbers w:val="0"/>
                    <w:jc w:val="center"/>
                    <w:textAlignment w:val="center"/>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i w:val="0"/>
                      <w:color w:val="auto"/>
                      <w:kern w:val="0"/>
                      <w:sz w:val="21"/>
                      <w:szCs w:val="21"/>
                      <w:u w:val="none"/>
                      <w:lang w:val="en-US" w:eastAsia="zh-CN" w:bidi="ar"/>
                    </w:rPr>
                    <w:t>1</w:t>
                  </w:r>
                  <w:r>
                    <w:rPr>
                      <w:rFonts w:hint="eastAsia" w:cs="Times New Roman"/>
                      <w:i w:val="0"/>
                      <w:color w:val="auto"/>
                      <w:kern w:val="0"/>
                      <w:sz w:val="21"/>
                      <w:szCs w:val="21"/>
                      <w:u w:val="none"/>
                      <w:lang w:val="en-US" w:eastAsia="zh-CN" w:bidi="ar"/>
                    </w:rPr>
                    <w:t>0</w:t>
                  </w:r>
                </w:p>
              </w:tc>
              <w:tc>
                <w:tcPr>
                  <w:tcW w:w="391" w:type="pct"/>
                  <w:vMerge w:val="restart"/>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干式喷漆柜（TA008）+二级活性炭吸附装置（TA007）</w:t>
                  </w:r>
                </w:p>
              </w:tc>
              <w:tc>
                <w:tcPr>
                  <w:tcW w:w="317" w:type="pct"/>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80%</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0.006</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0.04</w:t>
                  </w:r>
                </w:p>
              </w:tc>
              <w:tc>
                <w:tcPr>
                  <w:tcW w:w="37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val="0"/>
                      <w:bCs/>
                      <w:snapToGrid w:val="0"/>
                      <w:color w:val="auto"/>
                      <w:kern w:val="18"/>
                      <w:sz w:val="18"/>
                      <w:szCs w:val="18"/>
                      <w:lang w:val="en-US" w:eastAsia="zh-CN"/>
                    </w:rPr>
                  </w:pPr>
                </w:p>
              </w:tc>
              <w:tc>
                <w:tcPr>
                  <w:tcW w:w="225" w:type="pct"/>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b w:val="0"/>
                      <w:bCs/>
                      <w:snapToGrid w:val="0"/>
                      <w:color w:val="auto"/>
                      <w:kern w:val="18"/>
                      <w:sz w:val="18"/>
                      <w:szCs w:val="18"/>
                      <w:lang w:val="en-US" w:eastAsia="zh-CN"/>
                    </w:rPr>
                    <w:t>150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Merge w:val="restar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val="en-US" w:eastAsia="zh-CN"/>
                    </w:rPr>
                    <w:t>喷漆废气</w:t>
                  </w:r>
                </w:p>
                <w:p>
                  <w:pPr>
                    <w:widowControl/>
                    <w:jc w:val="center"/>
                    <w:rPr>
                      <w:rFonts w:hint="default"/>
                      <w:color w:val="auto"/>
                      <w:sz w:val="18"/>
                      <w:szCs w:val="18"/>
                      <w:lang w:val="en-US" w:eastAsia="zh-CN"/>
                    </w:rPr>
                  </w:pPr>
                </w:p>
              </w:tc>
              <w:tc>
                <w:tcPr>
                  <w:tcW w:w="182" w:type="pct"/>
                  <w:vMerge w:val="continue"/>
                  <w:vAlign w:val="center"/>
                </w:tcPr>
                <w:p>
                  <w:pPr>
                    <w:adjustRightInd w:val="0"/>
                    <w:snapToGrid w:val="0"/>
                    <w:jc w:val="center"/>
                    <w:rPr>
                      <w:b/>
                      <w:snapToGrid w:val="0"/>
                      <w:color w:val="auto"/>
                      <w:kern w:val="18"/>
                      <w:sz w:val="18"/>
                      <w:szCs w:val="18"/>
                    </w:rPr>
                  </w:pP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漆雾</w:t>
                  </w:r>
                </w:p>
              </w:tc>
              <w:tc>
                <w:tcPr>
                  <w:tcW w:w="262" w:type="pct"/>
                  <w:vMerge w:val="continue"/>
                  <w:vAlign w:val="center"/>
                </w:tcPr>
                <w:p>
                  <w:pPr>
                    <w:adjustRightInd w:val="0"/>
                    <w:snapToGrid w:val="0"/>
                    <w:jc w:val="center"/>
                    <w:rPr>
                      <w:b/>
                      <w:snapToGrid w:val="0"/>
                      <w:color w:val="auto"/>
                      <w:kern w:val="18"/>
                      <w:sz w:val="18"/>
                      <w:szCs w:val="18"/>
                    </w:rPr>
                  </w:pP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0.290</w:t>
                  </w:r>
                </w:p>
              </w:tc>
              <w:tc>
                <w:tcPr>
                  <w:tcW w:w="25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0.242</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12.1</w:t>
                  </w:r>
                </w:p>
              </w:tc>
              <w:tc>
                <w:tcPr>
                  <w:tcW w:w="391" w:type="pct"/>
                  <w:vMerge w:val="continue"/>
                  <w:vAlign w:val="center"/>
                </w:tcPr>
                <w:p>
                  <w:pPr>
                    <w:adjustRightInd w:val="0"/>
                    <w:snapToGrid w:val="0"/>
                    <w:jc w:val="center"/>
                    <w:rPr>
                      <w:b/>
                      <w:snapToGrid w:val="0"/>
                      <w:color w:val="auto"/>
                      <w:kern w:val="18"/>
                      <w:sz w:val="18"/>
                      <w:szCs w:val="18"/>
                    </w:rPr>
                  </w:pPr>
                </w:p>
              </w:tc>
              <w:tc>
                <w:tcPr>
                  <w:tcW w:w="317" w:type="pct"/>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90%</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0.029</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0.024</w:t>
                  </w:r>
                </w:p>
              </w:tc>
              <w:tc>
                <w:tcPr>
                  <w:tcW w:w="37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snapToGrid w:val="0"/>
                      <w:color w:val="auto"/>
                      <w:kern w:val="18"/>
                      <w:sz w:val="18"/>
                      <w:szCs w:val="18"/>
                    </w:rPr>
                  </w:pPr>
                </w:p>
              </w:tc>
              <w:tc>
                <w:tcPr>
                  <w:tcW w:w="225" w:type="pct"/>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b w:val="0"/>
                      <w:bCs/>
                      <w:snapToGrid w:val="0"/>
                      <w:color w:val="auto"/>
                      <w:kern w:val="18"/>
                      <w:sz w:val="18"/>
                      <w:szCs w:val="18"/>
                      <w:lang w:val="en-US" w:eastAsia="zh-CN"/>
                    </w:rPr>
                    <w:t>1200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Merge w:val="continue"/>
                  <w:vAlign w:val="center"/>
                </w:tcPr>
                <w:p>
                  <w:pPr>
                    <w:widowControl/>
                    <w:jc w:val="center"/>
                    <w:rPr>
                      <w:rFonts w:hint="default"/>
                      <w:color w:val="auto"/>
                      <w:sz w:val="18"/>
                      <w:szCs w:val="18"/>
                      <w:lang w:val="en-US" w:eastAsia="zh-CN"/>
                    </w:rPr>
                  </w:pPr>
                </w:p>
              </w:tc>
              <w:tc>
                <w:tcPr>
                  <w:tcW w:w="182" w:type="pct"/>
                  <w:vMerge w:val="continue"/>
                  <w:vAlign w:val="center"/>
                </w:tcPr>
                <w:p>
                  <w:pPr>
                    <w:adjustRightInd w:val="0"/>
                    <w:snapToGrid w:val="0"/>
                    <w:jc w:val="center"/>
                    <w:rPr>
                      <w:b/>
                      <w:snapToGrid w:val="0"/>
                      <w:color w:val="auto"/>
                      <w:kern w:val="18"/>
                      <w:sz w:val="18"/>
                      <w:szCs w:val="18"/>
                    </w:rPr>
                  </w:pP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continue"/>
                  <w:vAlign w:val="center"/>
                </w:tcPr>
                <w:p>
                  <w:pPr>
                    <w:adjustRightInd w:val="0"/>
                    <w:snapToGrid w:val="0"/>
                    <w:jc w:val="center"/>
                    <w:rPr>
                      <w:b/>
                      <w:snapToGrid w:val="0"/>
                      <w:color w:val="auto"/>
                      <w:kern w:val="18"/>
                      <w:sz w:val="18"/>
                      <w:szCs w:val="18"/>
                    </w:rPr>
                  </w:pP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0.091</w:t>
                  </w:r>
                </w:p>
              </w:tc>
              <w:tc>
                <w:tcPr>
                  <w:tcW w:w="25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0.076</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3.8</w:t>
                  </w:r>
                </w:p>
              </w:tc>
              <w:tc>
                <w:tcPr>
                  <w:tcW w:w="391" w:type="pct"/>
                  <w:vMerge w:val="continue"/>
                  <w:vAlign w:val="center"/>
                </w:tcPr>
                <w:p>
                  <w:pPr>
                    <w:adjustRightInd w:val="0"/>
                    <w:snapToGrid w:val="0"/>
                    <w:jc w:val="center"/>
                    <w:rPr>
                      <w:b/>
                      <w:snapToGrid w:val="0"/>
                      <w:color w:val="auto"/>
                      <w:kern w:val="18"/>
                      <w:sz w:val="18"/>
                      <w:szCs w:val="18"/>
                    </w:rPr>
                  </w:pPr>
                </w:p>
              </w:tc>
              <w:tc>
                <w:tcPr>
                  <w:tcW w:w="317" w:type="pct"/>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80%</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0.018</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0.015</w:t>
                  </w:r>
                </w:p>
              </w:tc>
              <w:tc>
                <w:tcPr>
                  <w:tcW w:w="37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snapToGrid w:val="0"/>
                      <w:color w:val="auto"/>
                      <w:kern w:val="18"/>
                      <w:sz w:val="18"/>
                      <w:szCs w:val="18"/>
                    </w:rPr>
                  </w:pPr>
                </w:p>
              </w:tc>
              <w:tc>
                <w:tcPr>
                  <w:tcW w:w="225" w:type="pct"/>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b w:val="0"/>
                      <w:bCs/>
                      <w:snapToGrid w:val="0"/>
                      <w:color w:val="auto"/>
                      <w:kern w:val="18"/>
                      <w:sz w:val="18"/>
                      <w:szCs w:val="18"/>
                      <w:lang w:val="en-US" w:eastAsia="zh-CN"/>
                    </w:rPr>
                    <w:t>1200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172" w:type="pc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val="en-US" w:eastAsia="zh-CN"/>
                    </w:rPr>
                    <w:t>晾干废气</w:t>
                  </w:r>
                </w:p>
              </w:tc>
              <w:tc>
                <w:tcPr>
                  <w:tcW w:w="182" w:type="pct"/>
                  <w:vMerge w:val="continue"/>
                  <w:vAlign w:val="center"/>
                </w:tcPr>
                <w:p>
                  <w:pPr>
                    <w:adjustRightInd w:val="0"/>
                    <w:snapToGrid w:val="0"/>
                    <w:jc w:val="center"/>
                    <w:rPr>
                      <w:b/>
                      <w:snapToGrid w:val="0"/>
                      <w:color w:val="auto"/>
                      <w:kern w:val="18"/>
                      <w:sz w:val="18"/>
                      <w:szCs w:val="18"/>
                    </w:rPr>
                  </w:pP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VOCs</w:t>
                  </w:r>
                </w:p>
              </w:tc>
              <w:tc>
                <w:tcPr>
                  <w:tcW w:w="262" w:type="pct"/>
                  <w:vMerge w:val="continue"/>
                  <w:vAlign w:val="center"/>
                </w:tcPr>
                <w:p>
                  <w:pPr>
                    <w:adjustRightInd w:val="0"/>
                    <w:snapToGrid w:val="0"/>
                    <w:jc w:val="center"/>
                    <w:rPr>
                      <w:b/>
                      <w:snapToGrid w:val="0"/>
                      <w:color w:val="auto"/>
                      <w:kern w:val="18"/>
                      <w:sz w:val="18"/>
                      <w:szCs w:val="18"/>
                    </w:rPr>
                  </w:pP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0.182</w:t>
                  </w:r>
                </w:p>
              </w:tc>
              <w:tc>
                <w:tcPr>
                  <w:tcW w:w="251"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0.101</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 w:val="0"/>
                      <w:bCs/>
                      <w:snapToGrid w:val="0"/>
                      <w:color w:val="auto"/>
                      <w:kern w:val="18"/>
                      <w:sz w:val="18"/>
                      <w:szCs w:val="18"/>
                      <w:lang w:val="en-US" w:eastAsia="zh-CN" w:bidi="ar-SA"/>
                    </w:rPr>
                  </w:pPr>
                  <w:r>
                    <w:rPr>
                      <w:rFonts w:hint="default" w:ascii="Times New Roman" w:hAnsi="Times New Roman" w:eastAsia="宋体" w:cs="Times New Roman"/>
                      <w:b w:val="0"/>
                      <w:bCs/>
                      <w:snapToGrid w:val="0"/>
                      <w:color w:val="auto"/>
                      <w:kern w:val="18"/>
                      <w:sz w:val="18"/>
                      <w:szCs w:val="18"/>
                      <w:lang w:val="en-US" w:eastAsia="zh-CN" w:bidi="ar-SA"/>
                    </w:rPr>
                    <w:t>5.05</w:t>
                  </w:r>
                </w:p>
              </w:tc>
              <w:tc>
                <w:tcPr>
                  <w:tcW w:w="391" w:type="pct"/>
                  <w:vMerge w:val="continue"/>
                  <w:vAlign w:val="center"/>
                </w:tcPr>
                <w:p>
                  <w:pPr>
                    <w:adjustRightInd w:val="0"/>
                    <w:snapToGrid w:val="0"/>
                    <w:jc w:val="center"/>
                    <w:rPr>
                      <w:b/>
                      <w:snapToGrid w:val="0"/>
                      <w:color w:val="auto"/>
                      <w:kern w:val="18"/>
                      <w:sz w:val="18"/>
                      <w:szCs w:val="18"/>
                    </w:rPr>
                  </w:pPr>
                </w:p>
              </w:tc>
              <w:tc>
                <w:tcPr>
                  <w:tcW w:w="31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0.036</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0.020</w:t>
                  </w:r>
                </w:p>
              </w:tc>
              <w:tc>
                <w:tcPr>
                  <w:tcW w:w="37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snapToGrid w:val="0"/>
                      <w:color w:val="auto"/>
                      <w:kern w:val="18"/>
                      <w:sz w:val="18"/>
                      <w:szCs w:val="18"/>
                    </w:rPr>
                  </w:pPr>
                </w:p>
              </w:tc>
              <w:tc>
                <w:tcPr>
                  <w:tcW w:w="225" w:type="pct"/>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b w:val="0"/>
                      <w:bCs/>
                      <w:snapToGrid w:val="0"/>
                      <w:color w:val="auto"/>
                      <w:kern w:val="18"/>
                      <w:sz w:val="18"/>
                      <w:szCs w:val="18"/>
                      <w:lang w:val="en-US" w:eastAsia="zh-CN"/>
                    </w:rPr>
                    <w:t>1800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355" w:type="pct"/>
                  <w:gridSpan w:val="2"/>
                  <w:vMerge w:val="restart"/>
                  <w:vAlign w:val="center"/>
                </w:tcPr>
                <w:p>
                  <w:pPr>
                    <w:adjustRightInd w:val="0"/>
                    <w:snapToGrid w:val="0"/>
                    <w:jc w:val="center"/>
                    <w:rPr>
                      <w:rFonts w:hint="default" w:eastAsia="宋体"/>
                      <w:b/>
                      <w:snapToGrid w:val="0"/>
                      <w:color w:val="auto"/>
                      <w:kern w:val="18"/>
                      <w:sz w:val="18"/>
                      <w:szCs w:val="18"/>
                      <w:lang w:val="en-US" w:eastAsia="zh-CN"/>
                    </w:rPr>
                  </w:pPr>
                  <w:r>
                    <w:rPr>
                      <w:rFonts w:hint="eastAsia"/>
                      <w:b/>
                      <w:snapToGrid w:val="0"/>
                      <w:color w:val="auto"/>
                      <w:kern w:val="18"/>
                      <w:sz w:val="18"/>
                      <w:szCs w:val="18"/>
                      <w:lang w:val="en-US" w:eastAsia="zh-CN"/>
                    </w:rPr>
                    <w:t>合计</w:t>
                  </w: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颗粒物</w:t>
                  </w:r>
                </w:p>
              </w:tc>
              <w:tc>
                <w:tcPr>
                  <w:tcW w:w="262" w:type="pct"/>
                  <w:vMerge w:val="restart"/>
                  <w:vAlign w:val="center"/>
                </w:tcPr>
                <w:p>
                  <w:pPr>
                    <w:adjustRightInd w:val="0"/>
                    <w:snapToGrid w:val="0"/>
                    <w:jc w:val="center"/>
                    <w:rPr>
                      <w:rFonts w:hint="default" w:eastAsia="宋体"/>
                      <w:b/>
                      <w:snapToGrid w:val="0"/>
                      <w:color w:val="auto"/>
                      <w:kern w:val="18"/>
                      <w:sz w:val="18"/>
                      <w:szCs w:val="18"/>
                      <w:lang w:val="en-US" w:eastAsia="zh-CN"/>
                    </w:rPr>
                  </w:pPr>
                  <w:r>
                    <w:rPr>
                      <w:rFonts w:hint="eastAsia" w:ascii="Times New Roman" w:hAnsi="Times New Roman" w:eastAsia="宋体" w:cs="Times New Roman"/>
                      <w:b w:val="0"/>
                      <w:bCs/>
                      <w:snapToGrid w:val="0"/>
                      <w:color w:val="auto"/>
                      <w:kern w:val="18"/>
                      <w:sz w:val="18"/>
                      <w:szCs w:val="18"/>
                      <w:lang w:val="en-US" w:eastAsia="zh-CN" w:bidi="ar-SA"/>
                    </w:rPr>
                    <w:t>50000</w:t>
                  </w: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keepNext w:val="0"/>
                    <w:keepLines w:val="0"/>
                    <w:widowControl/>
                    <w:suppressLineNumbers w:val="0"/>
                    <w:jc w:val="center"/>
                    <w:textAlignment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0.82</w:t>
                  </w:r>
                </w:p>
              </w:tc>
              <w:tc>
                <w:tcPr>
                  <w:tcW w:w="251" w:type="pct"/>
                  <w:vAlign w:val="center"/>
                </w:tcPr>
                <w:p>
                  <w:pPr>
                    <w:keepNext w:val="0"/>
                    <w:keepLines w:val="0"/>
                    <w:widowControl/>
                    <w:suppressLineNumbers w:val="0"/>
                    <w:jc w:val="center"/>
                    <w:textAlignment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0.617</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12.34</w:t>
                  </w:r>
                </w:p>
              </w:tc>
              <w:tc>
                <w:tcPr>
                  <w:tcW w:w="391" w:type="pct"/>
                  <w:vMerge w:val="restart"/>
                  <w:vAlign w:val="center"/>
                </w:tcPr>
                <w:p>
                  <w:pPr>
                    <w:adjustRightInd w:val="0"/>
                    <w:snapToGrid w:val="0"/>
                    <w:jc w:val="center"/>
                    <w:rPr>
                      <w:b/>
                      <w:snapToGrid w:val="0"/>
                      <w:color w:val="auto"/>
                      <w:kern w:val="18"/>
                      <w:sz w:val="18"/>
                      <w:szCs w:val="18"/>
                    </w:rPr>
                  </w:pPr>
                  <w:r>
                    <w:rPr>
                      <w:rFonts w:hint="eastAsia"/>
                      <w:b w:val="0"/>
                      <w:bCs/>
                      <w:snapToGrid w:val="0"/>
                      <w:color w:val="auto"/>
                      <w:kern w:val="18"/>
                      <w:sz w:val="18"/>
                      <w:szCs w:val="18"/>
                      <w:lang w:val="en-US" w:eastAsia="zh-CN"/>
                    </w:rPr>
                    <w:t>布袋除尘器（TA005），干式喷漆柜（TA006、TA008）+二级活性炭吸附装置（TA007）</w:t>
                  </w:r>
                </w:p>
              </w:tc>
              <w:tc>
                <w:tcPr>
                  <w:tcW w:w="317"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c>
                <w:tcPr>
                  <w:tcW w:w="208" w:type="pct"/>
                  <w:vMerge w:val="continue"/>
                  <w:vAlign w:val="center"/>
                </w:tcPr>
                <w:p>
                  <w:pPr>
                    <w:adjustRightInd w:val="0"/>
                    <w:snapToGrid w:val="0"/>
                    <w:jc w:val="center"/>
                    <w:rPr>
                      <w:b/>
                      <w:snapToGrid w:val="0"/>
                      <w:color w:val="auto"/>
                      <w:kern w:val="18"/>
                      <w:sz w:val="18"/>
                      <w:szCs w:val="18"/>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0.07</w:t>
                  </w:r>
                </w:p>
              </w:tc>
              <w:tc>
                <w:tcPr>
                  <w:tcW w:w="311"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0.055</w:t>
                  </w:r>
                </w:p>
              </w:tc>
              <w:tc>
                <w:tcPr>
                  <w:tcW w:w="377"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1.1</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snapToGrid w:val="0"/>
                      <w:color w:val="auto"/>
                      <w:kern w:val="18"/>
                      <w:sz w:val="18"/>
                      <w:szCs w:val="18"/>
                    </w:rPr>
                  </w:pPr>
                </w:p>
              </w:tc>
              <w:tc>
                <w:tcPr>
                  <w:tcW w:w="225"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1" w:type="dxa"/>
                  <w:bottom w:w="0" w:type="dxa"/>
                  <w:right w:w="11" w:type="dxa"/>
                </w:tblCellMar>
              </w:tblPrEx>
              <w:trPr>
                <w:trHeight w:val="340" w:hRule="atLeast"/>
                <w:jc w:val="center"/>
              </w:trPr>
              <w:tc>
                <w:tcPr>
                  <w:tcW w:w="355" w:type="pct"/>
                  <w:gridSpan w:val="2"/>
                  <w:vMerge w:val="continue"/>
                  <w:vAlign w:val="center"/>
                </w:tcPr>
                <w:p>
                  <w:pPr>
                    <w:adjustRightInd w:val="0"/>
                    <w:snapToGrid w:val="0"/>
                    <w:jc w:val="center"/>
                    <w:rPr>
                      <w:rFonts w:hint="eastAsia"/>
                      <w:b/>
                      <w:snapToGrid w:val="0"/>
                      <w:color w:val="auto"/>
                      <w:kern w:val="18"/>
                      <w:sz w:val="18"/>
                      <w:szCs w:val="18"/>
                      <w:lang w:val="en-US" w:eastAsia="zh-CN"/>
                    </w:rPr>
                  </w:pPr>
                </w:p>
              </w:tc>
              <w:tc>
                <w:tcPr>
                  <w:tcW w:w="188" w:type="pct"/>
                  <w:vMerge w:val="continue"/>
                  <w:vAlign w:val="center"/>
                </w:tcPr>
                <w:p>
                  <w:pPr>
                    <w:adjustRightInd w:val="0"/>
                    <w:snapToGrid w:val="0"/>
                    <w:jc w:val="center"/>
                    <w:rPr>
                      <w:rFonts w:hint="eastAsia" w:cs="Times New Roman"/>
                      <w:color w:val="auto"/>
                      <w:kern w:val="2"/>
                      <w:sz w:val="18"/>
                      <w:szCs w:val="18"/>
                      <w:lang w:val="en-US" w:eastAsia="zh-CN" w:bidi="ar-SA"/>
                    </w:rPr>
                  </w:pPr>
                </w:p>
              </w:tc>
              <w:tc>
                <w:tcPr>
                  <w:tcW w:w="186" w:type="pct"/>
                  <w:vAlign w:val="center"/>
                </w:tcPr>
                <w:p>
                  <w:pPr>
                    <w:pStyle w:val="21"/>
                    <w:spacing w:line="240" w:lineRule="auto"/>
                    <w:jc w:val="center"/>
                    <w:rPr>
                      <w:rFonts w:hint="default"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VOCs</w:t>
                  </w:r>
                </w:p>
              </w:tc>
              <w:tc>
                <w:tcPr>
                  <w:tcW w:w="262" w:type="pct"/>
                  <w:vMerge w:val="continue"/>
                  <w:vAlign w:val="center"/>
                </w:tcPr>
                <w:p>
                  <w:pPr>
                    <w:adjustRightInd w:val="0"/>
                    <w:snapToGrid w:val="0"/>
                    <w:jc w:val="center"/>
                    <w:rPr>
                      <w:b/>
                      <w:snapToGrid w:val="0"/>
                      <w:color w:val="auto"/>
                      <w:kern w:val="18"/>
                      <w:sz w:val="18"/>
                      <w:szCs w:val="18"/>
                    </w:rPr>
                  </w:pPr>
                </w:p>
              </w:tc>
              <w:tc>
                <w:tcPr>
                  <w:tcW w:w="144" w:type="pct"/>
                  <w:vMerge w:val="continue"/>
                  <w:vAlign w:val="center"/>
                </w:tcPr>
                <w:p>
                  <w:pPr>
                    <w:adjustRightInd w:val="0"/>
                    <w:snapToGrid w:val="0"/>
                    <w:jc w:val="center"/>
                    <w:rPr>
                      <w:b/>
                      <w:snapToGrid w:val="0"/>
                      <w:color w:val="auto"/>
                      <w:kern w:val="18"/>
                      <w:sz w:val="18"/>
                      <w:szCs w:val="18"/>
                    </w:rPr>
                  </w:pPr>
                </w:p>
              </w:tc>
              <w:tc>
                <w:tcPr>
                  <w:tcW w:w="257" w:type="pct"/>
                  <w:vAlign w:val="center"/>
                </w:tcPr>
                <w:p>
                  <w:pPr>
                    <w:keepNext w:val="0"/>
                    <w:keepLines w:val="0"/>
                    <w:widowControl/>
                    <w:suppressLineNumbers w:val="0"/>
                    <w:jc w:val="center"/>
                    <w:textAlignment w:val="center"/>
                    <w:rPr>
                      <w:rFonts w:hint="eastAsia"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0.60</w:t>
                  </w:r>
                  <w:r>
                    <w:rPr>
                      <w:rFonts w:hint="eastAsia" w:cs="Times New Roman"/>
                      <w:b w:val="0"/>
                      <w:bCs/>
                      <w:snapToGrid w:val="0"/>
                      <w:color w:val="auto"/>
                      <w:kern w:val="18"/>
                      <w:sz w:val="18"/>
                      <w:szCs w:val="18"/>
                      <w:lang w:val="en-US" w:eastAsia="zh-CN" w:bidi="ar-SA"/>
                    </w:rPr>
                    <w:t>6</w:t>
                  </w:r>
                </w:p>
              </w:tc>
              <w:tc>
                <w:tcPr>
                  <w:tcW w:w="251" w:type="pct"/>
                  <w:vAlign w:val="center"/>
                </w:tcPr>
                <w:p>
                  <w:pPr>
                    <w:keepNext w:val="0"/>
                    <w:keepLines w:val="0"/>
                    <w:widowControl/>
                    <w:suppressLineNumbers w:val="0"/>
                    <w:jc w:val="center"/>
                    <w:textAlignment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ascii="Times New Roman" w:hAnsi="Times New Roman" w:eastAsia="宋体" w:cs="Times New Roman"/>
                      <w:b w:val="0"/>
                      <w:bCs/>
                      <w:snapToGrid w:val="0"/>
                      <w:color w:val="auto"/>
                      <w:kern w:val="18"/>
                      <w:sz w:val="18"/>
                      <w:szCs w:val="18"/>
                      <w:lang w:val="en-US" w:eastAsia="zh-CN" w:bidi="ar-SA"/>
                    </w:rPr>
                    <w:t>0.7</w:t>
                  </w:r>
                  <w:r>
                    <w:rPr>
                      <w:rFonts w:hint="eastAsia" w:cs="Times New Roman"/>
                      <w:b w:val="0"/>
                      <w:bCs/>
                      <w:snapToGrid w:val="0"/>
                      <w:color w:val="auto"/>
                      <w:kern w:val="18"/>
                      <w:sz w:val="18"/>
                      <w:szCs w:val="18"/>
                      <w:lang w:val="en-US" w:eastAsia="zh-CN" w:bidi="ar-SA"/>
                    </w:rPr>
                    <w:t>54</w:t>
                  </w:r>
                </w:p>
              </w:tc>
              <w:tc>
                <w:tcPr>
                  <w:tcW w:w="298"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bCs/>
                      <w:snapToGrid w:val="0"/>
                      <w:color w:val="auto"/>
                      <w:kern w:val="18"/>
                      <w:sz w:val="18"/>
                      <w:szCs w:val="18"/>
                      <w:lang w:val="en-US" w:eastAsia="zh-CN" w:bidi="ar-SA"/>
                    </w:rPr>
                  </w:pPr>
                  <w:r>
                    <w:rPr>
                      <w:rFonts w:hint="eastAsia" w:cs="Times New Roman"/>
                      <w:b w:val="0"/>
                      <w:bCs/>
                      <w:snapToGrid w:val="0"/>
                      <w:color w:val="auto"/>
                      <w:kern w:val="18"/>
                      <w:sz w:val="18"/>
                      <w:szCs w:val="18"/>
                      <w:lang w:val="en-US" w:eastAsia="zh-CN" w:bidi="ar-SA"/>
                    </w:rPr>
                    <w:t>15.08</w:t>
                  </w:r>
                </w:p>
              </w:tc>
              <w:tc>
                <w:tcPr>
                  <w:tcW w:w="391" w:type="pct"/>
                  <w:vMerge w:val="continue"/>
                  <w:vAlign w:val="center"/>
                </w:tcPr>
                <w:p>
                  <w:pPr>
                    <w:adjustRightInd w:val="0"/>
                    <w:snapToGrid w:val="0"/>
                    <w:jc w:val="center"/>
                    <w:rPr>
                      <w:b/>
                      <w:snapToGrid w:val="0"/>
                      <w:color w:val="auto"/>
                      <w:kern w:val="18"/>
                      <w:sz w:val="18"/>
                      <w:szCs w:val="18"/>
                    </w:rPr>
                  </w:pPr>
                </w:p>
              </w:tc>
              <w:tc>
                <w:tcPr>
                  <w:tcW w:w="317"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80%</w:t>
                  </w:r>
                </w:p>
              </w:tc>
              <w:tc>
                <w:tcPr>
                  <w:tcW w:w="208" w:type="pct"/>
                  <w:vMerge w:val="continue"/>
                  <w:vAlign w:val="center"/>
                </w:tcPr>
                <w:p>
                  <w:pPr>
                    <w:adjustRightInd w:val="0"/>
                    <w:snapToGrid w:val="0"/>
                    <w:jc w:val="center"/>
                    <w:rPr>
                      <w:rFonts w:hint="default" w:eastAsia="宋体"/>
                      <w:b/>
                      <w:snapToGrid w:val="0"/>
                      <w:color w:val="auto"/>
                      <w:kern w:val="18"/>
                      <w:sz w:val="18"/>
                      <w:szCs w:val="18"/>
                      <w:lang w:val="en-US" w:eastAsia="zh-CN"/>
                    </w:rPr>
                  </w:pPr>
                </w:p>
              </w:tc>
              <w:tc>
                <w:tcPr>
                  <w:tcW w:w="289" w:type="pct"/>
                  <w:vAlign w:val="center"/>
                </w:tcPr>
                <w:p>
                  <w:pPr>
                    <w:adjustRightInd w:val="0"/>
                    <w:snapToGrid w:val="0"/>
                    <w:jc w:val="center"/>
                    <w:rPr>
                      <w:rFonts w:hint="eastAsia"/>
                      <w:b w:val="0"/>
                      <w:bCs/>
                      <w:snapToGrid w:val="0"/>
                      <w:color w:val="auto"/>
                      <w:kern w:val="18"/>
                      <w:sz w:val="18"/>
                      <w:szCs w:val="18"/>
                      <w:lang w:val="en-US" w:eastAsia="zh-CN"/>
                    </w:rPr>
                  </w:pPr>
                  <w:r>
                    <w:rPr>
                      <w:rFonts w:hint="eastAsia"/>
                      <w:b w:val="0"/>
                      <w:bCs/>
                      <w:snapToGrid w:val="0"/>
                      <w:color w:val="auto"/>
                      <w:kern w:val="18"/>
                      <w:sz w:val="18"/>
                      <w:szCs w:val="18"/>
                      <w:lang w:val="en-US" w:eastAsia="zh-CN"/>
                    </w:rPr>
                    <w:t>0.12</w:t>
                  </w:r>
                </w:p>
              </w:tc>
              <w:tc>
                <w:tcPr>
                  <w:tcW w:w="311"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0.15</w:t>
                  </w:r>
                </w:p>
              </w:tc>
              <w:tc>
                <w:tcPr>
                  <w:tcW w:w="377"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3</w:t>
                  </w:r>
                </w:p>
              </w:tc>
              <w:tc>
                <w:tcPr>
                  <w:tcW w:w="255"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22" w:type="pct"/>
                  <w:vMerge w:val="continue"/>
                  <w:vAlign w:val="center"/>
                </w:tcPr>
                <w:p>
                  <w:pPr>
                    <w:adjustRightInd w:val="0"/>
                    <w:snapToGrid w:val="0"/>
                    <w:jc w:val="center"/>
                    <w:rPr>
                      <w:rFonts w:hint="eastAsia"/>
                      <w:b/>
                      <w:snapToGrid w:val="0"/>
                      <w:color w:val="auto"/>
                      <w:kern w:val="18"/>
                      <w:sz w:val="18"/>
                      <w:szCs w:val="18"/>
                    </w:rPr>
                  </w:pPr>
                </w:p>
              </w:tc>
              <w:tc>
                <w:tcPr>
                  <w:tcW w:w="236" w:type="pct"/>
                  <w:vMerge w:val="continue"/>
                  <w:vAlign w:val="center"/>
                </w:tcPr>
                <w:p>
                  <w:pPr>
                    <w:adjustRightInd w:val="0"/>
                    <w:snapToGrid w:val="0"/>
                    <w:jc w:val="center"/>
                    <w:rPr>
                      <w:rFonts w:hint="eastAsia"/>
                      <w:b/>
                      <w:snapToGrid w:val="0"/>
                      <w:color w:val="auto"/>
                      <w:kern w:val="18"/>
                      <w:sz w:val="18"/>
                      <w:szCs w:val="18"/>
                    </w:rPr>
                  </w:pPr>
                </w:p>
              </w:tc>
              <w:tc>
                <w:tcPr>
                  <w:tcW w:w="225" w:type="pct"/>
                  <w:vAlign w:val="center"/>
                </w:tcPr>
                <w:p>
                  <w:pPr>
                    <w:adjustRightInd w:val="0"/>
                    <w:snapToGrid w:val="0"/>
                    <w:jc w:val="center"/>
                    <w:rPr>
                      <w:rFonts w:hint="default"/>
                      <w:b w:val="0"/>
                      <w:bCs/>
                      <w:snapToGrid w:val="0"/>
                      <w:color w:val="auto"/>
                      <w:kern w:val="18"/>
                      <w:sz w:val="18"/>
                      <w:szCs w:val="18"/>
                      <w:lang w:val="en-US" w:eastAsia="zh-CN"/>
                    </w:rPr>
                  </w:pPr>
                  <w:r>
                    <w:rPr>
                      <w:rFonts w:hint="eastAsia"/>
                      <w:b w:val="0"/>
                      <w:bCs/>
                      <w:snapToGrid w:val="0"/>
                      <w:color w:val="auto"/>
                      <w:kern w:val="18"/>
                      <w:sz w:val="18"/>
                      <w:szCs w:val="18"/>
                      <w:lang w:val="en-US" w:eastAsia="zh-CN"/>
                    </w:rPr>
                    <w:t>/</w:t>
                  </w:r>
                </w:p>
              </w:tc>
            </w:tr>
          </w:tbl>
          <w:p>
            <w:pPr>
              <w:pStyle w:val="21"/>
              <w:spacing w:after="0"/>
              <w:rPr>
                <w:b/>
                <w:bCs/>
                <w:color w:val="auto"/>
                <w:szCs w:val="21"/>
              </w:rPr>
            </w:pPr>
            <w:r>
              <w:rPr>
                <w:b/>
                <w:bCs/>
                <w:color w:val="auto"/>
                <w:szCs w:val="21"/>
              </w:rPr>
              <w:t>注：本表中合计的浓度和速率为设备同时工作时产生的污染物的浓度和速率，即最大值。</w:t>
            </w:r>
          </w:p>
          <w:p>
            <w:pPr>
              <w:pStyle w:val="3"/>
              <w:spacing w:line="240" w:lineRule="auto"/>
              <w:jc w:val="center"/>
              <w:outlineLvl w:val="0"/>
              <w:rPr>
                <w:rFonts w:eastAsia="宋体"/>
                <w:b/>
                <w:color w:val="auto"/>
                <w:sz w:val="21"/>
                <w:szCs w:val="21"/>
              </w:rPr>
            </w:pPr>
            <w:r>
              <w:rPr>
                <w:rFonts w:eastAsia="宋体"/>
                <w:b/>
                <w:color w:val="auto"/>
                <w:sz w:val="21"/>
                <w:szCs w:val="21"/>
              </w:rPr>
              <w:t>表5-</w:t>
            </w:r>
            <w:r>
              <w:rPr>
                <w:rFonts w:hint="eastAsia" w:eastAsia="宋体"/>
                <w:b/>
                <w:color w:val="auto"/>
                <w:sz w:val="21"/>
                <w:szCs w:val="21"/>
                <w:lang w:val="en-US" w:eastAsia="zh-CN"/>
              </w:rPr>
              <w:t>15</w:t>
            </w:r>
            <w:r>
              <w:rPr>
                <w:rFonts w:eastAsia="宋体"/>
                <w:b/>
                <w:color w:val="auto"/>
                <w:sz w:val="21"/>
                <w:szCs w:val="21"/>
              </w:rPr>
              <w:t xml:space="preserve"> 项目废气无组织产生及排放情况</w:t>
            </w:r>
          </w:p>
          <w:tbl>
            <w:tblPr>
              <w:tblStyle w:val="56"/>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61"/>
              <w:gridCol w:w="1244"/>
              <w:gridCol w:w="1382"/>
              <w:gridCol w:w="1195"/>
              <w:gridCol w:w="1877"/>
              <w:gridCol w:w="930"/>
              <w:gridCol w:w="1737"/>
              <w:gridCol w:w="1402"/>
              <w:gridCol w:w="2069"/>
              <w:gridCol w:w="145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682" w:type="pct"/>
                  <w:gridSpan w:val="2"/>
                  <w:vAlign w:val="center"/>
                </w:tcPr>
                <w:p>
                  <w:pPr>
                    <w:pStyle w:val="123"/>
                    <w:jc w:val="center"/>
                    <w:rPr>
                      <w:b/>
                      <w:color w:val="auto"/>
                      <w:sz w:val="18"/>
                      <w:szCs w:val="18"/>
                    </w:rPr>
                  </w:pPr>
                  <w:r>
                    <w:rPr>
                      <w:b/>
                      <w:color w:val="auto"/>
                      <w:sz w:val="18"/>
                      <w:szCs w:val="18"/>
                    </w:rPr>
                    <w:t>污染源</w:t>
                  </w:r>
                </w:p>
              </w:tc>
              <w:tc>
                <w:tcPr>
                  <w:tcW w:w="495" w:type="pct"/>
                  <w:vAlign w:val="center"/>
                </w:tcPr>
                <w:p>
                  <w:pPr>
                    <w:pStyle w:val="123"/>
                    <w:jc w:val="center"/>
                    <w:rPr>
                      <w:b/>
                      <w:color w:val="auto"/>
                      <w:sz w:val="18"/>
                      <w:szCs w:val="18"/>
                    </w:rPr>
                  </w:pPr>
                  <w:r>
                    <w:rPr>
                      <w:b/>
                      <w:color w:val="auto"/>
                      <w:sz w:val="18"/>
                      <w:szCs w:val="18"/>
                    </w:rPr>
                    <w:t>污染物名称</w:t>
                  </w:r>
                </w:p>
              </w:tc>
              <w:tc>
                <w:tcPr>
                  <w:tcW w:w="428" w:type="pct"/>
                  <w:vAlign w:val="center"/>
                </w:tcPr>
                <w:p>
                  <w:pPr>
                    <w:pStyle w:val="123"/>
                    <w:jc w:val="center"/>
                    <w:rPr>
                      <w:b/>
                      <w:color w:val="auto"/>
                      <w:sz w:val="18"/>
                      <w:szCs w:val="18"/>
                    </w:rPr>
                  </w:pPr>
                  <w:r>
                    <w:rPr>
                      <w:b/>
                      <w:color w:val="auto"/>
                      <w:sz w:val="18"/>
                      <w:szCs w:val="18"/>
                    </w:rPr>
                    <w:t>产生量t/a</w:t>
                  </w:r>
                </w:p>
              </w:tc>
              <w:tc>
                <w:tcPr>
                  <w:tcW w:w="672" w:type="pct"/>
                  <w:vAlign w:val="center"/>
                </w:tcPr>
                <w:p>
                  <w:pPr>
                    <w:pStyle w:val="123"/>
                    <w:jc w:val="center"/>
                    <w:rPr>
                      <w:b/>
                      <w:color w:val="auto"/>
                      <w:sz w:val="18"/>
                      <w:szCs w:val="18"/>
                    </w:rPr>
                  </w:pPr>
                  <w:r>
                    <w:rPr>
                      <w:b/>
                      <w:color w:val="auto"/>
                      <w:sz w:val="18"/>
                      <w:szCs w:val="18"/>
                    </w:rPr>
                    <w:t>产生速率kg/h</w:t>
                  </w:r>
                </w:p>
              </w:tc>
              <w:tc>
                <w:tcPr>
                  <w:tcW w:w="333" w:type="pct"/>
                  <w:vAlign w:val="center"/>
                </w:tcPr>
                <w:p>
                  <w:pPr>
                    <w:pStyle w:val="123"/>
                    <w:jc w:val="center"/>
                    <w:rPr>
                      <w:b/>
                      <w:color w:val="auto"/>
                      <w:sz w:val="18"/>
                      <w:szCs w:val="18"/>
                    </w:rPr>
                  </w:pPr>
                  <w:r>
                    <w:rPr>
                      <w:b/>
                      <w:color w:val="auto"/>
                      <w:sz w:val="18"/>
                      <w:szCs w:val="18"/>
                    </w:rPr>
                    <w:t>处置措施</w:t>
                  </w:r>
                </w:p>
              </w:tc>
              <w:tc>
                <w:tcPr>
                  <w:tcW w:w="622" w:type="pct"/>
                  <w:vAlign w:val="center"/>
                </w:tcPr>
                <w:p>
                  <w:pPr>
                    <w:pStyle w:val="123"/>
                    <w:jc w:val="center"/>
                    <w:rPr>
                      <w:b/>
                      <w:color w:val="auto"/>
                      <w:sz w:val="18"/>
                      <w:szCs w:val="18"/>
                    </w:rPr>
                  </w:pPr>
                  <w:r>
                    <w:rPr>
                      <w:b/>
                      <w:color w:val="auto"/>
                      <w:sz w:val="18"/>
                      <w:szCs w:val="18"/>
                    </w:rPr>
                    <w:t>排放量t/a</w:t>
                  </w:r>
                </w:p>
              </w:tc>
              <w:tc>
                <w:tcPr>
                  <w:tcW w:w="502" w:type="pct"/>
                  <w:vAlign w:val="center"/>
                </w:tcPr>
                <w:p>
                  <w:pPr>
                    <w:pStyle w:val="123"/>
                    <w:jc w:val="center"/>
                    <w:rPr>
                      <w:b/>
                      <w:color w:val="auto"/>
                      <w:sz w:val="18"/>
                      <w:szCs w:val="18"/>
                    </w:rPr>
                  </w:pPr>
                  <w:r>
                    <w:rPr>
                      <w:b/>
                      <w:color w:val="auto"/>
                      <w:sz w:val="18"/>
                      <w:szCs w:val="18"/>
                    </w:rPr>
                    <w:t>排放速率kg/h</w:t>
                  </w:r>
                </w:p>
              </w:tc>
              <w:tc>
                <w:tcPr>
                  <w:tcW w:w="741" w:type="pct"/>
                  <w:vAlign w:val="center"/>
                </w:tcPr>
                <w:p>
                  <w:pPr>
                    <w:pStyle w:val="123"/>
                    <w:jc w:val="center"/>
                    <w:rPr>
                      <w:b/>
                      <w:color w:val="auto"/>
                      <w:sz w:val="18"/>
                      <w:szCs w:val="18"/>
                    </w:rPr>
                  </w:pPr>
                  <w:r>
                    <w:rPr>
                      <w:b/>
                      <w:color w:val="auto"/>
                      <w:sz w:val="18"/>
                      <w:szCs w:val="18"/>
                    </w:rPr>
                    <w:t>面源</w:t>
                  </w:r>
                </w:p>
              </w:tc>
              <w:tc>
                <w:tcPr>
                  <w:tcW w:w="521" w:type="pct"/>
                  <w:vAlign w:val="center"/>
                </w:tcPr>
                <w:p>
                  <w:pPr>
                    <w:pStyle w:val="123"/>
                    <w:jc w:val="center"/>
                    <w:rPr>
                      <w:b/>
                      <w:color w:val="auto"/>
                      <w:sz w:val="18"/>
                      <w:szCs w:val="18"/>
                    </w:rPr>
                  </w:pPr>
                  <w:r>
                    <w:rPr>
                      <w:b/>
                      <w:color w:val="auto"/>
                      <w:sz w:val="18"/>
                      <w:szCs w:val="18"/>
                    </w:rPr>
                    <w:t>面源高度m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36" w:type="pct"/>
                  <w:vMerge w:val="restart"/>
                  <w:vAlign w:val="center"/>
                </w:tcPr>
                <w:p>
                  <w:pPr>
                    <w:pStyle w:val="123"/>
                    <w:jc w:val="center"/>
                    <w:rPr>
                      <w:b/>
                      <w:color w:val="auto"/>
                      <w:sz w:val="18"/>
                      <w:szCs w:val="18"/>
                    </w:rPr>
                  </w:pPr>
                  <w:r>
                    <w:rPr>
                      <w:rFonts w:hint="eastAsia"/>
                      <w:bCs/>
                      <w:snapToGrid w:val="0"/>
                      <w:color w:val="auto"/>
                      <w:sz w:val="18"/>
                      <w:szCs w:val="18"/>
                    </w:rPr>
                    <w:t>生产车间</w:t>
                  </w:r>
                </w:p>
              </w:tc>
              <w:tc>
                <w:tcPr>
                  <w:tcW w:w="445" w:type="pc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val="en-US" w:eastAsia="zh-CN"/>
                    </w:rPr>
                    <w:t>喷砂工序</w:t>
                  </w:r>
                </w:p>
              </w:tc>
              <w:tc>
                <w:tcPr>
                  <w:tcW w:w="495" w:type="pct"/>
                  <w:vAlign w:val="center"/>
                </w:tcPr>
                <w:p>
                  <w:pPr>
                    <w:pStyle w:val="21"/>
                    <w:spacing w:line="240" w:lineRule="auto"/>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颗粒物</w:t>
                  </w:r>
                </w:p>
              </w:tc>
              <w:tc>
                <w:tcPr>
                  <w:tcW w:w="428"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0.066</w:t>
                  </w:r>
                </w:p>
              </w:tc>
              <w:tc>
                <w:tcPr>
                  <w:tcW w:w="672"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333" w:type="pct"/>
                  <w:vAlign w:val="center"/>
                </w:tcPr>
                <w:p>
                  <w:pPr>
                    <w:pStyle w:val="123"/>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0.066</w:t>
                  </w:r>
                </w:p>
              </w:tc>
              <w:tc>
                <w:tcPr>
                  <w:tcW w:w="50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741" w:type="pct"/>
                  <w:vMerge w:val="restart"/>
                  <w:vAlign w:val="center"/>
                </w:tcPr>
                <w:p>
                  <w:pPr>
                    <w:pStyle w:val="123"/>
                    <w:jc w:val="center"/>
                    <w:rPr>
                      <w:bCs/>
                      <w:snapToGrid w:val="0"/>
                      <w:color w:val="auto"/>
                      <w:sz w:val="18"/>
                      <w:szCs w:val="18"/>
                    </w:rPr>
                  </w:pPr>
                  <w:r>
                    <w:rPr>
                      <w:rFonts w:hint="eastAsia"/>
                      <w:bCs/>
                      <w:snapToGrid w:val="0"/>
                      <w:color w:val="auto"/>
                      <w:sz w:val="18"/>
                      <w:szCs w:val="18"/>
                    </w:rPr>
                    <w:t>4</w:t>
                  </w:r>
                  <w:r>
                    <w:rPr>
                      <w:rFonts w:hint="eastAsia"/>
                      <w:bCs/>
                      <w:snapToGrid w:val="0"/>
                      <w:color w:val="auto"/>
                      <w:sz w:val="18"/>
                      <w:szCs w:val="18"/>
                      <w:lang w:val="en-US" w:eastAsia="zh-CN"/>
                    </w:rPr>
                    <w:t>8</w:t>
                  </w:r>
                  <w:r>
                    <w:rPr>
                      <w:rFonts w:hint="eastAsia"/>
                      <w:bCs/>
                      <w:snapToGrid w:val="0"/>
                      <w:color w:val="auto"/>
                      <w:sz w:val="18"/>
                      <w:szCs w:val="18"/>
                    </w:rPr>
                    <w:t>m</w:t>
                  </w:r>
                  <w:r>
                    <w:rPr>
                      <w:rFonts w:ascii="Arial" w:hAnsi="Arial" w:cs="Arial"/>
                      <w:bCs/>
                      <w:snapToGrid w:val="0"/>
                      <w:color w:val="auto"/>
                      <w:sz w:val="18"/>
                      <w:szCs w:val="18"/>
                    </w:rPr>
                    <w:t>×</w:t>
                  </w:r>
                  <w:r>
                    <w:rPr>
                      <w:rFonts w:hint="eastAsia"/>
                      <w:bCs/>
                      <w:snapToGrid w:val="0"/>
                      <w:color w:val="auto"/>
                      <w:sz w:val="18"/>
                      <w:szCs w:val="18"/>
                      <w:lang w:val="en-US" w:eastAsia="zh-CN"/>
                    </w:rPr>
                    <w:t>58</w:t>
                  </w:r>
                  <w:r>
                    <w:rPr>
                      <w:rFonts w:hint="eastAsia"/>
                      <w:bCs/>
                      <w:snapToGrid w:val="0"/>
                      <w:color w:val="auto"/>
                      <w:sz w:val="18"/>
                      <w:szCs w:val="18"/>
                    </w:rPr>
                    <w:t>m</w:t>
                  </w:r>
                </w:p>
              </w:tc>
              <w:tc>
                <w:tcPr>
                  <w:tcW w:w="521" w:type="pct"/>
                  <w:vMerge w:val="restart"/>
                  <w:vAlign w:val="center"/>
                </w:tcPr>
                <w:p>
                  <w:pPr>
                    <w:pStyle w:val="123"/>
                    <w:jc w:val="center"/>
                    <w:rPr>
                      <w:rFonts w:hint="eastAsia" w:eastAsia="宋体"/>
                      <w:bCs/>
                      <w:snapToGrid w:val="0"/>
                      <w:color w:val="auto"/>
                      <w:sz w:val="18"/>
                      <w:szCs w:val="18"/>
                      <w:lang w:eastAsia="zh-CN"/>
                    </w:rPr>
                  </w:pPr>
                  <w:r>
                    <w:rPr>
                      <w:rFonts w:hint="eastAsia"/>
                      <w:bCs/>
                      <w:snapToGrid w:val="0"/>
                      <w:color w:val="auto"/>
                      <w:sz w:val="18"/>
                      <w:szCs w:val="18"/>
                      <w:lang w:val="en-US" w:eastAsia="zh-CN"/>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236" w:type="pct"/>
                  <w:vMerge w:val="continue"/>
                  <w:vAlign w:val="center"/>
                </w:tcPr>
                <w:p>
                  <w:pPr>
                    <w:pStyle w:val="123"/>
                    <w:jc w:val="center"/>
                    <w:rPr>
                      <w:bCs/>
                      <w:snapToGrid w:val="0"/>
                      <w:color w:val="auto"/>
                      <w:sz w:val="18"/>
                      <w:szCs w:val="18"/>
                    </w:rPr>
                  </w:pPr>
                </w:p>
              </w:tc>
              <w:tc>
                <w:tcPr>
                  <w:tcW w:w="445" w:type="pc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抛丸工序</w:t>
                  </w:r>
                </w:p>
              </w:tc>
              <w:tc>
                <w:tcPr>
                  <w:tcW w:w="495" w:type="pct"/>
                  <w:vAlign w:val="center"/>
                </w:tcPr>
                <w:p>
                  <w:pPr>
                    <w:adjustRightInd w:val="0"/>
                    <w:snapToGrid w:val="0"/>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颗粒物</w:t>
                  </w:r>
                </w:p>
              </w:tc>
              <w:tc>
                <w:tcPr>
                  <w:tcW w:w="428"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0.096</w:t>
                  </w:r>
                </w:p>
              </w:tc>
              <w:tc>
                <w:tcPr>
                  <w:tcW w:w="672"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0.005</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0.096</w:t>
                  </w:r>
                </w:p>
              </w:tc>
              <w:tc>
                <w:tcPr>
                  <w:tcW w:w="50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0.005</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6" w:type="pct"/>
                  <w:vMerge w:val="continue"/>
                  <w:vAlign w:val="center"/>
                </w:tcPr>
                <w:p>
                  <w:pPr>
                    <w:pStyle w:val="123"/>
                    <w:jc w:val="center"/>
                    <w:rPr>
                      <w:bCs/>
                      <w:snapToGrid w:val="0"/>
                      <w:color w:val="auto"/>
                      <w:sz w:val="18"/>
                      <w:szCs w:val="18"/>
                    </w:rPr>
                  </w:pPr>
                </w:p>
              </w:tc>
              <w:tc>
                <w:tcPr>
                  <w:tcW w:w="445" w:type="pct"/>
                  <w:vMerge w:val="restar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喷塑流水线</w:t>
                  </w:r>
                </w:p>
              </w:tc>
              <w:tc>
                <w:tcPr>
                  <w:tcW w:w="495" w:type="pct"/>
                  <w:vAlign w:val="center"/>
                </w:tcPr>
                <w:p>
                  <w:pPr>
                    <w:widowControl/>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颗粒物</w:t>
                  </w:r>
                </w:p>
              </w:tc>
              <w:tc>
                <w:tcPr>
                  <w:tcW w:w="428"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672"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0.001</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50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0.001</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6" w:type="pct"/>
                  <w:vMerge w:val="continue"/>
                  <w:vAlign w:val="center"/>
                </w:tcPr>
                <w:p>
                  <w:pPr>
                    <w:pStyle w:val="123"/>
                    <w:jc w:val="center"/>
                    <w:rPr>
                      <w:bCs/>
                      <w:snapToGrid w:val="0"/>
                      <w:color w:val="auto"/>
                      <w:sz w:val="18"/>
                      <w:szCs w:val="18"/>
                    </w:rPr>
                  </w:pPr>
                </w:p>
              </w:tc>
              <w:tc>
                <w:tcPr>
                  <w:tcW w:w="445" w:type="pct"/>
                  <w:vMerge w:val="continue"/>
                  <w:vAlign w:val="center"/>
                </w:tcPr>
                <w:p>
                  <w:pPr>
                    <w:widowControl/>
                    <w:jc w:val="center"/>
                    <w:rPr>
                      <w:rFonts w:hint="default" w:ascii="Times New Roman" w:hAnsi="Times New Roman" w:eastAsia="宋体" w:cs="Times New Roman"/>
                      <w:color w:val="auto"/>
                      <w:kern w:val="2"/>
                      <w:sz w:val="18"/>
                      <w:szCs w:val="18"/>
                      <w:lang w:val="en-US" w:eastAsia="zh-CN" w:bidi="ar-SA"/>
                    </w:rPr>
                  </w:pPr>
                </w:p>
              </w:tc>
              <w:tc>
                <w:tcPr>
                  <w:tcW w:w="495" w:type="pct"/>
                  <w:vAlign w:val="center"/>
                </w:tcPr>
                <w:p>
                  <w:pPr>
                    <w:adjustRightInd w:val="0"/>
                    <w:snapToGrid w:val="0"/>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非甲烷总烃</w:t>
                  </w:r>
                </w:p>
              </w:tc>
              <w:tc>
                <w:tcPr>
                  <w:tcW w:w="428"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0.017</w:t>
                  </w:r>
                </w:p>
              </w:tc>
              <w:tc>
                <w:tcPr>
                  <w:tcW w:w="672" w:type="pct"/>
                  <w:vAlign w:val="center"/>
                </w:tcPr>
                <w:p>
                  <w:pPr>
                    <w:pStyle w:val="261"/>
                    <w:ind w:right="-107" w:rightChars="-51"/>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0.017</w:t>
                  </w:r>
                </w:p>
              </w:tc>
              <w:tc>
                <w:tcPr>
                  <w:tcW w:w="502" w:type="pct"/>
                  <w:vAlign w:val="center"/>
                </w:tcPr>
                <w:p>
                  <w:pPr>
                    <w:pStyle w:val="261"/>
                    <w:ind w:right="-107" w:rightChars="-51"/>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6" w:type="pct"/>
                  <w:vMerge w:val="continue"/>
                  <w:vAlign w:val="center"/>
                </w:tcPr>
                <w:p>
                  <w:pPr>
                    <w:pStyle w:val="123"/>
                    <w:jc w:val="center"/>
                    <w:rPr>
                      <w:bCs/>
                      <w:snapToGrid w:val="0"/>
                      <w:color w:val="auto"/>
                      <w:sz w:val="18"/>
                      <w:szCs w:val="18"/>
                    </w:rPr>
                  </w:pPr>
                </w:p>
              </w:tc>
              <w:tc>
                <w:tcPr>
                  <w:tcW w:w="445" w:type="pct"/>
                  <w:vAlign w:val="center"/>
                </w:tcPr>
                <w:p>
                  <w:pPr>
                    <w:adjustRightInd w:val="0"/>
                    <w:snapToGrid w:val="0"/>
                    <w:jc w:val="center"/>
                    <w:rPr>
                      <w:rFonts w:hint="default" w:ascii="Times New Roman" w:hAnsi="Times New Roman" w:eastAsia="宋体" w:cs="Times New Roman"/>
                      <w:b w:val="0"/>
                      <w:bCs/>
                      <w:snapToGrid w:val="0"/>
                      <w:color w:val="auto"/>
                      <w:kern w:val="18"/>
                      <w:sz w:val="18"/>
                      <w:szCs w:val="18"/>
                      <w:lang w:val="en-US" w:eastAsia="zh-CN" w:bidi="ar-SA"/>
                    </w:rPr>
                  </w:pPr>
                  <w:r>
                    <w:rPr>
                      <w:rFonts w:hint="eastAsia"/>
                      <w:b w:val="0"/>
                      <w:bCs/>
                      <w:snapToGrid w:val="0"/>
                      <w:color w:val="auto"/>
                      <w:kern w:val="18"/>
                      <w:sz w:val="18"/>
                      <w:szCs w:val="18"/>
                      <w:lang w:val="en-US" w:eastAsia="zh-CN"/>
                    </w:rPr>
                    <w:t>喷锌废气</w:t>
                  </w:r>
                </w:p>
              </w:tc>
              <w:tc>
                <w:tcPr>
                  <w:tcW w:w="0" w:type="auto"/>
                  <w:vAlign w:val="center"/>
                </w:tcPr>
                <w:p>
                  <w:pPr>
                    <w:adjustRightInd w:val="0"/>
                    <w:snapToGrid w:val="0"/>
                    <w:jc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颗粒物</w:t>
                  </w: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672"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502" w:type="pct"/>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0.003</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6" w:type="pct"/>
                  <w:vMerge w:val="continue"/>
                  <w:vAlign w:val="center"/>
                </w:tcPr>
                <w:p>
                  <w:pPr>
                    <w:pStyle w:val="123"/>
                    <w:jc w:val="center"/>
                    <w:rPr>
                      <w:bCs/>
                      <w:snapToGrid w:val="0"/>
                      <w:color w:val="auto"/>
                      <w:sz w:val="18"/>
                      <w:szCs w:val="18"/>
                    </w:rPr>
                  </w:pPr>
                </w:p>
              </w:tc>
              <w:tc>
                <w:tcPr>
                  <w:tcW w:w="445" w:type="pct"/>
                  <w:vMerge w:val="restart"/>
                  <w:vAlign w:val="center"/>
                </w:tcPr>
                <w:p>
                  <w:pPr>
                    <w:widowControl/>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喷漆废气</w:t>
                  </w: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漆雾</w:t>
                  </w:r>
                </w:p>
              </w:tc>
              <w:tc>
                <w:tcPr>
                  <w:tcW w:w="428"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0.064</w:t>
                  </w:r>
                </w:p>
              </w:tc>
              <w:tc>
                <w:tcPr>
                  <w:tcW w:w="672"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0.054</w:t>
                  </w:r>
                </w:p>
              </w:tc>
              <w:tc>
                <w:tcPr>
                  <w:tcW w:w="333"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0.064</w:t>
                  </w:r>
                </w:p>
              </w:tc>
              <w:tc>
                <w:tcPr>
                  <w:tcW w:w="50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0.054</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236" w:type="pct"/>
                  <w:vMerge w:val="continue"/>
                  <w:vAlign w:val="center"/>
                </w:tcPr>
                <w:p>
                  <w:pPr>
                    <w:pStyle w:val="123"/>
                    <w:jc w:val="center"/>
                    <w:rPr>
                      <w:bCs/>
                      <w:snapToGrid w:val="0"/>
                      <w:color w:val="auto"/>
                      <w:sz w:val="18"/>
                      <w:szCs w:val="18"/>
                    </w:rPr>
                  </w:pPr>
                </w:p>
              </w:tc>
              <w:tc>
                <w:tcPr>
                  <w:tcW w:w="445" w:type="pct"/>
                  <w:vMerge w:val="continue"/>
                  <w:vAlign w:val="center"/>
                </w:tcPr>
                <w:p>
                  <w:pPr>
                    <w:widowControl/>
                    <w:jc w:val="center"/>
                    <w:rPr>
                      <w:rFonts w:hint="eastAsia" w:ascii="Times New Roman" w:hAnsi="Times New Roman" w:eastAsia="宋体" w:cs="Times New Roman"/>
                      <w:color w:val="auto"/>
                      <w:kern w:val="2"/>
                      <w:sz w:val="18"/>
                      <w:szCs w:val="18"/>
                      <w:lang w:val="en-US" w:eastAsia="zh-CN" w:bidi="ar-SA"/>
                    </w:rPr>
                  </w:pP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VOCs</w:t>
                  </w:r>
                </w:p>
              </w:tc>
              <w:tc>
                <w:tcPr>
                  <w:tcW w:w="428"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0.068</w:t>
                  </w:r>
                </w:p>
              </w:tc>
              <w:tc>
                <w:tcPr>
                  <w:tcW w:w="672"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0.092</w:t>
                  </w:r>
                </w:p>
              </w:tc>
              <w:tc>
                <w:tcPr>
                  <w:tcW w:w="333"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0.068</w:t>
                  </w:r>
                </w:p>
              </w:tc>
              <w:tc>
                <w:tcPr>
                  <w:tcW w:w="50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0.092</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2" w:type="pct"/>
                  <w:gridSpan w:val="2"/>
                  <w:vMerge w:val="restart"/>
                  <w:vAlign w:val="center"/>
                </w:tcPr>
                <w:p>
                  <w:pPr>
                    <w:widowControl/>
                    <w:jc w:val="center"/>
                    <w:rPr>
                      <w:rFonts w:hint="eastAsia" w:ascii="Times New Roman" w:hAnsi="Times New Roman" w:eastAsia="宋体" w:cs="Times New Roman"/>
                      <w:color w:val="auto"/>
                      <w:kern w:val="2"/>
                      <w:sz w:val="18"/>
                      <w:szCs w:val="18"/>
                      <w:lang w:val="en-US" w:eastAsia="zh-CN" w:bidi="ar-SA"/>
                    </w:rPr>
                  </w:pPr>
                  <w:r>
                    <w:rPr>
                      <w:rFonts w:hint="eastAsia"/>
                      <w:bCs/>
                      <w:snapToGrid w:val="0"/>
                      <w:color w:val="auto"/>
                      <w:sz w:val="18"/>
                      <w:szCs w:val="18"/>
                      <w:lang w:val="en-US" w:eastAsia="zh-CN"/>
                    </w:rPr>
                    <w:t>合计</w:t>
                  </w: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颗粒物</w:t>
                  </w:r>
                </w:p>
              </w:tc>
              <w:tc>
                <w:tcPr>
                  <w:tcW w:w="428"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0.235</w:t>
                  </w:r>
                </w:p>
              </w:tc>
              <w:tc>
                <w:tcPr>
                  <w:tcW w:w="67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0.066</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0.235</w:t>
                  </w:r>
                </w:p>
              </w:tc>
              <w:tc>
                <w:tcPr>
                  <w:tcW w:w="50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0.066</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2" w:type="pct"/>
                  <w:gridSpan w:val="2"/>
                  <w:vMerge w:val="continue"/>
                  <w:vAlign w:val="center"/>
                </w:tcPr>
                <w:p>
                  <w:pPr>
                    <w:widowControl/>
                    <w:jc w:val="center"/>
                    <w:rPr>
                      <w:rFonts w:hint="eastAsia"/>
                      <w:bCs/>
                      <w:snapToGrid w:val="0"/>
                      <w:color w:val="auto"/>
                      <w:sz w:val="18"/>
                      <w:szCs w:val="18"/>
                      <w:lang w:val="en-US" w:eastAsia="zh-CN"/>
                    </w:rPr>
                  </w:pP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非甲烷总烃</w:t>
                  </w:r>
                </w:p>
              </w:tc>
              <w:tc>
                <w:tcPr>
                  <w:tcW w:w="428"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0.017</w:t>
                  </w:r>
                </w:p>
              </w:tc>
              <w:tc>
                <w:tcPr>
                  <w:tcW w:w="672"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0.017</w:t>
                  </w:r>
                </w:p>
              </w:tc>
              <w:tc>
                <w:tcPr>
                  <w:tcW w:w="50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0.006</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682" w:type="pct"/>
                  <w:gridSpan w:val="2"/>
                  <w:vMerge w:val="continue"/>
                  <w:vAlign w:val="center"/>
                </w:tcPr>
                <w:p>
                  <w:pPr>
                    <w:widowControl/>
                    <w:jc w:val="center"/>
                    <w:rPr>
                      <w:rFonts w:hint="eastAsia"/>
                      <w:bCs/>
                      <w:snapToGrid w:val="0"/>
                      <w:color w:val="auto"/>
                      <w:sz w:val="18"/>
                      <w:szCs w:val="18"/>
                      <w:lang w:val="en-US" w:eastAsia="zh-CN"/>
                    </w:rPr>
                  </w:pPr>
                </w:p>
              </w:tc>
              <w:tc>
                <w:tcPr>
                  <w:tcW w:w="0" w:type="auto"/>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VOCs</w:t>
                  </w:r>
                </w:p>
              </w:tc>
              <w:tc>
                <w:tcPr>
                  <w:tcW w:w="428" w:type="pct"/>
                  <w:vAlign w:val="center"/>
                </w:tcPr>
                <w:p>
                  <w:pPr>
                    <w:keepNext w:val="0"/>
                    <w:keepLines w:val="0"/>
                    <w:widowControl/>
                    <w:suppressLineNumbers w:val="0"/>
                    <w:jc w:val="center"/>
                    <w:textAlignment w:val="center"/>
                    <w:rPr>
                      <w:rFonts w:hint="default"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0.085</w:t>
                  </w:r>
                </w:p>
              </w:tc>
              <w:tc>
                <w:tcPr>
                  <w:tcW w:w="67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0.098</w:t>
                  </w:r>
                </w:p>
              </w:tc>
              <w:tc>
                <w:tcPr>
                  <w:tcW w:w="333" w:type="pct"/>
                  <w:vAlign w:val="center"/>
                </w:tcPr>
                <w:p>
                  <w:pPr>
                    <w:jc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w:t>
                  </w:r>
                </w:p>
              </w:tc>
              <w:tc>
                <w:tcPr>
                  <w:tcW w:w="62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0.085</w:t>
                  </w:r>
                </w:p>
              </w:tc>
              <w:tc>
                <w:tcPr>
                  <w:tcW w:w="502" w:type="pct"/>
                  <w:vAlign w:val="center"/>
                </w:tcPr>
                <w:p>
                  <w:pPr>
                    <w:keepNext w:val="0"/>
                    <w:keepLines w:val="0"/>
                    <w:widowControl/>
                    <w:suppressLineNumbers w:val="0"/>
                    <w:jc w:val="center"/>
                    <w:textAlignment w:val="center"/>
                    <w:rPr>
                      <w:rFonts w:hint="eastAsia" w:ascii="Times New Roman" w:hAnsi="Times New Roman" w:eastAsia="宋体" w:cs="Times New Roman"/>
                      <w:bCs/>
                      <w:snapToGrid w:val="0"/>
                      <w:color w:val="auto"/>
                      <w:kern w:val="18"/>
                      <w:sz w:val="18"/>
                      <w:szCs w:val="18"/>
                      <w:lang w:val="en-US" w:eastAsia="zh-CN" w:bidi="ar-SA"/>
                    </w:rPr>
                  </w:pPr>
                  <w:r>
                    <w:rPr>
                      <w:rFonts w:hint="eastAsia" w:ascii="Times New Roman" w:hAnsi="Times New Roman" w:eastAsia="宋体" w:cs="Times New Roman"/>
                      <w:bCs/>
                      <w:snapToGrid w:val="0"/>
                      <w:color w:val="auto"/>
                      <w:kern w:val="18"/>
                      <w:sz w:val="18"/>
                      <w:szCs w:val="18"/>
                      <w:lang w:val="en-US" w:eastAsia="zh-CN" w:bidi="ar-SA"/>
                    </w:rPr>
                    <w:t>0.098</w:t>
                  </w:r>
                </w:p>
              </w:tc>
              <w:tc>
                <w:tcPr>
                  <w:tcW w:w="741" w:type="pct"/>
                  <w:vMerge w:val="continue"/>
                  <w:vAlign w:val="center"/>
                </w:tcPr>
                <w:p>
                  <w:pPr>
                    <w:pStyle w:val="123"/>
                    <w:jc w:val="center"/>
                    <w:rPr>
                      <w:bCs/>
                      <w:snapToGrid w:val="0"/>
                      <w:color w:val="auto"/>
                      <w:sz w:val="18"/>
                      <w:szCs w:val="18"/>
                    </w:rPr>
                  </w:pPr>
                </w:p>
              </w:tc>
              <w:tc>
                <w:tcPr>
                  <w:tcW w:w="521" w:type="pct"/>
                  <w:vMerge w:val="continue"/>
                  <w:vAlign w:val="center"/>
                </w:tcPr>
                <w:p>
                  <w:pPr>
                    <w:pStyle w:val="123"/>
                    <w:jc w:val="center"/>
                    <w:rPr>
                      <w:bCs/>
                      <w:snapToGrid w:val="0"/>
                      <w:color w:val="auto"/>
                      <w:sz w:val="18"/>
                      <w:szCs w:val="18"/>
                    </w:rPr>
                  </w:pPr>
                </w:p>
              </w:tc>
            </w:tr>
          </w:tbl>
          <w:p>
            <w:pPr>
              <w:pStyle w:val="312"/>
              <w:spacing w:line="240" w:lineRule="auto"/>
              <w:rPr>
                <w:rFonts w:hint="eastAsia"/>
                <w:color w:val="auto"/>
                <w:sz w:val="21"/>
                <w:szCs w:val="21"/>
              </w:rPr>
            </w:pPr>
            <w:r>
              <w:rPr>
                <w:rFonts w:hint="eastAsia"/>
                <w:color w:val="auto"/>
                <w:sz w:val="21"/>
                <w:szCs w:val="21"/>
              </w:rPr>
              <w:t>注：</w:t>
            </w:r>
            <w:r>
              <w:rPr>
                <w:rFonts w:hint="eastAsia"/>
                <w:color w:val="auto"/>
                <w:sz w:val="21"/>
                <w:szCs w:val="21"/>
                <w:lang w:val="en-US" w:eastAsia="zh-CN"/>
              </w:rPr>
              <w:t>①</w:t>
            </w:r>
            <w:r>
              <w:rPr>
                <w:rFonts w:hint="eastAsia"/>
                <w:color w:val="auto"/>
                <w:sz w:val="21"/>
                <w:szCs w:val="21"/>
              </w:rPr>
              <w:t>本表中合计的污染物速率为设备同时工作时产生的污染物的速率，即最大值。</w:t>
            </w:r>
          </w:p>
          <w:p>
            <w:pPr>
              <w:pStyle w:val="312"/>
              <w:spacing w:line="240" w:lineRule="auto"/>
              <w:ind w:firstLine="420" w:firstLineChars="200"/>
              <w:rPr>
                <w:rFonts w:hint="eastAsia"/>
                <w:color w:val="auto"/>
                <w:sz w:val="21"/>
                <w:szCs w:val="21"/>
              </w:rPr>
            </w:pPr>
            <w:r>
              <w:rPr>
                <w:rFonts w:hint="eastAsia"/>
                <w:color w:val="auto"/>
                <w:sz w:val="21"/>
                <w:szCs w:val="21"/>
                <w:lang w:val="en-US" w:eastAsia="zh-CN"/>
              </w:rPr>
              <w:t>②</w:t>
            </w:r>
            <w:r>
              <w:rPr>
                <w:rFonts w:hint="eastAsia"/>
                <w:color w:val="auto"/>
                <w:sz w:val="21"/>
                <w:szCs w:val="21"/>
              </w:rPr>
              <w:t>本项目</w:t>
            </w:r>
            <w:r>
              <w:rPr>
                <w:rFonts w:hint="eastAsia"/>
                <w:color w:val="auto"/>
                <w:sz w:val="21"/>
                <w:szCs w:val="21"/>
                <w:lang w:val="en-US" w:eastAsia="zh-CN"/>
              </w:rPr>
              <w:t>喷砂室、抛丸室、喷锌室、</w:t>
            </w:r>
            <w:r>
              <w:rPr>
                <w:rFonts w:hint="eastAsia"/>
                <w:color w:val="auto"/>
                <w:sz w:val="21"/>
                <w:szCs w:val="21"/>
              </w:rPr>
              <w:t>喷漆房均设置在生产厂房内，因此无组织废气最终以生产厂房为面源扩散。</w:t>
            </w:r>
          </w:p>
          <w:p>
            <w:pPr>
              <w:pStyle w:val="312"/>
              <w:spacing w:line="240" w:lineRule="auto"/>
              <w:ind w:firstLine="420" w:firstLineChars="200"/>
              <w:rPr>
                <w:rFonts w:hint="eastAsia"/>
                <w:color w:val="auto"/>
                <w:sz w:val="21"/>
                <w:szCs w:val="21"/>
                <w:lang w:val="en-US" w:eastAsia="zh-CN"/>
              </w:rPr>
            </w:pPr>
            <w:r>
              <w:rPr>
                <w:rFonts w:hint="eastAsia"/>
                <w:color w:val="auto"/>
                <w:sz w:val="21"/>
                <w:szCs w:val="21"/>
                <w:lang w:val="en-US" w:eastAsia="zh-CN"/>
              </w:rPr>
              <w:t>③本表中VOCs包含非甲烷总烃</w:t>
            </w: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eastAsia"/>
                <w:color w:val="auto"/>
                <w:sz w:val="21"/>
                <w:szCs w:val="21"/>
                <w:lang w:val="en-US" w:eastAsia="zh-CN"/>
              </w:rPr>
            </w:pPr>
          </w:p>
          <w:p>
            <w:pPr>
              <w:pStyle w:val="312"/>
              <w:spacing w:line="240" w:lineRule="auto"/>
              <w:ind w:firstLine="420" w:firstLineChars="200"/>
              <w:rPr>
                <w:rFonts w:hint="default"/>
                <w:color w:val="auto"/>
                <w:sz w:val="21"/>
                <w:szCs w:val="21"/>
                <w:lang w:val="en-US" w:eastAsia="zh-CN"/>
              </w:rPr>
            </w:pPr>
          </w:p>
        </w:tc>
      </w:tr>
    </w:tbl>
    <w:p>
      <w:pPr>
        <w:pStyle w:val="312"/>
        <w:rPr>
          <w:rFonts w:ascii="Times New Roman" w:hAnsi="Times New Roman"/>
          <w:color w:val="auto"/>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720" w:num="1"/>
          <w:docGrid w:type="linesAndChars" w:linePitch="312" w:charSpace="0"/>
        </w:sectPr>
      </w:pPr>
    </w:p>
    <w:tbl>
      <w:tblPr>
        <w:tblStyle w:val="56"/>
        <w:tblW w:w="852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Layout w:type="fixed"/>
        <w:tblCellMar>
          <w:top w:w="0" w:type="dxa"/>
          <w:left w:w="108" w:type="dxa"/>
          <w:bottom w:w="0" w:type="dxa"/>
          <w:right w:w="108" w:type="dxa"/>
        </w:tblCellMar>
      </w:tblPr>
      <w:tblGrid>
        <w:gridCol w:w="852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PrEx>
        <w:trPr>
          <w:trHeight w:val="13846" w:hRule="atLeast"/>
          <w:jc w:val="center"/>
        </w:trPr>
        <w:tc>
          <w:tcPr>
            <w:tcW w:w="8528" w:type="dxa"/>
          </w:tcPr>
          <w:p>
            <w:pPr>
              <w:snapToGrid w:val="0"/>
              <w:rPr>
                <w:b/>
                <w:color w:val="auto"/>
                <w:sz w:val="10"/>
              </w:rPr>
            </w:pPr>
          </w:p>
          <w:p>
            <w:pPr>
              <w:pStyle w:val="24"/>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right="0" w:rightChars="0" w:firstLine="480" w:firstLineChars="200"/>
              <w:textAlignment w:val="auto"/>
              <w:rPr>
                <w:rFonts w:hint="default" w:ascii="Times New Roman" w:hAnsi="Times New Roman" w:eastAsia="宋体" w:cs="Times New Roman"/>
                <w:b w:val="0"/>
                <w:bCs/>
                <w:color w:val="auto"/>
                <w:sz w:val="24"/>
                <w:szCs w:val="24"/>
                <w:lang w:eastAsia="zh-CN"/>
              </w:rPr>
            </w:pPr>
            <w:r>
              <w:rPr>
                <w:rFonts w:hint="default" w:ascii="Times New Roman" w:hAnsi="Times New Roman" w:eastAsia="宋体" w:cs="Times New Roman"/>
                <w:b w:val="0"/>
                <w:bCs/>
                <w:color w:val="auto"/>
                <w:sz w:val="24"/>
                <w:szCs w:val="24"/>
                <w:lang w:eastAsia="zh-CN"/>
              </w:rPr>
              <w:t>喷漆物料平衡见下表</w:t>
            </w:r>
            <w:r>
              <w:rPr>
                <w:rFonts w:hint="default" w:ascii="Times New Roman" w:hAnsi="Times New Roman" w:eastAsia="宋体" w:cs="Times New Roman"/>
                <w:b w:val="0"/>
                <w:bCs/>
                <w:color w:val="auto"/>
                <w:sz w:val="24"/>
                <w:szCs w:val="24"/>
                <w:lang w:val="en-US" w:eastAsia="zh-CN"/>
              </w:rPr>
              <w:t>5-</w:t>
            </w:r>
            <w:r>
              <w:rPr>
                <w:rFonts w:hint="eastAsia" w:cs="Times New Roman"/>
                <w:b w:val="0"/>
                <w:bCs/>
                <w:color w:val="auto"/>
                <w:sz w:val="24"/>
                <w:szCs w:val="24"/>
                <w:lang w:val="en-US" w:eastAsia="zh-CN"/>
              </w:rPr>
              <w:t>16</w:t>
            </w:r>
            <w:r>
              <w:rPr>
                <w:rFonts w:hint="default" w:ascii="Times New Roman" w:hAnsi="Times New Roman" w:eastAsia="宋体" w:cs="Times New Roman"/>
                <w:b w:val="0"/>
                <w:bCs/>
                <w:color w:val="auto"/>
                <w:sz w:val="24"/>
                <w:szCs w:val="24"/>
                <w:lang w:eastAsia="zh-CN"/>
              </w:rPr>
              <w:t>：</w:t>
            </w:r>
          </w:p>
          <w:p>
            <w:pPr>
              <w:spacing w:line="240" w:lineRule="auto"/>
              <w:jc w:val="center"/>
              <w:rPr>
                <w:rFonts w:hint="eastAsia"/>
                <w:b/>
                <w:bCs/>
                <w:color w:val="auto"/>
                <w:sz w:val="21"/>
                <w:szCs w:val="21"/>
                <w:lang w:val="en-US" w:eastAsia="zh-CN"/>
              </w:rPr>
            </w:pPr>
            <w:r>
              <w:rPr>
                <w:rFonts w:hint="eastAsia"/>
                <w:b/>
                <w:bCs/>
                <w:color w:val="auto"/>
                <w:sz w:val="21"/>
                <w:szCs w:val="21"/>
                <w:lang w:eastAsia="zh-CN"/>
              </w:rPr>
              <w:t>表</w:t>
            </w:r>
            <w:r>
              <w:rPr>
                <w:rFonts w:hint="eastAsia"/>
                <w:b/>
                <w:bCs/>
                <w:color w:val="auto"/>
                <w:sz w:val="21"/>
                <w:szCs w:val="21"/>
                <w:lang w:val="en-US" w:eastAsia="zh-CN"/>
              </w:rPr>
              <w:t>5-16 喷漆环节物料平衡表（t/a）</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847"/>
              <w:gridCol w:w="1217"/>
              <w:gridCol w:w="907"/>
              <w:gridCol w:w="2"/>
              <w:gridCol w:w="2573"/>
              <w:gridCol w:w="1137"/>
              <w:gridCol w:w="1629"/>
            </w:tblGrid>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vMerge w:val="restart"/>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序号</w:t>
                  </w:r>
                </w:p>
              </w:tc>
              <w:tc>
                <w:tcPr>
                  <w:tcW w:w="2126" w:type="dxa"/>
                  <w:gridSpan w:val="3"/>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入方</w:t>
                  </w:r>
                </w:p>
              </w:tc>
              <w:tc>
                <w:tcPr>
                  <w:tcW w:w="5339" w:type="dxa"/>
                  <w:gridSpan w:val="3"/>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出方</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vMerge w:val="continue"/>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p>
              </w:tc>
              <w:tc>
                <w:tcPr>
                  <w:tcW w:w="1217" w:type="dxa"/>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物料名称</w:t>
                  </w:r>
                </w:p>
              </w:tc>
              <w:tc>
                <w:tcPr>
                  <w:tcW w:w="907" w:type="dxa"/>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数量</w:t>
                  </w:r>
                </w:p>
              </w:tc>
              <w:tc>
                <w:tcPr>
                  <w:tcW w:w="3712" w:type="dxa"/>
                  <w:gridSpan w:val="3"/>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物料名称</w:t>
                  </w:r>
                </w:p>
              </w:tc>
              <w:tc>
                <w:tcPr>
                  <w:tcW w:w="1629" w:type="dxa"/>
                  <w:tcBorders>
                    <w:tl2br w:val="nil"/>
                    <w:tr2bl w:val="nil"/>
                  </w:tcBorders>
                  <w:vAlign w:val="center"/>
                </w:tcPr>
                <w:p>
                  <w:pPr>
                    <w:pStyle w:val="463"/>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数量</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15" w:hRule="exact"/>
                <w:jc w:val="center"/>
              </w:trPr>
              <w:tc>
                <w:tcPr>
                  <w:tcW w:w="84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217" w:type="dxa"/>
                  <w:tcBorders>
                    <w:tl2br w:val="nil"/>
                    <w:tr2bl w:val="nil"/>
                  </w:tcBorders>
                  <w:vAlign w:val="center"/>
                </w:tcPr>
                <w:p>
                  <w:pPr>
                    <w:pStyle w:val="463"/>
                    <w:spacing w:line="240" w:lineRule="auto"/>
                    <w:jc w:val="both"/>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水性</w:t>
                  </w:r>
                  <w:r>
                    <w:rPr>
                      <w:rFonts w:hint="eastAsia" w:ascii="Times New Roman" w:hAnsi="Times New Roman" w:eastAsia="宋体" w:cs="Times New Roman"/>
                      <w:color w:val="auto"/>
                      <w:sz w:val="21"/>
                      <w:szCs w:val="21"/>
                      <w:lang w:eastAsia="zh-CN"/>
                    </w:rPr>
                    <w:t>漆料</w:t>
                  </w:r>
                </w:p>
                <w:p>
                  <w:pPr>
                    <w:pStyle w:val="463"/>
                    <w:spacing w:line="240" w:lineRule="auto"/>
                    <w:ind w:left="420" w:leftChars="0" w:hanging="420" w:hangingChars="200"/>
                    <w:jc w:val="center"/>
                    <w:rPr>
                      <w:rFonts w:hint="default" w:ascii="Times New Roman" w:hAnsi="Times New Roman" w:eastAsia="宋体" w:cs="Times New Roman"/>
                      <w:color w:val="auto"/>
                      <w:sz w:val="21"/>
                      <w:szCs w:val="21"/>
                    </w:rPr>
                  </w:pPr>
                </w:p>
              </w:tc>
              <w:tc>
                <w:tcPr>
                  <w:tcW w:w="907" w:type="dxa"/>
                  <w:tcBorders>
                    <w:tl2br w:val="nil"/>
                    <w:tr2bl w:val="nil"/>
                  </w:tcBorders>
                  <w:vAlign w:val="center"/>
                </w:tcPr>
                <w:p>
                  <w:pPr>
                    <w:pStyle w:val="463"/>
                    <w:spacing w:line="240" w:lineRule="auto"/>
                    <w:ind w:left="420" w:leftChars="0" w:hanging="420" w:hangingChars="200"/>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5.7</w:t>
                  </w:r>
                </w:p>
              </w:tc>
              <w:tc>
                <w:tcPr>
                  <w:tcW w:w="2575" w:type="dxa"/>
                  <w:gridSpan w:val="2"/>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产品</w:t>
                  </w:r>
                </w:p>
              </w:tc>
              <w:tc>
                <w:tcPr>
                  <w:tcW w:w="113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固</w:t>
                  </w:r>
                  <w:r>
                    <w:rPr>
                      <w:rFonts w:hint="eastAsia" w:ascii="Times New Roman" w:hAnsi="Times New Roman" w:eastAsia="宋体" w:cs="Times New Roman"/>
                      <w:color w:val="auto"/>
                      <w:sz w:val="21"/>
                      <w:szCs w:val="21"/>
                      <w:lang w:eastAsia="zh-CN"/>
                    </w:rPr>
                    <w:t>份</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2.412</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217" w:type="dxa"/>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575" w:type="dxa"/>
                  <w:gridSpan w:val="2"/>
                  <w:tcBorders>
                    <w:tl2br w:val="nil"/>
                    <w:tr2bl w:val="nil"/>
                  </w:tcBorders>
                  <w:vAlign w:val="center"/>
                </w:tcPr>
                <w:p>
                  <w:pPr>
                    <w:pStyle w:val="463"/>
                    <w:spacing w:line="240" w:lineRule="auto"/>
                    <w:ind w:left="420" w:leftChars="0" w:hanging="420" w:hangingChars="20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干式喷漆柜处理</w:t>
                  </w:r>
                </w:p>
              </w:tc>
              <w:tc>
                <w:tcPr>
                  <w:tcW w:w="1137" w:type="dxa"/>
                  <w:tcBorders>
                    <w:tl2br w:val="nil"/>
                    <w:tr2bl w:val="nil"/>
                  </w:tcBorders>
                  <w:vAlign w:val="center"/>
                </w:tcPr>
                <w:p>
                  <w:pPr>
                    <w:spacing w:line="240" w:lineRule="auto"/>
                    <w:ind w:left="420" w:leftChars="0" w:hanging="420" w:hangingChars="20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w:t>
                  </w:r>
                  <w:r>
                    <w:rPr>
                      <w:rFonts w:hint="eastAsia" w:ascii="Times New Roman" w:hAnsi="Times New Roman" w:eastAsia="宋体" w:cs="Times New Roman"/>
                      <w:color w:val="auto"/>
                      <w:sz w:val="21"/>
                      <w:szCs w:val="21"/>
                      <w:lang w:eastAsia="zh-CN"/>
                    </w:rPr>
                    <w:t>份</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0.522</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25" w:hRule="exact"/>
                <w:jc w:val="center"/>
              </w:trPr>
              <w:tc>
                <w:tcPr>
                  <w:tcW w:w="84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217" w:type="dxa"/>
                  <w:tcBorders>
                    <w:tl2br w:val="nil"/>
                    <w:tr2bl w:val="nil"/>
                  </w:tcBorders>
                  <w:vAlign w:val="center"/>
                </w:tcPr>
                <w:p>
                  <w:pPr>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二级活性炭</w:t>
                  </w:r>
                  <w:r>
                    <w:rPr>
                      <w:rFonts w:hint="eastAsia" w:ascii="Times New Roman" w:hAnsi="Times New Roman" w:eastAsia="宋体" w:cs="Times New Roman"/>
                      <w:color w:val="auto"/>
                      <w:sz w:val="21"/>
                      <w:szCs w:val="21"/>
                      <w:lang w:val="en-US" w:eastAsia="zh-CN"/>
                    </w:rPr>
                    <w:t>装置吸附</w:t>
                  </w:r>
                  <w:r>
                    <w:rPr>
                      <w:rFonts w:hint="eastAsia" w:ascii="Times New Roman" w:hAnsi="Times New Roman" w:eastAsia="宋体" w:cs="Times New Roman"/>
                      <w:color w:val="auto"/>
                      <w:sz w:val="21"/>
                      <w:szCs w:val="21"/>
                      <w:lang w:eastAsia="zh-CN"/>
                    </w:rPr>
                    <w:t>处</w:t>
                  </w:r>
                  <w:r>
                    <w:rPr>
                      <w:rFonts w:hint="default" w:ascii="Times New Roman" w:hAnsi="Times New Roman" w:eastAsia="宋体" w:cs="Times New Roman"/>
                      <w:color w:val="auto"/>
                      <w:sz w:val="21"/>
                      <w:szCs w:val="21"/>
                    </w:rPr>
                    <w:t>理</w:t>
                  </w:r>
                </w:p>
              </w:tc>
              <w:tc>
                <w:tcPr>
                  <w:tcW w:w="113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color w:val="auto"/>
                      <w:lang w:val="en-US" w:eastAsia="zh-CN"/>
                    </w:rPr>
                    <w:t>VOCs</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0.486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25" w:hRule="exact"/>
                <w:jc w:val="center"/>
              </w:trPr>
              <w:tc>
                <w:tcPr>
                  <w:tcW w:w="847" w:type="dxa"/>
                  <w:vMerge w:val="restart"/>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21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vMerge w:val="restart"/>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有</w:t>
                  </w:r>
                  <w:r>
                    <w:rPr>
                      <w:rFonts w:hint="default" w:ascii="Times New Roman" w:hAnsi="Times New Roman" w:eastAsia="宋体" w:cs="Times New Roman"/>
                      <w:color w:val="auto"/>
                      <w:sz w:val="21"/>
                      <w:szCs w:val="21"/>
                    </w:rPr>
                    <w:t>组织废气</w:t>
                  </w:r>
                </w:p>
              </w:tc>
              <w:tc>
                <w:tcPr>
                  <w:tcW w:w="113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w:t>
                  </w:r>
                  <w:r>
                    <w:rPr>
                      <w:rFonts w:hint="eastAsia" w:ascii="Times New Roman" w:hAnsi="Times New Roman" w:eastAsia="宋体" w:cs="Times New Roman"/>
                      <w:color w:val="auto"/>
                      <w:sz w:val="21"/>
                      <w:szCs w:val="21"/>
                      <w:lang w:eastAsia="zh-CN"/>
                    </w:rPr>
                    <w:t>份</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0.058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vMerge w:val="continue"/>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p>
              </w:tc>
              <w:tc>
                <w:tcPr>
                  <w:tcW w:w="121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vMerge w:val="continue"/>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p>
              </w:tc>
              <w:tc>
                <w:tcPr>
                  <w:tcW w:w="113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cs="Times New Roman"/>
                      <w:i w:val="0"/>
                      <w:color w:val="auto"/>
                      <w:kern w:val="0"/>
                      <w:sz w:val="21"/>
                      <w:szCs w:val="21"/>
                      <w:u w:val="none"/>
                      <w:lang w:val="en-US" w:eastAsia="zh-CN" w:bidi="ar"/>
                    </w:rPr>
                    <w:t>VOCs</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0.12</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vMerge w:val="restart"/>
                  <w:tcBorders>
                    <w:tl2br w:val="nil"/>
                    <w:tr2bl w:val="nil"/>
                  </w:tcBorders>
                  <w:vAlign w:val="center"/>
                </w:tcPr>
                <w:p>
                  <w:pPr>
                    <w:pStyle w:val="463"/>
                    <w:spacing w:line="240" w:lineRule="auto"/>
                    <w:ind w:left="420" w:leftChars="0" w:hanging="420" w:hangingChars="20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21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w:t>
                  </w:r>
                </w:p>
              </w:tc>
              <w:tc>
                <w:tcPr>
                  <w:tcW w:w="2575" w:type="dxa"/>
                  <w:gridSpan w:val="2"/>
                  <w:vMerge w:val="restart"/>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无</w:t>
                  </w:r>
                  <w:r>
                    <w:rPr>
                      <w:rFonts w:hint="default" w:ascii="Times New Roman" w:hAnsi="Times New Roman" w:eastAsia="宋体" w:cs="Times New Roman"/>
                      <w:color w:val="auto"/>
                      <w:sz w:val="21"/>
                      <w:szCs w:val="21"/>
                    </w:rPr>
                    <w:t>组织排放</w:t>
                  </w:r>
                </w:p>
              </w:tc>
              <w:tc>
                <w:tcPr>
                  <w:tcW w:w="1137" w:type="dxa"/>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w:t>
                  </w:r>
                  <w:r>
                    <w:rPr>
                      <w:rFonts w:hint="eastAsia" w:ascii="Times New Roman" w:hAnsi="Times New Roman" w:eastAsia="宋体" w:cs="Times New Roman"/>
                      <w:color w:val="auto"/>
                      <w:sz w:val="21"/>
                      <w:szCs w:val="21"/>
                      <w:lang w:eastAsia="zh-CN"/>
                    </w:rPr>
                    <w:t>份</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0.064</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5" w:hRule="exact"/>
                <w:jc w:val="center"/>
              </w:trPr>
              <w:tc>
                <w:tcPr>
                  <w:tcW w:w="847" w:type="dxa"/>
                  <w:vMerge w:val="continue"/>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p>
              </w:tc>
              <w:tc>
                <w:tcPr>
                  <w:tcW w:w="121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vMerge w:val="continue"/>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p>
              </w:tc>
              <w:tc>
                <w:tcPr>
                  <w:tcW w:w="1137" w:type="dxa"/>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i w:val="0"/>
                      <w:color w:val="auto"/>
                      <w:kern w:val="0"/>
                      <w:sz w:val="21"/>
                      <w:szCs w:val="21"/>
                      <w:u w:val="none"/>
                      <w:lang w:val="en-US" w:eastAsia="zh-CN" w:bidi="ar"/>
                    </w:rPr>
                    <w:t>VOCs</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0.068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tcBorders>
                    <w:tl2br w:val="nil"/>
                    <w:tr2bl w:val="nil"/>
                  </w:tcBorders>
                  <w:vAlign w:val="center"/>
                </w:tcPr>
                <w:p>
                  <w:pPr>
                    <w:pStyle w:val="463"/>
                    <w:spacing w:line="240" w:lineRule="auto"/>
                    <w:ind w:left="420" w:leftChars="0" w:hanging="420" w:hangingChars="20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217" w:type="dxa"/>
                  <w:tcBorders>
                    <w:tl2br w:val="nil"/>
                    <w:tr2bl w:val="nil"/>
                  </w:tcBorders>
                  <w:vAlign w:val="center"/>
                </w:tcPr>
                <w:p>
                  <w:pPr>
                    <w:spacing w:line="240" w:lineRule="auto"/>
                    <w:ind w:left="420" w:leftChars="0" w:hanging="420" w:hangingChars="20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ind w:left="420" w:leftChars="0" w:hanging="420" w:hangingChars="20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漆渣</w:t>
                  </w:r>
                </w:p>
              </w:tc>
              <w:tc>
                <w:tcPr>
                  <w:tcW w:w="1137" w:type="dxa"/>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w:t>
                  </w:r>
                  <w:r>
                    <w:rPr>
                      <w:rFonts w:hint="eastAsia" w:ascii="Times New Roman" w:hAnsi="Times New Roman" w:eastAsia="宋体" w:cs="Times New Roman"/>
                      <w:color w:val="auto"/>
                      <w:sz w:val="21"/>
                      <w:szCs w:val="21"/>
                      <w:lang w:eastAsia="zh-CN"/>
                    </w:rPr>
                    <w:t>份</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0.16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847" w:type="dxa"/>
                  <w:tcBorders>
                    <w:tl2br w:val="nil"/>
                    <w:tr2bl w:val="nil"/>
                  </w:tcBorders>
                  <w:vAlign w:val="center"/>
                </w:tcPr>
                <w:p>
                  <w:pPr>
                    <w:pStyle w:val="463"/>
                    <w:spacing w:line="240" w:lineRule="auto"/>
                    <w:ind w:left="420" w:leftChars="0" w:hanging="420" w:hangingChars="20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217" w:type="dxa"/>
                  <w:tcBorders>
                    <w:tl2br w:val="nil"/>
                    <w:tr2bl w:val="nil"/>
                  </w:tcBorders>
                  <w:vAlign w:val="center"/>
                </w:tcPr>
                <w:p>
                  <w:pPr>
                    <w:spacing w:line="240" w:lineRule="auto"/>
                    <w:ind w:left="420" w:leftChars="0" w:hanging="420" w:hangingChars="20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907" w:type="dxa"/>
                  <w:tcBorders>
                    <w:tl2br w:val="nil"/>
                    <w:tr2bl w:val="nil"/>
                  </w:tcBorders>
                  <w:vAlign w:val="center"/>
                </w:tcPr>
                <w:p>
                  <w:pPr>
                    <w:spacing w:line="240" w:lineRule="auto"/>
                    <w:ind w:left="420" w:leftChars="0" w:hanging="420" w:hangingChars="20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575" w:type="dxa"/>
                  <w:gridSpan w:val="2"/>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挥发水分</w:t>
                  </w:r>
                </w:p>
              </w:tc>
              <w:tc>
                <w:tcPr>
                  <w:tcW w:w="1137" w:type="dxa"/>
                  <w:tcBorders>
                    <w:tl2br w:val="nil"/>
                    <w:tr2bl w:val="nil"/>
                  </w:tcBorders>
                  <w:vAlign w:val="center"/>
                </w:tcPr>
                <w:p>
                  <w:pPr>
                    <w:pStyle w:val="463"/>
                    <w:spacing w:line="240" w:lineRule="auto"/>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水分</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1.81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exact"/>
                <w:jc w:val="center"/>
              </w:trPr>
              <w:tc>
                <w:tcPr>
                  <w:tcW w:w="2064" w:type="dxa"/>
                  <w:gridSpan w:val="2"/>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合计</w:t>
                  </w:r>
                </w:p>
              </w:tc>
              <w:tc>
                <w:tcPr>
                  <w:tcW w:w="907" w:type="dxa"/>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5.7</w:t>
                  </w:r>
                </w:p>
              </w:tc>
              <w:tc>
                <w:tcPr>
                  <w:tcW w:w="3712" w:type="dxa"/>
                  <w:gridSpan w:val="3"/>
                  <w:tcBorders>
                    <w:tl2br w:val="nil"/>
                    <w:tr2bl w:val="nil"/>
                  </w:tcBorders>
                  <w:vAlign w:val="center"/>
                </w:tcPr>
                <w:p>
                  <w:pPr>
                    <w:pStyle w:val="463"/>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合计</w:t>
                  </w:r>
                </w:p>
              </w:tc>
              <w:tc>
                <w:tcPr>
                  <w:tcW w:w="1629" w:type="dxa"/>
                  <w:tcBorders>
                    <w:tl2br w:val="nil"/>
                    <w:tr2bl w:val="nil"/>
                  </w:tcBorders>
                  <w:vAlign w:val="center"/>
                </w:tcPr>
                <w:p>
                  <w:pPr>
                    <w:spacing w:line="240" w:lineRule="auto"/>
                    <w:jc w:val="center"/>
                    <w:rPr>
                      <w:rFonts w:hint="default"/>
                      <w:color w:val="auto"/>
                      <w:szCs w:val="22"/>
                      <w:lang w:val="en-US" w:eastAsia="zh-CN"/>
                    </w:rPr>
                  </w:pPr>
                  <w:r>
                    <w:rPr>
                      <w:rFonts w:hint="eastAsia"/>
                      <w:color w:val="auto"/>
                      <w:szCs w:val="22"/>
                      <w:lang w:val="en-US" w:eastAsia="zh-CN"/>
                    </w:rPr>
                    <w:t>5.7</w:t>
                  </w:r>
                </w:p>
              </w:tc>
            </w:tr>
          </w:tbl>
          <w:p>
            <w:pPr>
              <w:pStyle w:val="24"/>
              <w:spacing w:line="360" w:lineRule="auto"/>
              <w:ind w:left="0" w:leftChars="0" w:right="0" w:rightChars="0" w:firstLine="0" w:firstLineChars="0"/>
              <w:rPr>
                <w:bCs/>
                <w:color w:val="auto"/>
                <w:sz w:val="24"/>
              </w:rPr>
            </w:pPr>
            <w:r>
              <w:rPr>
                <w:rFonts w:hint="eastAsia"/>
                <w:bCs/>
                <w:color w:val="auto"/>
                <w:sz w:val="24"/>
              </w:rPr>
              <w:t>水性漆物料</w:t>
            </w:r>
            <w:r>
              <w:rPr>
                <w:bCs/>
                <w:color w:val="auto"/>
                <w:sz w:val="24"/>
              </w:rPr>
              <w:t>平衡见下图5-</w:t>
            </w:r>
            <w:r>
              <w:rPr>
                <w:rFonts w:hint="eastAsia"/>
                <w:bCs/>
                <w:color w:val="auto"/>
                <w:sz w:val="24"/>
              </w:rPr>
              <w:t>4</w:t>
            </w:r>
            <w:r>
              <w:rPr>
                <w:bCs/>
                <w:color w:val="auto"/>
                <w:sz w:val="24"/>
              </w:rPr>
              <w:t>：</w:t>
            </w:r>
          </w:p>
          <w:p>
            <w:pPr>
              <w:spacing w:line="360" w:lineRule="auto"/>
              <w:rPr>
                <w:rFonts w:hint="eastAsia" w:eastAsia="宋体"/>
                <w:b/>
                <w:color w:val="auto"/>
                <w:sz w:val="24"/>
                <w:szCs w:val="24"/>
                <w:lang w:eastAsia="zh-CN"/>
              </w:rPr>
            </w:pPr>
            <w:r>
              <w:rPr>
                <w:rFonts w:hint="eastAsia" w:eastAsia="宋体"/>
                <w:b/>
                <w:color w:val="auto"/>
                <w:sz w:val="24"/>
                <w:szCs w:val="24"/>
                <w:lang w:eastAsia="zh-CN"/>
              </w:rPr>
              <w:drawing>
                <wp:inline distT="0" distB="0" distL="114300" distR="114300">
                  <wp:extent cx="5212080" cy="3288665"/>
                  <wp:effectExtent l="0" t="0" r="0" b="6985"/>
                  <wp:docPr id="2" name="ECB019B1-382A-4266-B25C-5B523AA43C14-5"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B019B1-382A-4266-B25C-5B523AA43C14-5" descr="qt_temp"/>
                          <pic:cNvPicPr>
                            <a:picLocks noChangeAspect="1"/>
                          </pic:cNvPicPr>
                        </pic:nvPicPr>
                        <pic:blipFill>
                          <a:blip r:embed="rId16"/>
                          <a:srcRect l="7267" t="7674" r="8804" b="20966"/>
                          <a:stretch>
                            <a:fillRect/>
                          </a:stretch>
                        </pic:blipFill>
                        <pic:spPr>
                          <a:xfrm>
                            <a:off x="0" y="0"/>
                            <a:ext cx="5212080" cy="3288665"/>
                          </a:xfrm>
                          <a:prstGeom prst="rect">
                            <a:avLst/>
                          </a:prstGeom>
                        </pic:spPr>
                      </pic:pic>
                    </a:graphicData>
                  </a:graphic>
                </wp:inline>
              </w:drawing>
            </w:r>
          </w:p>
          <w:p>
            <w:pPr>
              <w:pStyle w:val="24"/>
              <w:spacing w:line="240" w:lineRule="auto"/>
              <w:ind w:left="0" w:leftChars="0" w:right="0" w:rightChars="0" w:firstLine="0" w:firstLineChars="0"/>
              <w:jc w:val="center"/>
              <w:rPr>
                <w:b/>
                <w:color w:val="auto"/>
                <w:sz w:val="21"/>
                <w:szCs w:val="21"/>
              </w:rPr>
            </w:pPr>
            <w:r>
              <w:rPr>
                <w:b/>
                <w:color w:val="auto"/>
                <w:sz w:val="21"/>
                <w:szCs w:val="21"/>
              </w:rPr>
              <w:t>图5-</w:t>
            </w:r>
            <w:r>
              <w:rPr>
                <w:rFonts w:hint="eastAsia"/>
                <w:b/>
                <w:color w:val="auto"/>
                <w:sz w:val="21"/>
                <w:szCs w:val="21"/>
                <w:lang w:val="en-US" w:eastAsia="zh-CN"/>
              </w:rPr>
              <w:t>5</w:t>
            </w:r>
            <w:r>
              <w:rPr>
                <w:rFonts w:hint="eastAsia"/>
                <w:b/>
                <w:color w:val="auto"/>
                <w:sz w:val="21"/>
                <w:szCs w:val="21"/>
              </w:rPr>
              <w:t xml:space="preserve"> </w:t>
            </w:r>
            <w:r>
              <w:rPr>
                <w:rFonts w:hint="eastAsia"/>
                <w:b/>
                <w:color w:val="auto"/>
                <w:sz w:val="21"/>
                <w:szCs w:val="21"/>
                <w:lang w:val="en-US" w:eastAsia="zh-CN"/>
              </w:rPr>
              <w:t>水性漆物料</w:t>
            </w:r>
            <w:r>
              <w:rPr>
                <w:b/>
                <w:color w:val="auto"/>
                <w:sz w:val="21"/>
                <w:szCs w:val="21"/>
              </w:rPr>
              <w:t xml:space="preserve">平衡图  </w:t>
            </w:r>
          </w:p>
          <w:p>
            <w:pPr>
              <w:spacing w:line="360" w:lineRule="auto"/>
              <w:ind w:firstLine="480" w:firstLineChars="200"/>
              <w:rPr>
                <w:b/>
                <w:color w:val="auto"/>
                <w:sz w:val="24"/>
                <w:szCs w:val="24"/>
              </w:rPr>
            </w:pPr>
            <w:r>
              <w:rPr>
                <w:b/>
                <w:color w:val="auto"/>
                <w:sz w:val="24"/>
                <w:szCs w:val="24"/>
              </w:rPr>
              <w:t>2、废水</w:t>
            </w:r>
          </w:p>
          <w:p>
            <w:pPr>
              <w:spacing w:line="360" w:lineRule="auto"/>
              <w:ind w:firstLine="465"/>
              <w:rPr>
                <w:color w:val="auto"/>
                <w:sz w:val="24"/>
                <w:szCs w:val="24"/>
              </w:rPr>
            </w:pPr>
            <w:r>
              <w:rPr>
                <w:rFonts w:hint="eastAsia"/>
                <w:b/>
                <w:color w:val="auto"/>
                <w:sz w:val="24"/>
                <w:szCs w:val="24"/>
                <w:lang w:eastAsia="zh-CN"/>
              </w:rPr>
              <w:t>（</w:t>
            </w:r>
            <w:r>
              <w:rPr>
                <w:rFonts w:hint="eastAsia"/>
                <w:b/>
                <w:color w:val="auto"/>
                <w:sz w:val="24"/>
                <w:szCs w:val="24"/>
                <w:lang w:val="en-US" w:eastAsia="zh-CN"/>
              </w:rPr>
              <w:t>1</w:t>
            </w:r>
            <w:r>
              <w:rPr>
                <w:rFonts w:hint="eastAsia"/>
                <w:b/>
                <w:color w:val="auto"/>
                <w:sz w:val="24"/>
                <w:szCs w:val="24"/>
                <w:lang w:eastAsia="zh-CN"/>
              </w:rPr>
              <w:t>）</w:t>
            </w:r>
            <w:r>
              <w:rPr>
                <w:rFonts w:hint="eastAsia"/>
                <w:b/>
                <w:color w:val="auto"/>
                <w:sz w:val="24"/>
                <w:szCs w:val="24"/>
              </w:rPr>
              <w:t>给水：</w:t>
            </w:r>
            <w:r>
              <w:rPr>
                <w:rFonts w:hint="eastAsia"/>
                <w:color w:val="auto"/>
                <w:sz w:val="24"/>
                <w:szCs w:val="24"/>
              </w:rPr>
              <w:t>本项目用水主要为员工生活用水</w:t>
            </w:r>
            <w:r>
              <w:rPr>
                <w:rFonts w:hint="eastAsia"/>
                <w:color w:val="auto"/>
                <w:sz w:val="24"/>
                <w:szCs w:val="24"/>
                <w:lang w:eastAsia="zh-CN"/>
              </w:rPr>
              <w:t>、</w:t>
            </w:r>
            <w:r>
              <w:rPr>
                <w:rFonts w:hint="eastAsia"/>
                <w:color w:val="auto"/>
                <w:sz w:val="24"/>
                <w:szCs w:val="24"/>
                <w:lang w:val="en-US" w:eastAsia="zh-CN"/>
              </w:rPr>
              <w:t>切削液配比用水、清洗工序用水和喷枪清洗用水</w:t>
            </w:r>
            <w:r>
              <w:rPr>
                <w:rFonts w:hint="eastAsia"/>
                <w:color w:val="auto"/>
                <w:sz w:val="24"/>
                <w:szCs w:val="24"/>
                <w:lang w:eastAsia="zh-CN"/>
              </w:rPr>
              <w:t>，</w:t>
            </w:r>
            <w:r>
              <w:rPr>
                <w:rFonts w:hint="eastAsia"/>
                <w:color w:val="auto"/>
                <w:sz w:val="24"/>
                <w:szCs w:val="24"/>
              </w:rPr>
              <w:t>由市政</w:t>
            </w:r>
            <w:r>
              <w:rPr>
                <w:rFonts w:hint="eastAsia"/>
                <w:color w:val="auto"/>
                <w:sz w:val="24"/>
                <w:szCs w:val="24"/>
                <w:lang w:val="en-US" w:eastAsia="zh-CN"/>
              </w:rPr>
              <w:t>管网</w:t>
            </w:r>
            <w:r>
              <w:rPr>
                <w:rFonts w:hint="eastAsia"/>
                <w:color w:val="auto"/>
                <w:sz w:val="24"/>
                <w:szCs w:val="24"/>
              </w:rPr>
              <w:t>提供。</w:t>
            </w:r>
          </w:p>
          <w:p>
            <w:pPr>
              <w:spacing w:line="360" w:lineRule="auto"/>
              <w:ind w:firstLine="465"/>
              <w:rPr>
                <w:rFonts w:hint="default"/>
                <w:b w:val="0"/>
                <w:bCs w:val="0"/>
                <w:color w:val="auto"/>
                <w:sz w:val="24"/>
                <w:szCs w:val="24"/>
                <w:lang w:val="en-US" w:eastAsia="zh-CN"/>
              </w:rPr>
            </w:pPr>
            <w:r>
              <w:rPr>
                <w:rFonts w:hint="eastAsia"/>
                <w:b/>
                <w:bCs/>
                <w:color w:val="auto"/>
                <w:sz w:val="24"/>
                <w:szCs w:val="24"/>
                <w:lang w:val="en-US" w:eastAsia="zh-CN"/>
              </w:rPr>
              <w:t>切削液配比用水：</w:t>
            </w:r>
            <w:r>
              <w:rPr>
                <w:rFonts w:hint="eastAsia"/>
                <w:b w:val="0"/>
                <w:bCs w:val="0"/>
                <w:color w:val="auto"/>
                <w:sz w:val="24"/>
                <w:szCs w:val="24"/>
                <w:lang w:val="en-US" w:eastAsia="zh-CN"/>
              </w:rPr>
              <w:t>本项目数控加工工段使用切削液需要用水稀释，比例为1:19。本项目切削液使用量为2t/a，则新鲜水用量为38t/a。</w:t>
            </w:r>
          </w:p>
          <w:p>
            <w:pPr>
              <w:spacing w:line="360" w:lineRule="auto"/>
              <w:ind w:firstLine="465"/>
              <w:rPr>
                <w:rFonts w:hint="default" w:eastAsia="宋体"/>
                <w:color w:val="auto"/>
                <w:sz w:val="24"/>
                <w:szCs w:val="24"/>
                <w:lang w:val="en-US" w:eastAsia="zh-CN"/>
              </w:rPr>
            </w:pPr>
            <w:r>
              <w:rPr>
                <w:rFonts w:hint="eastAsia"/>
                <w:b/>
                <w:bCs/>
                <w:color w:val="auto"/>
                <w:sz w:val="24"/>
                <w:szCs w:val="24"/>
                <w:lang w:val="en-US" w:eastAsia="zh-CN"/>
              </w:rPr>
              <w:t>清洗用水</w:t>
            </w:r>
            <w:r>
              <w:rPr>
                <w:rFonts w:hint="eastAsia"/>
                <w:b w:val="0"/>
                <w:bCs w:val="0"/>
                <w:color w:val="auto"/>
                <w:sz w:val="24"/>
                <w:szCs w:val="24"/>
                <w:lang w:val="en-US" w:eastAsia="zh-CN"/>
              </w:rPr>
              <w:t>：</w:t>
            </w:r>
            <w:r>
              <w:rPr>
                <w:color w:val="auto"/>
                <w:sz w:val="24"/>
                <w:szCs w:val="24"/>
              </w:rPr>
              <w:t>本</w:t>
            </w:r>
            <w:r>
              <w:rPr>
                <w:rFonts w:hint="eastAsia"/>
                <w:color w:val="auto"/>
                <w:sz w:val="24"/>
                <w:szCs w:val="24"/>
              </w:rPr>
              <w:t>项目</w:t>
            </w:r>
            <w:r>
              <w:rPr>
                <w:rFonts w:hint="eastAsia"/>
                <w:color w:val="auto"/>
                <w:sz w:val="24"/>
                <w:szCs w:val="24"/>
                <w:lang w:val="en-US" w:eastAsia="zh-CN"/>
              </w:rPr>
              <w:t>工件清洗采用高温高压水枪清洗。根据建设单位提供资料，本项目增设储存池1座（15t），清洗水使用后经隔油+气浮一体设备（16t）处理后循环使用。蒸发量按循环量20%计算，则定期补充量为3.0t/d（900t /a）。</w:t>
            </w:r>
          </w:p>
          <w:p>
            <w:pPr>
              <w:pStyle w:val="21"/>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b/>
                <w:bCs/>
                <w:color w:val="auto"/>
                <w:sz w:val="24"/>
                <w:szCs w:val="24"/>
              </w:rPr>
            </w:pPr>
            <w:r>
              <w:rPr>
                <w:rFonts w:hint="eastAsia"/>
                <w:b/>
                <w:bCs/>
                <w:color w:val="auto"/>
                <w:sz w:val="24"/>
                <w:szCs w:val="24"/>
              </w:rPr>
              <w:t>喷枪清洗水：</w:t>
            </w:r>
            <w:r>
              <w:rPr>
                <w:rFonts w:hint="default" w:ascii="Times New Roman" w:hAnsi="Times New Roman" w:eastAsia="宋体" w:cs="Times New Roman"/>
                <w:color w:val="auto"/>
                <w:kern w:val="2"/>
                <w:sz w:val="24"/>
                <w:szCs w:val="24"/>
                <w:lang w:val="en-US" w:eastAsia="zh-CN" w:bidi="ar-SA"/>
              </w:rPr>
              <w:t>喷枪每次使用后均需要清洗，本项目采用水性漆，根据生产厂家介绍，喷枪直接水洗即可。喷枪清洗用水量以</w:t>
            </w:r>
            <w:r>
              <w:rPr>
                <w:rFonts w:hint="eastAsia" w:cs="Times New Roman"/>
                <w:color w:val="auto"/>
                <w:kern w:val="2"/>
                <w:sz w:val="24"/>
                <w:szCs w:val="24"/>
                <w:lang w:val="en-US" w:eastAsia="zh-CN" w:bidi="ar-SA"/>
              </w:rPr>
              <w:t>40L</w:t>
            </w:r>
            <w:r>
              <w:rPr>
                <w:rFonts w:hint="default" w:ascii="Times New Roman" w:hAnsi="Times New Roman" w:eastAsia="宋体" w:cs="Times New Roman"/>
                <w:color w:val="auto"/>
                <w:kern w:val="2"/>
                <w:sz w:val="24"/>
                <w:szCs w:val="24"/>
                <w:lang w:val="en-US" w:eastAsia="zh-CN" w:bidi="ar-SA"/>
              </w:rPr>
              <w:t>/</w:t>
            </w:r>
            <w:r>
              <w:rPr>
                <w:rFonts w:hint="eastAsia" w:cs="Times New Roman"/>
                <w:color w:val="auto"/>
                <w:kern w:val="2"/>
                <w:sz w:val="24"/>
                <w:szCs w:val="24"/>
                <w:lang w:val="en-US" w:eastAsia="zh-CN" w:bidi="ar-SA"/>
              </w:rPr>
              <w:t>月</w:t>
            </w:r>
            <w:r>
              <w:rPr>
                <w:rFonts w:hint="default" w:ascii="Times New Roman" w:hAnsi="Times New Roman" w:eastAsia="宋体" w:cs="Times New Roman"/>
                <w:color w:val="auto"/>
                <w:kern w:val="2"/>
                <w:sz w:val="24"/>
                <w:szCs w:val="24"/>
                <w:lang w:val="en-US" w:eastAsia="zh-CN" w:bidi="ar-SA"/>
              </w:rPr>
              <w:t>计，则喷枪清洗用水量约为0.</w:t>
            </w:r>
            <w:r>
              <w:rPr>
                <w:rFonts w:hint="eastAsia" w:cs="Times New Roman"/>
                <w:color w:val="auto"/>
                <w:kern w:val="2"/>
                <w:sz w:val="24"/>
                <w:szCs w:val="24"/>
                <w:lang w:val="en-US" w:eastAsia="zh-CN" w:bidi="ar-SA"/>
              </w:rPr>
              <w:t>48</w:t>
            </w:r>
            <w:r>
              <w:rPr>
                <w:rFonts w:hint="default" w:ascii="Times New Roman" w:hAnsi="Times New Roman" w:eastAsia="宋体" w:cs="Times New Roman"/>
                <w:color w:val="auto"/>
                <w:kern w:val="2"/>
                <w:sz w:val="24"/>
                <w:szCs w:val="24"/>
                <w:lang w:val="en-US" w:eastAsia="zh-CN" w:bidi="ar-SA"/>
              </w:rPr>
              <w:t>t/a，喷枪清洗废水作危废处理。</w:t>
            </w:r>
          </w:p>
          <w:p>
            <w:pPr>
              <w:spacing w:line="360" w:lineRule="auto"/>
              <w:ind w:firstLine="465"/>
              <w:rPr>
                <w:color w:val="auto"/>
                <w:sz w:val="24"/>
                <w:szCs w:val="24"/>
              </w:rPr>
            </w:pPr>
            <w:r>
              <w:rPr>
                <w:rFonts w:hint="eastAsia"/>
                <w:b/>
                <w:bCs/>
                <w:color w:val="auto"/>
                <w:sz w:val="24"/>
                <w:szCs w:val="24"/>
              </w:rPr>
              <w:t>生活用水</w:t>
            </w:r>
            <w:r>
              <w:rPr>
                <w:rFonts w:hint="eastAsia"/>
                <w:color w:val="auto"/>
                <w:sz w:val="24"/>
                <w:szCs w:val="24"/>
              </w:rPr>
              <w:t>：</w:t>
            </w:r>
          </w:p>
          <w:p>
            <w:pPr>
              <w:spacing w:line="360" w:lineRule="auto"/>
              <w:ind w:firstLine="465"/>
              <w:rPr>
                <w:color w:val="auto"/>
                <w:sz w:val="24"/>
                <w:szCs w:val="24"/>
              </w:rPr>
            </w:pPr>
            <w:r>
              <w:rPr>
                <w:color w:val="auto"/>
                <w:sz w:val="24"/>
                <w:szCs w:val="24"/>
              </w:rPr>
              <w:t>本项目员工</w:t>
            </w:r>
            <w:r>
              <w:rPr>
                <w:rFonts w:hint="eastAsia"/>
                <w:color w:val="auto"/>
                <w:sz w:val="24"/>
                <w:szCs w:val="24"/>
                <w:lang w:val="en-US" w:eastAsia="zh-CN"/>
              </w:rPr>
              <w:t>10</w:t>
            </w:r>
            <w:r>
              <w:rPr>
                <w:color w:val="auto"/>
                <w:sz w:val="24"/>
                <w:szCs w:val="24"/>
              </w:rPr>
              <w:t>人，年工作</w:t>
            </w:r>
            <w:r>
              <w:rPr>
                <w:rFonts w:hint="eastAsia"/>
                <w:color w:val="auto"/>
                <w:sz w:val="24"/>
                <w:szCs w:val="24"/>
              </w:rPr>
              <w:t>300</w:t>
            </w:r>
            <w:r>
              <w:rPr>
                <w:color w:val="auto"/>
                <w:sz w:val="24"/>
                <w:szCs w:val="24"/>
              </w:rPr>
              <w:t>天，根据《给水排水标准规范实施手册》中有关用水指标计算，员工生活用水以</w:t>
            </w:r>
            <w:r>
              <w:rPr>
                <w:rFonts w:hint="eastAsia"/>
                <w:color w:val="auto"/>
                <w:sz w:val="24"/>
                <w:szCs w:val="24"/>
              </w:rPr>
              <w:t>5</w:t>
            </w:r>
            <w:r>
              <w:rPr>
                <w:color w:val="auto"/>
                <w:sz w:val="24"/>
                <w:szCs w:val="24"/>
              </w:rPr>
              <w:t>0L/d•人计算，则用水量为</w:t>
            </w:r>
            <w:r>
              <w:rPr>
                <w:rFonts w:hint="eastAsia"/>
                <w:color w:val="auto"/>
                <w:sz w:val="24"/>
                <w:szCs w:val="24"/>
                <w:lang w:val="en-US" w:eastAsia="zh-CN"/>
              </w:rPr>
              <w:t>150</w:t>
            </w:r>
            <w:r>
              <w:rPr>
                <w:color w:val="auto"/>
                <w:sz w:val="24"/>
                <w:szCs w:val="24"/>
              </w:rPr>
              <w:t>m</w:t>
            </w:r>
            <w:r>
              <w:rPr>
                <w:color w:val="auto"/>
                <w:sz w:val="24"/>
                <w:szCs w:val="24"/>
                <w:vertAlign w:val="superscript"/>
              </w:rPr>
              <w:t>3</w:t>
            </w:r>
            <w:r>
              <w:rPr>
                <w:color w:val="auto"/>
                <w:sz w:val="24"/>
                <w:szCs w:val="24"/>
              </w:rPr>
              <w:t>/a</w:t>
            </w:r>
            <w:r>
              <w:rPr>
                <w:rFonts w:hint="eastAsia"/>
                <w:color w:val="auto"/>
                <w:sz w:val="24"/>
                <w:szCs w:val="24"/>
              </w:rPr>
              <w:t>。</w:t>
            </w:r>
          </w:p>
          <w:p>
            <w:pPr>
              <w:spacing w:line="360" w:lineRule="auto"/>
              <w:ind w:firstLine="465"/>
              <w:rPr>
                <w:color w:val="auto"/>
                <w:sz w:val="24"/>
                <w:szCs w:val="24"/>
              </w:rPr>
            </w:pPr>
            <w:r>
              <w:rPr>
                <w:rFonts w:hint="eastAsia"/>
                <w:color w:val="auto"/>
                <w:sz w:val="24"/>
                <w:szCs w:val="24"/>
              </w:rPr>
              <w:t>综上，本项目新鲜用水量为</w:t>
            </w:r>
            <w:r>
              <w:rPr>
                <w:rFonts w:hint="eastAsia"/>
                <w:color w:val="auto"/>
                <w:sz w:val="24"/>
                <w:szCs w:val="24"/>
                <w:lang w:val="en-US" w:eastAsia="zh-CN"/>
              </w:rPr>
              <w:t>1088.48</w:t>
            </w:r>
            <w:r>
              <w:rPr>
                <w:rFonts w:hint="eastAsia"/>
                <w:color w:val="auto"/>
                <w:sz w:val="24"/>
                <w:szCs w:val="24"/>
              </w:rPr>
              <w:t>t/a。</w:t>
            </w:r>
          </w:p>
          <w:p>
            <w:pPr>
              <w:spacing w:line="360" w:lineRule="auto"/>
              <w:ind w:firstLine="480" w:firstLineChars="200"/>
              <w:rPr>
                <w:b/>
                <w:color w:val="auto"/>
                <w:sz w:val="24"/>
                <w:szCs w:val="24"/>
              </w:rPr>
            </w:pPr>
            <w:r>
              <w:rPr>
                <w:rFonts w:hint="eastAsia"/>
                <w:b/>
                <w:color w:val="auto"/>
                <w:sz w:val="24"/>
                <w:szCs w:val="24"/>
              </w:rPr>
              <w:t>排水：</w:t>
            </w:r>
          </w:p>
          <w:p>
            <w:pPr>
              <w:spacing w:line="360" w:lineRule="auto"/>
              <w:ind w:firstLine="480" w:firstLineChars="200"/>
              <w:rPr>
                <w:rFonts w:ascii="宋体"/>
                <w:bCs/>
                <w:color w:val="auto"/>
                <w:sz w:val="24"/>
              </w:rPr>
            </w:pPr>
            <w:r>
              <w:rPr>
                <w:rFonts w:hint="eastAsia" w:ascii="宋体"/>
                <w:bCs/>
                <w:color w:val="auto"/>
                <w:sz w:val="24"/>
              </w:rPr>
              <w:t>本项目排水为员工生活污水。</w:t>
            </w:r>
          </w:p>
          <w:p>
            <w:pPr>
              <w:spacing w:line="360" w:lineRule="auto"/>
              <w:ind w:firstLine="465"/>
              <w:rPr>
                <w:color w:val="auto"/>
                <w:sz w:val="24"/>
                <w:szCs w:val="24"/>
              </w:rPr>
            </w:pPr>
            <w:r>
              <w:rPr>
                <w:rFonts w:hint="eastAsia"/>
                <w:color w:val="auto"/>
                <w:sz w:val="24"/>
              </w:rPr>
              <w:t>生活污水</w:t>
            </w:r>
            <w:r>
              <w:rPr>
                <w:rFonts w:hint="eastAsia"/>
                <w:b/>
                <w:bCs/>
                <w:color w:val="auto"/>
                <w:sz w:val="24"/>
              </w:rPr>
              <w:t>：</w:t>
            </w:r>
            <w:r>
              <w:rPr>
                <w:rFonts w:hint="eastAsia"/>
                <w:bCs/>
                <w:color w:val="auto"/>
                <w:sz w:val="24"/>
              </w:rPr>
              <w:t>生活用水排放系数以0</w:t>
            </w:r>
            <w:r>
              <w:rPr>
                <w:bCs/>
                <w:color w:val="auto"/>
                <w:sz w:val="24"/>
              </w:rPr>
              <w:t>.8</w:t>
            </w:r>
            <w:r>
              <w:rPr>
                <w:rFonts w:hint="eastAsia"/>
                <w:bCs/>
                <w:color w:val="auto"/>
                <w:sz w:val="24"/>
              </w:rPr>
              <w:t>计，则生活</w:t>
            </w:r>
            <w:r>
              <w:rPr>
                <w:bCs/>
                <w:color w:val="auto"/>
                <w:sz w:val="24"/>
              </w:rPr>
              <w:t>污水排放量</w:t>
            </w:r>
            <w:r>
              <w:rPr>
                <w:rFonts w:hint="eastAsia"/>
                <w:bCs/>
                <w:color w:val="auto"/>
                <w:sz w:val="24"/>
                <w:lang w:val="en-US" w:eastAsia="zh-CN"/>
              </w:rPr>
              <w:t>120</w:t>
            </w:r>
            <w:r>
              <w:rPr>
                <w:bCs/>
                <w:color w:val="auto"/>
                <w:sz w:val="24"/>
              </w:rPr>
              <w:t>m</w:t>
            </w:r>
            <w:r>
              <w:rPr>
                <w:bCs/>
                <w:color w:val="auto"/>
                <w:sz w:val="24"/>
                <w:vertAlign w:val="superscript"/>
              </w:rPr>
              <w:t>3</w:t>
            </w:r>
            <w:r>
              <w:rPr>
                <w:bCs/>
                <w:color w:val="auto"/>
                <w:sz w:val="24"/>
              </w:rPr>
              <w:t>/a，</w:t>
            </w:r>
            <w:r>
              <w:rPr>
                <w:rFonts w:hint="eastAsia"/>
                <w:bCs/>
                <w:color w:val="auto"/>
                <w:sz w:val="24"/>
              </w:rPr>
              <w:t>生活污水水质较为简单，</w:t>
            </w:r>
            <w:r>
              <w:rPr>
                <w:bCs/>
                <w:color w:val="auto"/>
                <w:sz w:val="24"/>
              </w:rPr>
              <w:t>其中</w:t>
            </w:r>
            <w:r>
              <w:rPr>
                <w:rFonts w:hint="eastAsia"/>
                <w:bCs/>
                <w:color w:val="auto"/>
                <w:sz w:val="24"/>
              </w:rPr>
              <w:t>pH为6~9，</w:t>
            </w:r>
            <w:r>
              <w:rPr>
                <w:bCs/>
                <w:color w:val="auto"/>
                <w:sz w:val="24"/>
              </w:rPr>
              <w:t>COD浓度4</w:t>
            </w:r>
            <w:r>
              <w:rPr>
                <w:rFonts w:hint="eastAsia"/>
                <w:bCs/>
                <w:color w:val="auto"/>
                <w:sz w:val="24"/>
              </w:rPr>
              <w:t>00</w:t>
            </w:r>
            <w:r>
              <w:rPr>
                <w:bCs/>
                <w:color w:val="auto"/>
                <w:sz w:val="24"/>
              </w:rPr>
              <w:t>mg/L，NH</w:t>
            </w:r>
            <w:r>
              <w:rPr>
                <w:bCs/>
                <w:color w:val="auto"/>
                <w:sz w:val="24"/>
                <w:vertAlign w:val="subscript"/>
              </w:rPr>
              <w:t>3</w:t>
            </w:r>
            <w:r>
              <w:rPr>
                <w:bCs/>
                <w:color w:val="auto"/>
                <w:sz w:val="24"/>
              </w:rPr>
              <w:t>-N浓度</w:t>
            </w:r>
            <w:r>
              <w:rPr>
                <w:rFonts w:hint="eastAsia"/>
                <w:bCs/>
                <w:color w:val="auto"/>
                <w:sz w:val="24"/>
              </w:rPr>
              <w:t>3</w:t>
            </w:r>
            <w:r>
              <w:rPr>
                <w:bCs/>
                <w:color w:val="auto"/>
                <w:sz w:val="24"/>
              </w:rPr>
              <w:t>5mg/L，SS浓度200mg/L，TP浓度约3mg/L</w:t>
            </w:r>
            <w:r>
              <w:rPr>
                <w:rFonts w:hint="eastAsia"/>
                <w:bCs/>
                <w:color w:val="auto"/>
                <w:sz w:val="24"/>
              </w:rPr>
              <w:t>，TN</w:t>
            </w:r>
            <w:r>
              <w:rPr>
                <w:bCs/>
                <w:color w:val="auto"/>
                <w:sz w:val="24"/>
              </w:rPr>
              <w:t>浓度约</w:t>
            </w:r>
            <w:r>
              <w:rPr>
                <w:rFonts w:hint="eastAsia"/>
                <w:bCs/>
                <w:color w:val="auto"/>
                <w:sz w:val="24"/>
              </w:rPr>
              <w:t>50</w:t>
            </w:r>
            <w:r>
              <w:rPr>
                <w:bCs/>
                <w:color w:val="auto"/>
                <w:sz w:val="24"/>
              </w:rPr>
              <w:t>mg/L。</w:t>
            </w:r>
            <w:r>
              <w:rPr>
                <w:color w:val="auto"/>
                <w:sz w:val="24"/>
                <w:szCs w:val="24"/>
              </w:rPr>
              <w:t>本项目水平衡图如下图所示。</w:t>
            </w:r>
          </w:p>
          <w:p>
            <w:pPr>
              <w:spacing w:line="360" w:lineRule="auto"/>
              <w:jc w:val="center"/>
              <w:rPr>
                <w:rFonts w:hint="eastAsia" w:eastAsia="宋体"/>
                <w:b/>
                <w:color w:val="auto"/>
                <w:sz w:val="24"/>
                <w:szCs w:val="24"/>
                <w:lang w:eastAsia="zh-CN"/>
              </w:rPr>
            </w:pPr>
            <w:r>
              <w:rPr>
                <w:rFonts w:hint="eastAsia" w:eastAsia="宋体"/>
                <w:b/>
                <w:color w:val="auto"/>
                <w:sz w:val="24"/>
                <w:szCs w:val="24"/>
                <w:lang w:eastAsia="zh-CN"/>
              </w:rPr>
              <w:drawing>
                <wp:inline distT="0" distB="0" distL="114300" distR="114300">
                  <wp:extent cx="5330190" cy="3302635"/>
                  <wp:effectExtent l="0" t="0" r="0" b="12065"/>
                  <wp:docPr id="18" name="ECB019B1-382A-4266-B25C-5B523AA43C14-6"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CB019B1-382A-4266-B25C-5B523AA43C14-6" descr="qt_temp"/>
                          <pic:cNvPicPr>
                            <a:picLocks noChangeAspect="1"/>
                          </pic:cNvPicPr>
                        </pic:nvPicPr>
                        <pic:blipFill>
                          <a:blip r:embed="rId17"/>
                          <a:srcRect l="24827" t="8790" r="2858" b="6423"/>
                          <a:stretch>
                            <a:fillRect/>
                          </a:stretch>
                        </pic:blipFill>
                        <pic:spPr>
                          <a:xfrm>
                            <a:off x="0" y="0"/>
                            <a:ext cx="5330190" cy="3302635"/>
                          </a:xfrm>
                          <a:prstGeom prst="rect">
                            <a:avLst/>
                          </a:prstGeom>
                        </pic:spPr>
                      </pic:pic>
                    </a:graphicData>
                  </a:graphic>
                </wp:inline>
              </w:drawing>
            </w:r>
          </w:p>
          <w:p>
            <w:pPr>
              <w:tabs>
                <w:tab w:val="center" w:pos="4221"/>
                <w:tab w:val="left" w:pos="6890"/>
              </w:tabs>
              <w:jc w:val="left"/>
              <w:rPr>
                <w:b/>
                <w:color w:val="auto"/>
                <w:kern w:val="21"/>
                <w:szCs w:val="21"/>
                <w:lang w:val="zh-CN"/>
              </w:rPr>
            </w:pPr>
            <w:r>
              <w:rPr>
                <w:rFonts w:hint="eastAsia"/>
                <w:b/>
                <w:color w:val="auto"/>
                <w:kern w:val="21"/>
                <w:szCs w:val="21"/>
                <w:lang w:val="zh-CN"/>
              </w:rPr>
              <w:tab/>
            </w:r>
            <w:r>
              <w:rPr>
                <w:b/>
                <w:color w:val="auto"/>
                <w:kern w:val="21"/>
                <w:szCs w:val="21"/>
                <w:lang w:val="zh-CN"/>
              </w:rPr>
              <w:t>图</w:t>
            </w:r>
            <w:r>
              <w:rPr>
                <w:rFonts w:hint="eastAsia"/>
                <w:b/>
                <w:color w:val="auto"/>
                <w:kern w:val="21"/>
                <w:szCs w:val="21"/>
                <w:lang w:val="zh-CN"/>
              </w:rPr>
              <w:t>5-</w:t>
            </w:r>
            <w:r>
              <w:rPr>
                <w:rFonts w:hint="eastAsia"/>
                <w:b/>
                <w:color w:val="auto"/>
                <w:kern w:val="21"/>
                <w:szCs w:val="21"/>
                <w:lang w:val="en-US" w:eastAsia="zh-CN"/>
              </w:rPr>
              <w:t>6</w:t>
            </w:r>
            <w:r>
              <w:rPr>
                <w:rFonts w:hint="eastAsia"/>
                <w:b/>
                <w:color w:val="auto"/>
                <w:kern w:val="21"/>
                <w:szCs w:val="21"/>
                <w:lang w:val="zh-CN"/>
              </w:rPr>
              <w:t xml:space="preserve">  </w:t>
            </w:r>
            <w:r>
              <w:rPr>
                <w:b/>
                <w:color w:val="auto"/>
                <w:kern w:val="21"/>
                <w:szCs w:val="21"/>
                <w:lang w:val="zh-CN"/>
              </w:rPr>
              <w:t xml:space="preserve"> 建设项目用水平衡图</w:t>
            </w:r>
            <w:r>
              <w:rPr>
                <w:rFonts w:hint="eastAsia"/>
                <w:b/>
                <w:color w:val="auto"/>
                <w:kern w:val="21"/>
                <w:szCs w:val="21"/>
                <w:lang w:val="zh-CN"/>
              </w:rPr>
              <w:t>(t</w:t>
            </w:r>
            <w:r>
              <w:rPr>
                <w:b/>
                <w:color w:val="auto"/>
                <w:kern w:val="21"/>
                <w:szCs w:val="21"/>
                <w:lang w:val="zh-CN"/>
              </w:rPr>
              <w:t>/</w:t>
            </w:r>
            <w:r>
              <w:rPr>
                <w:rFonts w:hint="eastAsia"/>
                <w:b/>
                <w:color w:val="auto"/>
                <w:kern w:val="21"/>
                <w:szCs w:val="21"/>
              </w:rPr>
              <w:t>a</w:t>
            </w:r>
            <w:r>
              <w:rPr>
                <w:rFonts w:hint="eastAsia"/>
                <w:b/>
                <w:color w:val="auto"/>
                <w:kern w:val="21"/>
                <w:szCs w:val="21"/>
                <w:lang w:val="zh-CN"/>
              </w:rPr>
              <w:t>)</w:t>
            </w:r>
            <w:r>
              <w:rPr>
                <w:rFonts w:hint="eastAsia"/>
                <w:b/>
                <w:color w:val="auto"/>
                <w:kern w:val="21"/>
                <w:szCs w:val="21"/>
                <w:lang w:val="zh-CN"/>
              </w:rPr>
              <w:tab/>
            </w:r>
          </w:p>
          <w:p>
            <w:pPr>
              <w:jc w:val="center"/>
              <w:rPr>
                <w:b/>
                <w:color w:val="auto"/>
                <w:kern w:val="21"/>
                <w:szCs w:val="21"/>
                <w:lang w:val="zh-CN"/>
              </w:rPr>
            </w:pPr>
          </w:p>
          <w:p>
            <w:pPr>
              <w:jc w:val="center"/>
              <w:rPr>
                <w:b/>
                <w:color w:val="auto"/>
                <w:kern w:val="21"/>
                <w:szCs w:val="21"/>
                <w:lang w:val="zh-CN"/>
              </w:rPr>
            </w:pPr>
          </w:p>
          <w:p>
            <w:pPr>
              <w:jc w:val="center"/>
              <w:rPr>
                <w:b/>
                <w:color w:val="auto"/>
                <w:kern w:val="21"/>
                <w:szCs w:val="21"/>
                <w:lang w:val="zh-CN"/>
              </w:rPr>
            </w:pPr>
          </w:p>
          <w:p>
            <w:pPr>
              <w:jc w:val="center"/>
              <w:rPr>
                <w:b/>
                <w:color w:val="auto"/>
                <w:kern w:val="21"/>
                <w:szCs w:val="21"/>
                <w:lang w:val="zh-CN"/>
              </w:rPr>
            </w:pPr>
          </w:p>
          <w:p>
            <w:pPr>
              <w:jc w:val="center"/>
              <w:rPr>
                <w:b/>
                <w:color w:val="auto"/>
                <w:kern w:val="21"/>
                <w:szCs w:val="21"/>
                <w:lang w:val="zh-CN"/>
              </w:rPr>
            </w:pPr>
            <w:r>
              <w:rPr>
                <w:b/>
                <w:color w:val="auto"/>
                <w:kern w:val="21"/>
                <w:szCs w:val="21"/>
                <w:lang w:val="zh-CN"/>
              </w:rPr>
              <w:t>表5-</w:t>
            </w:r>
            <w:r>
              <w:rPr>
                <w:rFonts w:hint="eastAsia"/>
                <w:b/>
                <w:color w:val="auto"/>
                <w:kern w:val="21"/>
                <w:szCs w:val="21"/>
                <w:lang w:val="en-US" w:eastAsia="zh-CN"/>
              </w:rPr>
              <w:t>17</w:t>
            </w:r>
            <w:r>
              <w:rPr>
                <w:b/>
                <w:color w:val="auto"/>
                <w:kern w:val="21"/>
                <w:szCs w:val="21"/>
                <w:lang w:val="zh-CN"/>
              </w:rPr>
              <w:t xml:space="preserve">  建设项目水污染物产生和排放情况表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97"/>
              <w:gridCol w:w="935"/>
              <w:gridCol w:w="1023"/>
              <w:gridCol w:w="884"/>
              <w:gridCol w:w="890"/>
              <w:gridCol w:w="902"/>
              <w:gridCol w:w="961"/>
              <w:gridCol w:w="876"/>
              <w:gridCol w:w="84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997" w:type="dxa"/>
                  <w:vMerge w:val="restart"/>
                  <w:vAlign w:val="center"/>
                </w:tcPr>
                <w:p>
                  <w:pPr>
                    <w:jc w:val="center"/>
                    <w:rPr>
                      <w:b/>
                      <w:bCs/>
                      <w:color w:val="auto"/>
                      <w:szCs w:val="21"/>
                    </w:rPr>
                  </w:pPr>
                  <w:r>
                    <w:rPr>
                      <w:b/>
                      <w:bCs/>
                      <w:color w:val="auto"/>
                      <w:szCs w:val="21"/>
                    </w:rPr>
                    <w:t>废水名称</w:t>
                  </w:r>
                </w:p>
              </w:tc>
              <w:tc>
                <w:tcPr>
                  <w:tcW w:w="935" w:type="dxa"/>
                  <w:vMerge w:val="restart"/>
                  <w:vAlign w:val="center"/>
                </w:tcPr>
                <w:p>
                  <w:pPr>
                    <w:jc w:val="center"/>
                    <w:rPr>
                      <w:b/>
                      <w:bCs/>
                      <w:color w:val="auto"/>
                      <w:szCs w:val="21"/>
                    </w:rPr>
                  </w:pPr>
                  <w:r>
                    <w:rPr>
                      <w:b/>
                      <w:bCs/>
                      <w:color w:val="auto"/>
                      <w:szCs w:val="21"/>
                    </w:rPr>
                    <w:t>污染物</w:t>
                  </w:r>
                </w:p>
              </w:tc>
              <w:tc>
                <w:tcPr>
                  <w:tcW w:w="1907" w:type="dxa"/>
                  <w:gridSpan w:val="2"/>
                  <w:vAlign w:val="center"/>
                </w:tcPr>
                <w:p>
                  <w:pPr>
                    <w:jc w:val="center"/>
                    <w:rPr>
                      <w:b/>
                      <w:bCs/>
                      <w:color w:val="auto"/>
                      <w:szCs w:val="21"/>
                    </w:rPr>
                  </w:pPr>
                  <w:r>
                    <w:rPr>
                      <w:b/>
                      <w:bCs/>
                      <w:color w:val="auto"/>
                      <w:szCs w:val="21"/>
                    </w:rPr>
                    <w:t>进水</w:t>
                  </w:r>
                </w:p>
              </w:tc>
              <w:tc>
                <w:tcPr>
                  <w:tcW w:w="890" w:type="dxa"/>
                  <w:vMerge w:val="restart"/>
                  <w:vAlign w:val="center"/>
                </w:tcPr>
                <w:p>
                  <w:pPr>
                    <w:jc w:val="center"/>
                    <w:rPr>
                      <w:b/>
                      <w:bCs/>
                      <w:color w:val="auto"/>
                      <w:szCs w:val="21"/>
                    </w:rPr>
                  </w:pPr>
                  <w:r>
                    <w:rPr>
                      <w:b/>
                      <w:bCs/>
                      <w:color w:val="auto"/>
                      <w:szCs w:val="21"/>
                    </w:rPr>
                    <w:t>处理措施</w:t>
                  </w:r>
                </w:p>
              </w:tc>
              <w:tc>
                <w:tcPr>
                  <w:tcW w:w="902" w:type="dxa"/>
                  <w:vMerge w:val="restart"/>
                  <w:vAlign w:val="center"/>
                </w:tcPr>
                <w:p>
                  <w:pPr>
                    <w:jc w:val="center"/>
                    <w:rPr>
                      <w:b/>
                      <w:bCs/>
                      <w:color w:val="auto"/>
                      <w:szCs w:val="21"/>
                    </w:rPr>
                  </w:pPr>
                  <w:r>
                    <w:rPr>
                      <w:b/>
                      <w:bCs/>
                      <w:color w:val="auto"/>
                      <w:szCs w:val="21"/>
                    </w:rPr>
                    <w:t>去除率（%）</w:t>
                  </w:r>
                </w:p>
              </w:tc>
              <w:tc>
                <w:tcPr>
                  <w:tcW w:w="1837" w:type="dxa"/>
                  <w:gridSpan w:val="2"/>
                  <w:vAlign w:val="center"/>
                </w:tcPr>
                <w:p>
                  <w:pPr>
                    <w:jc w:val="center"/>
                    <w:rPr>
                      <w:b/>
                      <w:bCs/>
                      <w:color w:val="auto"/>
                      <w:szCs w:val="21"/>
                    </w:rPr>
                  </w:pPr>
                  <w:r>
                    <w:rPr>
                      <w:b/>
                      <w:bCs/>
                      <w:color w:val="auto"/>
                      <w:szCs w:val="21"/>
                    </w:rPr>
                    <w:t>出水</w:t>
                  </w:r>
                </w:p>
              </w:tc>
              <w:tc>
                <w:tcPr>
                  <w:tcW w:w="844" w:type="dxa"/>
                  <w:vMerge w:val="restart"/>
                  <w:vAlign w:val="center"/>
                </w:tcPr>
                <w:p>
                  <w:pPr>
                    <w:jc w:val="center"/>
                    <w:rPr>
                      <w:b/>
                      <w:bCs/>
                      <w:color w:val="auto"/>
                      <w:szCs w:val="21"/>
                    </w:rPr>
                  </w:pPr>
                  <w:r>
                    <w:rPr>
                      <w:b/>
                      <w:bCs/>
                      <w:color w:val="auto"/>
                      <w:szCs w:val="21"/>
                    </w:rPr>
                    <w:t>接管标准mg/L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997" w:type="dxa"/>
                  <w:vMerge w:val="continue"/>
                  <w:vAlign w:val="center"/>
                </w:tcPr>
                <w:p>
                  <w:pPr>
                    <w:rPr>
                      <w:color w:val="auto"/>
                      <w:szCs w:val="21"/>
                    </w:rPr>
                  </w:pPr>
                </w:p>
              </w:tc>
              <w:tc>
                <w:tcPr>
                  <w:tcW w:w="935" w:type="dxa"/>
                  <w:vMerge w:val="continue"/>
                  <w:vAlign w:val="center"/>
                </w:tcPr>
                <w:p>
                  <w:pPr>
                    <w:rPr>
                      <w:color w:val="auto"/>
                      <w:szCs w:val="21"/>
                    </w:rPr>
                  </w:pPr>
                </w:p>
              </w:tc>
              <w:tc>
                <w:tcPr>
                  <w:tcW w:w="1023" w:type="dxa"/>
                  <w:vAlign w:val="center"/>
                </w:tcPr>
                <w:p>
                  <w:pPr>
                    <w:jc w:val="center"/>
                    <w:rPr>
                      <w:b/>
                      <w:bCs/>
                      <w:color w:val="auto"/>
                      <w:szCs w:val="21"/>
                    </w:rPr>
                  </w:pPr>
                  <w:r>
                    <w:rPr>
                      <w:b/>
                      <w:bCs/>
                      <w:color w:val="auto"/>
                      <w:szCs w:val="21"/>
                    </w:rPr>
                    <w:t>进水浓度mg/L</w:t>
                  </w:r>
                </w:p>
              </w:tc>
              <w:tc>
                <w:tcPr>
                  <w:tcW w:w="884" w:type="dxa"/>
                  <w:vAlign w:val="center"/>
                </w:tcPr>
                <w:p>
                  <w:pPr>
                    <w:jc w:val="center"/>
                    <w:rPr>
                      <w:b/>
                      <w:bCs/>
                      <w:color w:val="auto"/>
                      <w:szCs w:val="21"/>
                    </w:rPr>
                  </w:pPr>
                  <w:r>
                    <w:rPr>
                      <w:b/>
                      <w:bCs/>
                      <w:color w:val="auto"/>
                      <w:szCs w:val="21"/>
                    </w:rPr>
                    <w:t>进水量</w:t>
                  </w:r>
                </w:p>
                <w:p>
                  <w:pPr>
                    <w:jc w:val="center"/>
                    <w:rPr>
                      <w:b/>
                      <w:bCs/>
                      <w:color w:val="auto"/>
                      <w:szCs w:val="21"/>
                    </w:rPr>
                  </w:pPr>
                  <w:r>
                    <w:rPr>
                      <w:b/>
                      <w:bCs/>
                      <w:color w:val="auto"/>
                      <w:szCs w:val="21"/>
                    </w:rPr>
                    <w:t>t/a</w:t>
                  </w:r>
                </w:p>
              </w:tc>
              <w:tc>
                <w:tcPr>
                  <w:tcW w:w="890" w:type="dxa"/>
                  <w:vMerge w:val="continue"/>
                </w:tcPr>
                <w:p>
                  <w:pPr>
                    <w:rPr>
                      <w:color w:val="auto"/>
                      <w:szCs w:val="21"/>
                    </w:rPr>
                  </w:pPr>
                </w:p>
              </w:tc>
              <w:tc>
                <w:tcPr>
                  <w:tcW w:w="902" w:type="dxa"/>
                  <w:vMerge w:val="continue"/>
                </w:tcPr>
                <w:p>
                  <w:pPr>
                    <w:rPr>
                      <w:color w:val="auto"/>
                      <w:szCs w:val="21"/>
                    </w:rPr>
                  </w:pPr>
                </w:p>
              </w:tc>
              <w:tc>
                <w:tcPr>
                  <w:tcW w:w="961" w:type="dxa"/>
                  <w:vAlign w:val="center"/>
                </w:tcPr>
                <w:p>
                  <w:pPr>
                    <w:jc w:val="center"/>
                    <w:rPr>
                      <w:b/>
                      <w:bCs/>
                      <w:color w:val="auto"/>
                      <w:szCs w:val="21"/>
                    </w:rPr>
                  </w:pPr>
                  <w:r>
                    <w:rPr>
                      <w:b/>
                      <w:bCs/>
                      <w:color w:val="auto"/>
                      <w:szCs w:val="21"/>
                    </w:rPr>
                    <w:t>出水浓度mg/L</w:t>
                  </w:r>
                </w:p>
              </w:tc>
              <w:tc>
                <w:tcPr>
                  <w:tcW w:w="876" w:type="dxa"/>
                  <w:vAlign w:val="center"/>
                </w:tcPr>
                <w:p>
                  <w:pPr>
                    <w:jc w:val="center"/>
                    <w:rPr>
                      <w:b/>
                      <w:bCs/>
                      <w:color w:val="auto"/>
                      <w:szCs w:val="21"/>
                    </w:rPr>
                  </w:pPr>
                  <w:r>
                    <w:rPr>
                      <w:b/>
                      <w:bCs/>
                      <w:color w:val="auto"/>
                      <w:szCs w:val="21"/>
                    </w:rPr>
                    <w:t>出水量t/a</w:t>
                  </w:r>
                </w:p>
              </w:tc>
              <w:tc>
                <w:tcPr>
                  <w:tcW w:w="844" w:type="dxa"/>
                  <w:vMerge w:val="continue"/>
                  <w:vAlign w:val="center"/>
                </w:tcPr>
                <w:p>
                  <w:pP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997" w:type="dxa"/>
                  <w:vMerge w:val="restart"/>
                  <w:vAlign w:val="center"/>
                </w:tcPr>
                <w:p>
                  <w:pPr>
                    <w:jc w:val="center"/>
                    <w:rPr>
                      <w:rFonts w:hint="default" w:eastAsia="宋体"/>
                      <w:color w:val="auto"/>
                      <w:szCs w:val="21"/>
                      <w:lang w:val="en-US" w:eastAsia="zh-CN"/>
                    </w:rPr>
                  </w:pPr>
                  <w:r>
                    <w:rPr>
                      <w:color w:val="auto"/>
                      <w:szCs w:val="21"/>
                    </w:rPr>
                    <w:t>生活污水</w:t>
                  </w:r>
                  <w:r>
                    <w:rPr>
                      <w:rFonts w:hint="eastAsia"/>
                      <w:color w:val="auto"/>
                      <w:szCs w:val="21"/>
                      <w:lang w:val="en-US" w:eastAsia="zh-CN"/>
                    </w:rPr>
                    <w:t>120</w:t>
                  </w:r>
                </w:p>
                <w:p>
                  <w:pPr>
                    <w:jc w:val="center"/>
                    <w:rPr>
                      <w:color w:val="auto"/>
                      <w:szCs w:val="21"/>
                    </w:rPr>
                  </w:pPr>
                  <w:r>
                    <w:rPr>
                      <w:bCs/>
                      <w:color w:val="auto"/>
                      <w:szCs w:val="21"/>
                    </w:rPr>
                    <w:t>m</w:t>
                  </w:r>
                  <w:r>
                    <w:rPr>
                      <w:bCs/>
                      <w:color w:val="auto"/>
                      <w:szCs w:val="21"/>
                      <w:vertAlign w:val="superscript"/>
                    </w:rPr>
                    <w:t>3</w:t>
                  </w:r>
                  <w:r>
                    <w:rPr>
                      <w:bCs/>
                      <w:color w:val="auto"/>
                      <w:szCs w:val="21"/>
                    </w:rPr>
                    <w:t>/a</w:t>
                  </w:r>
                </w:p>
              </w:tc>
              <w:tc>
                <w:tcPr>
                  <w:tcW w:w="935" w:type="dxa"/>
                  <w:vAlign w:val="center"/>
                </w:tcPr>
                <w:p>
                  <w:pPr>
                    <w:jc w:val="center"/>
                    <w:rPr>
                      <w:color w:val="auto"/>
                      <w:szCs w:val="21"/>
                    </w:rPr>
                  </w:pPr>
                  <w:r>
                    <w:rPr>
                      <w:color w:val="auto"/>
                      <w:szCs w:val="21"/>
                    </w:rPr>
                    <w:t>COD</w:t>
                  </w:r>
                </w:p>
              </w:tc>
              <w:tc>
                <w:tcPr>
                  <w:tcW w:w="1023" w:type="dxa"/>
                  <w:vAlign w:val="center"/>
                </w:tcPr>
                <w:p>
                  <w:pPr>
                    <w:widowControl/>
                    <w:jc w:val="center"/>
                    <w:rPr>
                      <w:color w:val="auto"/>
                      <w:kern w:val="0"/>
                      <w:szCs w:val="21"/>
                    </w:rPr>
                  </w:pPr>
                  <w:r>
                    <w:rPr>
                      <w:color w:val="auto"/>
                      <w:szCs w:val="21"/>
                    </w:rPr>
                    <w:t>400</w:t>
                  </w:r>
                </w:p>
              </w:tc>
              <w:tc>
                <w:tcPr>
                  <w:tcW w:w="884" w:type="dxa"/>
                  <w:vAlign w:val="center"/>
                </w:tcPr>
                <w:p>
                  <w:pPr>
                    <w:jc w:val="center"/>
                    <w:rPr>
                      <w:color w:val="auto"/>
                      <w:szCs w:val="21"/>
                    </w:rPr>
                  </w:pPr>
                  <w:r>
                    <w:rPr>
                      <w:rFonts w:hint="eastAsia"/>
                      <w:color w:val="auto"/>
                      <w:szCs w:val="21"/>
                      <w:lang w:val="en-US" w:eastAsia="zh-CN"/>
                    </w:rPr>
                    <w:t>0.048</w:t>
                  </w:r>
                </w:p>
              </w:tc>
              <w:tc>
                <w:tcPr>
                  <w:tcW w:w="890" w:type="dxa"/>
                  <w:vMerge w:val="restart"/>
                  <w:vAlign w:val="center"/>
                </w:tcPr>
                <w:p>
                  <w:pPr>
                    <w:jc w:val="center"/>
                    <w:rPr>
                      <w:color w:val="auto"/>
                      <w:szCs w:val="21"/>
                    </w:rPr>
                  </w:pPr>
                  <w:r>
                    <w:rPr>
                      <w:rFonts w:hint="eastAsia"/>
                      <w:color w:val="auto"/>
                      <w:szCs w:val="21"/>
                    </w:rPr>
                    <w:t>化粪池</w:t>
                  </w:r>
                </w:p>
              </w:tc>
              <w:tc>
                <w:tcPr>
                  <w:tcW w:w="902" w:type="dxa"/>
                  <w:vAlign w:val="center"/>
                </w:tcPr>
                <w:p>
                  <w:pPr>
                    <w:jc w:val="center"/>
                    <w:rPr>
                      <w:color w:val="auto"/>
                      <w:szCs w:val="21"/>
                    </w:rPr>
                  </w:pPr>
                  <w:r>
                    <w:rPr>
                      <w:rFonts w:hint="eastAsia"/>
                      <w:color w:val="auto"/>
                      <w:szCs w:val="21"/>
                    </w:rPr>
                    <w:t>15</w:t>
                  </w:r>
                </w:p>
              </w:tc>
              <w:tc>
                <w:tcPr>
                  <w:tcW w:w="961" w:type="dxa"/>
                  <w:vAlign w:val="center"/>
                </w:tcPr>
                <w:p>
                  <w:pPr>
                    <w:jc w:val="center"/>
                    <w:rPr>
                      <w:color w:val="auto"/>
                      <w:szCs w:val="21"/>
                    </w:rPr>
                  </w:pPr>
                  <w:r>
                    <w:rPr>
                      <w:rFonts w:hint="eastAsia"/>
                      <w:color w:val="auto"/>
                      <w:szCs w:val="21"/>
                    </w:rPr>
                    <w:t>340</w:t>
                  </w:r>
                </w:p>
              </w:tc>
              <w:tc>
                <w:tcPr>
                  <w:tcW w:w="876" w:type="dxa"/>
                  <w:vAlign w:val="center"/>
                </w:tcPr>
                <w:p>
                  <w:pPr>
                    <w:jc w:val="center"/>
                    <w:rPr>
                      <w:color w:val="auto"/>
                      <w:szCs w:val="21"/>
                    </w:rPr>
                  </w:pPr>
                  <w:r>
                    <w:rPr>
                      <w:rFonts w:hint="eastAsia"/>
                      <w:color w:val="auto"/>
                      <w:szCs w:val="21"/>
                      <w:lang w:val="en-US" w:eastAsia="zh-CN"/>
                    </w:rPr>
                    <w:t>0.041</w:t>
                  </w:r>
                </w:p>
              </w:tc>
              <w:tc>
                <w:tcPr>
                  <w:tcW w:w="844" w:type="dxa"/>
                  <w:vAlign w:val="center"/>
                </w:tcPr>
                <w:p>
                  <w:pPr>
                    <w:jc w:val="center"/>
                    <w:rPr>
                      <w:color w:val="auto"/>
                      <w:szCs w:val="21"/>
                    </w:rPr>
                  </w:pPr>
                  <w:r>
                    <w:rPr>
                      <w:color w:val="auto"/>
                      <w:szCs w:val="21"/>
                    </w:rPr>
                    <w:t>500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12" w:hRule="atLeast"/>
                <w:jc w:val="center"/>
              </w:trPr>
              <w:tc>
                <w:tcPr>
                  <w:tcW w:w="997" w:type="dxa"/>
                  <w:vMerge w:val="continue"/>
                  <w:vAlign w:val="center"/>
                </w:tcPr>
                <w:p>
                  <w:pPr>
                    <w:rPr>
                      <w:color w:val="auto"/>
                      <w:szCs w:val="21"/>
                    </w:rPr>
                  </w:pPr>
                </w:p>
              </w:tc>
              <w:tc>
                <w:tcPr>
                  <w:tcW w:w="935" w:type="dxa"/>
                  <w:vAlign w:val="center"/>
                </w:tcPr>
                <w:p>
                  <w:pPr>
                    <w:jc w:val="center"/>
                    <w:rPr>
                      <w:color w:val="auto"/>
                      <w:szCs w:val="21"/>
                    </w:rPr>
                  </w:pPr>
                  <w:r>
                    <w:rPr>
                      <w:color w:val="auto"/>
                      <w:szCs w:val="21"/>
                    </w:rPr>
                    <w:t>SS</w:t>
                  </w:r>
                </w:p>
              </w:tc>
              <w:tc>
                <w:tcPr>
                  <w:tcW w:w="1023" w:type="dxa"/>
                  <w:vAlign w:val="center"/>
                </w:tcPr>
                <w:p>
                  <w:pPr>
                    <w:jc w:val="center"/>
                    <w:rPr>
                      <w:color w:val="auto"/>
                      <w:szCs w:val="21"/>
                    </w:rPr>
                  </w:pPr>
                  <w:r>
                    <w:rPr>
                      <w:color w:val="auto"/>
                      <w:szCs w:val="21"/>
                    </w:rPr>
                    <w:t>200</w:t>
                  </w:r>
                </w:p>
              </w:tc>
              <w:tc>
                <w:tcPr>
                  <w:tcW w:w="884" w:type="dxa"/>
                  <w:vAlign w:val="center"/>
                </w:tcPr>
                <w:p>
                  <w:pPr>
                    <w:jc w:val="center"/>
                    <w:rPr>
                      <w:color w:val="auto"/>
                      <w:szCs w:val="21"/>
                    </w:rPr>
                  </w:pPr>
                  <w:r>
                    <w:rPr>
                      <w:rFonts w:hint="eastAsia"/>
                      <w:color w:val="auto"/>
                      <w:szCs w:val="21"/>
                      <w:lang w:val="en-US" w:eastAsia="zh-CN"/>
                    </w:rPr>
                    <w:t>0.024</w:t>
                  </w:r>
                </w:p>
              </w:tc>
              <w:tc>
                <w:tcPr>
                  <w:tcW w:w="890" w:type="dxa"/>
                  <w:vMerge w:val="continue"/>
                  <w:vAlign w:val="center"/>
                </w:tcPr>
                <w:p>
                  <w:pPr>
                    <w:jc w:val="center"/>
                    <w:rPr>
                      <w:color w:val="auto"/>
                      <w:szCs w:val="21"/>
                    </w:rPr>
                  </w:pPr>
                </w:p>
              </w:tc>
              <w:tc>
                <w:tcPr>
                  <w:tcW w:w="902" w:type="dxa"/>
                  <w:vAlign w:val="center"/>
                </w:tcPr>
                <w:p>
                  <w:pPr>
                    <w:jc w:val="center"/>
                    <w:rPr>
                      <w:color w:val="auto"/>
                      <w:szCs w:val="21"/>
                    </w:rPr>
                  </w:pPr>
                  <w:r>
                    <w:rPr>
                      <w:rFonts w:hint="eastAsia"/>
                      <w:color w:val="auto"/>
                      <w:szCs w:val="21"/>
                    </w:rPr>
                    <w:t>20</w:t>
                  </w:r>
                </w:p>
              </w:tc>
              <w:tc>
                <w:tcPr>
                  <w:tcW w:w="961" w:type="dxa"/>
                  <w:vAlign w:val="center"/>
                </w:tcPr>
                <w:p>
                  <w:pPr>
                    <w:jc w:val="center"/>
                    <w:rPr>
                      <w:color w:val="auto"/>
                      <w:szCs w:val="21"/>
                    </w:rPr>
                  </w:pPr>
                  <w:r>
                    <w:rPr>
                      <w:rFonts w:hint="eastAsia"/>
                      <w:color w:val="auto"/>
                      <w:szCs w:val="21"/>
                    </w:rPr>
                    <w:t>160</w:t>
                  </w:r>
                </w:p>
              </w:tc>
              <w:tc>
                <w:tcPr>
                  <w:tcW w:w="876" w:type="dxa"/>
                  <w:vAlign w:val="center"/>
                </w:tcPr>
                <w:p>
                  <w:pPr>
                    <w:jc w:val="center"/>
                    <w:rPr>
                      <w:color w:val="auto"/>
                      <w:szCs w:val="21"/>
                    </w:rPr>
                  </w:pPr>
                  <w:r>
                    <w:rPr>
                      <w:rFonts w:hint="eastAsia"/>
                      <w:color w:val="auto"/>
                      <w:szCs w:val="21"/>
                      <w:lang w:val="en-US" w:eastAsia="zh-CN"/>
                    </w:rPr>
                    <w:t>0.019</w:t>
                  </w:r>
                </w:p>
              </w:tc>
              <w:tc>
                <w:tcPr>
                  <w:tcW w:w="844" w:type="dxa"/>
                  <w:vAlign w:val="center"/>
                </w:tcPr>
                <w:p>
                  <w:pPr>
                    <w:jc w:val="center"/>
                    <w:rPr>
                      <w:color w:val="auto"/>
                      <w:szCs w:val="21"/>
                    </w:rPr>
                  </w:pPr>
                  <w:r>
                    <w:rPr>
                      <w:color w:val="auto"/>
                      <w:szCs w:val="21"/>
                    </w:rPr>
                    <w:t>250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57" w:hRule="atLeast"/>
                <w:jc w:val="center"/>
              </w:trPr>
              <w:tc>
                <w:tcPr>
                  <w:tcW w:w="997" w:type="dxa"/>
                  <w:vMerge w:val="continue"/>
                  <w:vAlign w:val="center"/>
                </w:tcPr>
                <w:p>
                  <w:pPr>
                    <w:rPr>
                      <w:color w:val="auto"/>
                      <w:szCs w:val="21"/>
                    </w:rPr>
                  </w:pPr>
                </w:p>
              </w:tc>
              <w:tc>
                <w:tcPr>
                  <w:tcW w:w="935" w:type="dxa"/>
                  <w:vAlign w:val="center"/>
                </w:tcPr>
                <w:p>
                  <w:pPr>
                    <w:jc w:val="center"/>
                    <w:rPr>
                      <w:color w:val="auto"/>
                      <w:szCs w:val="21"/>
                    </w:rPr>
                  </w:pPr>
                  <w:r>
                    <w:rPr>
                      <w:bCs/>
                      <w:color w:val="auto"/>
                      <w:szCs w:val="21"/>
                    </w:rPr>
                    <w:t>NH</w:t>
                  </w:r>
                  <w:r>
                    <w:rPr>
                      <w:bCs/>
                      <w:color w:val="auto"/>
                      <w:szCs w:val="21"/>
                      <w:vertAlign w:val="subscript"/>
                    </w:rPr>
                    <w:t>3</w:t>
                  </w:r>
                  <w:r>
                    <w:rPr>
                      <w:bCs/>
                      <w:color w:val="auto"/>
                      <w:szCs w:val="21"/>
                    </w:rPr>
                    <w:t>-N</w:t>
                  </w:r>
                </w:p>
              </w:tc>
              <w:tc>
                <w:tcPr>
                  <w:tcW w:w="1023" w:type="dxa"/>
                  <w:vAlign w:val="center"/>
                </w:tcPr>
                <w:p>
                  <w:pPr>
                    <w:jc w:val="center"/>
                    <w:rPr>
                      <w:color w:val="auto"/>
                      <w:szCs w:val="21"/>
                    </w:rPr>
                  </w:pPr>
                  <w:r>
                    <w:rPr>
                      <w:rFonts w:hint="eastAsia"/>
                      <w:color w:val="auto"/>
                      <w:szCs w:val="21"/>
                    </w:rPr>
                    <w:t>3</w:t>
                  </w:r>
                  <w:r>
                    <w:rPr>
                      <w:color w:val="auto"/>
                      <w:szCs w:val="21"/>
                    </w:rPr>
                    <w:t>5</w:t>
                  </w:r>
                </w:p>
              </w:tc>
              <w:tc>
                <w:tcPr>
                  <w:tcW w:w="884" w:type="dxa"/>
                  <w:vAlign w:val="center"/>
                </w:tcPr>
                <w:p>
                  <w:pPr>
                    <w:jc w:val="center"/>
                    <w:rPr>
                      <w:color w:val="auto"/>
                      <w:szCs w:val="21"/>
                    </w:rPr>
                  </w:pPr>
                  <w:r>
                    <w:rPr>
                      <w:rFonts w:hint="eastAsia"/>
                      <w:color w:val="auto"/>
                      <w:szCs w:val="21"/>
                      <w:lang w:val="en-US" w:eastAsia="zh-CN"/>
                    </w:rPr>
                    <w:t>0.0042</w:t>
                  </w:r>
                </w:p>
              </w:tc>
              <w:tc>
                <w:tcPr>
                  <w:tcW w:w="890" w:type="dxa"/>
                  <w:vMerge w:val="continue"/>
                  <w:vAlign w:val="center"/>
                </w:tcPr>
                <w:p>
                  <w:pPr>
                    <w:jc w:val="center"/>
                    <w:rPr>
                      <w:color w:val="auto"/>
                      <w:szCs w:val="21"/>
                    </w:rPr>
                  </w:pPr>
                </w:p>
              </w:tc>
              <w:tc>
                <w:tcPr>
                  <w:tcW w:w="902" w:type="dxa"/>
                  <w:vAlign w:val="center"/>
                </w:tcPr>
                <w:p>
                  <w:pPr>
                    <w:jc w:val="center"/>
                    <w:rPr>
                      <w:color w:val="auto"/>
                      <w:szCs w:val="21"/>
                    </w:rPr>
                  </w:pPr>
                  <w:r>
                    <w:rPr>
                      <w:rFonts w:hint="eastAsia"/>
                      <w:color w:val="auto"/>
                      <w:szCs w:val="21"/>
                    </w:rPr>
                    <w:t>0</w:t>
                  </w:r>
                </w:p>
              </w:tc>
              <w:tc>
                <w:tcPr>
                  <w:tcW w:w="961" w:type="dxa"/>
                  <w:vAlign w:val="center"/>
                </w:tcPr>
                <w:p>
                  <w:pPr>
                    <w:jc w:val="center"/>
                    <w:rPr>
                      <w:color w:val="auto"/>
                      <w:szCs w:val="21"/>
                    </w:rPr>
                  </w:pPr>
                  <w:r>
                    <w:rPr>
                      <w:rFonts w:hint="eastAsia"/>
                      <w:color w:val="auto"/>
                      <w:szCs w:val="21"/>
                    </w:rPr>
                    <w:t>35</w:t>
                  </w:r>
                </w:p>
              </w:tc>
              <w:tc>
                <w:tcPr>
                  <w:tcW w:w="876" w:type="dxa"/>
                  <w:vAlign w:val="center"/>
                </w:tcPr>
                <w:p>
                  <w:pPr>
                    <w:jc w:val="center"/>
                    <w:rPr>
                      <w:color w:val="auto"/>
                      <w:szCs w:val="21"/>
                    </w:rPr>
                  </w:pPr>
                  <w:r>
                    <w:rPr>
                      <w:rFonts w:hint="eastAsia"/>
                      <w:color w:val="auto"/>
                      <w:szCs w:val="21"/>
                      <w:lang w:val="en-US" w:eastAsia="zh-CN"/>
                    </w:rPr>
                    <w:t>0.0042</w:t>
                  </w:r>
                </w:p>
              </w:tc>
              <w:tc>
                <w:tcPr>
                  <w:tcW w:w="844" w:type="dxa"/>
                  <w:vAlign w:val="center"/>
                </w:tcPr>
                <w:p>
                  <w:pPr>
                    <w:jc w:val="center"/>
                    <w:rPr>
                      <w:color w:val="auto"/>
                      <w:szCs w:val="21"/>
                    </w:rPr>
                  </w:pPr>
                  <w:r>
                    <w:rPr>
                      <w:color w:val="auto"/>
                      <w:szCs w:val="21"/>
                    </w:rPr>
                    <w:t>35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997" w:type="dxa"/>
                  <w:vMerge w:val="continue"/>
                  <w:vAlign w:val="center"/>
                </w:tcPr>
                <w:p>
                  <w:pPr>
                    <w:rPr>
                      <w:color w:val="auto"/>
                      <w:szCs w:val="21"/>
                    </w:rPr>
                  </w:pPr>
                </w:p>
              </w:tc>
              <w:tc>
                <w:tcPr>
                  <w:tcW w:w="935" w:type="dxa"/>
                  <w:vAlign w:val="center"/>
                </w:tcPr>
                <w:p>
                  <w:pPr>
                    <w:jc w:val="center"/>
                    <w:rPr>
                      <w:color w:val="auto"/>
                      <w:szCs w:val="21"/>
                    </w:rPr>
                  </w:pPr>
                  <w:r>
                    <w:rPr>
                      <w:color w:val="auto"/>
                      <w:szCs w:val="21"/>
                    </w:rPr>
                    <w:t>TP</w:t>
                  </w:r>
                </w:p>
              </w:tc>
              <w:tc>
                <w:tcPr>
                  <w:tcW w:w="1023" w:type="dxa"/>
                  <w:vAlign w:val="center"/>
                </w:tcPr>
                <w:p>
                  <w:pPr>
                    <w:jc w:val="center"/>
                    <w:rPr>
                      <w:color w:val="auto"/>
                      <w:szCs w:val="21"/>
                    </w:rPr>
                  </w:pPr>
                  <w:r>
                    <w:rPr>
                      <w:color w:val="auto"/>
                      <w:szCs w:val="21"/>
                    </w:rPr>
                    <w:t>3</w:t>
                  </w:r>
                </w:p>
              </w:tc>
              <w:tc>
                <w:tcPr>
                  <w:tcW w:w="884" w:type="dxa"/>
                  <w:vAlign w:val="center"/>
                </w:tcPr>
                <w:p>
                  <w:pPr>
                    <w:jc w:val="center"/>
                    <w:rPr>
                      <w:color w:val="auto"/>
                      <w:szCs w:val="21"/>
                    </w:rPr>
                  </w:pPr>
                  <w:r>
                    <w:rPr>
                      <w:rFonts w:hint="eastAsia"/>
                      <w:color w:val="auto"/>
                      <w:szCs w:val="21"/>
                      <w:lang w:val="en-US" w:eastAsia="zh-CN"/>
                    </w:rPr>
                    <w:t>0.0006</w:t>
                  </w:r>
                </w:p>
              </w:tc>
              <w:tc>
                <w:tcPr>
                  <w:tcW w:w="890" w:type="dxa"/>
                  <w:vMerge w:val="continue"/>
                  <w:vAlign w:val="center"/>
                </w:tcPr>
                <w:p>
                  <w:pPr>
                    <w:jc w:val="center"/>
                    <w:rPr>
                      <w:color w:val="auto"/>
                      <w:szCs w:val="21"/>
                    </w:rPr>
                  </w:pPr>
                </w:p>
              </w:tc>
              <w:tc>
                <w:tcPr>
                  <w:tcW w:w="902" w:type="dxa"/>
                  <w:vAlign w:val="center"/>
                </w:tcPr>
                <w:p>
                  <w:pPr>
                    <w:jc w:val="center"/>
                    <w:rPr>
                      <w:color w:val="auto"/>
                      <w:szCs w:val="21"/>
                    </w:rPr>
                  </w:pPr>
                  <w:r>
                    <w:rPr>
                      <w:rFonts w:hint="eastAsia"/>
                      <w:color w:val="auto"/>
                      <w:szCs w:val="21"/>
                    </w:rPr>
                    <w:t>0</w:t>
                  </w:r>
                </w:p>
              </w:tc>
              <w:tc>
                <w:tcPr>
                  <w:tcW w:w="961" w:type="dxa"/>
                  <w:vAlign w:val="center"/>
                </w:tcPr>
                <w:p>
                  <w:pPr>
                    <w:jc w:val="center"/>
                    <w:rPr>
                      <w:color w:val="auto"/>
                      <w:szCs w:val="21"/>
                    </w:rPr>
                  </w:pPr>
                  <w:r>
                    <w:rPr>
                      <w:rFonts w:hint="eastAsia"/>
                      <w:color w:val="auto"/>
                      <w:szCs w:val="21"/>
                    </w:rPr>
                    <w:t>3</w:t>
                  </w:r>
                </w:p>
              </w:tc>
              <w:tc>
                <w:tcPr>
                  <w:tcW w:w="876" w:type="dxa"/>
                  <w:vAlign w:val="center"/>
                </w:tcPr>
                <w:p>
                  <w:pPr>
                    <w:jc w:val="center"/>
                    <w:rPr>
                      <w:color w:val="auto"/>
                      <w:szCs w:val="21"/>
                    </w:rPr>
                  </w:pPr>
                  <w:r>
                    <w:rPr>
                      <w:rFonts w:hint="eastAsia"/>
                      <w:color w:val="auto"/>
                      <w:szCs w:val="21"/>
                      <w:lang w:val="en-US" w:eastAsia="zh-CN"/>
                    </w:rPr>
                    <w:t>0.0006</w:t>
                  </w:r>
                </w:p>
              </w:tc>
              <w:tc>
                <w:tcPr>
                  <w:tcW w:w="844" w:type="dxa"/>
                  <w:vAlign w:val="center"/>
                </w:tcPr>
                <w:p>
                  <w:pPr>
                    <w:jc w:val="center"/>
                    <w:rPr>
                      <w:color w:val="auto"/>
                      <w:szCs w:val="21"/>
                    </w:rPr>
                  </w:pPr>
                  <w:r>
                    <w:rPr>
                      <w:color w:val="auto"/>
                      <w:szCs w:val="21"/>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997" w:type="dxa"/>
                  <w:vMerge w:val="continue"/>
                  <w:vAlign w:val="center"/>
                </w:tcPr>
                <w:p>
                  <w:pPr>
                    <w:rPr>
                      <w:color w:val="auto"/>
                      <w:szCs w:val="21"/>
                    </w:rPr>
                  </w:pPr>
                </w:p>
              </w:tc>
              <w:tc>
                <w:tcPr>
                  <w:tcW w:w="935" w:type="dxa"/>
                  <w:vAlign w:val="center"/>
                </w:tcPr>
                <w:p>
                  <w:pPr>
                    <w:jc w:val="center"/>
                    <w:rPr>
                      <w:color w:val="auto"/>
                      <w:szCs w:val="21"/>
                    </w:rPr>
                  </w:pPr>
                  <w:r>
                    <w:rPr>
                      <w:color w:val="auto"/>
                      <w:szCs w:val="21"/>
                    </w:rPr>
                    <w:t>TN</w:t>
                  </w:r>
                </w:p>
              </w:tc>
              <w:tc>
                <w:tcPr>
                  <w:tcW w:w="1023" w:type="dxa"/>
                  <w:vAlign w:val="center"/>
                </w:tcPr>
                <w:p>
                  <w:pPr>
                    <w:jc w:val="center"/>
                    <w:rPr>
                      <w:color w:val="auto"/>
                      <w:szCs w:val="21"/>
                    </w:rPr>
                  </w:pPr>
                  <w:r>
                    <w:rPr>
                      <w:rFonts w:hint="eastAsia"/>
                      <w:color w:val="auto"/>
                      <w:szCs w:val="21"/>
                    </w:rPr>
                    <w:t>50</w:t>
                  </w:r>
                </w:p>
              </w:tc>
              <w:tc>
                <w:tcPr>
                  <w:tcW w:w="884" w:type="dxa"/>
                  <w:vAlign w:val="center"/>
                </w:tcPr>
                <w:p>
                  <w:pPr>
                    <w:jc w:val="center"/>
                    <w:rPr>
                      <w:color w:val="auto"/>
                      <w:szCs w:val="21"/>
                    </w:rPr>
                  </w:pPr>
                  <w:r>
                    <w:rPr>
                      <w:rFonts w:hint="eastAsia"/>
                      <w:color w:val="auto"/>
                      <w:szCs w:val="21"/>
                      <w:lang w:val="en-US" w:eastAsia="zh-CN"/>
                    </w:rPr>
                    <w:t>0.006</w:t>
                  </w:r>
                </w:p>
              </w:tc>
              <w:tc>
                <w:tcPr>
                  <w:tcW w:w="890" w:type="dxa"/>
                  <w:vMerge w:val="continue"/>
                  <w:vAlign w:val="center"/>
                </w:tcPr>
                <w:p>
                  <w:pPr>
                    <w:jc w:val="center"/>
                    <w:rPr>
                      <w:color w:val="auto"/>
                      <w:szCs w:val="21"/>
                    </w:rPr>
                  </w:pPr>
                </w:p>
              </w:tc>
              <w:tc>
                <w:tcPr>
                  <w:tcW w:w="902" w:type="dxa"/>
                  <w:vAlign w:val="center"/>
                </w:tcPr>
                <w:p>
                  <w:pPr>
                    <w:jc w:val="center"/>
                    <w:rPr>
                      <w:color w:val="auto"/>
                      <w:szCs w:val="21"/>
                    </w:rPr>
                  </w:pPr>
                  <w:r>
                    <w:rPr>
                      <w:rFonts w:hint="eastAsia"/>
                      <w:color w:val="auto"/>
                      <w:szCs w:val="21"/>
                    </w:rPr>
                    <w:t>0</w:t>
                  </w:r>
                </w:p>
              </w:tc>
              <w:tc>
                <w:tcPr>
                  <w:tcW w:w="961" w:type="dxa"/>
                  <w:vAlign w:val="center"/>
                </w:tcPr>
                <w:p>
                  <w:pPr>
                    <w:jc w:val="center"/>
                    <w:rPr>
                      <w:color w:val="auto"/>
                      <w:szCs w:val="21"/>
                    </w:rPr>
                  </w:pPr>
                  <w:r>
                    <w:rPr>
                      <w:rFonts w:hint="eastAsia"/>
                      <w:color w:val="auto"/>
                      <w:szCs w:val="21"/>
                    </w:rPr>
                    <w:t>50</w:t>
                  </w:r>
                </w:p>
              </w:tc>
              <w:tc>
                <w:tcPr>
                  <w:tcW w:w="876" w:type="dxa"/>
                  <w:vAlign w:val="center"/>
                </w:tcPr>
                <w:p>
                  <w:pPr>
                    <w:jc w:val="center"/>
                    <w:rPr>
                      <w:color w:val="auto"/>
                      <w:szCs w:val="21"/>
                    </w:rPr>
                  </w:pPr>
                  <w:r>
                    <w:rPr>
                      <w:rFonts w:hint="eastAsia"/>
                      <w:color w:val="auto"/>
                      <w:szCs w:val="21"/>
                      <w:lang w:val="en-US" w:eastAsia="zh-CN"/>
                    </w:rPr>
                    <w:t>0.006</w:t>
                  </w:r>
                </w:p>
              </w:tc>
              <w:tc>
                <w:tcPr>
                  <w:tcW w:w="844" w:type="dxa"/>
                  <w:vAlign w:val="center"/>
                </w:tcPr>
                <w:p>
                  <w:pPr>
                    <w:jc w:val="center"/>
                    <w:rPr>
                      <w:color w:val="auto"/>
                      <w:szCs w:val="21"/>
                    </w:rPr>
                  </w:pPr>
                  <w:r>
                    <w:rPr>
                      <w:rFonts w:hint="eastAsia"/>
                      <w:color w:val="auto"/>
                      <w:szCs w:val="21"/>
                    </w:rPr>
                    <w:t>50</w:t>
                  </w:r>
                </w:p>
              </w:tc>
            </w:tr>
          </w:tbl>
          <w:p>
            <w:pPr>
              <w:jc w:val="center"/>
              <w:rPr>
                <w:b/>
                <w:color w:val="auto"/>
                <w:kern w:val="21"/>
                <w:szCs w:val="21"/>
              </w:rPr>
            </w:pPr>
            <w:r>
              <w:rPr>
                <w:rFonts w:hint="eastAsia"/>
                <w:b/>
                <w:color w:val="auto"/>
                <w:kern w:val="21"/>
                <w:szCs w:val="21"/>
                <w:lang w:val="zh-CN"/>
              </w:rPr>
              <w:t>表</w:t>
            </w:r>
            <w:r>
              <w:rPr>
                <w:rFonts w:hint="eastAsia"/>
                <w:b/>
                <w:color w:val="auto"/>
                <w:kern w:val="21"/>
                <w:szCs w:val="21"/>
              </w:rPr>
              <w:t>5-</w:t>
            </w:r>
            <w:r>
              <w:rPr>
                <w:rFonts w:hint="eastAsia"/>
                <w:b/>
                <w:color w:val="auto"/>
                <w:kern w:val="21"/>
                <w:szCs w:val="21"/>
                <w:lang w:val="en-US" w:eastAsia="zh-CN"/>
              </w:rPr>
              <w:t>18</w:t>
            </w:r>
            <w:r>
              <w:rPr>
                <w:rFonts w:hint="eastAsia"/>
                <w:b/>
                <w:color w:val="auto"/>
                <w:kern w:val="21"/>
                <w:szCs w:val="21"/>
              </w:rPr>
              <w:t xml:space="preserve"> </w:t>
            </w:r>
            <w:r>
              <w:rPr>
                <w:rFonts w:hint="eastAsia"/>
                <w:b/>
                <w:color w:val="auto"/>
                <w:kern w:val="21"/>
                <w:szCs w:val="21"/>
                <w:lang w:val="zh-CN"/>
              </w:rPr>
              <w:t>本项目废水类别、污染物及污染治理设施信息表</w:t>
            </w:r>
          </w:p>
          <w:tbl>
            <w:tblPr>
              <w:tblStyle w:val="57"/>
              <w:tblW w:w="831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03"/>
              <w:gridCol w:w="568"/>
              <w:gridCol w:w="904"/>
              <w:gridCol w:w="762"/>
              <w:gridCol w:w="856"/>
              <w:gridCol w:w="993"/>
              <w:gridCol w:w="758"/>
              <w:gridCol w:w="597"/>
              <w:gridCol w:w="850"/>
              <w:gridCol w:w="910"/>
              <w:gridCol w:w="61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3" w:type="dxa"/>
                  <w:vMerge w:val="restart"/>
                  <w:tcBorders>
                    <w:tl2br w:val="nil"/>
                    <w:tr2bl w:val="nil"/>
                  </w:tcBorders>
                  <w:vAlign w:val="center"/>
                </w:tcPr>
                <w:p>
                  <w:pPr>
                    <w:jc w:val="center"/>
                    <w:rPr>
                      <w:b/>
                      <w:bCs/>
                      <w:color w:val="auto"/>
                      <w:sz w:val="18"/>
                      <w:szCs w:val="18"/>
                    </w:rPr>
                  </w:pPr>
                  <w:r>
                    <w:rPr>
                      <w:rFonts w:hint="eastAsia"/>
                      <w:b/>
                      <w:bCs/>
                      <w:color w:val="auto"/>
                      <w:sz w:val="18"/>
                      <w:szCs w:val="18"/>
                    </w:rPr>
                    <w:t>序号</w:t>
                  </w:r>
                </w:p>
              </w:tc>
              <w:tc>
                <w:tcPr>
                  <w:tcW w:w="568" w:type="dxa"/>
                  <w:vMerge w:val="restart"/>
                  <w:tcBorders>
                    <w:tl2br w:val="nil"/>
                    <w:tr2bl w:val="nil"/>
                  </w:tcBorders>
                  <w:vAlign w:val="center"/>
                </w:tcPr>
                <w:p>
                  <w:pPr>
                    <w:jc w:val="center"/>
                    <w:rPr>
                      <w:b/>
                      <w:bCs/>
                      <w:color w:val="auto"/>
                      <w:sz w:val="18"/>
                      <w:szCs w:val="18"/>
                    </w:rPr>
                  </w:pPr>
                  <w:r>
                    <w:rPr>
                      <w:rFonts w:hint="eastAsia"/>
                      <w:b/>
                      <w:bCs/>
                      <w:color w:val="auto"/>
                      <w:sz w:val="18"/>
                      <w:szCs w:val="18"/>
                    </w:rPr>
                    <w:t>废水类别</w:t>
                  </w:r>
                </w:p>
              </w:tc>
              <w:tc>
                <w:tcPr>
                  <w:tcW w:w="904" w:type="dxa"/>
                  <w:vMerge w:val="restart"/>
                  <w:tcBorders>
                    <w:tl2br w:val="nil"/>
                    <w:tr2bl w:val="nil"/>
                  </w:tcBorders>
                  <w:vAlign w:val="center"/>
                </w:tcPr>
                <w:p>
                  <w:pPr>
                    <w:jc w:val="center"/>
                    <w:rPr>
                      <w:b/>
                      <w:bCs/>
                      <w:color w:val="auto"/>
                      <w:sz w:val="18"/>
                      <w:szCs w:val="18"/>
                    </w:rPr>
                  </w:pPr>
                  <w:r>
                    <w:rPr>
                      <w:rFonts w:hint="eastAsia"/>
                      <w:b/>
                      <w:bCs/>
                      <w:color w:val="auto"/>
                      <w:sz w:val="18"/>
                      <w:szCs w:val="18"/>
                    </w:rPr>
                    <w:t>污染物种类</w:t>
                  </w:r>
                </w:p>
              </w:tc>
              <w:tc>
                <w:tcPr>
                  <w:tcW w:w="762" w:type="dxa"/>
                  <w:vMerge w:val="restart"/>
                  <w:tcBorders>
                    <w:tl2br w:val="nil"/>
                    <w:tr2bl w:val="nil"/>
                  </w:tcBorders>
                  <w:vAlign w:val="center"/>
                </w:tcPr>
                <w:p>
                  <w:pPr>
                    <w:jc w:val="center"/>
                    <w:rPr>
                      <w:b/>
                      <w:bCs/>
                      <w:color w:val="auto"/>
                      <w:sz w:val="18"/>
                      <w:szCs w:val="18"/>
                    </w:rPr>
                  </w:pPr>
                  <w:r>
                    <w:rPr>
                      <w:rFonts w:hint="eastAsia"/>
                      <w:b/>
                      <w:bCs/>
                      <w:color w:val="auto"/>
                      <w:sz w:val="18"/>
                      <w:szCs w:val="18"/>
                    </w:rPr>
                    <w:t>排放去向</w:t>
                  </w:r>
                </w:p>
              </w:tc>
              <w:tc>
                <w:tcPr>
                  <w:tcW w:w="856" w:type="dxa"/>
                  <w:vMerge w:val="restart"/>
                  <w:tcBorders>
                    <w:tl2br w:val="nil"/>
                    <w:tr2bl w:val="nil"/>
                  </w:tcBorders>
                  <w:vAlign w:val="center"/>
                </w:tcPr>
                <w:p>
                  <w:pPr>
                    <w:jc w:val="center"/>
                    <w:rPr>
                      <w:b/>
                      <w:bCs/>
                      <w:color w:val="auto"/>
                      <w:sz w:val="18"/>
                      <w:szCs w:val="18"/>
                    </w:rPr>
                  </w:pPr>
                  <w:r>
                    <w:rPr>
                      <w:rFonts w:hint="eastAsia"/>
                      <w:b/>
                      <w:bCs/>
                      <w:color w:val="auto"/>
                      <w:sz w:val="18"/>
                      <w:szCs w:val="18"/>
                    </w:rPr>
                    <w:t>排放规律</w:t>
                  </w:r>
                </w:p>
              </w:tc>
              <w:tc>
                <w:tcPr>
                  <w:tcW w:w="2348" w:type="dxa"/>
                  <w:gridSpan w:val="3"/>
                  <w:tcBorders>
                    <w:tl2br w:val="nil"/>
                    <w:tr2bl w:val="nil"/>
                  </w:tcBorders>
                  <w:vAlign w:val="center"/>
                </w:tcPr>
                <w:p>
                  <w:pPr>
                    <w:jc w:val="center"/>
                    <w:rPr>
                      <w:b/>
                      <w:bCs/>
                      <w:color w:val="auto"/>
                      <w:sz w:val="18"/>
                      <w:szCs w:val="18"/>
                    </w:rPr>
                  </w:pPr>
                  <w:r>
                    <w:rPr>
                      <w:rFonts w:hint="eastAsia"/>
                      <w:b/>
                      <w:bCs/>
                      <w:color w:val="auto"/>
                      <w:sz w:val="18"/>
                      <w:szCs w:val="18"/>
                    </w:rPr>
                    <w:t>污染治理设施</w:t>
                  </w:r>
                </w:p>
              </w:tc>
              <w:tc>
                <w:tcPr>
                  <w:tcW w:w="850" w:type="dxa"/>
                  <w:vMerge w:val="restart"/>
                  <w:tcBorders>
                    <w:tl2br w:val="nil"/>
                    <w:tr2bl w:val="nil"/>
                  </w:tcBorders>
                  <w:vAlign w:val="center"/>
                </w:tcPr>
                <w:p>
                  <w:pPr>
                    <w:jc w:val="center"/>
                    <w:rPr>
                      <w:b/>
                      <w:bCs/>
                      <w:color w:val="auto"/>
                      <w:sz w:val="18"/>
                      <w:szCs w:val="18"/>
                    </w:rPr>
                  </w:pPr>
                  <w:r>
                    <w:rPr>
                      <w:rFonts w:hint="eastAsia"/>
                      <w:b/>
                      <w:bCs/>
                      <w:color w:val="auto"/>
                      <w:sz w:val="18"/>
                      <w:szCs w:val="18"/>
                    </w:rPr>
                    <w:t>排放口编号</w:t>
                  </w:r>
                </w:p>
              </w:tc>
              <w:tc>
                <w:tcPr>
                  <w:tcW w:w="910" w:type="dxa"/>
                  <w:vMerge w:val="restart"/>
                  <w:tcBorders>
                    <w:tl2br w:val="nil"/>
                    <w:tr2bl w:val="nil"/>
                  </w:tcBorders>
                  <w:vAlign w:val="center"/>
                </w:tcPr>
                <w:p>
                  <w:pPr>
                    <w:jc w:val="center"/>
                    <w:rPr>
                      <w:b/>
                      <w:bCs/>
                      <w:color w:val="auto"/>
                      <w:sz w:val="18"/>
                      <w:szCs w:val="18"/>
                    </w:rPr>
                  </w:pPr>
                  <w:r>
                    <w:rPr>
                      <w:rFonts w:hint="eastAsia"/>
                      <w:b/>
                      <w:bCs/>
                      <w:color w:val="auto"/>
                      <w:sz w:val="18"/>
                      <w:szCs w:val="18"/>
                    </w:rPr>
                    <w:t>排放口设置是否符合要求</w:t>
                  </w:r>
                </w:p>
              </w:tc>
              <w:tc>
                <w:tcPr>
                  <w:tcW w:w="611" w:type="dxa"/>
                  <w:vMerge w:val="restart"/>
                  <w:tcBorders>
                    <w:tl2br w:val="nil"/>
                    <w:tr2bl w:val="nil"/>
                  </w:tcBorders>
                  <w:vAlign w:val="center"/>
                </w:tcPr>
                <w:p>
                  <w:pPr>
                    <w:jc w:val="center"/>
                    <w:rPr>
                      <w:b/>
                      <w:bCs/>
                      <w:color w:val="auto"/>
                      <w:sz w:val="18"/>
                      <w:szCs w:val="18"/>
                    </w:rPr>
                  </w:pPr>
                  <w:r>
                    <w:rPr>
                      <w:rFonts w:hint="eastAsia"/>
                      <w:b/>
                      <w:bCs/>
                      <w:color w:val="auto"/>
                      <w:sz w:val="18"/>
                      <w:szCs w:val="18"/>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3" w:type="dxa"/>
                  <w:vMerge w:val="continue"/>
                  <w:tcBorders>
                    <w:tl2br w:val="nil"/>
                    <w:tr2bl w:val="nil"/>
                  </w:tcBorders>
                  <w:vAlign w:val="center"/>
                </w:tcPr>
                <w:p>
                  <w:pPr>
                    <w:jc w:val="center"/>
                    <w:rPr>
                      <w:color w:val="auto"/>
                      <w:sz w:val="18"/>
                      <w:szCs w:val="18"/>
                    </w:rPr>
                  </w:pPr>
                </w:p>
              </w:tc>
              <w:tc>
                <w:tcPr>
                  <w:tcW w:w="568" w:type="dxa"/>
                  <w:vMerge w:val="continue"/>
                  <w:tcBorders>
                    <w:tl2br w:val="nil"/>
                    <w:tr2bl w:val="nil"/>
                  </w:tcBorders>
                  <w:vAlign w:val="center"/>
                </w:tcPr>
                <w:p>
                  <w:pPr>
                    <w:jc w:val="center"/>
                    <w:rPr>
                      <w:color w:val="auto"/>
                      <w:sz w:val="18"/>
                      <w:szCs w:val="18"/>
                    </w:rPr>
                  </w:pPr>
                </w:p>
              </w:tc>
              <w:tc>
                <w:tcPr>
                  <w:tcW w:w="904" w:type="dxa"/>
                  <w:vMerge w:val="continue"/>
                  <w:tcBorders>
                    <w:tl2br w:val="nil"/>
                    <w:tr2bl w:val="nil"/>
                  </w:tcBorders>
                  <w:vAlign w:val="center"/>
                </w:tcPr>
                <w:p>
                  <w:pPr>
                    <w:jc w:val="center"/>
                    <w:rPr>
                      <w:color w:val="auto"/>
                      <w:sz w:val="18"/>
                      <w:szCs w:val="18"/>
                    </w:rPr>
                  </w:pPr>
                </w:p>
              </w:tc>
              <w:tc>
                <w:tcPr>
                  <w:tcW w:w="762" w:type="dxa"/>
                  <w:vMerge w:val="continue"/>
                  <w:tcBorders>
                    <w:tl2br w:val="nil"/>
                    <w:tr2bl w:val="nil"/>
                  </w:tcBorders>
                  <w:vAlign w:val="center"/>
                </w:tcPr>
                <w:p>
                  <w:pPr>
                    <w:jc w:val="center"/>
                    <w:rPr>
                      <w:color w:val="auto"/>
                      <w:sz w:val="18"/>
                      <w:szCs w:val="18"/>
                    </w:rPr>
                  </w:pPr>
                </w:p>
              </w:tc>
              <w:tc>
                <w:tcPr>
                  <w:tcW w:w="856" w:type="dxa"/>
                  <w:vMerge w:val="continue"/>
                  <w:tcBorders>
                    <w:tl2br w:val="nil"/>
                    <w:tr2bl w:val="nil"/>
                  </w:tcBorders>
                  <w:vAlign w:val="center"/>
                </w:tcPr>
                <w:p>
                  <w:pPr>
                    <w:jc w:val="center"/>
                    <w:rPr>
                      <w:color w:val="auto"/>
                      <w:sz w:val="18"/>
                      <w:szCs w:val="18"/>
                    </w:rPr>
                  </w:pPr>
                </w:p>
              </w:tc>
              <w:tc>
                <w:tcPr>
                  <w:tcW w:w="993" w:type="dxa"/>
                  <w:tcBorders>
                    <w:tl2br w:val="nil"/>
                    <w:tr2bl w:val="nil"/>
                  </w:tcBorders>
                  <w:vAlign w:val="center"/>
                </w:tcPr>
                <w:p>
                  <w:pPr>
                    <w:jc w:val="center"/>
                    <w:rPr>
                      <w:b/>
                      <w:bCs/>
                      <w:color w:val="auto"/>
                      <w:sz w:val="18"/>
                      <w:szCs w:val="18"/>
                    </w:rPr>
                  </w:pPr>
                  <w:r>
                    <w:rPr>
                      <w:rFonts w:hint="eastAsia"/>
                      <w:b/>
                      <w:bCs/>
                      <w:color w:val="auto"/>
                      <w:sz w:val="18"/>
                      <w:szCs w:val="18"/>
                    </w:rPr>
                    <w:t>污染治理设施编号</w:t>
                  </w:r>
                </w:p>
              </w:tc>
              <w:tc>
                <w:tcPr>
                  <w:tcW w:w="758" w:type="dxa"/>
                  <w:tcBorders>
                    <w:tl2br w:val="nil"/>
                    <w:tr2bl w:val="nil"/>
                  </w:tcBorders>
                  <w:vAlign w:val="center"/>
                </w:tcPr>
                <w:p>
                  <w:pPr>
                    <w:jc w:val="center"/>
                    <w:rPr>
                      <w:b/>
                      <w:bCs/>
                      <w:color w:val="auto"/>
                      <w:sz w:val="18"/>
                      <w:szCs w:val="18"/>
                    </w:rPr>
                  </w:pPr>
                  <w:r>
                    <w:rPr>
                      <w:rFonts w:hint="eastAsia"/>
                      <w:b/>
                      <w:bCs/>
                      <w:color w:val="auto"/>
                      <w:sz w:val="18"/>
                      <w:szCs w:val="18"/>
                    </w:rPr>
                    <w:t>污染治理设施名称</w:t>
                  </w:r>
                </w:p>
              </w:tc>
              <w:tc>
                <w:tcPr>
                  <w:tcW w:w="597" w:type="dxa"/>
                  <w:tcBorders>
                    <w:tl2br w:val="nil"/>
                    <w:tr2bl w:val="nil"/>
                  </w:tcBorders>
                  <w:vAlign w:val="center"/>
                </w:tcPr>
                <w:p>
                  <w:pPr>
                    <w:jc w:val="center"/>
                    <w:rPr>
                      <w:b/>
                      <w:bCs/>
                      <w:color w:val="auto"/>
                      <w:sz w:val="18"/>
                      <w:szCs w:val="18"/>
                    </w:rPr>
                  </w:pPr>
                  <w:r>
                    <w:rPr>
                      <w:rFonts w:hint="eastAsia"/>
                      <w:b/>
                      <w:bCs/>
                      <w:color w:val="auto"/>
                      <w:sz w:val="18"/>
                      <w:szCs w:val="18"/>
                    </w:rPr>
                    <w:t>污染治理设施工艺</w:t>
                  </w:r>
                </w:p>
              </w:tc>
              <w:tc>
                <w:tcPr>
                  <w:tcW w:w="850" w:type="dxa"/>
                  <w:vMerge w:val="continue"/>
                  <w:tcBorders>
                    <w:tl2br w:val="nil"/>
                    <w:tr2bl w:val="nil"/>
                  </w:tcBorders>
                  <w:vAlign w:val="center"/>
                </w:tcPr>
                <w:p>
                  <w:pPr>
                    <w:jc w:val="center"/>
                    <w:rPr>
                      <w:color w:val="auto"/>
                      <w:sz w:val="18"/>
                      <w:szCs w:val="18"/>
                    </w:rPr>
                  </w:pPr>
                </w:p>
              </w:tc>
              <w:tc>
                <w:tcPr>
                  <w:tcW w:w="910" w:type="dxa"/>
                  <w:vMerge w:val="continue"/>
                  <w:tcBorders>
                    <w:tl2br w:val="nil"/>
                    <w:tr2bl w:val="nil"/>
                  </w:tcBorders>
                  <w:vAlign w:val="center"/>
                </w:tcPr>
                <w:p>
                  <w:pPr>
                    <w:jc w:val="center"/>
                    <w:rPr>
                      <w:color w:val="auto"/>
                      <w:sz w:val="18"/>
                      <w:szCs w:val="18"/>
                    </w:rPr>
                  </w:pPr>
                </w:p>
              </w:tc>
              <w:tc>
                <w:tcPr>
                  <w:tcW w:w="611" w:type="dxa"/>
                  <w:vMerge w:val="continue"/>
                  <w:tcBorders>
                    <w:tl2br w:val="nil"/>
                    <w:tr2bl w:val="nil"/>
                  </w:tcBorders>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3" w:type="dxa"/>
                  <w:tcBorders>
                    <w:tl2br w:val="nil"/>
                    <w:tr2bl w:val="nil"/>
                  </w:tcBorders>
                  <w:vAlign w:val="center"/>
                </w:tcPr>
                <w:p>
                  <w:pPr>
                    <w:jc w:val="center"/>
                    <w:rPr>
                      <w:color w:val="auto"/>
                      <w:sz w:val="18"/>
                      <w:szCs w:val="18"/>
                    </w:rPr>
                  </w:pPr>
                  <w:r>
                    <w:rPr>
                      <w:rFonts w:hint="eastAsia"/>
                      <w:color w:val="auto"/>
                      <w:sz w:val="18"/>
                      <w:szCs w:val="18"/>
                    </w:rPr>
                    <w:t>1</w:t>
                  </w:r>
                </w:p>
              </w:tc>
              <w:tc>
                <w:tcPr>
                  <w:tcW w:w="568" w:type="dxa"/>
                  <w:tcBorders>
                    <w:tl2br w:val="nil"/>
                    <w:tr2bl w:val="nil"/>
                  </w:tcBorders>
                  <w:vAlign w:val="center"/>
                </w:tcPr>
                <w:p>
                  <w:pPr>
                    <w:jc w:val="center"/>
                    <w:rPr>
                      <w:color w:val="auto"/>
                      <w:sz w:val="18"/>
                      <w:szCs w:val="18"/>
                    </w:rPr>
                  </w:pPr>
                  <w:r>
                    <w:rPr>
                      <w:rFonts w:hint="eastAsia"/>
                      <w:color w:val="auto"/>
                      <w:sz w:val="18"/>
                      <w:szCs w:val="18"/>
                    </w:rPr>
                    <w:t>生活污水</w:t>
                  </w:r>
                </w:p>
              </w:tc>
              <w:tc>
                <w:tcPr>
                  <w:tcW w:w="904" w:type="dxa"/>
                  <w:tcBorders>
                    <w:tl2br w:val="nil"/>
                    <w:tr2bl w:val="nil"/>
                  </w:tcBorders>
                  <w:vAlign w:val="center"/>
                </w:tcPr>
                <w:p>
                  <w:pPr>
                    <w:jc w:val="center"/>
                    <w:rPr>
                      <w:color w:val="auto"/>
                      <w:sz w:val="18"/>
                      <w:szCs w:val="18"/>
                    </w:rPr>
                  </w:pPr>
                  <w:r>
                    <w:rPr>
                      <w:rFonts w:hint="eastAsia"/>
                      <w:color w:val="auto"/>
                      <w:sz w:val="18"/>
                      <w:szCs w:val="18"/>
                    </w:rPr>
                    <w:t>COD、SS、NH</w:t>
                  </w:r>
                  <w:r>
                    <w:rPr>
                      <w:rFonts w:hint="eastAsia"/>
                      <w:color w:val="auto"/>
                      <w:sz w:val="18"/>
                      <w:szCs w:val="18"/>
                      <w:vertAlign w:val="subscript"/>
                    </w:rPr>
                    <w:t>3</w:t>
                  </w:r>
                  <w:r>
                    <w:rPr>
                      <w:rFonts w:hint="eastAsia"/>
                      <w:color w:val="auto"/>
                      <w:sz w:val="18"/>
                      <w:szCs w:val="18"/>
                    </w:rPr>
                    <w:t>-N、</w:t>
                  </w:r>
                  <w:r>
                    <w:rPr>
                      <w:color w:val="auto"/>
                      <w:sz w:val="18"/>
                      <w:szCs w:val="18"/>
                    </w:rPr>
                    <w:t>TP</w:t>
                  </w:r>
                  <w:r>
                    <w:rPr>
                      <w:rFonts w:hint="eastAsia"/>
                      <w:color w:val="auto"/>
                      <w:sz w:val="18"/>
                      <w:szCs w:val="18"/>
                    </w:rPr>
                    <w:t>、TN</w:t>
                  </w:r>
                </w:p>
              </w:tc>
              <w:tc>
                <w:tcPr>
                  <w:tcW w:w="762" w:type="dxa"/>
                  <w:tcBorders>
                    <w:tl2br w:val="nil"/>
                    <w:tr2bl w:val="nil"/>
                  </w:tcBorders>
                  <w:vAlign w:val="center"/>
                </w:tcPr>
                <w:p>
                  <w:pPr>
                    <w:jc w:val="center"/>
                    <w:rPr>
                      <w:color w:val="auto"/>
                      <w:sz w:val="18"/>
                      <w:szCs w:val="18"/>
                    </w:rPr>
                  </w:pPr>
                  <w:r>
                    <w:rPr>
                      <w:rFonts w:hint="eastAsia"/>
                      <w:color w:val="auto"/>
                      <w:sz w:val="18"/>
                      <w:szCs w:val="18"/>
                    </w:rPr>
                    <w:t>金坛区第二污水处理厂</w:t>
                  </w:r>
                </w:p>
              </w:tc>
              <w:tc>
                <w:tcPr>
                  <w:tcW w:w="856" w:type="dxa"/>
                  <w:tcBorders>
                    <w:tl2br w:val="nil"/>
                    <w:tr2bl w:val="nil"/>
                  </w:tcBorders>
                  <w:vAlign w:val="center"/>
                </w:tcPr>
                <w:p>
                  <w:pPr>
                    <w:rPr>
                      <w:color w:val="auto"/>
                      <w:sz w:val="18"/>
                      <w:szCs w:val="18"/>
                    </w:rPr>
                  </w:pPr>
                  <w:r>
                    <w:rPr>
                      <w:rFonts w:hint="eastAsia"/>
                      <w:color w:val="auto"/>
                      <w:sz w:val="18"/>
                      <w:szCs w:val="18"/>
                    </w:rPr>
                    <w:t>间断排放；流量不稳但是有周期性规律</w:t>
                  </w:r>
                </w:p>
              </w:tc>
              <w:tc>
                <w:tcPr>
                  <w:tcW w:w="993" w:type="dxa"/>
                  <w:tcBorders>
                    <w:tl2br w:val="nil"/>
                    <w:tr2bl w:val="nil"/>
                  </w:tcBorders>
                  <w:vAlign w:val="center"/>
                </w:tcPr>
                <w:p>
                  <w:pPr>
                    <w:pStyle w:val="474"/>
                    <w:spacing w:line="240" w:lineRule="auto"/>
                    <w:ind w:firstLine="0" w:firstLineChars="0"/>
                    <w:jc w:val="center"/>
                    <w:rPr>
                      <w:color w:val="auto"/>
                      <w:sz w:val="18"/>
                      <w:szCs w:val="18"/>
                    </w:rPr>
                  </w:pPr>
                  <w:r>
                    <w:rPr>
                      <w:rFonts w:hint="eastAsia"/>
                      <w:color w:val="auto"/>
                      <w:sz w:val="18"/>
                      <w:szCs w:val="24"/>
                    </w:rPr>
                    <w:t>TW001</w:t>
                  </w:r>
                </w:p>
              </w:tc>
              <w:tc>
                <w:tcPr>
                  <w:tcW w:w="758" w:type="dxa"/>
                  <w:tcBorders>
                    <w:tl2br w:val="nil"/>
                    <w:tr2bl w:val="nil"/>
                  </w:tcBorders>
                  <w:vAlign w:val="center"/>
                </w:tcPr>
                <w:p>
                  <w:pPr>
                    <w:pStyle w:val="474"/>
                    <w:spacing w:line="240" w:lineRule="auto"/>
                    <w:ind w:firstLine="0" w:firstLineChars="0"/>
                    <w:jc w:val="center"/>
                    <w:rPr>
                      <w:color w:val="auto"/>
                      <w:sz w:val="18"/>
                      <w:szCs w:val="18"/>
                    </w:rPr>
                  </w:pPr>
                  <w:r>
                    <w:rPr>
                      <w:rFonts w:hint="eastAsia"/>
                      <w:color w:val="auto"/>
                      <w:sz w:val="18"/>
                      <w:szCs w:val="24"/>
                    </w:rPr>
                    <w:t>生活</w:t>
                  </w:r>
                  <w:r>
                    <w:rPr>
                      <w:color w:val="auto"/>
                      <w:sz w:val="18"/>
                      <w:szCs w:val="24"/>
                    </w:rPr>
                    <w:t>污水处理系统</w:t>
                  </w:r>
                </w:p>
              </w:tc>
              <w:tc>
                <w:tcPr>
                  <w:tcW w:w="597" w:type="dxa"/>
                  <w:tcBorders>
                    <w:tl2br w:val="nil"/>
                    <w:tr2bl w:val="nil"/>
                  </w:tcBorders>
                  <w:vAlign w:val="center"/>
                </w:tcPr>
                <w:p>
                  <w:pPr>
                    <w:pStyle w:val="474"/>
                    <w:spacing w:line="240" w:lineRule="auto"/>
                    <w:ind w:firstLine="0" w:firstLineChars="0"/>
                    <w:jc w:val="center"/>
                    <w:rPr>
                      <w:color w:val="auto"/>
                      <w:sz w:val="18"/>
                      <w:szCs w:val="18"/>
                    </w:rPr>
                  </w:pPr>
                  <w:r>
                    <w:rPr>
                      <w:rFonts w:hint="eastAsia"/>
                      <w:color w:val="auto"/>
                      <w:sz w:val="18"/>
                      <w:szCs w:val="24"/>
                    </w:rPr>
                    <w:t>化粪池</w:t>
                  </w:r>
                </w:p>
              </w:tc>
              <w:tc>
                <w:tcPr>
                  <w:tcW w:w="850" w:type="dxa"/>
                  <w:tcBorders>
                    <w:tl2br w:val="nil"/>
                    <w:tr2bl w:val="nil"/>
                  </w:tcBorders>
                  <w:vAlign w:val="center"/>
                </w:tcPr>
                <w:p>
                  <w:pPr>
                    <w:pStyle w:val="474"/>
                    <w:spacing w:line="240" w:lineRule="auto"/>
                    <w:ind w:firstLine="0" w:firstLineChars="0"/>
                    <w:jc w:val="center"/>
                    <w:rPr>
                      <w:color w:val="auto"/>
                      <w:sz w:val="18"/>
                      <w:szCs w:val="18"/>
                    </w:rPr>
                  </w:pPr>
                  <w:r>
                    <w:rPr>
                      <w:rFonts w:hint="eastAsia"/>
                      <w:color w:val="auto"/>
                      <w:sz w:val="18"/>
                      <w:szCs w:val="24"/>
                    </w:rPr>
                    <w:t>D</w:t>
                  </w:r>
                  <w:r>
                    <w:rPr>
                      <w:color w:val="auto"/>
                      <w:sz w:val="18"/>
                      <w:szCs w:val="24"/>
                    </w:rPr>
                    <w:t>W</w:t>
                  </w:r>
                  <w:r>
                    <w:rPr>
                      <w:rFonts w:hint="eastAsia"/>
                      <w:color w:val="auto"/>
                      <w:sz w:val="18"/>
                      <w:szCs w:val="24"/>
                    </w:rPr>
                    <w:t>001</w:t>
                  </w:r>
                </w:p>
              </w:tc>
              <w:tc>
                <w:tcPr>
                  <w:tcW w:w="910" w:type="dxa"/>
                  <w:tcBorders>
                    <w:tl2br w:val="nil"/>
                    <w:tr2bl w:val="nil"/>
                  </w:tcBorders>
                  <w:vAlign w:val="center"/>
                </w:tcPr>
                <w:p>
                  <w:pPr>
                    <w:jc w:val="center"/>
                    <w:rPr>
                      <w:color w:val="auto"/>
                      <w:sz w:val="18"/>
                      <w:szCs w:val="18"/>
                    </w:rPr>
                  </w:pPr>
                  <w:r>
                    <w:rPr>
                      <w:rFonts w:hint="eastAsia"/>
                      <w:color w:val="auto"/>
                      <w:sz w:val="18"/>
                      <w:szCs w:val="18"/>
                    </w:rPr>
                    <w:t>是</w:t>
                  </w:r>
                </w:p>
              </w:tc>
              <w:tc>
                <w:tcPr>
                  <w:tcW w:w="611" w:type="dxa"/>
                  <w:tcBorders>
                    <w:tl2br w:val="nil"/>
                    <w:tr2bl w:val="nil"/>
                  </w:tcBorders>
                  <w:vAlign w:val="center"/>
                </w:tcPr>
                <w:p>
                  <w:pPr>
                    <w:jc w:val="center"/>
                    <w:rPr>
                      <w:color w:val="auto"/>
                      <w:sz w:val="18"/>
                      <w:szCs w:val="18"/>
                    </w:rPr>
                  </w:pPr>
                  <w:r>
                    <w:rPr>
                      <w:rFonts w:hint="eastAsia"/>
                      <w:color w:val="auto"/>
                      <w:sz w:val="18"/>
                      <w:szCs w:val="18"/>
                    </w:rPr>
                    <w:t>污水排放口</w:t>
                  </w:r>
                </w:p>
              </w:tc>
            </w:tr>
          </w:tbl>
          <w:p>
            <w:pPr>
              <w:spacing w:line="360" w:lineRule="auto"/>
              <w:ind w:firstLine="480" w:firstLineChars="200"/>
              <w:rPr>
                <w:b/>
                <w:color w:val="auto"/>
                <w:sz w:val="24"/>
                <w:szCs w:val="24"/>
              </w:rPr>
            </w:pPr>
            <w:r>
              <w:rPr>
                <w:b/>
                <w:color w:val="auto"/>
                <w:sz w:val="24"/>
                <w:szCs w:val="24"/>
              </w:rPr>
              <w:t>3、噪声</w:t>
            </w:r>
          </w:p>
          <w:p>
            <w:pPr>
              <w:spacing w:line="360" w:lineRule="auto"/>
              <w:ind w:firstLine="465"/>
              <w:jc w:val="left"/>
              <w:rPr>
                <w:color w:val="auto"/>
                <w:sz w:val="24"/>
                <w:szCs w:val="24"/>
              </w:rPr>
            </w:pPr>
            <w:r>
              <w:rPr>
                <w:color w:val="auto"/>
                <w:sz w:val="24"/>
                <w:szCs w:val="24"/>
              </w:rPr>
              <w:t>本项目</w:t>
            </w:r>
            <w:r>
              <w:rPr>
                <w:rFonts w:hint="eastAsia"/>
                <w:color w:val="auto"/>
                <w:sz w:val="24"/>
                <w:szCs w:val="24"/>
              </w:rPr>
              <w:t>主要</w:t>
            </w:r>
            <w:r>
              <w:rPr>
                <w:color w:val="auto"/>
                <w:sz w:val="24"/>
                <w:szCs w:val="24"/>
              </w:rPr>
              <w:t>噪声源</w:t>
            </w:r>
            <w:r>
              <w:rPr>
                <w:rFonts w:hint="eastAsia"/>
                <w:color w:val="auto"/>
                <w:sz w:val="24"/>
                <w:szCs w:val="24"/>
              </w:rPr>
              <w:t>为</w:t>
            </w:r>
            <w:r>
              <w:rPr>
                <w:rFonts w:hint="eastAsia"/>
                <w:color w:val="auto"/>
                <w:sz w:val="24"/>
                <w:szCs w:val="24"/>
                <w:lang w:val="en-US" w:eastAsia="zh-CN"/>
              </w:rPr>
              <w:t>镗铣床、摇臂钻、喷砂室、抛丸室、喷漆房、风机、空压机组、水泵</w:t>
            </w:r>
            <w:r>
              <w:rPr>
                <w:rFonts w:hint="eastAsia"/>
                <w:color w:val="auto"/>
                <w:sz w:val="24"/>
                <w:szCs w:val="24"/>
              </w:rPr>
              <w:t>等设备的</w:t>
            </w:r>
            <w:r>
              <w:rPr>
                <w:color w:val="auto"/>
                <w:sz w:val="24"/>
                <w:szCs w:val="24"/>
              </w:rPr>
              <w:t>运行噪声，单台设备噪声源强为</w:t>
            </w:r>
            <w:r>
              <w:rPr>
                <w:rFonts w:hint="eastAsia"/>
                <w:color w:val="auto"/>
                <w:sz w:val="24"/>
                <w:szCs w:val="24"/>
                <w:lang w:val="en-US" w:eastAsia="zh-CN"/>
              </w:rPr>
              <w:t>80-95</w:t>
            </w:r>
            <w:r>
              <w:rPr>
                <w:color w:val="auto"/>
                <w:sz w:val="24"/>
                <w:szCs w:val="24"/>
              </w:rPr>
              <w:t>dB（A），</w:t>
            </w:r>
            <w:r>
              <w:rPr>
                <w:rFonts w:hint="eastAsia"/>
                <w:color w:val="auto"/>
                <w:sz w:val="24"/>
                <w:szCs w:val="24"/>
              </w:rPr>
              <w:t>本项目主要高噪声设备</w:t>
            </w:r>
            <w:r>
              <w:rPr>
                <w:color w:val="auto"/>
                <w:sz w:val="24"/>
                <w:szCs w:val="24"/>
              </w:rPr>
              <w:t>详见下表。</w:t>
            </w:r>
          </w:p>
          <w:p>
            <w:pPr>
              <w:jc w:val="center"/>
              <w:rPr>
                <w:color w:val="auto"/>
              </w:rPr>
            </w:pPr>
            <w:r>
              <w:rPr>
                <w:b/>
                <w:color w:val="auto"/>
                <w:kern w:val="21"/>
                <w:szCs w:val="21"/>
                <w:lang w:val="zh-CN"/>
              </w:rPr>
              <w:t>表5-</w:t>
            </w:r>
            <w:r>
              <w:rPr>
                <w:rFonts w:hint="eastAsia"/>
                <w:b/>
                <w:color w:val="auto"/>
                <w:kern w:val="21"/>
                <w:szCs w:val="21"/>
                <w:lang w:val="en-US" w:eastAsia="zh-CN"/>
              </w:rPr>
              <w:t>19</w:t>
            </w:r>
            <w:r>
              <w:rPr>
                <w:b/>
                <w:color w:val="auto"/>
                <w:kern w:val="21"/>
                <w:szCs w:val="21"/>
                <w:lang w:val="zh-CN"/>
              </w:rPr>
              <w:t xml:space="preserve">  噪声源情况一览表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737"/>
              <w:gridCol w:w="1178"/>
              <w:gridCol w:w="1275"/>
              <w:gridCol w:w="1635"/>
              <w:gridCol w:w="248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737" w:type="dxa"/>
                  <w:tcBorders>
                    <w:tl2br w:val="nil"/>
                    <w:tr2bl w:val="nil"/>
                  </w:tcBorders>
                  <w:vAlign w:val="center"/>
                </w:tcPr>
                <w:p>
                  <w:pPr>
                    <w:pStyle w:val="174"/>
                    <w:spacing w:line="240" w:lineRule="auto"/>
                    <w:jc w:val="center"/>
                    <w:rPr>
                      <w:rFonts w:eastAsiaTheme="minorEastAsia"/>
                      <w:b/>
                      <w:bCs/>
                      <w:color w:val="auto"/>
                      <w:szCs w:val="21"/>
                    </w:rPr>
                  </w:pPr>
                  <w:r>
                    <w:rPr>
                      <w:rFonts w:eastAsiaTheme="minorEastAsia"/>
                      <w:b/>
                      <w:bCs/>
                      <w:color w:val="auto"/>
                      <w:szCs w:val="21"/>
                    </w:rPr>
                    <w:t>设备名称</w:t>
                  </w:r>
                </w:p>
              </w:tc>
              <w:tc>
                <w:tcPr>
                  <w:tcW w:w="1178" w:type="dxa"/>
                  <w:tcBorders>
                    <w:tl2br w:val="nil"/>
                    <w:tr2bl w:val="nil"/>
                  </w:tcBorders>
                  <w:vAlign w:val="center"/>
                </w:tcPr>
                <w:p>
                  <w:pPr>
                    <w:pStyle w:val="174"/>
                    <w:spacing w:line="240" w:lineRule="auto"/>
                    <w:jc w:val="center"/>
                    <w:rPr>
                      <w:rFonts w:eastAsiaTheme="minorEastAsia"/>
                      <w:b/>
                      <w:bCs/>
                      <w:color w:val="auto"/>
                      <w:szCs w:val="21"/>
                    </w:rPr>
                  </w:pPr>
                  <w:r>
                    <w:rPr>
                      <w:rFonts w:eastAsiaTheme="minorEastAsia"/>
                      <w:b/>
                      <w:bCs/>
                      <w:color w:val="auto"/>
                      <w:szCs w:val="21"/>
                    </w:rPr>
                    <w:t>所在位置</w:t>
                  </w:r>
                </w:p>
              </w:tc>
              <w:tc>
                <w:tcPr>
                  <w:tcW w:w="1275" w:type="dxa"/>
                  <w:tcBorders>
                    <w:tl2br w:val="nil"/>
                    <w:tr2bl w:val="nil"/>
                  </w:tcBorders>
                  <w:vAlign w:val="center"/>
                </w:tcPr>
                <w:p>
                  <w:pPr>
                    <w:pStyle w:val="174"/>
                    <w:spacing w:line="240" w:lineRule="auto"/>
                    <w:jc w:val="center"/>
                    <w:rPr>
                      <w:rFonts w:eastAsiaTheme="minorEastAsia"/>
                      <w:b/>
                      <w:bCs/>
                      <w:color w:val="auto"/>
                      <w:szCs w:val="21"/>
                    </w:rPr>
                  </w:pPr>
                  <w:r>
                    <w:rPr>
                      <w:rFonts w:eastAsiaTheme="minorEastAsia"/>
                      <w:b/>
                      <w:bCs/>
                      <w:color w:val="auto"/>
                      <w:szCs w:val="21"/>
                    </w:rPr>
                    <w:t>源强dB(A）</w:t>
                  </w:r>
                </w:p>
              </w:tc>
              <w:tc>
                <w:tcPr>
                  <w:tcW w:w="1635" w:type="dxa"/>
                  <w:tcBorders>
                    <w:tl2br w:val="nil"/>
                    <w:tr2bl w:val="nil"/>
                  </w:tcBorders>
                  <w:vAlign w:val="center"/>
                </w:tcPr>
                <w:p>
                  <w:pPr>
                    <w:jc w:val="center"/>
                    <w:rPr>
                      <w:rFonts w:eastAsiaTheme="minorEastAsia"/>
                      <w:b/>
                      <w:bCs/>
                      <w:color w:val="auto"/>
                      <w:kern w:val="0"/>
                      <w:szCs w:val="21"/>
                    </w:rPr>
                  </w:pPr>
                  <w:r>
                    <w:rPr>
                      <w:rFonts w:eastAsiaTheme="minorEastAsia"/>
                      <w:b/>
                      <w:bCs/>
                      <w:color w:val="auto"/>
                      <w:kern w:val="0"/>
                      <w:szCs w:val="21"/>
                    </w:rPr>
                    <w:t>数量（台/套）</w:t>
                  </w:r>
                </w:p>
              </w:tc>
              <w:tc>
                <w:tcPr>
                  <w:tcW w:w="2487" w:type="dxa"/>
                  <w:vAlign w:val="center"/>
                </w:tcPr>
                <w:p>
                  <w:pPr>
                    <w:adjustRightInd w:val="0"/>
                    <w:jc w:val="center"/>
                    <w:rPr>
                      <w:rFonts w:eastAsiaTheme="minorEastAsia"/>
                      <w:color w:val="auto"/>
                      <w:szCs w:val="21"/>
                    </w:rPr>
                  </w:pPr>
                  <w:r>
                    <w:rPr>
                      <w:rFonts w:eastAsiaTheme="minorEastAsia"/>
                      <w:b/>
                      <w:bCs/>
                      <w:color w:val="auto"/>
                      <w:szCs w:val="21"/>
                    </w:rPr>
                    <w:t>降噪措施</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数控龙门镗铣床</w:t>
                  </w:r>
                </w:p>
              </w:tc>
              <w:tc>
                <w:tcPr>
                  <w:tcW w:w="1178" w:type="dxa"/>
                  <w:tcBorders>
                    <w:tl2br w:val="nil"/>
                    <w:tr2bl w:val="nil"/>
                  </w:tcBorders>
                  <w:vAlign w:val="center"/>
                </w:tcPr>
                <w:p>
                  <w:pPr>
                    <w:jc w:val="center"/>
                    <w:rPr>
                      <w:rFonts w:eastAsiaTheme="minorEastAsia"/>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95</w:t>
                  </w:r>
                </w:p>
              </w:tc>
              <w:tc>
                <w:tcPr>
                  <w:tcW w:w="1635" w:type="dxa"/>
                  <w:tcBorders>
                    <w:tl2br w:val="nil"/>
                    <w:tr2bl w:val="nil"/>
                  </w:tcBorders>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bCs/>
                      <w:snapToGrid w:val="0"/>
                      <w:color w:val="auto"/>
                      <w:kern w:val="0"/>
                      <w:szCs w:val="21"/>
                      <w:lang w:val="en-US" w:eastAsia="zh-CN"/>
                    </w:rPr>
                    <w:t>3</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摇臂钻</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eastAsiaTheme="minorEastAsia"/>
                      <w:color w:val="auto"/>
                      <w:szCs w:val="21"/>
                    </w:rPr>
                  </w:pPr>
                  <w:r>
                    <w:rPr>
                      <w:rFonts w:hint="eastAsia" w:eastAsiaTheme="minorEastAsia"/>
                      <w:color w:val="auto"/>
                      <w:szCs w:val="21"/>
                      <w:lang w:val="en-US" w:eastAsia="zh-CN"/>
                    </w:rPr>
                    <w:t>95</w:t>
                  </w:r>
                </w:p>
              </w:tc>
              <w:tc>
                <w:tcPr>
                  <w:tcW w:w="1635"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bCs/>
                      <w:snapToGrid w:val="0"/>
                      <w:color w:val="auto"/>
                      <w:kern w:val="0"/>
                      <w:szCs w:val="21"/>
                      <w:lang w:val="en-US" w:eastAsia="zh-CN"/>
                    </w:rPr>
                    <w:t>2</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喷砂</w:t>
                  </w:r>
                  <w:r>
                    <w:rPr>
                      <w:rFonts w:hint="eastAsia"/>
                      <w:color w:val="auto"/>
                      <w:szCs w:val="21"/>
                      <w:lang w:val="en-US" w:eastAsia="zh-CN"/>
                    </w:rPr>
                    <w:t>机</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90</w:t>
                  </w:r>
                </w:p>
              </w:tc>
              <w:tc>
                <w:tcPr>
                  <w:tcW w:w="1635"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SA"/>
                    </w:rPr>
                  </w:pPr>
                  <w:r>
                    <w:rPr>
                      <w:rFonts w:hint="eastAsia"/>
                      <w:bCs/>
                      <w:snapToGrid w:val="0"/>
                      <w:color w:val="auto"/>
                      <w:kern w:val="0"/>
                      <w:szCs w:val="21"/>
                      <w:lang w:val="en-US" w:eastAsia="zh-CN"/>
                    </w:rPr>
                    <w:t>1</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抛丸机</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90</w:t>
                  </w:r>
                </w:p>
              </w:tc>
              <w:tc>
                <w:tcPr>
                  <w:tcW w:w="1635"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SA"/>
                    </w:rPr>
                  </w:pPr>
                  <w:r>
                    <w:rPr>
                      <w:rFonts w:hint="eastAsia"/>
                      <w:bCs/>
                      <w:snapToGrid w:val="0"/>
                      <w:color w:val="auto"/>
                      <w:kern w:val="0"/>
                      <w:szCs w:val="21"/>
                      <w:lang w:val="en-US" w:eastAsia="zh-CN"/>
                    </w:rPr>
                    <w:t>1</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喷锌机</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85</w:t>
                  </w:r>
                </w:p>
              </w:tc>
              <w:tc>
                <w:tcPr>
                  <w:tcW w:w="1635" w:type="dxa"/>
                  <w:tcBorders>
                    <w:tl2br w:val="nil"/>
                    <w:tr2bl w:val="nil"/>
                  </w:tcBorders>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SA"/>
                    </w:rPr>
                  </w:pPr>
                  <w:r>
                    <w:rPr>
                      <w:rFonts w:hint="eastAsia"/>
                      <w:bCs/>
                      <w:snapToGrid w:val="0"/>
                      <w:color w:val="auto"/>
                      <w:kern w:val="0"/>
                      <w:szCs w:val="21"/>
                      <w:lang w:val="en-US" w:eastAsia="zh-CN"/>
                    </w:rPr>
                    <w:t>1</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color w:val="auto"/>
                      <w:szCs w:val="21"/>
                    </w:rPr>
                  </w:pPr>
                  <w:r>
                    <w:rPr>
                      <w:rFonts w:hint="eastAsia" w:cs="Times New Roman"/>
                      <w:color w:val="auto"/>
                      <w:kern w:val="2"/>
                      <w:sz w:val="21"/>
                      <w:szCs w:val="21"/>
                      <w:lang w:val="en-US" w:eastAsia="zh-CN" w:bidi="ar-SA"/>
                    </w:rPr>
                    <w:t>喷枪</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80</w:t>
                  </w:r>
                </w:p>
              </w:tc>
              <w:tc>
                <w:tcPr>
                  <w:tcW w:w="1635" w:type="dxa"/>
                  <w:tcBorders>
                    <w:tl2br w:val="nil"/>
                    <w:tr2bl w:val="nil"/>
                  </w:tcBorders>
                  <w:vAlign w:val="center"/>
                </w:tcPr>
                <w:p>
                  <w:pPr>
                    <w:widowControl/>
                    <w:jc w:val="center"/>
                    <w:textAlignment w:val="center"/>
                    <w:rPr>
                      <w:rFonts w:hint="eastAsia" w:eastAsiaTheme="minorEastAsia"/>
                      <w:color w:val="auto"/>
                      <w:szCs w:val="21"/>
                      <w:lang w:val="en-US" w:eastAsia="zh-CN"/>
                    </w:rPr>
                  </w:pPr>
                  <w:r>
                    <w:rPr>
                      <w:rFonts w:hint="eastAsia"/>
                      <w:bCs/>
                      <w:snapToGrid w:val="0"/>
                      <w:color w:val="auto"/>
                      <w:kern w:val="0"/>
                      <w:szCs w:val="21"/>
                      <w:lang w:val="en-US" w:eastAsia="zh-CN"/>
                    </w:rPr>
                    <w:t>4</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eastAsia" w:eastAsia="宋体"/>
                      <w:color w:val="auto"/>
                      <w:szCs w:val="21"/>
                      <w:lang w:val="en-US" w:eastAsia="zh-CN"/>
                    </w:rPr>
                  </w:pPr>
                  <w:r>
                    <w:rPr>
                      <w:rFonts w:hint="eastAsia"/>
                      <w:color w:val="auto"/>
                      <w:szCs w:val="21"/>
                      <w:lang w:val="en-US" w:eastAsia="zh-CN"/>
                    </w:rPr>
                    <w:t>空压机组</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90</w:t>
                  </w:r>
                </w:p>
              </w:tc>
              <w:tc>
                <w:tcPr>
                  <w:tcW w:w="1635" w:type="dxa"/>
                  <w:tcBorders>
                    <w:tl2br w:val="nil"/>
                    <w:tr2bl w:val="nil"/>
                  </w:tcBorders>
                  <w:vAlign w:val="center"/>
                </w:tcPr>
                <w:p>
                  <w:pPr>
                    <w:widowControl/>
                    <w:jc w:val="center"/>
                    <w:textAlignment w:val="center"/>
                    <w:rPr>
                      <w:rFonts w:hint="eastAsia" w:eastAsia="宋体"/>
                      <w:color w:val="auto"/>
                      <w:szCs w:val="21"/>
                      <w:lang w:val="en-US" w:eastAsia="zh-CN"/>
                    </w:rPr>
                  </w:pPr>
                  <w:r>
                    <w:rPr>
                      <w:rFonts w:hint="eastAsia"/>
                      <w:bCs/>
                      <w:snapToGrid w:val="0"/>
                      <w:color w:val="auto"/>
                      <w:kern w:val="0"/>
                      <w:szCs w:val="21"/>
                      <w:lang w:val="en-US" w:eastAsia="zh-CN"/>
                    </w:rPr>
                    <w:t>1</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737" w:type="dxa"/>
                  <w:tcBorders>
                    <w:tl2br w:val="nil"/>
                    <w:tr2bl w:val="nil"/>
                  </w:tcBorders>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风机</w:t>
                  </w:r>
                </w:p>
              </w:tc>
              <w:tc>
                <w:tcPr>
                  <w:tcW w:w="1178" w:type="dxa"/>
                  <w:tcBorders>
                    <w:tl2br w:val="nil"/>
                    <w:tr2bl w:val="nil"/>
                  </w:tcBorders>
                  <w:vAlign w:val="center"/>
                </w:tcPr>
                <w:p>
                  <w:pPr>
                    <w:widowControl/>
                    <w:jc w:val="center"/>
                    <w:textAlignment w:val="center"/>
                    <w:rPr>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90</w:t>
                  </w:r>
                </w:p>
              </w:tc>
              <w:tc>
                <w:tcPr>
                  <w:tcW w:w="1635" w:type="dxa"/>
                  <w:tcBorders>
                    <w:tl2br w:val="nil"/>
                    <w:tr2bl w:val="nil"/>
                  </w:tcBorders>
                  <w:vAlign w:val="center"/>
                </w:tcPr>
                <w:p>
                  <w:pPr>
                    <w:widowControl/>
                    <w:jc w:val="center"/>
                    <w:textAlignment w:val="center"/>
                    <w:rPr>
                      <w:rFonts w:hint="eastAsia" w:eastAsia="宋体"/>
                      <w:color w:val="auto"/>
                      <w:szCs w:val="21"/>
                      <w:lang w:val="en-US" w:eastAsia="zh-CN"/>
                    </w:rPr>
                  </w:pPr>
                  <w:r>
                    <w:rPr>
                      <w:rFonts w:hint="eastAsia"/>
                      <w:bCs/>
                      <w:snapToGrid w:val="0"/>
                      <w:color w:val="auto"/>
                      <w:kern w:val="0"/>
                      <w:szCs w:val="21"/>
                      <w:lang w:val="en-US" w:eastAsia="zh-CN"/>
                    </w:rPr>
                    <w:t>10</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125" w:hRule="atLeast"/>
                <w:jc w:val="center"/>
              </w:trPr>
              <w:tc>
                <w:tcPr>
                  <w:tcW w:w="1737" w:type="dxa"/>
                  <w:tcBorders>
                    <w:tl2br w:val="nil"/>
                    <w:tr2bl w:val="nil"/>
                  </w:tcBorders>
                  <w:vAlign w:val="center"/>
                </w:tcPr>
                <w:p>
                  <w:pPr>
                    <w:widowControl/>
                    <w:jc w:val="center"/>
                    <w:textAlignment w:val="center"/>
                    <w:rPr>
                      <w:rFonts w:hint="eastAsia" w:eastAsia="宋体"/>
                      <w:color w:val="auto"/>
                      <w:szCs w:val="21"/>
                      <w:lang w:val="en-US" w:eastAsia="zh-CN"/>
                    </w:rPr>
                  </w:pPr>
                  <w:r>
                    <w:rPr>
                      <w:rFonts w:hint="eastAsia"/>
                      <w:bCs/>
                      <w:snapToGrid w:val="0"/>
                      <w:color w:val="auto"/>
                      <w:kern w:val="0"/>
                      <w:szCs w:val="21"/>
                      <w:lang w:val="en-US" w:eastAsia="zh-CN"/>
                    </w:rPr>
                    <w:t>水泵</w:t>
                  </w:r>
                </w:p>
              </w:tc>
              <w:tc>
                <w:tcPr>
                  <w:tcW w:w="1178" w:type="dxa"/>
                  <w:tcBorders>
                    <w:tl2br w:val="nil"/>
                    <w:tr2bl w:val="nil"/>
                  </w:tcBorders>
                  <w:vAlign w:val="center"/>
                </w:tcPr>
                <w:p>
                  <w:pPr>
                    <w:jc w:val="center"/>
                    <w:rPr>
                      <w:rFonts w:eastAsiaTheme="minorEastAsia"/>
                      <w:color w:val="auto"/>
                      <w:szCs w:val="21"/>
                    </w:rPr>
                  </w:pPr>
                  <w:r>
                    <w:rPr>
                      <w:rFonts w:hint="eastAsia" w:eastAsiaTheme="minorEastAsia"/>
                      <w:color w:val="auto"/>
                      <w:szCs w:val="21"/>
                    </w:rPr>
                    <w:t>车间内</w:t>
                  </w:r>
                </w:p>
              </w:tc>
              <w:tc>
                <w:tcPr>
                  <w:tcW w:w="1275" w:type="dxa"/>
                  <w:tcBorders>
                    <w:tl2br w:val="nil"/>
                    <w:tr2bl w:val="nil"/>
                  </w:tcBorders>
                  <w:vAlign w:val="center"/>
                </w:tcPr>
                <w:p>
                  <w:pPr>
                    <w:pStyle w:val="174"/>
                    <w:spacing w:line="240" w:lineRule="auto"/>
                    <w:jc w:val="center"/>
                    <w:rPr>
                      <w:rFonts w:hint="default" w:eastAsiaTheme="minorEastAsia"/>
                      <w:color w:val="auto"/>
                      <w:szCs w:val="21"/>
                      <w:lang w:val="en-US" w:eastAsia="zh-CN"/>
                    </w:rPr>
                  </w:pPr>
                  <w:r>
                    <w:rPr>
                      <w:rFonts w:hint="eastAsia" w:eastAsiaTheme="minorEastAsia"/>
                      <w:color w:val="auto"/>
                      <w:szCs w:val="21"/>
                      <w:lang w:val="en-US" w:eastAsia="zh-CN"/>
                    </w:rPr>
                    <w:t>95</w:t>
                  </w:r>
                </w:p>
              </w:tc>
              <w:tc>
                <w:tcPr>
                  <w:tcW w:w="1635" w:type="dxa"/>
                  <w:tcBorders>
                    <w:tl2br w:val="nil"/>
                    <w:tr2bl w:val="nil"/>
                  </w:tcBorders>
                  <w:vAlign w:val="center"/>
                </w:tcPr>
                <w:p>
                  <w:pPr>
                    <w:widowControl/>
                    <w:jc w:val="center"/>
                    <w:textAlignment w:val="center"/>
                    <w:rPr>
                      <w:rFonts w:hint="eastAsia" w:eastAsiaTheme="minorEastAsia"/>
                      <w:color w:val="auto"/>
                      <w:szCs w:val="21"/>
                      <w:lang w:val="en-US" w:eastAsia="zh-CN"/>
                    </w:rPr>
                  </w:pPr>
                  <w:r>
                    <w:rPr>
                      <w:rFonts w:hint="eastAsia"/>
                      <w:bCs/>
                      <w:snapToGrid w:val="0"/>
                      <w:color w:val="auto"/>
                      <w:kern w:val="0"/>
                      <w:szCs w:val="21"/>
                      <w:lang w:val="en-US" w:eastAsia="zh-CN"/>
                    </w:rPr>
                    <w:t>1</w:t>
                  </w:r>
                </w:p>
              </w:tc>
              <w:tc>
                <w:tcPr>
                  <w:tcW w:w="2487" w:type="dxa"/>
                  <w:vAlign w:val="center"/>
                </w:tcPr>
                <w:p>
                  <w:pPr>
                    <w:jc w:val="center"/>
                    <w:rPr>
                      <w:rFonts w:eastAsiaTheme="minorEastAsia"/>
                      <w:color w:val="auto"/>
                      <w:szCs w:val="21"/>
                    </w:rPr>
                  </w:pPr>
                  <w:r>
                    <w:rPr>
                      <w:rFonts w:eastAsiaTheme="minorEastAsia"/>
                      <w:color w:val="auto"/>
                      <w:szCs w:val="21"/>
                    </w:rPr>
                    <w:t>隔声、减振</w:t>
                  </w:r>
                </w:p>
              </w:tc>
            </w:tr>
          </w:tbl>
          <w:p>
            <w:pPr>
              <w:spacing w:line="360" w:lineRule="auto"/>
              <w:ind w:firstLine="480" w:firstLineChars="200"/>
              <w:rPr>
                <w:color w:val="auto"/>
                <w:sz w:val="24"/>
                <w:szCs w:val="24"/>
              </w:rPr>
            </w:pPr>
            <w:r>
              <w:rPr>
                <w:color w:val="auto"/>
                <w:sz w:val="24"/>
                <w:szCs w:val="24"/>
              </w:rPr>
              <w:t>以上设备噪声值较大，若处理不当，将会对周围声环境造成一定影响。建议项目建设单位采取一定方式对噪声污染进行防治：</w:t>
            </w:r>
          </w:p>
          <w:p>
            <w:pPr>
              <w:spacing w:line="360" w:lineRule="auto"/>
              <w:ind w:firstLine="480" w:firstLineChars="200"/>
              <w:rPr>
                <w:color w:val="auto"/>
                <w:sz w:val="24"/>
                <w:szCs w:val="24"/>
              </w:rPr>
            </w:pPr>
            <w:r>
              <w:rPr>
                <w:rFonts w:hint="eastAsia" w:ascii="宋体" w:cs="宋体"/>
                <w:color w:val="auto"/>
                <w:sz w:val="24"/>
                <w:szCs w:val="24"/>
              </w:rPr>
              <w:t>①</w:t>
            </w:r>
            <w:r>
              <w:rPr>
                <w:color w:val="auto"/>
                <w:sz w:val="24"/>
                <w:szCs w:val="24"/>
              </w:rPr>
              <w:t>尽量选择低噪声和符合国家噪声标准的生产设备，并进行定期检修维护，使其处于良好运行状态；在设备的基础与地面之间安装减振垫，减少机械振动产生的噪声污染。</w:t>
            </w:r>
          </w:p>
          <w:p>
            <w:pPr>
              <w:spacing w:line="360" w:lineRule="auto"/>
              <w:ind w:firstLine="480" w:firstLineChars="200"/>
              <w:rPr>
                <w:color w:val="auto"/>
                <w:sz w:val="24"/>
                <w:szCs w:val="24"/>
              </w:rPr>
            </w:pPr>
            <w:r>
              <w:rPr>
                <w:rFonts w:hint="eastAsia" w:ascii="宋体" w:cs="宋体"/>
                <w:color w:val="auto"/>
                <w:sz w:val="24"/>
                <w:szCs w:val="24"/>
              </w:rPr>
              <w:t>②</w:t>
            </w:r>
            <w:r>
              <w:rPr>
                <w:color w:val="auto"/>
                <w:sz w:val="24"/>
                <w:szCs w:val="24"/>
              </w:rPr>
              <w:t>加强车间的隔音措施，如安装隔声门窗</w:t>
            </w:r>
            <w:r>
              <w:rPr>
                <w:rFonts w:hint="eastAsia"/>
                <w:color w:val="auto"/>
                <w:sz w:val="24"/>
                <w:szCs w:val="24"/>
              </w:rPr>
              <w:t>，</w:t>
            </w:r>
            <w:r>
              <w:rPr>
                <w:color w:val="auto"/>
                <w:sz w:val="24"/>
                <w:szCs w:val="24"/>
              </w:rPr>
              <w:t>尽量少开启门窗。对工人采取适当的劳动保护措施，减小职业伤害。</w:t>
            </w:r>
          </w:p>
          <w:p>
            <w:pPr>
              <w:spacing w:line="360" w:lineRule="auto"/>
              <w:ind w:firstLine="480" w:firstLineChars="200"/>
              <w:rPr>
                <w:color w:val="auto"/>
                <w:sz w:val="24"/>
                <w:szCs w:val="24"/>
              </w:rPr>
            </w:pPr>
            <w:r>
              <w:rPr>
                <w:rFonts w:hint="eastAsia" w:ascii="宋体" w:cs="宋体"/>
                <w:color w:val="auto"/>
                <w:sz w:val="24"/>
                <w:szCs w:val="24"/>
              </w:rPr>
              <w:t>③</w:t>
            </w:r>
            <w:r>
              <w:rPr>
                <w:color w:val="auto"/>
                <w:sz w:val="24"/>
                <w:szCs w:val="24"/>
              </w:rPr>
              <w:t>合理布局，合理布置厂内各功能区的位置及车间内部设备的位置，将高噪声设备尽量安置在厂区中间位置以增加其距离衰减量，减少对周围环境的影响。</w:t>
            </w:r>
          </w:p>
          <w:p>
            <w:pPr>
              <w:spacing w:line="360" w:lineRule="auto"/>
              <w:ind w:firstLine="480" w:firstLineChars="200"/>
              <w:rPr>
                <w:b/>
                <w:color w:val="auto"/>
                <w:sz w:val="24"/>
                <w:szCs w:val="24"/>
              </w:rPr>
            </w:pPr>
            <w:r>
              <w:rPr>
                <w:b/>
                <w:color w:val="auto"/>
                <w:sz w:val="24"/>
                <w:szCs w:val="24"/>
              </w:rPr>
              <w:t>4、固废</w:t>
            </w:r>
          </w:p>
          <w:p>
            <w:pPr>
              <w:spacing w:line="360" w:lineRule="auto"/>
              <w:ind w:firstLine="480" w:firstLineChars="200"/>
              <w:rPr>
                <w:rFonts w:hint="default" w:eastAsia="宋体"/>
                <w:b/>
                <w:color w:val="auto"/>
                <w:sz w:val="24"/>
                <w:szCs w:val="24"/>
                <w:lang w:val="en-US" w:eastAsia="zh-CN"/>
              </w:rPr>
            </w:pPr>
            <w:r>
              <w:rPr>
                <w:rFonts w:hint="eastAsia"/>
                <w:color w:val="auto"/>
                <w:sz w:val="24"/>
                <w:szCs w:val="24"/>
              </w:rPr>
              <w:t>本项目</w:t>
            </w:r>
            <w:r>
              <w:rPr>
                <w:color w:val="auto"/>
                <w:sz w:val="24"/>
                <w:szCs w:val="24"/>
              </w:rPr>
              <w:t>生产运行期产生的固废主要</w:t>
            </w:r>
            <w:r>
              <w:rPr>
                <w:rFonts w:hint="eastAsia"/>
                <w:color w:val="auto"/>
                <w:sz w:val="24"/>
                <w:szCs w:val="24"/>
                <w:lang w:val="en-US" w:eastAsia="zh-CN"/>
              </w:rPr>
              <w:t>为镗铣粗加工工序、打孔工序和精加工工序产生的S1-1废边角料、W1-1废切削液、W1-2废导轨润滑油；清洗</w:t>
            </w:r>
            <w:r>
              <w:rPr>
                <w:rFonts w:hint="eastAsia"/>
                <w:color w:val="auto"/>
                <w:sz w:val="24"/>
                <w:szCs w:val="24"/>
              </w:rPr>
              <w:t>工序产生的</w:t>
            </w:r>
            <w:r>
              <w:rPr>
                <w:rFonts w:hint="eastAsia"/>
                <w:color w:val="auto"/>
                <w:sz w:val="24"/>
                <w:szCs w:val="24"/>
                <w:lang w:val="en-US" w:eastAsia="zh-CN"/>
              </w:rPr>
              <w:t>S1-2废渣；喷砂和抛丸工序产生的S1-3废砂、S1-4废铁丸、S1-5收集的加工粉尘；喷塑工序产生的S2-1废塑粉；喷锌工序产生的S3-1锌颗粒物、废锌丝；喷漆工序产生的S4-1漆渣、S4-2含漆废物；喷枪清洗工序产生的W4-1含漆废液；喷塑、喷漆废气处理工序产生的废活性炭W5-1、废过滤棉W5-2；原料拆封工序产生的废包装桶W5-3、W5-4及员工过程中产生的W5-4废劳保用品（废含油抹布、手套等）和生活垃圾。</w:t>
            </w:r>
          </w:p>
          <w:p>
            <w:pPr>
              <w:spacing w:line="360" w:lineRule="auto"/>
              <w:ind w:firstLine="480" w:firstLineChars="200"/>
              <w:rPr>
                <w:b/>
                <w:color w:val="auto"/>
                <w:sz w:val="24"/>
                <w:szCs w:val="24"/>
              </w:rPr>
            </w:pPr>
            <w:r>
              <w:rPr>
                <w:rFonts w:hint="eastAsia"/>
                <w:b/>
                <w:color w:val="auto"/>
                <w:sz w:val="24"/>
                <w:szCs w:val="24"/>
              </w:rPr>
              <w:t>①一般工业固废</w:t>
            </w:r>
          </w:p>
          <w:p>
            <w:pPr>
              <w:pStyle w:val="21"/>
              <w:spacing w:line="360" w:lineRule="auto"/>
              <w:ind w:firstLine="472" w:firstLineChars="200"/>
              <w:rPr>
                <w:rFonts w:hint="default"/>
                <w:color w:val="auto"/>
                <w:sz w:val="24"/>
                <w:szCs w:val="24"/>
                <w:lang w:val="en-US"/>
              </w:rPr>
            </w:pPr>
            <w:r>
              <w:rPr>
                <w:rFonts w:hint="eastAsia" w:ascii="宋体"/>
                <w:b/>
                <w:color w:val="auto"/>
                <w:spacing w:val="-2"/>
                <w:sz w:val="24"/>
                <w:lang w:val="en-US" w:eastAsia="zh-CN"/>
              </w:rPr>
              <w:t>A、</w:t>
            </w:r>
            <w:r>
              <w:rPr>
                <w:rFonts w:hint="eastAsia" w:ascii="宋体"/>
                <w:b/>
                <w:color w:val="auto"/>
                <w:spacing w:val="-2"/>
                <w:sz w:val="24"/>
              </w:rPr>
              <w:t>废边角料</w:t>
            </w:r>
            <w:r>
              <w:rPr>
                <w:rFonts w:hint="eastAsia"/>
                <w:b/>
                <w:color w:val="auto"/>
                <w:sz w:val="24"/>
                <w:szCs w:val="24"/>
              </w:rPr>
              <w:t>：</w:t>
            </w:r>
            <w:r>
              <w:rPr>
                <w:rFonts w:hint="eastAsia"/>
                <w:color w:val="auto"/>
                <w:sz w:val="24"/>
                <w:szCs w:val="24"/>
                <w:lang w:val="en-US" w:eastAsia="zh-CN"/>
              </w:rPr>
              <w:t>镗铣粗加工工序、打孔工序和精加工工序产生的S1-1废边角料，产生量约为原料用量的0.1%，即15t/a。废边角料经收集后外售；</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eastAsia="宋体"/>
                <w:b w:val="0"/>
                <w:bCs w:val="0"/>
                <w:color w:val="auto"/>
                <w:sz w:val="24"/>
                <w:lang w:val="en-US" w:eastAsia="zh-CN"/>
              </w:rPr>
            </w:pPr>
            <w:r>
              <w:rPr>
                <w:rFonts w:hint="eastAsia"/>
                <w:b/>
                <w:bCs/>
                <w:color w:val="auto"/>
                <w:sz w:val="24"/>
                <w:lang w:val="en-US" w:eastAsia="zh-CN"/>
              </w:rPr>
              <w:t>B、废渣：</w:t>
            </w:r>
            <w:r>
              <w:rPr>
                <w:rFonts w:hint="eastAsia"/>
                <w:b w:val="0"/>
                <w:bCs w:val="0"/>
                <w:color w:val="auto"/>
                <w:sz w:val="24"/>
                <w:lang w:val="en-US" w:eastAsia="zh-CN"/>
              </w:rPr>
              <w:t>清洗工序清洗掉黏附在工件表面的废渣，产生量约10t/a；废渣经收集后外售；</w:t>
            </w:r>
          </w:p>
          <w:p>
            <w:pPr>
              <w:adjustRightInd w:val="0"/>
              <w:snapToGrid w:val="0"/>
              <w:spacing w:line="360" w:lineRule="auto"/>
              <w:ind w:firstLine="480" w:firstLineChars="200"/>
              <w:rPr>
                <w:rFonts w:hint="default"/>
                <w:b w:val="0"/>
                <w:bCs w:val="0"/>
                <w:color w:val="auto"/>
                <w:sz w:val="24"/>
                <w:szCs w:val="22"/>
                <w:lang w:val="en-US" w:eastAsia="zh-CN"/>
              </w:rPr>
            </w:pPr>
            <w:r>
              <w:rPr>
                <w:rFonts w:hint="eastAsia"/>
                <w:b/>
                <w:bCs/>
                <w:color w:val="auto"/>
                <w:sz w:val="24"/>
                <w:lang w:val="en-US" w:eastAsia="zh-CN"/>
              </w:rPr>
              <w:t>C、废砂:</w:t>
            </w:r>
            <w:r>
              <w:rPr>
                <w:rFonts w:hint="eastAsia"/>
                <w:b w:val="0"/>
                <w:bCs w:val="0"/>
                <w:color w:val="auto"/>
                <w:sz w:val="24"/>
                <w:szCs w:val="22"/>
                <w:lang w:val="en-US" w:eastAsia="zh-CN"/>
              </w:rPr>
              <w:t>喷砂工序产生的废砂，产生量约为5t/a，经收集后外售；</w:t>
            </w:r>
          </w:p>
          <w:p>
            <w:pPr>
              <w:adjustRightInd w:val="0"/>
              <w:snapToGrid w:val="0"/>
              <w:spacing w:line="360" w:lineRule="auto"/>
              <w:ind w:firstLine="480" w:firstLineChars="200"/>
              <w:rPr>
                <w:rFonts w:hint="default"/>
                <w:b w:val="0"/>
                <w:bCs w:val="0"/>
                <w:color w:val="auto"/>
                <w:sz w:val="24"/>
                <w:szCs w:val="22"/>
                <w:lang w:val="en-US" w:eastAsia="zh-CN"/>
              </w:rPr>
            </w:pPr>
            <w:r>
              <w:rPr>
                <w:rFonts w:hint="eastAsia"/>
                <w:b/>
                <w:bCs/>
                <w:color w:val="auto"/>
                <w:sz w:val="24"/>
                <w:lang w:val="en-US" w:eastAsia="zh-CN"/>
              </w:rPr>
              <w:t>D、废铁丸：</w:t>
            </w:r>
            <w:r>
              <w:rPr>
                <w:rFonts w:hint="eastAsia"/>
                <w:b w:val="0"/>
                <w:bCs w:val="0"/>
                <w:color w:val="auto"/>
                <w:sz w:val="24"/>
                <w:lang w:val="en-US" w:eastAsia="zh-CN"/>
              </w:rPr>
              <w:t>抛丸</w:t>
            </w:r>
            <w:r>
              <w:rPr>
                <w:rFonts w:hint="eastAsia"/>
                <w:b w:val="0"/>
                <w:bCs w:val="0"/>
                <w:color w:val="auto"/>
                <w:sz w:val="24"/>
                <w:szCs w:val="22"/>
                <w:lang w:val="en-US" w:eastAsia="zh-CN"/>
              </w:rPr>
              <w:t>工序产生的废铁丸，产生量约为5t/a，经收集后外售；</w:t>
            </w:r>
          </w:p>
          <w:p>
            <w:pPr>
              <w:adjustRightInd w:val="0"/>
              <w:snapToGrid w:val="0"/>
              <w:spacing w:line="360" w:lineRule="auto"/>
              <w:ind w:firstLine="480" w:firstLineChars="200"/>
              <w:rPr>
                <w:rFonts w:hint="default"/>
                <w:b w:val="0"/>
                <w:bCs w:val="0"/>
                <w:color w:val="auto"/>
                <w:sz w:val="24"/>
                <w:szCs w:val="22"/>
                <w:lang w:val="en-US" w:eastAsia="zh-CN"/>
              </w:rPr>
            </w:pPr>
            <w:r>
              <w:rPr>
                <w:rFonts w:hint="eastAsia"/>
                <w:b/>
                <w:bCs/>
                <w:color w:val="auto"/>
                <w:sz w:val="24"/>
                <w:lang w:val="en-US" w:eastAsia="zh-CN"/>
              </w:rPr>
              <w:t>E、加工粉尘：</w:t>
            </w:r>
            <w:r>
              <w:rPr>
                <w:rFonts w:hint="eastAsia"/>
                <w:b w:val="0"/>
                <w:bCs w:val="0"/>
                <w:color w:val="auto"/>
                <w:sz w:val="24"/>
                <w:lang w:val="en-US" w:eastAsia="zh-CN"/>
              </w:rPr>
              <w:t>喷砂工序和抛丸工序产生的的布袋捕集的和自然沉降的加工粉尘，产生量约31.84t，</w:t>
            </w:r>
            <w:r>
              <w:rPr>
                <w:rFonts w:hint="eastAsia"/>
                <w:b w:val="0"/>
                <w:bCs w:val="0"/>
                <w:color w:val="auto"/>
                <w:sz w:val="24"/>
                <w:szCs w:val="22"/>
                <w:lang w:val="en-US" w:eastAsia="zh-CN"/>
              </w:rPr>
              <w:t>经收集后外售；</w:t>
            </w:r>
          </w:p>
          <w:p>
            <w:pPr>
              <w:adjustRightInd w:val="0"/>
              <w:snapToGrid w:val="0"/>
              <w:spacing w:line="360" w:lineRule="auto"/>
              <w:ind w:firstLine="480" w:firstLineChars="200"/>
              <w:rPr>
                <w:rFonts w:hint="default" w:eastAsia="宋体"/>
                <w:b/>
                <w:bCs/>
                <w:color w:val="auto"/>
                <w:sz w:val="24"/>
                <w:lang w:val="en-US" w:eastAsia="zh-CN"/>
              </w:rPr>
            </w:pPr>
            <w:r>
              <w:rPr>
                <w:rFonts w:hint="eastAsia"/>
                <w:b/>
                <w:bCs/>
                <w:color w:val="auto"/>
                <w:sz w:val="24"/>
                <w:lang w:val="en-US" w:eastAsia="zh-CN"/>
              </w:rPr>
              <w:t>F、废塑粉:</w:t>
            </w:r>
            <w:r>
              <w:rPr>
                <w:rFonts w:hint="eastAsia"/>
                <w:b w:val="0"/>
                <w:bCs w:val="0"/>
                <w:color w:val="auto"/>
                <w:sz w:val="24"/>
                <w:lang w:val="en-US" w:eastAsia="zh-CN"/>
              </w:rPr>
              <w:t>喷塑工序沉降的废塑粉，产生量约0.109t/a，经收集后外售；</w:t>
            </w:r>
          </w:p>
          <w:p>
            <w:pPr>
              <w:adjustRightInd w:val="0"/>
              <w:snapToGrid w:val="0"/>
              <w:spacing w:line="360" w:lineRule="auto"/>
              <w:ind w:firstLine="480" w:firstLineChars="200"/>
              <w:rPr>
                <w:rFonts w:hint="default" w:eastAsia="宋体"/>
                <w:b/>
                <w:bCs/>
                <w:color w:val="auto"/>
                <w:sz w:val="24"/>
                <w:lang w:val="en-US" w:eastAsia="zh-CN"/>
              </w:rPr>
            </w:pPr>
            <w:r>
              <w:rPr>
                <w:rFonts w:hint="eastAsia"/>
                <w:b/>
                <w:bCs/>
                <w:color w:val="auto"/>
                <w:sz w:val="24"/>
                <w:lang w:val="en-US" w:eastAsia="zh-CN"/>
              </w:rPr>
              <w:t>G、</w:t>
            </w:r>
            <w:r>
              <w:rPr>
                <w:rFonts w:hint="eastAsia"/>
                <w:b/>
                <w:bCs/>
                <w:color w:val="auto"/>
                <w:sz w:val="24"/>
                <w:szCs w:val="24"/>
                <w:lang w:val="en-US" w:eastAsia="zh-CN"/>
              </w:rPr>
              <w:t>锌颗粒物、废锌丝</w:t>
            </w:r>
            <w:r>
              <w:rPr>
                <w:rFonts w:hint="eastAsia"/>
                <w:b/>
                <w:bCs/>
                <w:color w:val="auto"/>
                <w:sz w:val="24"/>
                <w:lang w:val="en-US" w:eastAsia="zh-CN"/>
              </w:rPr>
              <w:t>：</w:t>
            </w:r>
            <w:r>
              <w:rPr>
                <w:rFonts w:hint="eastAsia"/>
                <w:b w:val="0"/>
                <w:bCs w:val="0"/>
                <w:color w:val="auto"/>
                <w:sz w:val="24"/>
                <w:lang w:val="en-US" w:eastAsia="zh-CN"/>
              </w:rPr>
              <w:t>喷锌工序布袋除尘器捕集的和沉降的锌颗粒物，以及锌边角料，产生量约0.31t/a，经收集后外售；</w:t>
            </w:r>
          </w:p>
          <w:p>
            <w:pPr>
              <w:adjustRightInd w:val="0"/>
              <w:snapToGrid w:val="0"/>
              <w:spacing w:line="360" w:lineRule="auto"/>
              <w:ind w:firstLine="480" w:firstLineChars="200"/>
              <w:rPr>
                <w:rFonts w:hint="default"/>
                <w:color w:val="auto"/>
                <w:lang w:val="en-US" w:eastAsia="zh-CN"/>
              </w:rPr>
            </w:pPr>
            <w:r>
              <w:rPr>
                <w:rFonts w:hint="eastAsia"/>
                <w:b/>
                <w:bCs/>
                <w:color w:val="auto"/>
                <w:sz w:val="24"/>
                <w:lang w:val="en-US" w:eastAsia="zh-CN"/>
              </w:rPr>
              <w:t>H、废包装材料：</w:t>
            </w:r>
            <w:r>
              <w:rPr>
                <w:rFonts w:hint="eastAsia"/>
                <w:b w:val="0"/>
                <w:bCs w:val="0"/>
                <w:color w:val="auto"/>
                <w:sz w:val="24"/>
                <w:lang w:val="en-US" w:eastAsia="zh-CN"/>
              </w:rPr>
              <w:t>项目在原料拆封、包装时产生的废包装材料，产生量约0.02t/a，经收集后外售；</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b/>
                <w:bCs/>
                <w:color w:val="auto"/>
                <w:sz w:val="24"/>
              </w:rPr>
            </w:pPr>
            <w:r>
              <w:rPr>
                <w:rFonts w:hint="eastAsia"/>
                <w:b/>
                <w:bCs/>
                <w:color w:val="auto"/>
                <w:sz w:val="24"/>
              </w:rPr>
              <w:t>②危险废物</w:t>
            </w:r>
          </w:p>
          <w:p>
            <w:pPr>
              <w:spacing w:line="360" w:lineRule="auto"/>
              <w:ind w:firstLine="465"/>
              <w:rPr>
                <w:b/>
                <w:color w:val="auto"/>
                <w:sz w:val="24"/>
              </w:rPr>
            </w:pPr>
            <w:r>
              <w:rPr>
                <w:rFonts w:hint="eastAsia"/>
                <w:b/>
                <w:color w:val="auto"/>
                <w:sz w:val="24"/>
              </w:rPr>
              <w:t>A</w:t>
            </w:r>
            <w:r>
              <w:rPr>
                <w:b/>
                <w:color w:val="auto"/>
                <w:sz w:val="24"/>
              </w:rPr>
              <w:t>.</w:t>
            </w:r>
            <w:r>
              <w:rPr>
                <w:rFonts w:hint="eastAsia"/>
                <w:b/>
                <w:color w:val="auto"/>
                <w:sz w:val="24"/>
                <w:lang w:val="en-US" w:eastAsia="zh-CN"/>
              </w:rPr>
              <w:t>废切削液</w:t>
            </w:r>
            <w:r>
              <w:rPr>
                <w:b/>
                <w:color w:val="auto"/>
                <w:sz w:val="24"/>
              </w:rPr>
              <w:t>：</w:t>
            </w:r>
          </w:p>
          <w:p>
            <w:pPr>
              <w:spacing w:line="360" w:lineRule="auto"/>
              <w:ind w:firstLine="465"/>
              <w:rPr>
                <w:color w:val="auto"/>
                <w:sz w:val="24"/>
                <w:szCs w:val="24"/>
              </w:rPr>
            </w:pPr>
            <w:r>
              <w:rPr>
                <w:rFonts w:hint="eastAsia"/>
                <w:color w:val="auto"/>
                <w:sz w:val="24"/>
                <w:szCs w:val="24"/>
              </w:rPr>
              <w:t>本项目切削液用量为</w:t>
            </w:r>
            <w:r>
              <w:rPr>
                <w:rFonts w:hint="eastAsia"/>
                <w:color w:val="auto"/>
                <w:sz w:val="24"/>
                <w:szCs w:val="24"/>
                <w:lang w:val="en-US" w:eastAsia="zh-CN"/>
              </w:rPr>
              <w:t>2</w:t>
            </w:r>
            <w:r>
              <w:rPr>
                <w:color w:val="auto"/>
                <w:sz w:val="24"/>
                <w:szCs w:val="24"/>
              </w:rPr>
              <w:t>t/a，</w:t>
            </w:r>
            <w:r>
              <w:rPr>
                <w:rFonts w:hint="eastAsia"/>
                <w:color w:val="auto"/>
                <w:sz w:val="24"/>
                <w:szCs w:val="24"/>
              </w:rPr>
              <w:t>与水1:</w:t>
            </w:r>
            <w:r>
              <w:rPr>
                <w:rFonts w:hint="eastAsia"/>
                <w:color w:val="auto"/>
                <w:sz w:val="24"/>
                <w:szCs w:val="24"/>
                <w:lang w:val="en-US" w:eastAsia="zh-CN"/>
              </w:rPr>
              <w:t>19</w:t>
            </w:r>
            <w:r>
              <w:rPr>
                <w:rFonts w:hint="eastAsia"/>
                <w:color w:val="auto"/>
                <w:sz w:val="24"/>
                <w:szCs w:val="24"/>
              </w:rPr>
              <w:t>比例稀释后使用，配置用水量为</w:t>
            </w:r>
            <w:r>
              <w:rPr>
                <w:rFonts w:hint="eastAsia"/>
                <w:color w:val="auto"/>
                <w:sz w:val="24"/>
                <w:szCs w:val="24"/>
                <w:lang w:val="en-US" w:eastAsia="zh-CN"/>
              </w:rPr>
              <w:t>38</w:t>
            </w:r>
            <w:r>
              <w:rPr>
                <w:color w:val="auto"/>
                <w:sz w:val="24"/>
                <w:szCs w:val="24"/>
              </w:rPr>
              <w:t>t/a</w:t>
            </w:r>
            <w:r>
              <w:rPr>
                <w:rFonts w:hint="eastAsia"/>
                <w:color w:val="auto"/>
                <w:sz w:val="24"/>
                <w:szCs w:val="24"/>
              </w:rPr>
              <w:t>，切削液循环使用。根据建设单位提供资料，机加工过程中切削液大部分损耗，</w:t>
            </w:r>
            <w:r>
              <w:rPr>
                <w:color w:val="auto"/>
                <w:sz w:val="24"/>
                <w:szCs w:val="24"/>
              </w:rPr>
              <w:t>废</w:t>
            </w:r>
            <w:r>
              <w:rPr>
                <w:rFonts w:hint="eastAsia"/>
                <w:color w:val="auto"/>
                <w:sz w:val="24"/>
                <w:szCs w:val="24"/>
              </w:rPr>
              <w:t>切削液</w:t>
            </w:r>
            <w:r>
              <w:rPr>
                <w:color w:val="auto"/>
                <w:sz w:val="24"/>
                <w:szCs w:val="24"/>
              </w:rPr>
              <w:t>产生量约为</w:t>
            </w:r>
            <w:r>
              <w:rPr>
                <w:rFonts w:hint="eastAsia"/>
                <w:color w:val="auto"/>
                <w:sz w:val="24"/>
                <w:szCs w:val="24"/>
              </w:rPr>
              <w:t>1</w:t>
            </w:r>
            <w:r>
              <w:rPr>
                <w:rFonts w:hint="eastAsia"/>
                <w:color w:val="auto"/>
                <w:sz w:val="24"/>
                <w:szCs w:val="24"/>
                <w:lang w:val="en-US" w:eastAsia="zh-CN"/>
              </w:rPr>
              <w:t>5</w:t>
            </w:r>
            <w:r>
              <w:rPr>
                <w:color w:val="auto"/>
                <w:sz w:val="24"/>
                <w:szCs w:val="24"/>
              </w:rPr>
              <w:t>%，即</w:t>
            </w:r>
            <w:r>
              <w:rPr>
                <w:rFonts w:hint="eastAsia"/>
                <w:color w:val="auto"/>
                <w:sz w:val="24"/>
                <w:szCs w:val="24"/>
                <w:lang w:val="en-US" w:eastAsia="zh-CN"/>
              </w:rPr>
              <w:t>4.8</w:t>
            </w:r>
            <w:r>
              <w:rPr>
                <w:rFonts w:hint="eastAsia"/>
                <w:color w:val="auto"/>
                <w:sz w:val="24"/>
                <w:szCs w:val="24"/>
              </w:rPr>
              <w:t>t</w:t>
            </w:r>
            <w:r>
              <w:rPr>
                <w:color w:val="auto"/>
                <w:sz w:val="24"/>
                <w:szCs w:val="24"/>
              </w:rPr>
              <w:t>/a</w:t>
            </w:r>
            <w:r>
              <w:rPr>
                <w:rFonts w:hint="eastAsia"/>
                <w:color w:val="auto"/>
                <w:sz w:val="24"/>
                <w:szCs w:val="24"/>
              </w:rPr>
              <w:t>。</w:t>
            </w:r>
            <w:r>
              <w:rPr>
                <w:color w:val="auto"/>
                <w:sz w:val="24"/>
                <w:szCs w:val="24"/>
              </w:rPr>
              <w:t>废</w:t>
            </w:r>
            <w:r>
              <w:rPr>
                <w:rFonts w:hint="eastAsia"/>
                <w:color w:val="auto"/>
                <w:sz w:val="24"/>
                <w:szCs w:val="24"/>
              </w:rPr>
              <w:t>切削液属于危险废物，危险废物类别为HW</w:t>
            </w:r>
            <w:r>
              <w:rPr>
                <w:color w:val="auto"/>
                <w:sz w:val="24"/>
                <w:szCs w:val="24"/>
              </w:rPr>
              <w:t>0</w:t>
            </w:r>
            <w:r>
              <w:rPr>
                <w:rFonts w:hint="eastAsia"/>
                <w:color w:val="auto"/>
                <w:sz w:val="24"/>
                <w:szCs w:val="24"/>
              </w:rPr>
              <w:t>9，危险废物代码为“</w:t>
            </w:r>
            <w:r>
              <w:rPr>
                <w:color w:val="auto"/>
                <w:sz w:val="24"/>
                <w:szCs w:val="24"/>
              </w:rPr>
              <w:t>900-</w:t>
            </w:r>
            <w:r>
              <w:rPr>
                <w:rFonts w:hint="eastAsia"/>
                <w:color w:val="auto"/>
                <w:sz w:val="24"/>
                <w:szCs w:val="24"/>
              </w:rPr>
              <w:t>006</w:t>
            </w:r>
            <w:r>
              <w:rPr>
                <w:color w:val="auto"/>
                <w:sz w:val="24"/>
                <w:szCs w:val="24"/>
              </w:rPr>
              <w:t>-0</w:t>
            </w:r>
            <w:r>
              <w:rPr>
                <w:rFonts w:hint="eastAsia"/>
                <w:color w:val="auto"/>
                <w:sz w:val="24"/>
                <w:szCs w:val="24"/>
              </w:rPr>
              <w:t>9”，危险废物特性为“T”，集中收集后委托有资质单位处置。</w:t>
            </w:r>
          </w:p>
          <w:p>
            <w:pPr>
              <w:spacing w:line="360" w:lineRule="auto"/>
              <w:ind w:firstLine="465"/>
              <w:rPr>
                <w:b/>
                <w:color w:val="auto"/>
                <w:sz w:val="24"/>
                <w:szCs w:val="22"/>
              </w:rPr>
            </w:pPr>
            <w:r>
              <w:rPr>
                <w:rFonts w:hint="eastAsia"/>
                <w:b/>
                <w:color w:val="auto"/>
                <w:sz w:val="24"/>
                <w:szCs w:val="22"/>
                <w:lang w:val="en-US" w:eastAsia="zh-CN"/>
              </w:rPr>
              <w:t>B</w:t>
            </w:r>
            <w:r>
              <w:rPr>
                <w:b/>
                <w:color w:val="auto"/>
                <w:sz w:val="24"/>
                <w:szCs w:val="22"/>
              </w:rPr>
              <w:t>.</w:t>
            </w:r>
            <w:r>
              <w:rPr>
                <w:rFonts w:hint="eastAsia"/>
                <w:b/>
                <w:bCs/>
                <w:color w:val="auto"/>
                <w:sz w:val="24"/>
                <w:lang w:val="en-US" w:eastAsia="zh-CN"/>
              </w:rPr>
              <w:t>废导轨润滑油</w:t>
            </w:r>
            <w:r>
              <w:rPr>
                <w:b/>
                <w:color w:val="auto"/>
                <w:sz w:val="24"/>
                <w:szCs w:val="22"/>
              </w:rPr>
              <w:t>：</w:t>
            </w:r>
          </w:p>
          <w:p>
            <w:pPr>
              <w:spacing w:line="360" w:lineRule="auto"/>
              <w:ind w:firstLine="465"/>
              <w:rPr>
                <w:color w:val="auto"/>
                <w:sz w:val="24"/>
                <w:szCs w:val="24"/>
              </w:rPr>
            </w:pPr>
            <w:r>
              <w:rPr>
                <w:color w:val="auto"/>
                <w:sz w:val="24"/>
                <w:szCs w:val="24"/>
              </w:rPr>
              <w:t>生产设备运行时使用润滑油对设备进行润滑保养。废润滑油按使用量的</w:t>
            </w:r>
            <w:r>
              <w:rPr>
                <w:rFonts w:hint="eastAsia"/>
                <w:color w:val="auto"/>
                <w:sz w:val="24"/>
                <w:szCs w:val="24"/>
              </w:rPr>
              <w:t>5</w:t>
            </w:r>
            <w:r>
              <w:rPr>
                <w:color w:val="auto"/>
                <w:sz w:val="24"/>
                <w:szCs w:val="24"/>
              </w:rPr>
              <w:t>0%计，本项目润滑油使用量为0.</w:t>
            </w:r>
            <w:r>
              <w:rPr>
                <w:rFonts w:hint="eastAsia"/>
                <w:color w:val="auto"/>
                <w:sz w:val="24"/>
                <w:szCs w:val="24"/>
                <w:lang w:val="en-US" w:eastAsia="zh-CN"/>
              </w:rPr>
              <w:t>5</w:t>
            </w:r>
            <w:r>
              <w:rPr>
                <w:color w:val="auto"/>
                <w:sz w:val="24"/>
                <w:szCs w:val="24"/>
              </w:rPr>
              <w:t>t/a，则项目废润滑油产生量为</w:t>
            </w:r>
            <w:r>
              <w:rPr>
                <w:rFonts w:hint="eastAsia"/>
                <w:color w:val="auto"/>
                <w:sz w:val="24"/>
                <w:szCs w:val="24"/>
                <w:lang w:val="en-US" w:eastAsia="zh-CN"/>
              </w:rPr>
              <w:t>0.25</w:t>
            </w:r>
            <w:r>
              <w:rPr>
                <w:color w:val="auto"/>
                <w:sz w:val="24"/>
                <w:szCs w:val="24"/>
              </w:rPr>
              <w:t>t/a。废润滑油为危险废物，危险废物类别为HW08，危险废物代码为</w:t>
            </w:r>
            <w:r>
              <w:rPr>
                <w:rFonts w:eastAsia="TimesNewRomanPSMT"/>
                <w:color w:val="auto"/>
                <w:kern w:val="0"/>
                <w:sz w:val="24"/>
                <w:szCs w:val="24"/>
              </w:rPr>
              <w:t>900-</w:t>
            </w:r>
            <w:r>
              <w:rPr>
                <w:rFonts w:hint="eastAsia" w:eastAsia="宋体"/>
                <w:color w:val="auto"/>
                <w:kern w:val="0"/>
                <w:sz w:val="24"/>
                <w:szCs w:val="24"/>
                <w:lang w:val="en-US" w:eastAsia="zh-CN"/>
              </w:rPr>
              <w:t>209-08</w:t>
            </w:r>
            <w:r>
              <w:rPr>
                <w:color w:val="auto"/>
                <w:kern w:val="0"/>
                <w:sz w:val="24"/>
                <w:szCs w:val="24"/>
              </w:rPr>
              <w:t>，危险废物特性为“</w:t>
            </w:r>
            <w:r>
              <w:rPr>
                <w:rFonts w:eastAsia="TimesNewRomanPSMT"/>
                <w:color w:val="auto"/>
                <w:kern w:val="0"/>
                <w:sz w:val="24"/>
                <w:szCs w:val="24"/>
              </w:rPr>
              <w:t>T</w:t>
            </w:r>
            <w:r>
              <w:rPr>
                <w:rFonts w:hint="eastAsia" w:eastAsia="宋体"/>
                <w:color w:val="auto"/>
                <w:kern w:val="0"/>
                <w:sz w:val="24"/>
                <w:szCs w:val="24"/>
                <w:lang w:eastAsia="zh-CN"/>
              </w:rPr>
              <w:t>，</w:t>
            </w:r>
            <w:r>
              <w:rPr>
                <w:rFonts w:eastAsia="TimesNewRomanPSMT"/>
                <w:color w:val="auto"/>
                <w:kern w:val="0"/>
                <w:sz w:val="24"/>
                <w:szCs w:val="24"/>
              </w:rPr>
              <w:t>I</w:t>
            </w:r>
            <w:r>
              <w:rPr>
                <w:color w:val="auto"/>
                <w:kern w:val="0"/>
                <w:sz w:val="24"/>
                <w:szCs w:val="24"/>
              </w:rPr>
              <w:t>”。</w:t>
            </w:r>
            <w:r>
              <w:rPr>
                <w:color w:val="auto"/>
                <w:sz w:val="24"/>
                <w:szCs w:val="24"/>
              </w:rPr>
              <w:t>废润滑油集中收集后交由资质单位安全处置。</w:t>
            </w:r>
          </w:p>
          <w:p>
            <w:pPr>
              <w:spacing w:line="360" w:lineRule="auto"/>
              <w:ind w:firstLine="465"/>
              <w:rPr>
                <w:rFonts w:hint="eastAsia"/>
                <w:b/>
                <w:color w:val="auto"/>
                <w:sz w:val="24"/>
                <w:szCs w:val="22"/>
                <w:lang w:val="en-US" w:eastAsia="zh-CN"/>
              </w:rPr>
            </w:pPr>
            <w:r>
              <w:rPr>
                <w:rFonts w:hint="eastAsia"/>
                <w:b/>
                <w:color w:val="auto"/>
                <w:sz w:val="24"/>
                <w:szCs w:val="22"/>
                <w:lang w:val="en-US" w:eastAsia="zh-CN"/>
              </w:rPr>
              <w:t>C.漆渣：</w:t>
            </w:r>
          </w:p>
          <w:p>
            <w:pPr>
              <w:spacing w:line="360" w:lineRule="auto"/>
              <w:ind w:firstLine="465"/>
              <w:rPr>
                <w:color w:val="auto"/>
                <w:sz w:val="24"/>
                <w:szCs w:val="24"/>
              </w:rPr>
            </w:pPr>
            <w:r>
              <w:rPr>
                <w:rFonts w:hint="eastAsia"/>
                <w:color w:val="auto"/>
                <w:sz w:val="24"/>
                <w:szCs w:val="24"/>
              </w:rPr>
              <w:t>本项目</w:t>
            </w:r>
            <w:r>
              <w:rPr>
                <w:rFonts w:hint="eastAsia"/>
                <w:color w:val="auto"/>
                <w:sz w:val="24"/>
                <w:szCs w:val="24"/>
                <w:lang w:eastAsia="zh-CN"/>
              </w:rPr>
              <w:t>喷漆工序散落的漆渣和过滤棉</w:t>
            </w:r>
            <w:r>
              <w:rPr>
                <w:rFonts w:hint="eastAsia"/>
                <w:color w:val="auto"/>
                <w:sz w:val="24"/>
                <w:szCs w:val="24"/>
              </w:rPr>
              <w:t>收集的</w:t>
            </w:r>
            <w:r>
              <w:rPr>
                <w:rFonts w:hint="eastAsia"/>
                <w:color w:val="auto"/>
                <w:sz w:val="24"/>
                <w:szCs w:val="24"/>
                <w:lang w:eastAsia="zh-CN"/>
              </w:rPr>
              <w:t>漆雾颗粒形成的</w:t>
            </w:r>
            <w:r>
              <w:rPr>
                <w:rFonts w:hint="eastAsia"/>
                <w:color w:val="auto"/>
                <w:sz w:val="24"/>
                <w:szCs w:val="24"/>
              </w:rPr>
              <w:t>漆渣</w:t>
            </w:r>
            <w:r>
              <w:rPr>
                <w:rFonts w:hint="eastAsia"/>
                <w:color w:val="auto"/>
                <w:sz w:val="24"/>
                <w:szCs w:val="24"/>
                <w:lang w:eastAsia="zh-CN"/>
              </w:rPr>
              <w:t>。经上述计算可知，散落的漆渣量约为</w:t>
            </w:r>
            <w:r>
              <w:rPr>
                <w:rFonts w:hint="eastAsia"/>
                <w:color w:val="auto"/>
                <w:sz w:val="24"/>
                <w:szCs w:val="24"/>
                <w:lang w:val="en-US" w:eastAsia="zh-CN"/>
              </w:rPr>
              <w:t>0.034t/a</w:t>
            </w:r>
            <w:r>
              <w:rPr>
                <w:rFonts w:hint="eastAsia"/>
                <w:color w:val="auto"/>
                <w:sz w:val="24"/>
                <w:szCs w:val="24"/>
              </w:rPr>
              <w:t>，</w:t>
            </w:r>
            <w:r>
              <w:rPr>
                <w:rFonts w:hint="eastAsia"/>
                <w:color w:val="auto"/>
                <w:sz w:val="24"/>
                <w:szCs w:val="24"/>
                <w:lang w:eastAsia="zh-CN"/>
              </w:rPr>
              <w:t>过滤棉收集的量为</w:t>
            </w:r>
            <w:r>
              <w:rPr>
                <w:rFonts w:hint="eastAsia"/>
                <w:color w:val="auto"/>
                <w:sz w:val="24"/>
                <w:szCs w:val="24"/>
              </w:rPr>
              <w:t>0.</w:t>
            </w:r>
            <w:r>
              <w:rPr>
                <w:rFonts w:hint="eastAsia"/>
                <w:color w:val="auto"/>
                <w:sz w:val="24"/>
                <w:szCs w:val="24"/>
                <w:lang w:val="en-US" w:eastAsia="zh-CN"/>
              </w:rPr>
              <w:t>261</w:t>
            </w:r>
            <w:r>
              <w:rPr>
                <w:rFonts w:hint="eastAsia"/>
                <w:color w:val="auto"/>
                <w:sz w:val="24"/>
                <w:szCs w:val="24"/>
              </w:rPr>
              <w:t>t/a，即</w:t>
            </w:r>
            <w:r>
              <w:rPr>
                <w:rFonts w:hint="eastAsia"/>
                <w:color w:val="auto"/>
                <w:sz w:val="24"/>
                <w:szCs w:val="24"/>
                <w:lang w:eastAsia="zh-CN"/>
              </w:rPr>
              <w:t>本项目产生的漆渣量为</w:t>
            </w:r>
            <w:r>
              <w:rPr>
                <w:rFonts w:hint="eastAsia"/>
                <w:color w:val="auto"/>
                <w:sz w:val="24"/>
                <w:szCs w:val="24"/>
                <w:lang w:val="en-US" w:eastAsia="zh-CN"/>
              </w:rPr>
              <w:t>0.295t/a</w:t>
            </w:r>
            <w:r>
              <w:rPr>
                <w:rFonts w:hint="eastAsia"/>
                <w:color w:val="auto"/>
                <w:sz w:val="24"/>
                <w:szCs w:val="24"/>
              </w:rPr>
              <w:t>。经查询《国家危险废物名录</w:t>
            </w:r>
            <w:r>
              <w:rPr>
                <w:rFonts w:hint="eastAsia"/>
                <w:color w:val="auto"/>
                <w:sz w:val="24"/>
                <w:szCs w:val="24"/>
                <w:lang w:eastAsia="zh-CN"/>
              </w:rPr>
              <w:t>（</w:t>
            </w:r>
            <w:r>
              <w:rPr>
                <w:rFonts w:hint="eastAsia"/>
                <w:color w:val="auto"/>
                <w:sz w:val="24"/>
                <w:szCs w:val="24"/>
                <w:lang w:val="en-US" w:eastAsia="zh-CN"/>
              </w:rPr>
              <w:t>2021版</w:t>
            </w:r>
            <w:r>
              <w:rPr>
                <w:rFonts w:hint="eastAsia"/>
                <w:color w:val="auto"/>
                <w:sz w:val="24"/>
                <w:szCs w:val="24"/>
                <w:lang w:eastAsia="zh-CN"/>
              </w:rPr>
              <w:t>）</w:t>
            </w:r>
            <w:r>
              <w:rPr>
                <w:rFonts w:hint="eastAsia"/>
                <w:color w:val="auto"/>
                <w:sz w:val="24"/>
                <w:szCs w:val="24"/>
              </w:rPr>
              <w:t>》，漆渣属于危险废物，危险废物类别为HW12，危险废物代码为</w:t>
            </w:r>
            <w:r>
              <w:rPr>
                <w:rFonts w:hint="eastAsia" w:ascii="TimesNewRomanPSMT" w:hAnsi="TimesNewRomanPSMT" w:cs="TimesNewRomanPSMT"/>
                <w:color w:val="auto"/>
                <w:kern w:val="0"/>
                <w:sz w:val="24"/>
                <w:szCs w:val="24"/>
                <w:lang w:val="en-US" w:eastAsia="zh-CN"/>
              </w:rPr>
              <w:t>900-252-12</w:t>
            </w:r>
            <w:r>
              <w:rPr>
                <w:rFonts w:hint="eastAsia" w:ascii="宋体" w:cs="宋体"/>
                <w:color w:val="auto"/>
                <w:kern w:val="0"/>
                <w:sz w:val="24"/>
                <w:szCs w:val="24"/>
              </w:rPr>
              <w:t>，危险废物特性为“</w:t>
            </w:r>
            <w:r>
              <w:rPr>
                <w:rFonts w:ascii="TimesNewRomanPSMT" w:hAnsi="TimesNewRomanPSMT" w:eastAsia="TimesNewRomanPSMT" w:cs="TimesNewRomanPSMT"/>
                <w:color w:val="auto"/>
                <w:kern w:val="0"/>
                <w:sz w:val="24"/>
                <w:szCs w:val="24"/>
              </w:rPr>
              <w:t>T</w:t>
            </w:r>
            <w:r>
              <w:rPr>
                <w:rFonts w:hint="eastAsia" w:ascii="TimesNewRomanPSMT" w:hAnsi="TimesNewRomanPSMT" w:cs="TimesNewRomanPSMT"/>
                <w:color w:val="auto"/>
                <w:kern w:val="0"/>
                <w:sz w:val="24"/>
                <w:szCs w:val="24"/>
                <w:lang w:val="en-US" w:eastAsia="zh-CN"/>
              </w:rPr>
              <w:t>，I</w:t>
            </w:r>
            <w:r>
              <w:rPr>
                <w:rFonts w:hint="eastAsia" w:ascii="宋体" w:cs="宋体"/>
                <w:color w:val="auto"/>
                <w:kern w:val="0"/>
                <w:sz w:val="24"/>
                <w:szCs w:val="24"/>
              </w:rPr>
              <w:t>”。</w:t>
            </w:r>
            <w:r>
              <w:rPr>
                <w:rFonts w:hint="eastAsia"/>
                <w:color w:val="auto"/>
                <w:sz w:val="24"/>
                <w:szCs w:val="24"/>
              </w:rPr>
              <w:t>漆渣经收集后委托</w:t>
            </w:r>
            <w:r>
              <w:rPr>
                <w:rFonts w:hint="eastAsia" w:ascii="宋体" w:cs="宋体"/>
                <w:color w:val="auto"/>
                <w:kern w:val="0"/>
                <w:sz w:val="24"/>
                <w:szCs w:val="24"/>
              </w:rPr>
              <w:t>有资质单位处置。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color w:val="auto"/>
                <w:sz w:val="24"/>
                <w:szCs w:val="22"/>
                <w:lang w:val="en-US" w:eastAsia="zh-CN"/>
              </w:rPr>
            </w:pPr>
            <w:r>
              <w:rPr>
                <w:rFonts w:hint="eastAsia"/>
                <w:b/>
                <w:color w:val="auto"/>
                <w:sz w:val="24"/>
                <w:szCs w:val="22"/>
                <w:lang w:val="en-US" w:eastAsia="zh-CN"/>
              </w:rPr>
              <w:t>D、含漆废物：</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color w:val="auto"/>
                <w:sz w:val="24"/>
                <w:szCs w:val="24"/>
                <w:lang w:eastAsia="zh-CN"/>
              </w:rPr>
            </w:pPr>
            <w:r>
              <w:rPr>
                <w:rFonts w:hint="default" w:ascii="Times New Roman" w:hAnsi="Times New Roman" w:cs="Times New Roman"/>
                <w:color w:val="auto"/>
                <w:sz w:val="24"/>
                <w:szCs w:val="24"/>
              </w:rPr>
              <w:t>本项目产品是表面喷漆，因此喷漆过程中需要用</w:t>
            </w:r>
            <w:r>
              <w:rPr>
                <w:rFonts w:hint="eastAsia" w:cs="Times New Roman"/>
                <w:color w:val="auto"/>
                <w:sz w:val="24"/>
                <w:szCs w:val="24"/>
                <w:lang w:val="en-US" w:eastAsia="zh-CN"/>
              </w:rPr>
              <w:t>塑料薄膜</w:t>
            </w:r>
            <w:r>
              <w:rPr>
                <w:rFonts w:hint="default" w:ascii="Times New Roman" w:hAnsi="Times New Roman" w:cs="Times New Roman"/>
                <w:color w:val="auto"/>
                <w:sz w:val="24"/>
                <w:szCs w:val="24"/>
              </w:rPr>
              <w:t>等相关材料遮挡。喷漆过程中会产生含漆废物</w:t>
            </w:r>
            <w:r>
              <w:rPr>
                <w:rFonts w:hint="default" w:ascii="Times New Roman" w:hAnsi="Times New Roman" w:cs="Times New Roman"/>
                <w:color w:val="auto"/>
                <w:sz w:val="24"/>
                <w:szCs w:val="24"/>
                <w:lang w:eastAsia="zh-CN"/>
              </w:rPr>
              <w:t>（</w:t>
            </w:r>
            <w:r>
              <w:rPr>
                <w:rFonts w:hint="eastAsia" w:cs="Times New Roman"/>
                <w:color w:val="auto"/>
                <w:sz w:val="24"/>
                <w:szCs w:val="24"/>
                <w:lang w:val="en-US" w:eastAsia="zh-CN"/>
              </w:rPr>
              <w:t>塑料薄膜</w:t>
            </w:r>
            <w:r>
              <w:rPr>
                <w:rFonts w:hint="default" w:ascii="Times New Roman" w:hAnsi="Times New Roman" w:cs="Times New Roman"/>
                <w:color w:val="auto"/>
                <w:sz w:val="24"/>
                <w:szCs w:val="24"/>
                <w:lang w:eastAsia="zh-CN"/>
              </w:rPr>
              <w:t>、抹布、手套等）</w:t>
            </w:r>
            <w:r>
              <w:rPr>
                <w:rFonts w:hint="default" w:ascii="Times New Roman" w:hAnsi="Times New Roman" w:cs="Times New Roman"/>
                <w:color w:val="auto"/>
                <w:sz w:val="24"/>
                <w:szCs w:val="24"/>
              </w:rPr>
              <w:t>，产生量约为0.1t/a</w:t>
            </w:r>
            <w:r>
              <w:rPr>
                <w:rFonts w:hint="eastAsia" w:cs="Times New Roman"/>
                <w:color w:val="auto"/>
                <w:sz w:val="24"/>
                <w:szCs w:val="24"/>
                <w:lang w:eastAsia="zh-CN"/>
              </w:rPr>
              <w:t>。</w:t>
            </w:r>
            <w:r>
              <w:rPr>
                <w:rFonts w:hint="default" w:ascii="Times New Roman" w:hAnsi="Times New Roman" w:cs="Times New Roman"/>
                <w:color w:val="auto"/>
                <w:sz w:val="24"/>
                <w:szCs w:val="24"/>
              </w:rPr>
              <w:t>含漆废物为危险固废，</w:t>
            </w:r>
            <w:r>
              <w:rPr>
                <w:rFonts w:hint="eastAsia"/>
                <w:color w:val="auto"/>
                <w:sz w:val="24"/>
                <w:szCs w:val="24"/>
              </w:rPr>
              <w:t>危险废物类别为HW12，危险废物代码为</w:t>
            </w:r>
            <w:r>
              <w:rPr>
                <w:rFonts w:hint="eastAsia" w:ascii="TimesNewRomanPSMT" w:hAnsi="TimesNewRomanPSMT" w:cs="TimesNewRomanPSMT"/>
                <w:color w:val="auto"/>
                <w:kern w:val="0"/>
                <w:sz w:val="24"/>
                <w:szCs w:val="24"/>
                <w:lang w:val="en-US" w:eastAsia="zh-CN"/>
              </w:rPr>
              <w:t>900-252-12</w:t>
            </w:r>
            <w:r>
              <w:rPr>
                <w:rFonts w:hint="eastAsia" w:ascii="宋体" w:cs="宋体"/>
                <w:color w:val="auto"/>
                <w:kern w:val="0"/>
                <w:sz w:val="24"/>
                <w:szCs w:val="24"/>
              </w:rPr>
              <w:t>，危险废物特性为“</w:t>
            </w:r>
            <w:r>
              <w:rPr>
                <w:rFonts w:ascii="TimesNewRomanPSMT" w:hAnsi="TimesNewRomanPSMT" w:eastAsia="TimesNewRomanPSMT" w:cs="TimesNewRomanPSMT"/>
                <w:color w:val="auto"/>
                <w:kern w:val="0"/>
                <w:sz w:val="24"/>
                <w:szCs w:val="24"/>
              </w:rPr>
              <w:t>T</w:t>
            </w:r>
            <w:r>
              <w:rPr>
                <w:rFonts w:hint="eastAsia" w:ascii="TimesNewRomanPSMT" w:hAnsi="TimesNewRomanPSMT" w:cs="TimesNewRomanPSMT"/>
                <w:color w:val="auto"/>
                <w:kern w:val="0"/>
                <w:sz w:val="24"/>
                <w:szCs w:val="24"/>
                <w:lang w:val="en-US" w:eastAsia="zh-CN"/>
              </w:rPr>
              <w:t>，I</w:t>
            </w:r>
            <w:r>
              <w:rPr>
                <w:rFonts w:hint="eastAsia" w:ascii="宋体" w:cs="宋体"/>
                <w:color w:val="auto"/>
                <w:kern w:val="0"/>
                <w:sz w:val="24"/>
                <w:szCs w:val="24"/>
              </w:rPr>
              <w:t>”。</w:t>
            </w:r>
            <w:r>
              <w:rPr>
                <w:rFonts w:hint="default" w:ascii="Times New Roman" w:hAnsi="Times New Roman" w:cs="Times New Roman"/>
                <w:color w:val="auto"/>
                <w:sz w:val="24"/>
                <w:szCs w:val="24"/>
              </w:rPr>
              <w:t>委托有资质单位处置。</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cs="Cambria Math"/>
                <w:b/>
                <w:color w:val="auto"/>
                <w:sz w:val="24"/>
                <w:lang w:val="en-US" w:eastAsia="zh-CN"/>
              </w:rPr>
            </w:pPr>
            <w:r>
              <w:rPr>
                <w:rFonts w:hint="eastAsia" w:ascii="宋体" w:hAnsi="宋体" w:cs="Cambria Math"/>
                <w:b/>
                <w:color w:val="auto"/>
                <w:sz w:val="24"/>
                <w:lang w:val="en-US" w:eastAsia="zh-CN"/>
              </w:rPr>
              <w:t>含漆废液：</w:t>
            </w:r>
          </w:p>
          <w:p>
            <w:pPr>
              <w:numPr>
                <w:ilvl w:val="0"/>
                <w:numId w:val="0"/>
              </w:numPr>
              <w:spacing w:line="360" w:lineRule="auto"/>
              <w:ind w:firstLine="480" w:firstLineChars="200"/>
              <w:rPr>
                <w:rFonts w:hint="default" w:ascii="Times New Roman" w:hAnsi="Times New Roman" w:eastAsia="宋体" w:cs="Times New Roman"/>
                <w:color w:val="auto"/>
                <w:lang w:val="en-US" w:eastAsia="zh-CN"/>
              </w:rPr>
            </w:pPr>
            <w:r>
              <w:rPr>
                <w:rFonts w:hint="default" w:ascii="Times New Roman" w:hAnsi="Times New Roman" w:eastAsia="宋体" w:cs="Times New Roman"/>
                <w:b w:val="0"/>
                <w:bCs/>
                <w:color w:val="auto"/>
                <w:sz w:val="24"/>
                <w:szCs w:val="24"/>
                <w:lang w:eastAsia="zh-CN"/>
              </w:rPr>
              <w:t>根据前文，喷枪清洗废水的产生量为</w:t>
            </w:r>
            <w:r>
              <w:rPr>
                <w:rFonts w:hint="default" w:ascii="Times New Roman" w:hAnsi="Times New Roman" w:eastAsia="宋体" w:cs="Times New Roman"/>
                <w:b w:val="0"/>
                <w:bCs/>
                <w:color w:val="auto"/>
                <w:sz w:val="24"/>
                <w:szCs w:val="24"/>
                <w:lang w:val="en-US" w:eastAsia="zh-CN"/>
              </w:rPr>
              <w:t>0.</w:t>
            </w:r>
            <w:r>
              <w:rPr>
                <w:rFonts w:hint="eastAsia" w:cs="Times New Roman"/>
                <w:b w:val="0"/>
                <w:bCs/>
                <w:color w:val="auto"/>
                <w:sz w:val="24"/>
                <w:szCs w:val="24"/>
                <w:lang w:val="en-US" w:eastAsia="zh-CN"/>
              </w:rPr>
              <w:t>48</w:t>
            </w:r>
            <w:r>
              <w:rPr>
                <w:rFonts w:hint="default" w:ascii="Times New Roman" w:hAnsi="Times New Roman" w:eastAsia="宋体" w:cs="Times New Roman"/>
                <w:b w:val="0"/>
                <w:bCs/>
                <w:color w:val="auto"/>
                <w:sz w:val="24"/>
                <w:szCs w:val="24"/>
                <w:lang w:val="en-US" w:eastAsia="zh-CN"/>
              </w:rPr>
              <w:t>t/a。</w:t>
            </w:r>
            <w:r>
              <w:rPr>
                <w:rFonts w:hint="eastAsia" w:cs="Times New Roman"/>
                <w:b w:val="0"/>
                <w:bCs/>
                <w:color w:val="auto"/>
                <w:sz w:val="24"/>
                <w:szCs w:val="24"/>
                <w:lang w:val="en-US" w:eastAsia="zh-CN"/>
              </w:rPr>
              <w:t>含漆废液属于</w:t>
            </w:r>
            <w:r>
              <w:rPr>
                <w:rFonts w:hint="eastAsia"/>
                <w:color w:val="auto"/>
                <w:sz w:val="24"/>
                <w:szCs w:val="24"/>
              </w:rPr>
              <w:t>危险废物</w:t>
            </w:r>
            <w:r>
              <w:rPr>
                <w:rFonts w:hint="eastAsia"/>
                <w:color w:val="auto"/>
                <w:sz w:val="24"/>
                <w:szCs w:val="24"/>
                <w:lang w:eastAsia="zh-CN"/>
              </w:rPr>
              <w:t>，</w:t>
            </w:r>
            <w:r>
              <w:rPr>
                <w:rFonts w:hint="eastAsia"/>
                <w:color w:val="auto"/>
                <w:sz w:val="24"/>
                <w:szCs w:val="24"/>
              </w:rPr>
              <w:t>类别为HW</w:t>
            </w:r>
            <w:r>
              <w:rPr>
                <w:rFonts w:hint="eastAsia"/>
                <w:color w:val="auto"/>
                <w:sz w:val="24"/>
                <w:szCs w:val="24"/>
                <w:lang w:val="en-US" w:eastAsia="zh-CN"/>
              </w:rPr>
              <w:t>49</w:t>
            </w:r>
            <w:r>
              <w:rPr>
                <w:rFonts w:hint="eastAsia"/>
                <w:color w:val="auto"/>
                <w:sz w:val="24"/>
                <w:szCs w:val="24"/>
              </w:rPr>
              <w:t>，危险废物代码为</w:t>
            </w:r>
            <w:r>
              <w:rPr>
                <w:rFonts w:hint="eastAsia" w:ascii="TimesNewRomanPSMT" w:hAnsi="TimesNewRomanPSMT" w:cs="TimesNewRomanPSMT"/>
                <w:color w:val="auto"/>
                <w:kern w:val="0"/>
                <w:sz w:val="24"/>
                <w:szCs w:val="24"/>
                <w:lang w:val="en-US" w:eastAsia="zh-CN"/>
              </w:rPr>
              <w:t>900</w:t>
            </w:r>
            <w:r>
              <w:rPr>
                <w:rFonts w:ascii="TimesNewRomanPSMT" w:hAnsi="TimesNewRomanPSMT" w:eastAsia="TimesNewRomanPSMT" w:cs="TimesNewRomanPSMT"/>
                <w:color w:val="auto"/>
                <w:kern w:val="0"/>
                <w:sz w:val="24"/>
                <w:szCs w:val="24"/>
              </w:rPr>
              <w:t>-</w:t>
            </w:r>
            <w:r>
              <w:rPr>
                <w:rFonts w:hint="eastAsia" w:ascii="TimesNewRomanPSMT" w:hAnsi="TimesNewRomanPSMT" w:cs="TimesNewRomanPSMT"/>
                <w:color w:val="auto"/>
                <w:kern w:val="0"/>
                <w:sz w:val="24"/>
                <w:szCs w:val="24"/>
              </w:rPr>
              <w:t>0</w:t>
            </w:r>
            <w:r>
              <w:rPr>
                <w:rFonts w:hint="eastAsia" w:ascii="TimesNewRomanPSMT" w:hAnsi="TimesNewRomanPSMT" w:cs="TimesNewRomanPSMT"/>
                <w:color w:val="auto"/>
                <w:kern w:val="0"/>
                <w:sz w:val="24"/>
                <w:szCs w:val="24"/>
                <w:lang w:val="en-US" w:eastAsia="zh-CN"/>
              </w:rPr>
              <w:t>41</w:t>
            </w:r>
            <w:r>
              <w:rPr>
                <w:rFonts w:ascii="TimesNewRomanPSMT" w:hAnsi="TimesNewRomanPSMT" w:eastAsia="TimesNewRomanPSMT" w:cs="TimesNewRomanPSMT"/>
                <w:color w:val="auto"/>
                <w:kern w:val="0"/>
                <w:sz w:val="24"/>
                <w:szCs w:val="24"/>
              </w:rPr>
              <w:t>-</w:t>
            </w:r>
            <w:r>
              <w:rPr>
                <w:rFonts w:hint="eastAsia" w:ascii="TimesNewRomanPSMT" w:hAnsi="TimesNewRomanPSMT" w:cs="TimesNewRomanPSMT"/>
                <w:color w:val="auto"/>
                <w:kern w:val="0"/>
                <w:sz w:val="24"/>
                <w:szCs w:val="24"/>
                <w:lang w:val="en-US" w:eastAsia="zh-CN"/>
              </w:rPr>
              <w:t>06</w:t>
            </w:r>
            <w:r>
              <w:rPr>
                <w:rFonts w:hint="eastAsia" w:ascii="宋体" w:cs="宋体"/>
                <w:color w:val="auto"/>
                <w:kern w:val="0"/>
                <w:sz w:val="24"/>
                <w:szCs w:val="24"/>
              </w:rPr>
              <w:t>，危险废物特性为“</w:t>
            </w:r>
            <w:r>
              <w:rPr>
                <w:rFonts w:ascii="TimesNewRomanPSMT" w:hAnsi="TimesNewRomanPSMT" w:eastAsia="TimesNewRomanPSMT" w:cs="TimesNewRomanPSMT"/>
                <w:color w:val="auto"/>
                <w:kern w:val="0"/>
                <w:sz w:val="24"/>
                <w:szCs w:val="24"/>
              </w:rPr>
              <w:t>T</w:t>
            </w:r>
            <w:r>
              <w:rPr>
                <w:rFonts w:hint="eastAsia" w:ascii="TimesNewRomanPSMT" w:hAnsi="TimesNewRomanPSMT" w:cs="TimesNewRomanPSMT"/>
                <w:color w:val="auto"/>
                <w:kern w:val="0"/>
                <w:sz w:val="24"/>
                <w:szCs w:val="24"/>
                <w:lang w:val="en-US" w:eastAsia="zh-CN"/>
              </w:rPr>
              <w:t>/In</w:t>
            </w:r>
            <w:r>
              <w:rPr>
                <w:rFonts w:hint="eastAsia" w:ascii="宋体" w:cs="宋体"/>
                <w:color w:val="auto"/>
                <w:kern w:val="0"/>
                <w:sz w:val="24"/>
                <w:szCs w:val="24"/>
              </w:rPr>
              <w:t>”</w:t>
            </w:r>
            <w:r>
              <w:rPr>
                <w:rFonts w:hint="eastAsia" w:ascii="宋体" w:cs="宋体"/>
                <w:color w:val="auto"/>
                <w:kern w:val="0"/>
                <w:sz w:val="24"/>
                <w:szCs w:val="24"/>
                <w:lang w:eastAsia="zh-CN"/>
              </w:rPr>
              <w:t>含漆废液</w:t>
            </w:r>
            <w:r>
              <w:rPr>
                <w:rFonts w:hint="default" w:ascii="Times New Roman" w:hAnsi="Times New Roman" w:cs="Times New Roman"/>
                <w:color w:val="auto"/>
                <w:sz w:val="24"/>
                <w:lang w:eastAsia="zh-CN"/>
              </w:rPr>
              <w:t>委托有资质单位处置。</w:t>
            </w:r>
          </w:p>
          <w:p>
            <w:pPr>
              <w:numPr>
                <w:ilvl w:val="0"/>
                <w:numId w:val="7"/>
              </w:numPr>
              <w:spacing w:line="360" w:lineRule="auto"/>
              <w:ind w:left="0" w:leftChars="0" w:firstLine="480" w:firstLineChars="200"/>
              <w:rPr>
                <w:rFonts w:hint="eastAsia" w:ascii="宋体" w:hAnsi="宋体" w:cs="Cambria Math"/>
                <w:b/>
                <w:color w:val="auto"/>
                <w:sz w:val="24"/>
                <w:lang w:val="en-US" w:eastAsia="zh-CN"/>
              </w:rPr>
            </w:pPr>
            <w:r>
              <w:rPr>
                <w:rFonts w:hint="eastAsia" w:ascii="宋体" w:hAnsi="宋体" w:cs="Cambria Math"/>
                <w:b/>
                <w:color w:val="auto"/>
                <w:sz w:val="24"/>
                <w:lang w:val="en-US" w:eastAsia="zh-CN"/>
              </w:rPr>
              <w:t>废过滤棉：</w:t>
            </w:r>
          </w:p>
          <w:p>
            <w:pPr>
              <w:numPr>
                <w:ilvl w:val="0"/>
                <w:numId w:val="0"/>
              </w:numPr>
              <w:spacing w:line="360" w:lineRule="auto"/>
              <w:ind w:firstLine="480" w:firstLineChars="200"/>
              <w:rPr>
                <w:rFonts w:hint="eastAsia" w:ascii="Times New Roman" w:hAnsi="Times New Roman" w:eastAsia="宋体" w:cs="Times New Roman"/>
                <w:color w:val="auto"/>
                <w:sz w:val="24"/>
                <w:szCs w:val="24"/>
                <w:lang w:eastAsia="zh-CN"/>
              </w:rPr>
            </w:pPr>
            <w:r>
              <w:rPr>
                <w:rFonts w:hint="default" w:ascii="Times New Roman" w:hAnsi="Times New Roman" w:cs="Times New Roman"/>
                <w:color w:val="auto"/>
                <w:sz w:val="24"/>
                <w:szCs w:val="24"/>
                <w:lang w:eastAsia="zh-CN"/>
              </w:rPr>
              <w:t>本项目定期更换过滤棉，</w:t>
            </w:r>
            <w:r>
              <w:rPr>
                <w:rFonts w:hint="eastAsia" w:cs="Times New Roman"/>
                <w:color w:val="auto"/>
                <w:sz w:val="24"/>
                <w:szCs w:val="24"/>
                <w:lang w:eastAsia="zh-CN"/>
              </w:rPr>
              <w:t>废</w:t>
            </w:r>
            <w:r>
              <w:rPr>
                <w:rFonts w:hint="default" w:ascii="Times New Roman" w:hAnsi="Times New Roman" w:cs="Times New Roman"/>
                <w:color w:val="auto"/>
                <w:sz w:val="24"/>
                <w:szCs w:val="24"/>
                <w:lang w:eastAsia="zh-CN"/>
              </w:rPr>
              <w:t>过滤棉的产生量约</w:t>
            </w:r>
            <w:r>
              <w:rPr>
                <w:rFonts w:hint="default" w:ascii="Times New Roman" w:hAnsi="Times New Roman" w:cs="Times New Roman"/>
                <w:color w:val="auto"/>
                <w:sz w:val="24"/>
                <w:szCs w:val="24"/>
                <w:lang w:val="en-US" w:eastAsia="zh-CN"/>
              </w:rPr>
              <w:t>0.4t</w:t>
            </w:r>
            <w:r>
              <w:rPr>
                <w:rFonts w:hint="eastAsia" w:cs="Times New Roman"/>
                <w:color w:val="auto"/>
                <w:sz w:val="24"/>
                <w:szCs w:val="24"/>
                <w:lang w:val="en-US" w:eastAsia="zh-CN"/>
              </w:rPr>
              <w:t>/a。</w:t>
            </w:r>
            <w:r>
              <w:rPr>
                <w:rFonts w:hint="eastAsia" w:cs="Times New Roman"/>
                <w:color w:val="auto"/>
                <w:sz w:val="24"/>
                <w:szCs w:val="24"/>
                <w:lang w:eastAsia="zh-CN"/>
              </w:rPr>
              <w:t>废过滤棉</w:t>
            </w:r>
            <w:r>
              <w:rPr>
                <w:rFonts w:hint="default" w:ascii="Times New Roman" w:hAnsi="Times New Roman" w:cs="Times New Roman"/>
                <w:color w:val="auto"/>
                <w:sz w:val="24"/>
                <w:szCs w:val="24"/>
                <w:lang w:eastAsia="zh-CN"/>
              </w:rPr>
              <w:t>属于</w:t>
            </w:r>
            <w:r>
              <w:rPr>
                <w:rFonts w:hint="eastAsia" w:cs="Times New Roman"/>
                <w:color w:val="auto"/>
                <w:sz w:val="24"/>
                <w:szCs w:val="24"/>
                <w:lang w:eastAsia="zh-CN"/>
              </w:rPr>
              <w:t>危险废物</w:t>
            </w:r>
            <w:r>
              <w:rPr>
                <w:rFonts w:hint="default" w:ascii="Times New Roman" w:hAnsi="Times New Roman" w:cs="Times New Roman"/>
                <w:color w:val="auto"/>
                <w:sz w:val="24"/>
                <w:szCs w:val="24"/>
                <w:lang w:eastAsia="zh-CN"/>
              </w:rPr>
              <w:t>，</w:t>
            </w:r>
            <w:r>
              <w:rPr>
                <w:rFonts w:hint="eastAsia"/>
                <w:color w:val="auto"/>
                <w:sz w:val="24"/>
                <w:szCs w:val="24"/>
              </w:rPr>
              <w:t>危险废物类别为HW</w:t>
            </w:r>
            <w:r>
              <w:rPr>
                <w:rFonts w:hint="eastAsia"/>
                <w:color w:val="auto"/>
                <w:sz w:val="24"/>
                <w:szCs w:val="24"/>
                <w:lang w:val="en-US" w:eastAsia="zh-CN"/>
              </w:rPr>
              <w:t>49</w:t>
            </w:r>
            <w:r>
              <w:rPr>
                <w:rFonts w:hint="eastAsia"/>
                <w:color w:val="auto"/>
                <w:sz w:val="24"/>
                <w:szCs w:val="24"/>
              </w:rPr>
              <w:t>，危险废物代码为</w:t>
            </w:r>
            <w:r>
              <w:rPr>
                <w:rFonts w:hint="eastAsia" w:ascii="TimesNewRomanPSMT" w:hAnsi="TimesNewRomanPSMT" w:cs="TimesNewRomanPSMT"/>
                <w:color w:val="auto"/>
                <w:kern w:val="0"/>
                <w:sz w:val="24"/>
                <w:szCs w:val="24"/>
                <w:lang w:val="en-US" w:eastAsia="zh-CN"/>
              </w:rPr>
              <w:t>900</w:t>
            </w:r>
            <w:r>
              <w:rPr>
                <w:rFonts w:ascii="TimesNewRomanPSMT" w:hAnsi="TimesNewRomanPSMT" w:eastAsia="TimesNewRomanPSMT" w:cs="TimesNewRomanPSMT"/>
                <w:color w:val="auto"/>
                <w:kern w:val="0"/>
                <w:sz w:val="24"/>
                <w:szCs w:val="24"/>
              </w:rPr>
              <w:t>-</w:t>
            </w:r>
            <w:r>
              <w:rPr>
                <w:rFonts w:hint="eastAsia" w:ascii="TimesNewRomanPSMT" w:hAnsi="TimesNewRomanPSMT" w:cs="TimesNewRomanPSMT"/>
                <w:color w:val="auto"/>
                <w:kern w:val="0"/>
                <w:sz w:val="24"/>
                <w:szCs w:val="24"/>
              </w:rPr>
              <w:t>0</w:t>
            </w:r>
            <w:r>
              <w:rPr>
                <w:rFonts w:hint="eastAsia" w:ascii="TimesNewRomanPSMT" w:hAnsi="TimesNewRomanPSMT" w:cs="TimesNewRomanPSMT"/>
                <w:color w:val="auto"/>
                <w:kern w:val="0"/>
                <w:sz w:val="24"/>
                <w:szCs w:val="24"/>
                <w:lang w:val="en-US" w:eastAsia="zh-CN"/>
              </w:rPr>
              <w:t>41</w:t>
            </w:r>
            <w:r>
              <w:rPr>
                <w:rFonts w:ascii="TimesNewRomanPSMT" w:hAnsi="TimesNewRomanPSMT" w:eastAsia="TimesNewRomanPSMT" w:cs="TimesNewRomanPSMT"/>
                <w:color w:val="auto"/>
                <w:kern w:val="0"/>
                <w:sz w:val="24"/>
                <w:szCs w:val="24"/>
              </w:rPr>
              <w:t>-</w:t>
            </w:r>
            <w:r>
              <w:rPr>
                <w:rFonts w:hint="eastAsia" w:ascii="TimesNewRomanPSMT" w:hAnsi="TimesNewRomanPSMT" w:cs="TimesNewRomanPSMT"/>
                <w:color w:val="auto"/>
                <w:kern w:val="0"/>
                <w:sz w:val="24"/>
                <w:szCs w:val="24"/>
                <w:lang w:val="en-US" w:eastAsia="zh-CN"/>
              </w:rPr>
              <w:t>49</w:t>
            </w:r>
            <w:r>
              <w:rPr>
                <w:rFonts w:hint="eastAsia" w:ascii="宋体" w:cs="宋体"/>
                <w:color w:val="auto"/>
                <w:kern w:val="0"/>
                <w:sz w:val="24"/>
                <w:szCs w:val="24"/>
              </w:rPr>
              <w:t>，危险废物特性为“</w:t>
            </w:r>
            <w:r>
              <w:rPr>
                <w:rFonts w:ascii="TimesNewRomanPSMT" w:hAnsi="TimesNewRomanPSMT" w:eastAsia="TimesNewRomanPSMT" w:cs="TimesNewRomanPSMT"/>
                <w:color w:val="auto"/>
                <w:kern w:val="0"/>
                <w:sz w:val="24"/>
                <w:szCs w:val="24"/>
              </w:rPr>
              <w:t>T</w:t>
            </w:r>
            <w:r>
              <w:rPr>
                <w:rFonts w:hint="eastAsia" w:ascii="TimesNewRomanPSMT" w:hAnsi="TimesNewRomanPSMT" w:cs="TimesNewRomanPSMT"/>
                <w:color w:val="auto"/>
                <w:kern w:val="0"/>
                <w:sz w:val="24"/>
                <w:szCs w:val="24"/>
                <w:lang w:val="en-US" w:eastAsia="zh-CN"/>
              </w:rPr>
              <w:t>/In</w:t>
            </w:r>
            <w:r>
              <w:rPr>
                <w:rFonts w:hint="eastAsia" w:ascii="宋体" w:cs="宋体"/>
                <w:color w:val="auto"/>
                <w:kern w:val="0"/>
                <w:sz w:val="24"/>
                <w:szCs w:val="24"/>
              </w:rPr>
              <w:t>”</w:t>
            </w:r>
            <w:r>
              <w:rPr>
                <w:rFonts w:hint="eastAsia" w:ascii="宋体" w:cs="宋体"/>
                <w:color w:val="auto"/>
                <w:kern w:val="0"/>
                <w:sz w:val="24"/>
                <w:szCs w:val="24"/>
                <w:lang w:eastAsia="zh-CN"/>
              </w:rPr>
              <w:t>，经收集后委托环卫部门处理。</w:t>
            </w:r>
          </w:p>
          <w:p>
            <w:pPr>
              <w:adjustRightInd w:val="0"/>
              <w:snapToGrid w:val="0"/>
              <w:spacing w:line="360" w:lineRule="auto"/>
              <w:ind w:firstLine="480" w:firstLineChars="200"/>
              <w:rPr>
                <w:rFonts w:hint="default" w:eastAsia="宋体"/>
                <w:b/>
                <w:bCs/>
                <w:color w:val="auto"/>
                <w:sz w:val="24"/>
                <w:lang w:val="en-US" w:eastAsia="zh-CN"/>
              </w:rPr>
            </w:pPr>
            <w:r>
              <w:rPr>
                <w:rFonts w:hint="eastAsia"/>
                <w:b/>
                <w:bCs/>
                <w:color w:val="auto"/>
                <w:sz w:val="24"/>
                <w:lang w:val="en-US" w:eastAsia="zh-CN"/>
              </w:rPr>
              <w:t>G</w:t>
            </w:r>
            <w:r>
              <w:rPr>
                <w:rFonts w:hint="eastAsia"/>
                <w:b/>
                <w:bCs/>
                <w:color w:val="auto"/>
                <w:sz w:val="24"/>
              </w:rPr>
              <w:t>.</w:t>
            </w:r>
            <w:r>
              <w:rPr>
                <w:rFonts w:hint="eastAsia"/>
                <w:b/>
                <w:bCs/>
                <w:color w:val="auto"/>
                <w:sz w:val="24"/>
                <w:lang w:val="en-US" w:eastAsia="zh-CN"/>
              </w:rPr>
              <w:t>废活性炭</w:t>
            </w:r>
          </w:p>
          <w:p>
            <w:pPr>
              <w:adjustRightInd w:val="0"/>
              <w:snapToGrid w:val="0"/>
              <w:spacing w:line="360" w:lineRule="auto"/>
              <w:ind w:firstLine="480" w:firstLineChars="200"/>
              <w:rPr>
                <w:b/>
                <w:color w:val="auto"/>
                <w:kern w:val="0"/>
                <w:sz w:val="24"/>
                <w:szCs w:val="24"/>
              </w:rPr>
            </w:pPr>
            <w:r>
              <w:rPr>
                <w:color w:val="auto"/>
                <w:sz w:val="24"/>
              </w:rPr>
              <w:t>根据废气源强可知，项目</w:t>
            </w:r>
            <w:r>
              <w:rPr>
                <w:rFonts w:hint="eastAsia"/>
                <w:color w:val="auto"/>
                <w:sz w:val="24"/>
                <w:lang w:val="en-US" w:eastAsia="zh-CN"/>
              </w:rPr>
              <w:t>设置俩套二级活性炭吸附装置（TA004、TA007）其中TA004非甲烷总烃吸附量0.053t/a，TA007 VOCs吸附量0.486t/a</w:t>
            </w:r>
            <w:r>
              <w:rPr>
                <w:rFonts w:hint="eastAsia"/>
                <w:color w:val="auto"/>
                <w:sz w:val="24"/>
              </w:rPr>
              <w:t>。</w:t>
            </w:r>
            <w:r>
              <w:rPr>
                <w:color w:val="auto"/>
                <w:sz w:val="24"/>
              </w:rPr>
              <w:t>根据《上海市工业固定源挥发性有机物治理技术指引》（上海市环境保护局、上海市环境科学研究院，2013.07），活性炭吸附</w:t>
            </w:r>
            <w:r>
              <w:rPr>
                <w:rFonts w:hint="eastAsia"/>
                <w:color w:val="auto"/>
                <w:sz w:val="24"/>
              </w:rPr>
              <w:t>VOCs</w:t>
            </w:r>
            <w:r>
              <w:rPr>
                <w:color w:val="auto"/>
                <w:sz w:val="24"/>
              </w:rPr>
              <w:t>的饱和吸附容量约20-40%wt，本次环评活性炭吸附量取30%计。活性炭用量为</w:t>
            </w:r>
            <w:r>
              <w:rPr>
                <w:rFonts w:hint="eastAsia"/>
                <w:color w:val="auto"/>
                <w:sz w:val="24"/>
              </w:rPr>
              <w:t>0.</w:t>
            </w:r>
            <w:r>
              <w:rPr>
                <w:rFonts w:hint="eastAsia"/>
                <w:color w:val="auto"/>
                <w:sz w:val="24"/>
                <w:lang w:val="en-US" w:eastAsia="zh-CN"/>
              </w:rPr>
              <w:t>053</w:t>
            </w:r>
            <w:r>
              <w:rPr>
                <w:color w:val="auto"/>
                <w:sz w:val="24"/>
              </w:rPr>
              <w:t>÷0.3</w:t>
            </w:r>
            <w:r>
              <w:rPr>
                <w:rFonts w:hint="eastAsia"/>
                <w:color w:val="auto"/>
                <w:sz w:val="24"/>
                <w:lang w:val="en-US" w:eastAsia="zh-CN"/>
              </w:rPr>
              <w:t>+</w:t>
            </w:r>
            <w:r>
              <w:rPr>
                <w:rFonts w:hint="eastAsia"/>
                <w:color w:val="auto"/>
                <w:sz w:val="24"/>
              </w:rPr>
              <w:t>0.</w:t>
            </w:r>
            <w:r>
              <w:rPr>
                <w:rFonts w:hint="eastAsia"/>
                <w:color w:val="auto"/>
                <w:sz w:val="24"/>
                <w:lang w:val="en-US" w:eastAsia="zh-CN"/>
              </w:rPr>
              <w:t>486</w:t>
            </w:r>
            <w:r>
              <w:rPr>
                <w:color w:val="auto"/>
                <w:sz w:val="24"/>
              </w:rPr>
              <w:t>÷0.3</w:t>
            </w:r>
            <w:r>
              <w:rPr>
                <w:rFonts w:hint="eastAsia"/>
                <w:color w:val="auto"/>
                <w:sz w:val="24"/>
              </w:rPr>
              <w:t>=1.</w:t>
            </w:r>
            <w:r>
              <w:rPr>
                <w:rFonts w:hint="eastAsia"/>
                <w:color w:val="auto"/>
                <w:sz w:val="24"/>
                <w:lang w:val="en-US" w:eastAsia="zh-CN"/>
              </w:rPr>
              <w:t>797</w:t>
            </w:r>
            <w:r>
              <w:rPr>
                <w:color w:val="auto"/>
                <w:sz w:val="24"/>
              </w:rPr>
              <w:t>t/a。则废活性炭产生量：</w:t>
            </w:r>
            <w:r>
              <w:rPr>
                <w:rFonts w:hint="eastAsia"/>
                <w:color w:val="auto"/>
                <w:sz w:val="24"/>
                <w:lang w:val="en-US" w:eastAsia="zh-CN"/>
              </w:rPr>
              <w:t>1.797+0.053+0.486</w:t>
            </w:r>
            <w:r>
              <w:rPr>
                <w:color w:val="auto"/>
                <w:sz w:val="24"/>
              </w:rPr>
              <w:t>=</w:t>
            </w:r>
            <w:r>
              <w:rPr>
                <w:rFonts w:hint="eastAsia"/>
                <w:color w:val="auto"/>
                <w:sz w:val="24"/>
                <w:lang w:val="en-US" w:eastAsia="zh-CN"/>
              </w:rPr>
              <w:t>2.336</w:t>
            </w:r>
            <w:r>
              <w:rPr>
                <w:rFonts w:hint="eastAsia"/>
                <w:color w:val="auto"/>
                <w:sz w:val="24"/>
              </w:rPr>
              <w:t>t</w:t>
            </w:r>
            <w:r>
              <w:rPr>
                <w:color w:val="auto"/>
                <w:sz w:val="24"/>
              </w:rPr>
              <w:t>/a。本项目活性炭吸附箱中活性炭装填量为</w:t>
            </w:r>
            <w:r>
              <w:rPr>
                <w:rFonts w:hint="eastAsia"/>
                <w:color w:val="auto"/>
                <w:sz w:val="24"/>
                <w:lang w:val="en-US" w:eastAsia="zh-CN"/>
              </w:rPr>
              <w:t>:TA004：60</w:t>
            </w:r>
            <w:r>
              <w:rPr>
                <w:color w:val="auto"/>
                <w:sz w:val="24"/>
              </w:rPr>
              <w:t>kg/次（</w:t>
            </w:r>
            <w:r>
              <w:rPr>
                <w:rFonts w:hint="eastAsia"/>
                <w:color w:val="auto"/>
                <w:sz w:val="24"/>
                <w:lang w:val="en-US" w:eastAsia="zh-CN"/>
              </w:rPr>
              <w:t>30</w:t>
            </w:r>
            <w:r>
              <w:rPr>
                <w:rFonts w:hint="eastAsia"/>
                <w:color w:val="auto"/>
                <w:sz w:val="24"/>
              </w:rPr>
              <w:t>kg</w:t>
            </w:r>
            <w:r>
              <w:rPr>
                <w:color w:val="auto"/>
                <w:sz w:val="24"/>
              </w:rPr>
              <w:t>/</w:t>
            </w:r>
            <w:r>
              <w:rPr>
                <w:rFonts w:hint="eastAsia"/>
                <w:color w:val="auto"/>
                <w:sz w:val="24"/>
              </w:rPr>
              <w:t>箱，共2箱</w:t>
            </w:r>
            <w:r>
              <w:rPr>
                <w:color w:val="auto"/>
                <w:sz w:val="24"/>
              </w:rPr>
              <w:t>）</w:t>
            </w:r>
            <w:r>
              <w:rPr>
                <w:rFonts w:hint="eastAsia"/>
                <w:color w:val="auto"/>
                <w:sz w:val="24"/>
                <w:lang w:eastAsia="zh-CN"/>
              </w:rPr>
              <w:t>；</w:t>
            </w:r>
            <w:r>
              <w:rPr>
                <w:rFonts w:hint="eastAsia"/>
                <w:color w:val="auto"/>
                <w:sz w:val="24"/>
                <w:lang w:val="en-US" w:eastAsia="zh-CN"/>
              </w:rPr>
              <w:t>TA007：540</w:t>
            </w:r>
            <w:r>
              <w:rPr>
                <w:color w:val="auto"/>
                <w:sz w:val="24"/>
              </w:rPr>
              <w:t>kg/次（</w:t>
            </w:r>
            <w:r>
              <w:rPr>
                <w:rFonts w:hint="eastAsia"/>
                <w:color w:val="auto"/>
                <w:sz w:val="24"/>
                <w:lang w:val="en-US" w:eastAsia="zh-CN"/>
              </w:rPr>
              <w:t>270</w:t>
            </w:r>
            <w:r>
              <w:rPr>
                <w:rFonts w:hint="eastAsia"/>
                <w:color w:val="auto"/>
                <w:sz w:val="24"/>
              </w:rPr>
              <w:t>kg</w:t>
            </w:r>
            <w:r>
              <w:rPr>
                <w:color w:val="auto"/>
                <w:sz w:val="24"/>
              </w:rPr>
              <w:t>/</w:t>
            </w:r>
            <w:r>
              <w:rPr>
                <w:rFonts w:hint="eastAsia"/>
                <w:color w:val="auto"/>
                <w:sz w:val="24"/>
              </w:rPr>
              <w:t>箱，共2箱</w:t>
            </w:r>
            <w:r>
              <w:rPr>
                <w:color w:val="auto"/>
                <w:sz w:val="24"/>
              </w:rPr>
              <w:t>），因此本项目需每</w:t>
            </w:r>
            <w:r>
              <w:rPr>
                <w:rFonts w:hint="eastAsia"/>
                <w:color w:val="auto"/>
                <w:sz w:val="24"/>
                <w:lang w:val="en-US" w:eastAsia="zh-CN"/>
              </w:rPr>
              <w:t>四</w:t>
            </w:r>
            <w:r>
              <w:rPr>
                <w:rFonts w:hint="eastAsia"/>
                <w:color w:val="auto"/>
                <w:sz w:val="24"/>
              </w:rPr>
              <w:t>个月</w:t>
            </w:r>
            <w:r>
              <w:rPr>
                <w:color w:val="auto"/>
                <w:sz w:val="24"/>
              </w:rPr>
              <w:t>更换一次活性炭，即废活性炭的产生量为：</w:t>
            </w:r>
            <w:r>
              <w:rPr>
                <w:rFonts w:hint="eastAsia"/>
                <w:color w:val="auto"/>
                <w:sz w:val="24"/>
              </w:rPr>
              <w:t>0.</w:t>
            </w:r>
            <w:r>
              <w:rPr>
                <w:rFonts w:hint="eastAsia"/>
                <w:color w:val="auto"/>
                <w:sz w:val="24"/>
                <w:lang w:val="en-US" w:eastAsia="zh-CN"/>
              </w:rPr>
              <w:t>539</w:t>
            </w:r>
            <w:r>
              <w:rPr>
                <w:color w:val="auto"/>
                <w:sz w:val="24"/>
              </w:rPr>
              <w:t>+</w:t>
            </w:r>
            <w:r>
              <w:rPr>
                <w:rFonts w:hint="eastAsia"/>
                <w:color w:val="auto"/>
                <w:sz w:val="24"/>
                <w:lang w:eastAsia="zh-CN"/>
              </w:rPr>
              <w:t>（</w:t>
            </w:r>
            <w:r>
              <w:rPr>
                <w:rFonts w:hint="eastAsia"/>
                <w:color w:val="auto"/>
                <w:sz w:val="24"/>
                <w:lang w:val="en-US" w:eastAsia="zh-CN"/>
              </w:rPr>
              <w:t>0.06+0.54</w:t>
            </w:r>
            <w:r>
              <w:rPr>
                <w:rFonts w:hint="eastAsia"/>
                <w:color w:val="auto"/>
                <w:sz w:val="24"/>
                <w:lang w:eastAsia="zh-CN"/>
              </w:rPr>
              <w:t>）</w:t>
            </w:r>
            <w:r>
              <w:rPr>
                <w:rFonts w:ascii="Arial" w:hAnsi="Arial" w:cs="Arial"/>
                <w:color w:val="auto"/>
                <w:sz w:val="24"/>
              </w:rPr>
              <w:t>×</w:t>
            </w:r>
            <w:r>
              <w:rPr>
                <w:rFonts w:hint="eastAsia"/>
                <w:color w:val="auto"/>
                <w:sz w:val="24"/>
                <w:lang w:val="en-US" w:eastAsia="zh-CN"/>
              </w:rPr>
              <w:t>3</w:t>
            </w:r>
            <w:r>
              <w:rPr>
                <w:color w:val="auto"/>
                <w:sz w:val="24"/>
              </w:rPr>
              <w:t>=</w:t>
            </w:r>
            <w:r>
              <w:rPr>
                <w:rFonts w:hint="eastAsia"/>
                <w:color w:val="auto"/>
                <w:sz w:val="24"/>
              </w:rPr>
              <w:t>2.</w:t>
            </w:r>
            <w:r>
              <w:rPr>
                <w:rFonts w:hint="eastAsia"/>
                <w:color w:val="auto"/>
                <w:sz w:val="24"/>
                <w:lang w:val="en-US" w:eastAsia="zh-CN"/>
              </w:rPr>
              <w:t>339</w:t>
            </w:r>
            <w:r>
              <w:rPr>
                <w:color w:val="auto"/>
                <w:sz w:val="24"/>
              </w:rPr>
              <w:t>t/a。</w:t>
            </w:r>
            <w:r>
              <w:rPr>
                <w:color w:val="auto"/>
                <w:sz w:val="24"/>
                <w:szCs w:val="24"/>
              </w:rPr>
              <w:t>危险废物类别为HW49，危险废物代码为</w:t>
            </w:r>
            <w:r>
              <w:rPr>
                <w:rFonts w:eastAsia="TimesNewRomanPSMT"/>
                <w:color w:val="auto"/>
                <w:kern w:val="0"/>
                <w:sz w:val="24"/>
                <w:szCs w:val="24"/>
              </w:rPr>
              <w:t>900-0</w:t>
            </w:r>
            <w:r>
              <w:rPr>
                <w:rFonts w:hint="eastAsia" w:eastAsia="宋体"/>
                <w:color w:val="auto"/>
                <w:kern w:val="0"/>
                <w:sz w:val="24"/>
                <w:szCs w:val="24"/>
                <w:lang w:val="en-US" w:eastAsia="zh-CN"/>
              </w:rPr>
              <w:t>39</w:t>
            </w:r>
            <w:r>
              <w:rPr>
                <w:rFonts w:eastAsia="TimesNewRomanPSMT"/>
                <w:color w:val="auto"/>
                <w:kern w:val="0"/>
                <w:sz w:val="24"/>
                <w:szCs w:val="24"/>
              </w:rPr>
              <w:t>-49</w:t>
            </w:r>
            <w:r>
              <w:rPr>
                <w:color w:val="auto"/>
                <w:kern w:val="0"/>
                <w:sz w:val="24"/>
                <w:szCs w:val="24"/>
              </w:rPr>
              <w:t>，危险废物特性为“</w:t>
            </w:r>
            <w:r>
              <w:rPr>
                <w:rFonts w:eastAsia="TimesNewRomanPSMT"/>
                <w:color w:val="auto"/>
                <w:kern w:val="0"/>
                <w:sz w:val="24"/>
                <w:szCs w:val="24"/>
              </w:rPr>
              <w:t>T</w:t>
            </w:r>
            <w:r>
              <w:rPr>
                <w:color w:val="auto"/>
                <w:kern w:val="0"/>
                <w:sz w:val="24"/>
                <w:szCs w:val="24"/>
              </w:rPr>
              <w:t>”。委托有资质单位处置。</w:t>
            </w:r>
          </w:p>
          <w:p>
            <w:pPr>
              <w:adjustRightInd w:val="0"/>
              <w:snapToGrid w:val="0"/>
              <w:spacing w:line="360" w:lineRule="auto"/>
              <w:ind w:firstLine="480" w:firstLineChars="200"/>
              <w:rPr>
                <w:b/>
                <w:color w:val="auto"/>
                <w:kern w:val="0"/>
                <w:sz w:val="24"/>
                <w:szCs w:val="24"/>
              </w:rPr>
            </w:pPr>
            <w:r>
              <w:rPr>
                <w:rFonts w:hint="eastAsia"/>
                <w:b/>
                <w:color w:val="auto"/>
                <w:kern w:val="0"/>
                <w:sz w:val="24"/>
                <w:szCs w:val="24"/>
                <w:lang w:val="en-US" w:eastAsia="zh-CN"/>
              </w:rPr>
              <w:t>H</w:t>
            </w:r>
            <w:r>
              <w:rPr>
                <w:rFonts w:hint="eastAsia"/>
                <w:b/>
                <w:bCs/>
                <w:color w:val="auto"/>
                <w:sz w:val="24"/>
              </w:rPr>
              <w:t>.</w:t>
            </w:r>
            <w:r>
              <w:rPr>
                <w:b/>
                <w:color w:val="auto"/>
                <w:kern w:val="0"/>
                <w:sz w:val="24"/>
                <w:szCs w:val="24"/>
              </w:rPr>
              <w:t>废包装桶：</w:t>
            </w:r>
          </w:p>
          <w:p>
            <w:pPr>
              <w:adjustRightInd w:val="0"/>
              <w:snapToGrid w:val="0"/>
              <w:spacing w:line="360" w:lineRule="auto"/>
              <w:ind w:firstLine="480" w:firstLineChars="200"/>
              <w:rPr>
                <w:color w:val="auto"/>
                <w:sz w:val="24"/>
                <w:szCs w:val="22"/>
              </w:rPr>
            </w:pPr>
            <w:r>
              <w:rPr>
                <w:rFonts w:hint="eastAsia"/>
                <w:color w:val="auto"/>
                <w:sz w:val="24"/>
                <w:szCs w:val="22"/>
              </w:rPr>
              <w:t>本项目水性漆、固化剂</w:t>
            </w:r>
            <w:r>
              <w:rPr>
                <w:rFonts w:hint="eastAsia"/>
                <w:color w:val="auto"/>
                <w:sz w:val="24"/>
                <w:szCs w:val="22"/>
                <w:lang w:eastAsia="zh-CN"/>
              </w:rPr>
              <w:t>、</w:t>
            </w:r>
            <w:r>
              <w:rPr>
                <w:rFonts w:hint="eastAsia"/>
                <w:color w:val="auto"/>
                <w:sz w:val="24"/>
                <w:szCs w:val="22"/>
                <w:lang w:val="en-US" w:eastAsia="zh-CN"/>
              </w:rPr>
              <w:t>切削液、润滑油</w:t>
            </w:r>
            <w:r>
              <w:rPr>
                <w:rFonts w:hint="eastAsia"/>
                <w:color w:val="auto"/>
                <w:sz w:val="24"/>
                <w:szCs w:val="22"/>
              </w:rPr>
              <w:t>为铁桶装。据计算，废包装桶产生量为</w:t>
            </w:r>
            <w:r>
              <w:rPr>
                <w:rFonts w:hint="eastAsia"/>
                <w:color w:val="auto"/>
                <w:sz w:val="24"/>
                <w:szCs w:val="22"/>
                <w:lang w:val="en-US" w:eastAsia="zh-CN"/>
              </w:rPr>
              <w:t>297</w:t>
            </w:r>
            <w:r>
              <w:rPr>
                <w:rFonts w:hint="eastAsia"/>
                <w:color w:val="auto"/>
                <w:sz w:val="24"/>
                <w:szCs w:val="22"/>
              </w:rPr>
              <w:t>个/a，</w:t>
            </w:r>
            <w:r>
              <w:rPr>
                <w:rFonts w:hint="eastAsia"/>
                <w:color w:val="auto"/>
                <w:sz w:val="24"/>
                <w:szCs w:val="22"/>
                <w:lang w:val="en-US" w:eastAsia="zh-CN"/>
              </w:rPr>
              <w:t>约0.95t/a。</w:t>
            </w:r>
            <w:r>
              <w:rPr>
                <w:rFonts w:hint="eastAsia"/>
                <w:color w:val="auto"/>
                <w:sz w:val="24"/>
                <w:szCs w:val="22"/>
              </w:rPr>
              <w:t>废包装桶为危险废物，危废类别为HW</w:t>
            </w:r>
            <w:r>
              <w:rPr>
                <w:color w:val="auto"/>
                <w:sz w:val="24"/>
                <w:szCs w:val="22"/>
              </w:rPr>
              <w:t>4</w:t>
            </w:r>
            <w:r>
              <w:rPr>
                <w:rFonts w:hint="eastAsia"/>
                <w:color w:val="auto"/>
                <w:sz w:val="24"/>
                <w:szCs w:val="22"/>
              </w:rPr>
              <w:t>9，危废代码为</w:t>
            </w:r>
            <w:r>
              <w:rPr>
                <w:color w:val="auto"/>
                <w:sz w:val="24"/>
                <w:szCs w:val="22"/>
              </w:rPr>
              <w:t>900-041-49</w:t>
            </w:r>
            <w:r>
              <w:rPr>
                <w:rFonts w:hint="eastAsia"/>
                <w:color w:val="auto"/>
                <w:sz w:val="24"/>
                <w:szCs w:val="22"/>
              </w:rPr>
              <w:t>，危废特性为“</w:t>
            </w:r>
            <w:r>
              <w:rPr>
                <w:color w:val="auto"/>
                <w:sz w:val="24"/>
                <w:szCs w:val="22"/>
              </w:rPr>
              <w:t>T/In</w:t>
            </w:r>
            <w:r>
              <w:rPr>
                <w:rFonts w:hint="eastAsia"/>
                <w:color w:val="auto"/>
                <w:sz w:val="24"/>
                <w:szCs w:val="22"/>
              </w:rPr>
              <w:t>”。</w:t>
            </w:r>
            <w:r>
              <w:rPr>
                <w:color w:val="auto"/>
                <w:sz w:val="24"/>
                <w:szCs w:val="24"/>
              </w:rPr>
              <w:t>委托有资质单位处置。</w:t>
            </w:r>
          </w:p>
          <w:p>
            <w:pPr>
              <w:adjustRightInd w:val="0"/>
              <w:snapToGrid w:val="0"/>
              <w:spacing w:line="360" w:lineRule="auto"/>
              <w:ind w:firstLine="480" w:firstLineChars="200"/>
              <w:rPr>
                <w:b/>
                <w:bCs/>
                <w:color w:val="auto"/>
                <w:sz w:val="24"/>
              </w:rPr>
            </w:pPr>
            <w:r>
              <w:rPr>
                <w:rFonts w:hint="eastAsia"/>
                <w:b/>
                <w:bCs/>
                <w:color w:val="auto"/>
                <w:sz w:val="24"/>
              </w:rPr>
              <w:t>F.废劳保用品</w:t>
            </w:r>
            <w:r>
              <w:rPr>
                <w:rFonts w:hint="eastAsia"/>
                <w:b/>
                <w:bCs/>
                <w:color w:val="auto"/>
                <w:sz w:val="24"/>
                <w:lang w:eastAsia="zh-CN"/>
              </w:rPr>
              <w:t>（</w:t>
            </w:r>
            <w:r>
              <w:rPr>
                <w:rFonts w:hint="eastAsia"/>
                <w:b/>
                <w:bCs/>
                <w:color w:val="auto"/>
                <w:sz w:val="24"/>
                <w:lang w:val="en-US" w:eastAsia="zh-CN"/>
              </w:rPr>
              <w:t>全程豁免</w:t>
            </w:r>
            <w:r>
              <w:rPr>
                <w:rFonts w:hint="eastAsia"/>
                <w:b/>
                <w:bCs/>
                <w:color w:val="auto"/>
                <w:sz w:val="24"/>
                <w:lang w:eastAsia="zh-CN"/>
              </w:rPr>
              <w:t>）</w:t>
            </w:r>
            <w:r>
              <w:rPr>
                <w:rFonts w:hint="eastAsia"/>
                <w:b/>
                <w:bCs/>
                <w:color w:val="auto"/>
                <w:sz w:val="24"/>
              </w:rPr>
              <w:t>：</w:t>
            </w:r>
          </w:p>
          <w:p>
            <w:pPr>
              <w:adjustRightInd w:val="0"/>
              <w:snapToGrid w:val="0"/>
              <w:spacing w:line="360" w:lineRule="auto"/>
              <w:ind w:firstLine="480" w:firstLineChars="200"/>
              <w:rPr>
                <w:b/>
                <w:bCs/>
                <w:color w:val="auto"/>
                <w:sz w:val="24"/>
              </w:rPr>
            </w:pPr>
            <w:r>
              <w:rPr>
                <w:color w:val="auto"/>
                <w:sz w:val="24"/>
                <w:szCs w:val="24"/>
              </w:rPr>
              <w:t>本项目</w:t>
            </w:r>
            <w:r>
              <w:rPr>
                <w:rFonts w:hint="eastAsia"/>
                <w:color w:val="auto"/>
                <w:sz w:val="24"/>
                <w:szCs w:val="24"/>
              </w:rPr>
              <w:t>在清理</w:t>
            </w:r>
            <w:r>
              <w:rPr>
                <w:rFonts w:hint="eastAsia"/>
                <w:color w:val="auto"/>
                <w:sz w:val="24"/>
                <w:szCs w:val="24"/>
                <w:lang w:eastAsia="zh-CN"/>
              </w:rPr>
              <w:t>、</w:t>
            </w:r>
            <w:r>
              <w:rPr>
                <w:rFonts w:hint="eastAsia"/>
                <w:color w:val="auto"/>
                <w:sz w:val="24"/>
                <w:szCs w:val="24"/>
                <w:lang w:val="en-US" w:eastAsia="zh-CN"/>
              </w:rPr>
              <w:t>维护</w:t>
            </w:r>
            <w:r>
              <w:rPr>
                <w:rFonts w:hint="eastAsia"/>
                <w:color w:val="auto"/>
                <w:sz w:val="24"/>
                <w:szCs w:val="24"/>
              </w:rPr>
              <w:t>设备工序会使用抹布、海绵、手套等，</w:t>
            </w:r>
            <w:r>
              <w:rPr>
                <w:color w:val="auto"/>
                <w:sz w:val="24"/>
                <w:szCs w:val="24"/>
              </w:rPr>
              <w:t>会产生</w:t>
            </w:r>
            <w:r>
              <w:rPr>
                <w:rFonts w:hint="eastAsia"/>
                <w:color w:val="auto"/>
                <w:sz w:val="24"/>
                <w:szCs w:val="24"/>
                <w:lang w:val="en-US" w:eastAsia="zh-CN"/>
              </w:rPr>
              <w:t>沾染废润滑油</w:t>
            </w:r>
            <w:r>
              <w:rPr>
                <w:rFonts w:hint="eastAsia"/>
                <w:color w:val="auto"/>
                <w:sz w:val="24"/>
                <w:szCs w:val="24"/>
              </w:rPr>
              <w:t>的废劳保用品</w:t>
            </w:r>
            <w:r>
              <w:rPr>
                <w:color w:val="auto"/>
                <w:sz w:val="24"/>
                <w:szCs w:val="24"/>
              </w:rPr>
              <w:t>（抹布、</w:t>
            </w:r>
            <w:r>
              <w:rPr>
                <w:rFonts w:hint="eastAsia"/>
                <w:color w:val="auto"/>
                <w:sz w:val="24"/>
                <w:szCs w:val="24"/>
              </w:rPr>
              <w:t>海绵、</w:t>
            </w:r>
            <w:r>
              <w:rPr>
                <w:color w:val="auto"/>
                <w:sz w:val="24"/>
                <w:szCs w:val="24"/>
              </w:rPr>
              <w:t>手套等），产生量约为0.</w:t>
            </w:r>
            <w:r>
              <w:rPr>
                <w:rFonts w:hint="eastAsia"/>
                <w:color w:val="auto"/>
                <w:sz w:val="24"/>
                <w:szCs w:val="24"/>
              </w:rPr>
              <w:t>0</w:t>
            </w:r>
            <w:r>
              <w:rPr>
                <w:rFonts w:hint="eastAsia"/>
                <w:color w:val="auto"/>
                <w:sz w:val="24"/>
                <w:szCs w:val="24"/>
                <w:lang w:val="en-US" w:eastAsia="zh-CN"/>
              </w:rPr>
              <w:t>2</w:t>
            </w:r>
            <w:r>
              <w:rPr>
                <w:color w:val="auto"/>
                <w:sz w:val="24"/>
                <w:szCs w:val="24"/>
              </w:rPr>
              <w:t>t/a</w:t>
            </w:r>
            <w:r>
              <w:rPr>
                <w:rFonts w:hint="eastAsia"/>
                <w:color w:val="auto"/>
                <w:sz w:val="24"/>
                <w:szCs w:val="24"/>
              </w:rPr>
              <w:t>。根据《国家危险废物名录</w:t>
            </w:r>
            <w:r>
              <w:rPr>
                <w:rFonts w:hint="eastAsia"/>
                <w:color w:val="auto"/>
                <w:sz w:val="24"/>
                <w:szCs w:val="24"/>
                <w:lang w:eastAsia="zh-CN"/>
              </w:rPr>
              <w:t>（</w:t>
            </w:r>
            <w:r>
              <w:rPr>
                <w:rFonts w:hint="eastAsia"/>
                <w:color w:val="auto"/>
                <w:sz w:val="24"/>
                <w:szCs w:val="24"/>
                <w:lang w:val="en-US" w:eastAsia="zh-CN"/>
              </w:rPr>
              <w:t>2021版</w:t>
            </w:r>
            <w:r>
              <w:rPr>
                <w:rFonts w:hint="eastAsia"/>
                <w:color w:val="auto"/>
                <w:sz w:val="24"/>
                <w:szCs w:val="24"/>
                <w:lang w:eastAsia="zh-CN"/>
              </w:rPr>
              <w:t>）</w:t>
            </w:r>
            <w:r>
              <w:rPr>
                <w:rFonts w:hint="eastAsia"/>
                <w:color w:val="auto"/>
                <w:sz w:val="24"/>
                <w:szCs w:val="24"/>
              </w:rPr>
              <w:t>》附录“危险废物豁免管理清单”可知废弃的含油抹布、劳保用品全部环节豁免，全过程不按危险废物管理。</w:t>
            </w:r>
          </w:p>
          <w:p>
            <w:pPr>
              <w:adjustRightInd w:val="0"/>
              <w:snapToGrid w:val="0"/>
              <w:spacing w:line="360" w:lineRule="auto"/>
              <w:ind w:firstLine="480" w:firstLineChars="200"/>
              <w:rPr>
                <w:rFonts w:ascii="宋体" w:hAnsi="宋体" w:cs="Cambria Math"/>
                <w:b/>
                <w:bCs/>
                <w:color w:val="auto"/>
                <w:sz w:val="24"/>
                <w:szCs w:val="22"/>
              </w:rPr>
            </w:pPr>
            <w:r>
              <w:rPr>
                <w:rFonts w:hint="eastAsia"/>
                <w:b/>
                <w:bCs/>
                <w:color w:val="auto"/>
                <w:sz w:val="24"/>
              </w:rPr>
              <w:t>②</w:t>
            </w:r>
            <w:r>
              <w:rPr>
                <w:rFonts w:hint="eastAsia" w:ascii="宋体" w:hAnsi="宋体" w:cs="Cambria Math"/>
                <w:b/>
                <w:bCs/>
                <w:color w:val="auto"/>
                <w:sz w:val="24"/>
                <w:szCs w:val="22"/>
              </w:rPr>
              <w:t>生活垃圾：</w:t>
            </w:r>
          </w:p>
          <w:p>
            <w:pPr>
              <w:pStyle w:val="79"/>
              <w:spacing w:after="0" w:line="360" w:lineRule="auto"/>
              <w:ind w:firstLine="480" w:firstLineChars="200"/>
              <w:rPr>
                <w:rFonts w:ascii="Times New Roman" w:hAnsi="Times New Roman" w:cs="Times New Roman"/>
                <w:color w:val="auto"/>
                <w:kern w:val="2"/>
                <w:szCs w:val="22"/>
              </w:rPr>
            </w:pPr>
            <w:r>
              <w:rPr>
                <w:rFonts w:hint="eastAsia" w:ascii="Times New Roman" w:hAnsi="Times New Roman" w:cs="Times New Roman"/>
                <w:color w:val="auto"/>
                <w:kern w:val="2"/>
                <w:szCs w:val="22"/>
              </w:rPr>
              <w:t>项目定员</w:t>
            </w:r>
            <w:r>
              <w:rPr>
                <w:rFonts w:hint="eastAsia" w:ascii="Times New Roman" w:hAnsi="Times New Roman" w:cs="Times New Roman"/>
                <w:color w:val="auto"/>
                <w:kern w:val="2"/>
                <w:szCs w:val="22"/>
                <w:lang w:val="en-US" w:eastAsia="zh-CN"/>
              </w:rPr>
              <w:t>10</w:t>
            </w:r>
            <w:r>
              <w:rPr>
                <w:rFonts w:hint="eastAsia" w:ascii="Times New Roman" w:hAnsi="Times New Roman" w:cs="Times New Roman"/>
                <w:color w:val="auto"/>
                <w:kern w:val="2"/>
                <w:szCs w:val="22"/>
              </w:rPr>
              <w:t>人，厂区不提供食宿，职工生活垃圾以0.5kg/d•人计，年工作300天，则职工生活垃圾产生量为</w:t>
            </w:r>
            <w:r>
              <w:rPr>
                <w:rFonts w:hint="eastAsia" w:ascii="Times New Roman" w:hAnsi="Times New Roman" w:cs="Times New Roman"/>
                <w:color w:val="auto"/>
                <w:kern w:val="2"/>
                <w:szCs w:val="22"/>
                <w:lang w:val="en-US" w:eastAsia="zh-CN"/>
              </w:rPr>
              <w:t>1.5</w:t>
            </w:r>
            <w:r>
              <w:rPr>
                <w:rFonts w:hint="eastAsia" w:ascii="Times New Roman" w:hAnsi="Times New Roman" w:cs="Times New Roman"/>
                <w:color w:val="auto"/>
                <w:kern w:val="2"/>
                <w:szCs w:val="22"/>
              </w:rPr>
              <w:t>t/a，属于一般固废，经收集后由环卫部门清运处置。</w:t>
            </w:r>
          </w:p>
          <w:p>
            <w:pPr>
              <w:spacing w:line="360" w:lineRule="auto"/>
              <w:ind w:firstLine="465"/>
              <w:rPr>
                <w:color w:val="auto"/>
                <w:sz w:val="24"/>
              </w:rPr>
            </w:pPr>
            <w:r>
              <w:rPr>
                <w:color w:val="auto"/>
                <w:sz w:val="24"/>
              </w:rPr>
              <w:t>根据《</w:t>
            </w:r>
            <w:r>
              <w:rPr>
                <w:rFonts w:hint="eastAsia"/>
                <w:color w:val="auto"/>
                <w:sz w:val="24"/>
              </w:rPr>
              <w:t>固体废物鉴别标准 通则</w:t>
            </w:r>
            <w:r>
              <w:rPr>
                <w:color w:val="auto"/>
                <w:sz w:val="24"/>
              </w:rPr>
              <w:t>》</w:t>
            </w:r>
            <w:r>
              <w:rPr>
                <w:rFonts w:hint="eastAsia"/>
                <w:color w:val="auto"/>
                <w:sz w:val="24"/>
              </w:rPr>
              <w:t>（GB34330-2017）</w:t>
            </w:r>
            <w:r>
              <w:rPr>
                <w:color w:val="auto"/>
                <w:sz w:val="24"/>
              </w:rPr>
              <w:t>对项目产生的固体废物进行判定。本项目固体废物产生情况汇总表见表</w:t>
            </w:r>
            <w:r>
              <w:rPr>
                <w:rFonts w:hint="eastAsia"/>
                <w:color w:val="auto"/>
                <w:sz w:val="24"/>
              </w:rPr>
              <w:t>5-</w:t>
            </w:r>
            <w:r>
              <w:rPr>
                <w:rFonts w:hint="eastAsia"/>
                <w:color w:val="auto"/>
                <w:sz w:val="24"/>
                <w:lang w:val="en-US" w:eastAsia="zh-CN"/>
              </w:rPr>
              <w:t>20</w:t>
            </w:r>
            <w:r>
              <w:rPr>
                <w:color w:val="auto"/>
                <w:sz w:val="24"/>
              </w:rPr>
              <w:t>，固体废物产生量及处置方式具体见表</w:t>
            </w:r>
            <w:r>
              <w:rPr>
                <w:rFonts w:hint="eastAsia"/>
                <w:color w:val="auto"/>
                <w:sz w:val="24"/>
              </w:rPr>
              <w:t>5-</w:t>
            </w:r>
            <w:r>
              <w:rPr>
                <w:rFonts w:hint="eastAsia"/>
                <w:color w:val="auto"/>
                <w:sz w:val="24"/>
                <w:lang w:val="en-US" w:eastAsia="zh-CN"/>
              </w:rPr>
              <w:t>21</w:t>
            </w:r>
            <w:r>
              <w:rPr>
                <w:color w:val="auto"/>
                <w:sz w:val="24"/>
              </w:rPr>
              <w:t>，固体废物分析结果汇总见表</w:t>
            </w:r>
            <w:r>
              <w:rPr>
                <w:rFonts w:hint="eastAsia"/>
                <w:color w:val="auto"/>
                <w:sz w:val="24"/>
              </w:rPr>
              <w:t>5-</w:t>
            </w:r>
            <w:r>
              <w:rPr>
                <w:rFonts w:hint="eastAsia"/>
                <w:color w:val="auto"/>
                <w:sz w:val="24"/>
                <w:lang w:val="en-US" w:eastAsia="zh-CN"/>
              </w:rPr>
              <w:t>22</w:t>
            </w:r>
            <w:r>
              <w:rPr>
                <w:color w:val="auto"/>
                <w:sz w:val="24"/>
              </w:rPr>
              <w:t>。</w:t>
            </w:r>
          </w:p>
          <w:p>
            <w:pPr>
              <w:jc w:val="center"/>
              <w:rPr>
                <w:b/>
                <w:color w:val="auto"/>
                <w:szCs w:val="21"/>
              </w:rPr>
            </w:pPr>
            <w:r>
              <w:rPr>
                <w:b/>
                <w:color w:val="auto"/>
                <w:szCs w:val="21"/>
              </w:rPr>
              <w:t>表</w:t>
            </w:r>
            <w:r>
              <w:rPr>
                <w:rFonts w:hint="eastAsia"/>
                <w:b/>
                <w:color w:val="auto"/>
                <w:szCs w:val="21"/>
              </w:rPr>
              <w:t>5-</w:t>
            </w:r>
            <w:r>
              <w:rPr>
                <w:rFonts w:hint="eastAsia"/>
                <w:b/>
                <w:color w:val="auto"/>
                <w:szCs w:val="21"/>
                <w:lang w:val="en-US" w:eastAsia="zh-CN"/>
              </w:rPr>
              <w:t>20</w:t>
            </w:r>
            <w:r>
              <w:rPr>
                <w:rFonts w:hint="eastAsia"/>
                <w:b/>
                <w:color w:val="auto"/>
                <w:szCs w:val="21"/>
              </w:rPr>
              <w:t xml:space="preserve"> </w:t>
            </w:r>
            <w:r>
              <w:rPr>
                <w:b/>
                <w:color w:val="auto"/>
                <w:szCs w:val="21"/>
              </w:rPr>
              <w:t xml:space="preserve"> 本项目</w:t>
            </w:r>
            <w:r>
              <w:rPr>
                <w:rFonts w:hint="eastAsia"/>
                <w:b/>
                <w:color w:val="auto"/>
                <w:szCs w:val="21"/>
              </w:rPr>
              <w:t>固废</w:t>
            </w:r>
            <w:r>
              <w:rPr>
                <w:b/>
                <w:color w:val="auto"/>
                <w:szCs w:val="21"/>
              </w:rPr>
              <w:t>产生情况汇总表</w:t>
            </w:r>
          </w:p>
          <w:tbl>
            <w:tblPr>
              <w:tblStyle w:val="56"/>
              <w:tblW w:w="4995"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585"/>
              <w:gridCol w:w="1189"/>
              <w:gridCol w:w="1154"/>
              <w:gridCol w:w="871"/>
              <w:gridCol w:w="1481"/>
              <w:gridCol w:w="1139"/>
              <w:gridCol w:w="1109"/>
              <w:gridCol w:w="776"/>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Merge w:val="restart"/>
                  <w:vAlign w:val="center"/>
                </w:tcPr>
                <w:p>
                  <w:pPr>
                    <w:pStyle w:val="123"/>
                    <w:rPr>
                      <w:b/>
                      <w:color w:val="auto"/>
                    </w:rPr>
                  </w:pPr>
                  <w:r>
                    <w:rPr>
                      <w:b/>
                      <w:color w:val="auto"/>
                    </w:rPr>
                    <w:t>序号</w:t>
                  </w:r>
                </w:p>
              </w:tc>
              <w:tc>
                <w:tcPr>
                  <w:tcW w:w="715" w:type="pct"/>
                  <w:vMerge w:val="restart"/>
                  <w:vAlign w:val="center"/>
                </w:tcPr>
                <w:p>
                  <w:pPr>
                    <w:pStyle w:val="123"/>
                    <w:rPr>
                      <w:b/>
                      <w:color w:val="auto"/>
                    </w:rPr>
                  </w:pPr>
                  <w:r>
                    <w:rPr>
                      <w:rFonts w:hint="eastAsia"/>
                      <w:b/>
                      <w:color w:val="auto"/>
                    </w:rPr>
                    <w:t>固体废物</w:t>
                  </w:r>
                  <w:r>
                    <w:rPr>
                      <w:b/>
                      <w:color w:val="auto"/>
                    </w:rPr>
                    <w:t>名称</w:t>
                  </w:r>
                </w:p>
              </w:tc>
              <w:tc>
                <w:tcPr>
                  <w:tcW w:w="694" w:type="pct"/>
                  <w:vMerge w:val="restart"/>
                  <w:vAlign w:val="center"/>
                </w:tcPr>
                <w:p>
                  <w:pPr>
                    <w:pStyle w:val="123"/>
                    <w:rPr>
                      <w:b/>
                      <w:color w:val="auto"/>
                    </w:rPr>
                  </w:pPr>
                  <w:r>
                    <w:rPr>
                      <w:b/>
                      <w:color w:val="auto"/>
                    </w:rPr>
                    <w:t>产生工序</w:t>
                  </w:r>
                </w:p>
              </w:tc>
              <w:tc>
                <w:tcPr>
                  <w:tcW w:w="524" w:type="pct"/>
                  <w:vMerge w:val="restart"/>
                  <w:vAlign w:val="center"/>
                </w:tcPr>
                <w:p>
                  <w:pPr>
                    <w:pStyle w:val="123"/>
                    <w:rPr>
                      <w:b/>
                      <w:color w:val="auto"/>
                    </w:rPr>
                  </w:pPr>
                  <w:r>
                    <w:rPr>
                      <w:b/>
                      <w:color w:val="auto"/>
                    </w:rPr>
                    <w:t>形态</w:t>
                  </w:r>
                </w:p>
              </w:tc>
              <w:tc>
                <w:tcPr>
                  <w:tcW w:w="891" w:type="pct"/>
                  <w:vMerge w:val="restart"/>
                  <w:vAlign w:val="center"/>
                </w:tcPr>
                <w:p>
                  <w:pPr>
                    <w:pStyle w:val="123"/>
                    <w:rPr>
                      <w:b/>
                      <w:color w:val="auto"/>
                    </w:rPr>
                  </w:pPr>
                  <w:r>
                    <w:rPr>
                      <w:b/>
                      <w:color w:val="auto"/>
                    </w:rPr>
                    <w:t>主要成分</w:t>
                  </w:r>
                </w:p>
              </w:tc>
              <w:tc>
                <w:tcPr>
                  <w:tcW w:w="685" w:type="pct"/>
                  <w:vMerge w:val="restart"/>
                  <w:vAlign w:val="center"/>
                </w:tcPr>
                <w:p>
                  <w:pPr>
                    <w:pStyle w:val="123"/>
                    <w:rPr>
                      <w:b/>
                      <w:color w:val="auto"/>
                    </w:rPr>
                  </w:pPr>
                  <w:r>
                    <w:rPr>
                      <w:b/>
                      <w:color w:val="auto"/>
                    </w:rPr>
                    <w:t>预测产生量（t/a）</w:t>
                  </w:r>
                </w:p>
              </w:tc>
              <w:tc>
                <w:tcPr>
                  <w:tcW w:w="667" w:type="pct"/>
                  <w:vAlign w:val="center"/>
                </w:tcPr>
                <w:p>
                  <w:pPr>
                    <w:pStyle w:val="123"/>
                    <w:rPr>
                      <w:b/>
                      <w:color w:val="auto"/>
                    </w:rPr>
                  </w:pPr>
                  <w:r>
                    <w:rPr>
                      <w:b/>
                      <w:color w:val="auto"/>
                    </w:rPr>
                    <w:t>种类判断</w:t>
                  </w:r>
                </w:p>
              </w:tc>
              <w:tc>
                <w:tcPr>
                  <w:tcW w:w="467" w:type="pct"/>
                  <w:vMerge w:val="restart"/>
                  <w:vAlign w:val="center"/>
                </w:tcPr>
                <w:p>
                  <w:pPr>
                    <w:pStyle w:val="123"/>
                    <w:rPr>
                      <w:b/>
                      <w:color w:val="auto"/>
                    </w:rPr>
                  </w:pPr>
                  <w:r>
                    <w:rPr>
                      <w:rFonts w:hint="eastAsia"/>
                      <w:b/>
                      <w:color w:val="auto"/>
                    </w:rPr>
                    <w:t>鉴别依据</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Merge w:val="continue"/>
                  <w:vAlign w:val="center"/>
                </w:tcPr>
                <w:p>
                  <w:pPr>
                    <w:jc w:val="center"/>
                    <w:rPr>
                      <w:color w:val="auto"/>
                      <w:szCs w:val="21"/>
                    </w:rPr>
                  </w:pPr>
                </w:p>
              </w:tc>
              <w:tc>
                <w:tcPr>
                  <w:tcW w:w="715" w:type="pct"/>
                  <w:vMerge w:val="continue"/>
                  <w:vAlign w:val="center"/>
                </w:tcPr>
                <w:p>
                  <w:pPr>
                    <w:jc w:val="center"/>
                    <w:rPr>
                      <w:color w:val="auto"/>
                      <w:szCs w:val="21"/>
                    </w:rPr>
                  </w:pPr>
                </w:p>
              </w:tc>
              <w:tc>
                <w:tcPr>
                  <w:tcW w:w="694" w:type="pct"/>
                  <w:vMerge w:val="continue"/>
                  <w:vAlign w:val="center"/>
                </w:tcPr>
                <w:p>
                  <w:pPr>
                    <w:jc w:val="center"/>
                    <w:rPr>
                      <w:color w:val="auto"/>
                      <w:szCs w:val="21"/>
                    </w:rPr>
                  </w:pPr>
                </w:p>
              </w:tc>
              <w:tc>
                <w:tcPr>
                  <w:tcW w:w="524" w:type="pct"/>
                  <w:vMerge w:val="continue"/>
                  <w:vAlign w:val="center"/>
                </w:tcPr>
                <w:p>
                  <w:pPr>
                    <w:jc w:val="center"/>
                    <w:rPr>
                      <w:color w:val="auto"/>
                      <w:szCs w:val="21"/>
                    </w:rPr>
                  </w:pPr>
                </w:p>
              </w:tc>
              <w:tc>
                <w:tcPr>
                  <w:tcW w:w="891" w:type="pct"/>
                  <w:vMerge w:val="continue"/>
                  <w:vAlign w:val="center"/>
                </w:tcPr>
                <w:p>
                  <w:pPr>
                    <w:jc w:val="center"/>
                    <w:rPr>
                      <w:color w:val="auto"/>
                      <w:szCs w:val="21"/>
                    </w:rPr>
                  </w:pPr>
                </w:p>
              </w:tc>
              <w:tc>
                <w:tcPr>
                  <w:tcW w:w="685" w:type="pct"/>
                  <w:vMerge w:val="continue"/>
                  <w:vAlign w:val="center"/>
                </w:tcPr>
                <w:p>
                  <w:pPr>
                    <w:jc w:val="center"/>
                    <w:rPr>
                      <w:color w:val="auto"/>
                      <w:szCs w:val="21"/>
                    </w:rPr>
                  </w:pPr>
                </w:p>
              </w:tc>
              <w:tc>
                <w:tcPr>
                  <w:tcW w:w="667" w:type="pct"/>
                  <w:vAlign w:val="center"/>
                </w:tcPr>
                <w:p>
                  <w:pPr>
                    <w:pStyle w:val="123"/>
                    <w:rPr>
                      <w:b/>
                      <w:color w:val="auto"/>
                    </w:rPr>
                  </w:pPr>
                  <w:r>
                    <w:rPr>
                      <w:b/>
                      <w:color w:val="auto"/>
                    </w:rPr>
                    <w:t>固体废物</w:t>
                  </w:r>
                </w:p>
              </w:tc>
              <w:tc>
                <w:tcPr>
                  <w:tcW w:w="467"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color w:val="auto"/>
                      <w:szCs w:val="21"/>
                    </w:rPr>
                  </w:pPr>
                  <w:r>
                    <w:rPr>
                      <w:rFonts w:hint="eastAsia"/>
                      <w:color w:val="auto"/>
                      <w:szCs w:val="21"/>
                    </w:rPr>
                    <w:t>1</w:t>
                  </w:r>
                </w:p>
              </w:tc>
              <w:tc>
                <w:tcPr>
                  <w:tcW w:w="715" w:type="pct"/>
                  <w:vAlign w:val="center"/>
                </w:tcPr>
                <w:p>
                  <w:pPr>
                    <w:jc w:val="center"/>
                    <w:rPr>
                      <w:rFonts w:hint="default" w:eastAsia="宋体"/>
                      <w:color w:val="auto"/>
                      <w:szCs w:val="21"/>
                      <w:lang w:val="en-US" w:eastAsia="zh-CN"/>
                    </w:rPr>
                  </w:pPr>
                  <w:r>
                    <w:rPr>
                      <w:rFonts w:hint="eastAsia"/>
                      <w:color w:val="auto"/>
                      <w:szCs w:val="21"/>
                      <w:lang w:val="en-US" w:eastAsia="zh-CN"/>
                    </w:rPr>
                    <w:t>废边角料</w:t>
                  </w:r>
                </w:p>
              </w:tc>
              <w:tc>
                <w:tcPr>
                  <w:tcW w:w="694" w:type="pct"/>
                  <w:vAlign w:val="center"/>
                </w:tcPr>
                <w:p>
                  <w:pPr>
                    <w:jc w:val="center"/>
                    <w:rPr>
                      <w:color w:val="auto"/>
                      <w:szCs w:val="21"/>
                    </w:rPr>
                  </w:pPr>
                  <w:r>
                    <w:rPr>
                      <w:rFonts w:hint="eastAsia"/>
                      <w:color w:val="auto"/>
                      <w:szCs w:val="21"/>
                    </w:rPr>
                    <w:t>镗铣粗加工、打孔</w:t>
                  </w:r>
                  <w:r>
                    <w:rPr>
                      <w:rFonts w:hint="eastAsia"/>
                      <w:color w:val="auto"/>
                      <w:szCs w:val="21"/>
                      <w:lang w:eastAsia="zh-CN"/>
                    </w:rPr>
                    <w:t>、</w:t>
                  </w:r>
                  <w:r>
                    <w:rPr>
                      <w:rFonts w:hint="eastAsia"/>
                      <w:color w:val="auto"/>
                      <w:szCs w:val="21"/>
                    </w:rPr>
                    <w:t>精加工工序</w:t>
                  </w:r>
                </w:p>
              </w:tc>
              <w:tc>
                <w:tcPr>
                  <w:tcW w:w="524" w:type="pct"/>
                  <w:vAlign w:val="center"/>
                </w:tcPr>
                <w:p>
                  <w:pPr>
                    <w:jc w:val="center"/>
                    <w:rPr>
                      <w:rFonts w:hint="eastAsia" w:eastAsia="宋体"/>
                      <w:color w:val="auto"/>
                      <w:szCs w:val="21"/>
                      <w:lang w:val="en-US" w:eastAsia="zh-CN"/>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废铁合金</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15</w:t>
                  </w:r>
                </w:p>
              </w:tc>
              <w:tc>
                <w:tcPr>
                  <w:tcW w:w="667" w:type="pct"/>
                  <w:vAlign w:val="center"/>
                </w:tcPr>
                <w:p>
                  <w:pPr>
                    <w:jc w:val="center"/>
                    <w:rPr>
                      <w:color w:val="auto"/>
                      <w:szCs w:val="21"/>
                    </w:rPr>
                  </w:pPr>
                  <w:r>
                    <w:rPr>
                      <w:bCs/>
                      <w:color w:val="auto"/>
                      <w:kern w:val="18"/>
                      <w:szCs w:val="21"/>
                    </w:rPr>
                    <w:t>√</w:t>
                  </w:r>
                </w:p>
              </w:tc>
              <w:tc>
                <w:tcPr>
                  <w:tcW w:w="467" w:type="pct"/>
                  <w:vMerge w:val="restart"/>
                  <w:vAlign w:val="center"/>
                </w:tcPr>
                <w:p>
                  <w:pPr>
                    <w:jc w:val="center"/>
                    <w:rPr>
                      <w:bCs/>
                      <w:color w:val="auto"/>
                      <w:kern w:val="18"/>
                      <w:szCs w:val="21"/>
                    </w:rPr>
                  </w:pPr>
                  <w:r>
                    <w:rPr>
                      <w:bCs/>
                      <w:color w:val="auto"/>
                    </w:rPr>
                    <w:t>《固体废物鉴别标准 通则》</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2</w:t>
                  </w:r>
                </w:p>
              </w:tc>
              <w:tc>
                <w:tcPr>
                  <w:tcW w:w="715" w:type="pct"/>
                  <w:vAlign w:val="center"/>
                </w:tcPr>
                <w:p>
                  <w:pPr>
                    <w:jc w:val="center"/>
                    <w:rPr>
                      <w:rFonts w:hint="eastAsia" w:eastAsia="宋体"/>
                      <w:color w:val="auto"/>
                      <w:szCs w:val="21"/>
                      <w:lang w:val="en-US" w:eastAsia="zh-CN"/>
                    </w:rPr>
                  </w:pPr>
                  <w:r>
                    <w:rPr>
                      <w:rFonts w:hint="eastAsia"/>
                      <w:color w:val="auto"/>
                      <w:szCs w:val="21"/>
                      <w:lang w:val="en-US" w:eastAsia="zh-CN"/>
                    </w:rPr>
                    <w:t>废渣</w:t>
                  </w:r>
                </w:p>
              </w:tc>
              <w:tc>
                <w:tcPr>
                  <w:tcW w:w="694" w:type="pct"/>
                  <w:vAlign w:val="center"/>
                </w:tcPr>
                <w:p>
                  <w:pPr>
                    <w:jc w:val="center"/>
                    <w:rPr>
                      <w:rFonts w:hint="default" w:eastAsia="宋体"/>
                      <w:color w:val="auto"/>
                      <w:szCs w:val="21"/>
                      <w:lang w:val="en-US" w:eastAsia="zh-CN"/>
                    </w:rPr>
                  </w:pPr>
                  <w:r>
                    <w:rPr>
                      <w:rFonts w:hint="eastAsia"/>
                      <w:color w:val="auto"/>
                      <w:szCs w:val="21"/>
                      <w:lang w:val="en-US" w:eastAsia="zh-CN"/>
                    </w:rPr>
                    <w:t>清洗工序</w:t>
                  </w:r>
                </w:p>
              </w:tc>
              <w:tc>
                <w:tcPr>
                  <w:tcW w:w="524" w:type="pct"/>
                  <w:vAlign w:val="center"/>
                </w:tcPr>
                <w:p>
                  <w:pPr>
                    <w:jc w:val="center"/>
                    <w:rPr>
                      <w:rFonts w:hint="eastAsia" w:eastAsia="宋体"/>
                      <w:color w:val="auto"/>
                      <w:szCs w:val="21"/>
                      <w:lang w:val="en-US" w:eastAsia="zh-CN"/>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废铁合金</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10</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3</w:t>
                  </w:r>
                </w:p>
              </w:tc>
              <w:tc>
                <w:tcPr>
                  <w:tcW w:w="715" w:type="pct"/>
                  <w:vAlign w:val="center"/>
                </w:tcPr>
                <w:p>
                  <w:pPr>
                    <w:jc w:val="center"/>
                    <w:rPr>
                      <w:rFonts w:hint="eastAsia" w:eastAsia="宋体"/>
                      <w:color w:val="auto"/>
                      <w:szCs w:val="21"/>
                      <w:lang w:val="en-US" w:eastAsia="zh-CN"/>
                    </w:rPr>
                  </w:pPr>
                  <w:r>
                    <w:rPr>
                      <w:rFonts w:hint="eastAsia"/>
                      <w:color w:val="auto"/>
                      <w:szCs w:val="21"/>
                      <w:lang w:val="en-US" w:eastAsia="zh-CN"/>
                    </w:rPr>
                    <w:t>废砂</w:t>
                  </w:r>
                </w:p>
              </w:tc>
              <w:tc>
                <w:tcPr>
                  <w:tcW w:w="694" w:type="pct"/>
                  <w:vAlign w:val="center"/>
                </w:tcPr>
                <w:p>
                  <w:pPr>
                    <w:jc w:val="center"/>
                    <w:rPr>
                      <w:rFonts w:hint="default" w:eastAsia="宋体"/>
                      <w:color w:val="auto"/>
                      <w:szCs w:val="21"/>
                      <w:lang w:val="en-US" w:eastAsia="zh-CN"/>
                    </w:rPr>
                  </w:pPr>
                  <w:r>
                    <w:rPr>
                      <w:rFonts w:hint="eastAsia"/>
                      <w:color w:val="auto"/>
                      <w:szCs w:val="21"/>
                      <w:lang w:val="en-US" w:eastAsia="zh-CN"/>
                    </w:rPr>
                    <w:t>喷砂工序</w:t>
                  </w:r>
                </w:p>
              </w:tc>
              <w:tc>
                <w:tcPr>
                  <w:tcW w:w="524" w:type="pct"/>
                  <w:vAlign w:val="center"/>
                </w:tcPr>
                <w:p>
                  <w:pPr>
                    <w:jc w:val="center"/>
                    <w:rPr>
                      <w:rFonts w:hint="eastAsia" w:eastAsia="宋体"/>
                      <w:color w:val="auto"/>
                      <w:szCs w:val="21"/>
                      <w:lang w:val="en-US" w:eastAsia="zh-CN"/>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废铁砂</w:t>
                  </w:r>
                </w:p>
              </w:tc>
              <w:tc>
                <w:tcPr>
                  <w:tcW w:w="685" w:type="pct"/>
                  <w:vAlign w:val="center"/>
                </w:tcPr>
                <w:p>
                  <w:pPr>
                    <w:jc w:val="center"/>
                    <w:rPr>
                      <w:rFonts w:hint="eastAsia" w:eastAsia="宋体"/>
                      <w:color w:val="auto"/>
                      <w:szCs w:val="21"/>
                      <w:lang w:val="en-US" w:eastAsia="zh-CN"/>
                    </w:rPr>
                  </w:pPr>
                  <w:r>
                    <w:rPr>
                      <w:rFonts w:hint="eastAsia"/>
                      <w:color w:val="auto"/>
                      <w:szCs w:val="21"/>
                      <w:lang w:val="en-US" w:eastAsia="zh-CN"/>
                    </w:rPr>
                    <w:t>5</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4</w:t>
                  </w:r>
                </w:p>
              </w:tc>
              <w:tc>
                <w:tcPr>
                  <w:tcW w:w="715" w:type="pct"/>
                  <w:vAlign w:val="center"/>
                </w:tcPr>
                <w:p>
                  <w:pPr>
                    <w:jc w:val="center"/>
                    <w:rPr>
                      <w:rFonts w:hint="default" w:eastAsia="宋体"/>
                      <w:color w:val="auto"/>
                      <w:szCs w:val="21"/>
                      <w:lang w:val="en-US" w:eastAsia="zh-CN"/>
                    </w:rPr>
                  </w:pPr>
                  <w:r>
                    <w:rPr>
                      <w:rFonts w:hint="eastAsia"/>
                      <w:color w:val="auto"/>
                      <w:szCs w:val="21"/>
                      <w:lang w:val="en-US" w:eastAsia="zh-CN"/>
                    </w:rPr>
                    <w:t>废铁丸</w:t>
                  </w:r>
                </w:p>
              </w:tc>
              <w:tc>
                <w:tcPr>
                  <w:tcW w:w="694" w:type="pct"/>
                  <w:vAlign w:val="center"/>
                </w:tcPr>
                <w:p>
                  <w:pPr>
                    <w:jc w:val="center"/>
                    <w:rPr>
                      <w:rFonts w:hint="default" w:eastAsia="宋体"/>
                      <w:color w:val="auto"/>
                      <w:szCs w:val="21"/>
                      <w:lang w:val="en-US" w:eastAsia="zh-CN"/>
                    </w:rPr>
                  </w:pPr>
                  <w:r>
                    <w:rPr>
                      <w:rFonts w:hint="eastAsia"/>
                      <w:color w:val="auto"/>
                      <w:szCs w:val="21"/>
                      <w:lang w:val="en-US" w:eastAsia="zh-CN"/>
                    </w:rPr>
                    <w:t>抛丸工序</w:t>
                  </w:r>
                </w:p>
              </w:tc>
              <w:tc>
                <w:tcPr>
                  <w:tcW w:w="524" w:type="pct"/>
                  <w:vAlign w:val="center"/>
                </w:tcPr>
                <w:p>
                  <w:pPr>
                    <w:jc w:val="center"/>
                    <w:rPr>
                      <w:color w:val="auto"/>
                      <w:szCs w:val="21"/>
                    </w:rPr>
                  </w:pPr>
                  <w:r>
                    <w:rPr>
                      <w:rFonts w:hint="eastAsia"/>
                      <w:color w:val="auto"/>
                      <w:szCs w:val="21"/>
                      <w:lang w:val="en-US" w:eastAsia="zh-CN"/>
                    </w:rPr>
                    <w:t>固态</w:t>
                  </w:r>
                </w:p>
              </w:tc>
              <w:tc>
                <w:tcPr>
                  <w:tcW w:w="891" w:type="pct"/>
                  <w:vAlign w:val="center"/>
                </w:tcPr>
                <w:p>
                  <w:pPr>
                    <w:jc w:val="center"/>
                    <w:rPr>
                      <w:rFonts w:hint="default"/>
                      <w:color w:val="auto"/>
                      <w:szCs w:val="21"/>
                      <w:lang w:val="en-US"/>
                    </w:rPr>
                  </w:pPr>
                  <w:r>
                    <w:rPr>
                      <w:rFonts w:hint="eastAsia"/>
                      <w:color w:val="auto"/>
                      <w:szCs w:val="21"/>
                      <w:lang w:val="en-US" w:eastAsia="zh-CN"/>
                    </w:rPr>
                    <w:t>废铁丸</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5</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5</w:t>
                  </w:r>
                </w:p>
              </w:tc>
              <w:tc>
                <w:tcPr>
                  <w:tcW w:w="715" w:type="pct"/>
                  <w:vAlign w:val="center"/>
                </w:tcPr>
                <w:p>
                  <w:pPr>
                    <w:jc w:val="center"/>
                    <w:rPr>
                      <w:rFonts w:hint="default" w:eastAsia="宋体"/>
                      <w:color w:val="auto"/>
                      <w:szCs w:val="21"/>
                      <w:lang w:val="en-US" w:eastAsia="zh-CN"/>
                    </w:rPr>
                  </w:pPr>
                  <w:r>
                    <w:rPr>
                      <w:rFonts w:hint="eastAsia"/>
                      <w:color w:val="auto"/>
                      <w:szCs w:val="21"/>
                      <w:lang w:val="en-US" w:eastAsia="zh-CN"/>
                    </w:rPr>
                    <w:t>加工粉尘</w:t>
                  </w:r>
                </w:p>
              </w:tc>
              <w:tc>
                <w:tcPr>
                  <w:tcW w:w="694" w:type="pct"/>
                  <w:vAlign w:val="center"/>
                </w:tcPr>
                <w:p>
                  <w:pPr>
                    <w:jc w:val="center"/>
                    <w:rPr>
                      <w:rFonts w:hint="default" w:eastAsia="宋体"/>
                      <w:color w:val="auto"/>
                      <w:szCs w:val="21"/>
                      <w:lang w:val="en-US" w:eastAsia="zh-CN"/>
                    </w:rPr>
                  </w:pPr>
                  <w:r>
                    <w:rPr>
                      <w:rFonts w:hint="eastAsia"/>
                      <w:color w:val="auto"/>
                      <w:szCs w:val="21"/>
                      <w:lang w:val="en-US" w:eastAsia="zh-CN"/>
                    </w:rPr>
                    <w:t>布袋收集</w:t>
                  </w:r>
                </w:p>
              </w:tc>
              <w:tc>
                <w:tcPr>
                  <w:tcW w:w="524" w:type="pct"/>
                  <w:vAlign w:val="center"/>
                </w:tcPr>
                <w:p>
                  <w:pPr>
                    <w:jc w:val="center"/>
                    <w:rPr>
                      <w:rFonts w:hint="default" w:eastAsia="宋体"/>
                      <w:color w:val="auto"/>
                      <w:szCs w:val="21"/>
                      <w:lang w:val="en-US" w:eastAsia="zh-CN"/>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铁锈等</w:t>
                  </w:r>
                </w:p>
              </w:tc>
              <w:tc>
                <w:tcPr>
                  <w:tcW w:w="685" w:type="pct"/>
                  <w:vAlign w:val="center"/>
                </w:tcPr>
                <w:p>
                  <w:pPr>
                    <w:jc w:val="center"/>
                    <w:rPr>
                      <w:color w:val="auto"/>
                      <w:szCs w:val="21"/>
                    </w:rPr>
                  </w:pPr>
                  <w:r>
                    <w:rPr>
                      <w:rFonts w:hint="eastAsia"/>
                      <w:color w:val="auto"/>
                      <w:szCs w:val="21"/>
                      <w:lang w:val="en-US" w:eastAsia="zh-CN"/>
                    </w:rPr>
                    <w:t>31.84</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eastAsia="宋体"/>
                      <w:color w:val="auto"/>
                      <w:szCs w:val="21"/>
                      <w:lang w:val="en-US" w:eastAsia="zh-CN"/>
                    </w:rPr>
                  </w:pPr>
                  <w:r>
                    <w:rPr>
                      <w:rFonts w:hint="eastAsia"/>
                      <w:color w:val="auto"/>
                      <w:szCs w:val="21"/>
                      <w:lang w:val="en-US" w:eastAsia="zh-CN"/>
                    </w:rPr>
                    <w:t>6</w:t>
                  </w:r>
                </w:p>
              </w:tc>
              <w:tc>
                <w:tcPr>
                  <w:tcW w:w="715" w:type="pct"/>
                  <w:vAlign w:val="center"/>
                </w:tcPr>
                <w:p>
                  <w:pPr>
                    <w:jc w:val="center"/>
                    <w:rPr>
                      <w:rFonts w:hint="default"/>
                      <w:color w:val="auto"/>
                      <w:szCs w:val="21"/>
                      <w:lang w:val="en-US" w:eastAsia="zh-CN"/>
                    </w:rPr>
                  </w:pPr>
                  <w:r>
                    <w:rPr>
                      <w:rFonts w:hint="eastAsia"/>
                      <w:color w:val="auto"/>
                      <w:szCs w:val="21"/>
                      <w:lang w:val="en-US" w:eastAsia="zh-CN"/>
                    </w:rPr>
                    <w:t>废塑粉</w:t>
                  </w:r>
                </w:p>
              </w:tc>
              <w:tc>
                <w:tcPr>
                  <w:tcW w:w="694" w:type="pct"/>
                  <w:vAlign w:val="center"/>
                </w:tcPr>
                <w:p>
                  <w:pPr>
                    <w:jc w:val="center"/>
                    <w:rPr>
                      <w:rFonts w:hint="default"/>
                      <w:color w:val="auto"/>
                      <w:szCs w:val="21"/>
                      <w:lang w:val="en-US" w:eastAsia="zh-CN"/>
                    </w:rPr>
                  </w:pPr>
                  <w:r>
                    <w:rPr>
                      <w:rFonts w:hint="eastAsia"/>
                      <w:color w:val="auto"/>
                      <w:szCs w:val="21"/>
                      <w:lang w:val="en-US" w:eastAsia="zh-CN"/>
                    </w:rPr>
                    <w:t>喷塑工序</w:t>
                  </w:r>
                </w:p>
              </w:tc>
              <w:tc>
                <w:tcPr>
                  <w:tcW w:w="524" w:type="pct"/>
                  <w:vAlign w:val="center"/>
                </w:tcPr>
                <w:p>
                  <w:pPr>
                    <w:jc w:val="center"/>
                    <w:rPr>
                      <w:rFonts w:hint="eastAsia" w:eastAsia="宋体"/>
                      <w:color w:val="auto"/>
                      <w:szCs w:val="21"/>
                      <w:lang w:val="en-US" w:eastAsia="zh-CN"/>
                    </w:rPr>
                  </w:pPr>
                  <w:r>
                    <w:rPr>
                      <w:rFonts w:hint="eastAsia"/>
                      <w:color w:val="auto"/>
                      <w:szCs w:val="21"/>
                      <w:lang w:val="en-US" w:eastAsia="zh-CN"/>
                    </w:rPr>
                    <w:t>固态</w:t>
                  </w:r>
                </w:p>
              </w:tc>
              <w:tc>
                <w:tcPr>
                  <w:tcW w:w="891" w:type="pct"/>
                  <w:vAlign w:val="center"/>
                </w:tcPr>
                <w:p>
                  <w:pPr>
                    <w:jc w:val="center"/>
                    <w:rPr>
                      <w:rFonts w:hint="eastAsia" w:eastAsia="宋体"/>
                      <w:color w:val="auto"/>
                      <w:szCs w:val="21"/>
                      <w:lang w:val="en-US" w:eastAsia="zh-CN"/>
                    </w:rPr>
                  </w:pPr>
                  <w:r>
                    <w:rPr>
                      <w:rFonts w:hint="eastAsia"/>
                      <w:color w:val="auto"/>
                      <w:szCs w:val="21"/>
                      <w:lang w:val="en-US" w:eastAsia="zh-CN"/>
                    </w:rPr>
                    <w:t>塑粉</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0.109</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eastAsia="宋体"/>
                      <w:color w:val="auto"/>
                      <w:szCs w:val="21"/>
                      <w:lang w:val="en-US" w:eastAsia="zh-CN"/>
                    </w:rPr>
                  </w:pPr>
                  <w:r>
                    <w:rPr>
                      <w:rFonts w:hint="eastAsia"/>
                      <w:color w:val="auto"/>
                      <w:szCs w:val="21"/>
                      <w:lang w:val="en-US" w:eastAsia="zh-CN"/>
                    </w:rPr>
                    <w:t>7</w:t>
                  </w:r>
                </w:p>
              </w:tc>
              <w:tc>
                <w:tcPr>
                  <w:tcW w:w="715" w:type="pct"/>
                  <w:vAlign w:val="center"/>
                </w:tcPr>
                <w:p>
                  <w:pPr>
                    <w:jc w:val="center"/>
                    <w:rPr>
                      <w:rFonts w:hint="eastAsia"/>
                      <w:color w:val="auto"/>
                      <w:szCs w:val="21"/>
                      <w:lang w:val="en-US" w:eastAsia="zh-CN"/>
                    </w:rPr>
                  </w:pPr>
                  <w:r>
                    <w:rPr>
                      <w:rFonts w:hint="eastAsia"/>
                      <w:color w:val="auto"/>
                      <w:szCs w:val="21"/>
                      <w:lang w:val="en-US" w:eastAsia="zh-CN"/>
                    </w:rPr>
                    <w:t>锌颗粒物、废锌丝</w:t>
                  </w:r>
                </w:p>
              </w:tc>
              <w:tc>
                <w:tcPr>
                  <w:tcW w:w="694" w:type="pct"/>
                  <w:vAlign w:val="center"/>
                </w:tcPr>
                <w:p>
                  <w:pPr>
                    <w:jc w:val="center"/>
                    <w:rPr>
                      <w:rFonts w:hint="default"/>
                      <w:color w:val="auto"/>
                      <w:szCs w:val="21"/>
                      <w:lang w:val="en-US" w:eastAsia="zh-CN"/>
                    </w:rPr>
                  </w:pPr>
                  <w:r>
                    <w:rPr>
                      <w:rFonts w:hint="eastAsia"/>
                      <w:color w:val="auto"/>
                      <w:szCs w:val="21"/>
                      <w:lang w:val="en-US" w:eastAsia="zh-CN"/>
                    </w:rPr>
                    <w:t>喷锌工序</w:t>
                  </w:r>
                </w:p>
              </w:tc>
              <w:tc>
                <w:tcPr>
                  <w:tcW w:w="524" w:type="pct"/>
                  <w:vAlign w:val="center"/>
                </w:tcPr>
                <w:p>
                  <w:pPr>
                    <w:jc w:val="center"/>
                    <w:rPr>
                      <w:rFonts w:hint="eastAsia"/>
                      <w:color w:val="auto"/>
                      <w:szCs w:val="21"/>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金属锌</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0.31</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eastAsia="宋体"/>
                      <w:color w:val="auto"/>
                      <w:szCs w:val="21"/>
                      <w:lang w:val="en-US" w:eastAsia="zh-CN"/>
                    </w:rPr>
                  </w:pPr>
                  <w:r>
                    <w:rPr>
                      <w:rFonts w:hint="eastAsia"/>
                      <w:color w:val="auto"/>
                      <w:szCs w:val="21"/>
                      <w:lang w:val="en-US" w:eastAsia="zh-CN"/>
                    </w:rPr>
                    <w:t>8</w:t>
                  </w:r>
                </w:p>
              </w:tc>
              <w:tc>
                <w:tcPr>
                  <w:tcW w:w="715" w:type="pct"/>
                  <w:vAlign w:val="center"/>
                </w:tcPr>
                <w:p>
                  <w:pPr>
                    <w:jc w:val="center"/>
                    <w:rPr>
                      <w:rFonts w:hint="eastAsia"/>
                      <w:color w:val="auto"/>
                      <w:szCs w:val="21"/>
                      <w:lang w:val="en-US" w:eastAsia="zh-CN"/>
                    </w:rPr>
                  </w:pPr>
                  <w:r>
                    <w:rPr>
                      <w:rFonts w:hint="eastAsia"/>
                      <w:color w:val="auto"/>
                      <w:szCs w:val="21"/>
                      <w:lang w:val="en-US" w:eastAsia="zh-CN"/>
                    </w:rPr>
                    <w:t>废包装材料</w:t>
                  </w:r>
                </w:p>
              </w:tc>
              <w:tc>
                <w:tcPr>
                  <w:tcW w:w="694" w:type="pct"/>
                  <w:vAlign w:val="center"/>
                </w:tcPr>
                <w:p>
                  <w:pPr>
                    <w:jc w:val="center"/>
                    <w:rPr>
                      <w:rFonts w:hint="default"/>
                      <w:color w:val="auto"/>
                      <w:szCs w:val="21"/>
                      <w:lang w:val="en-US" w:eastAsia="zh-CN"/>
                    </w:rPr>
                  </w:pPr>
                  <w:r>
                    <w:rPr>
                      <w:rFonts w:hint="eastAsia"/>
                      <w:color w:val="auto"/>
                      <w:szCs w:val="21"/>
                      <w:lang w:val="en-US" w:eastAsia="zh-CN"/>
                    </w:rPr>
                    <w:t>原料拆封</w:t>
                  </w:r>
                </w:p>
              </w:tc>
              <w:tc>
                <w:tcPr>
                  <w:tcW w:w="524" w:type="pct"/>
                  <w:vAlign w:val="center"/>
                </w:tcPr>
                <w:p>
                  <w:pPr>
                    <w:jc w:val="center"/>
                    <w:rPr>
                      <w:rFonts w:hint="eastAsia"/>
                      <w:color w:val="auto"/>
                      <w:szCs w:val="21"/>
                    </w:rPr>
                  </w:pPr>
                  <w:r>
                    <w:rPr>
                      <w:rFonts w:hint="eastAsia"/>
                      <w:color w:val="auto"/>
                      <w:szCs w:val="21"/>
                      <w:lang w:val="en-US" w:eastAsia="zh-CN"/>
                    </w:rPr>
                    <w:t>固态</w:t>
                  </w:r>
                </w:p>
              </w:tc>
              <w:tc>
                <w:tcPr>
                  <w:tcW w:w="891" w:type="pct"/>
                  <w:vAlign w:val="center"/>
                </w:tcPr>
                <w:p>
                  <w:pPr>
                    <w:jc w:val="center"/>
                    <w:rPr>
                      <w:rFonts w:hint="default" w:eastAsia="宋体"/>
                      <w:color w:val="auto"/>
                      <w:szCs w:val="21"/>
                      <w:lang w:val="en-US" w:eastAsia="zh-CN"/>
                    </w:rPr>
                  </w:pPr>
                  <w:r>
                    <w:rPr>
                      <w:rFonts w:hint="eastAsia"/>
                      <w:color w:val="auto"/>
                      <w:szCs w:val="21"/>
                      <w:lang w:val="en-US" w:eastAsia="zh-CN"/>
                    </w:rPr>
                    <w:t>纸箱、尼龙带等</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0.02</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eastAsia" w:eastAsia="宋体"/>
                      <w:color w:val="auto"/>
                      <w:szCs w:val="21"/>
                      <w:lang w:val="en-US" w:eastAsia="zh-CN"/>
                    </w:rPr>
                  </w:pPr>
                  <w:r>
                    <w:rPr>
                      <w:rFonts w:hint="eastAsia"/>
                      <w:color w:val="auto"/>
                      <w:szCs w:val="21"/>
                      <w:lang w:val="en-US" w:eastAsia="zh-CN"/>
                    </w:rPr>
                    <w:t>9</w:t>
                  </w:r>
                </w:p>
              </w:tc>
              <w:tc>
                <w:tcPr>
                  <w:tcW w:w="715"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废切削液</w:t>
                  </w:r>
                </w:p>
              </w:tc>
              <w:tc>
                <w:tcPr>
                  <w:tcW w:w="694" w:type="pct"/>
                  <w:vAlign w:val="center"/>
                </w:tcPr>
                <w:p>
                  <w:pPr>
                    <w:jc w:val="center"/>
                    <w:rPr>
                      <w:rFonts w:hint="eastAsia"/>
                      <w:color w:val="auto"/>
                      <w:szCs w:val="21"/>
                    </w:rPr>
                  </w:pPr>
                  <w:r>
                    <w:rPr>
                      <w:rFonts w:hint="eastAsia"/>
                      <w:color w:val="auto"/>
                      <w:szCs w:val="21"/>
                    </w:rPr>
                    <w:t>工、打孔</w:t>
                  </w:r>
                  <w:r>
                    <w:rPr>
                      <w:rFonts w:hint="eastAsia"/>
                      <w:color w:val="auto"/>
                      <w:szCs w:val="21"/>
                      <w:lang w:eastAsia="zh-CN"/>
                    </w:rPr>
                    <w:t>、</w:t>
                  </w:r>
                  <w:r>
                    <w:rPr>
                      <w:rFonts w:hint="eastAsia"/>
                      <w:color w:val="auto"/>
                      <w:szCs w:val="21"/>
                    </w:rPr>
                    <w:t>精加工工序</w:t>
                  </w:r>
                </w:p>
              </w:tc>
              <w:tc>
                <w:tcPr>
                  <w:tcW w:w="524" w:type="pct"/>
                  <w:vAlign w:val="center"/>
                </w:tcPr>
                <w:p>
                  <w:pPr>
                    <w:pStyle w:val="123"/>
                    <w:rPr>
                      <w:rFonts w:hint="eastAsia" w:ascii="Times New Roman" w:hAnsi="Times New Roman" w:eastAsia="宋体" w:cs="Times New Roman"/>
                      <w:color w:val="auto"/>
                      <w:kern w:val="2"/>
                      <w:sz w:val="21"/>
                      <w:szCs w:val="21"/>
                      <w:lang w:val="en-US" w:eastAsia="zh-CN" w:bidi="ar-SA"/>
                    </w:rPr>
                  </w:pPr>
                  <w:r>
                    <w:rPr>
                      <w:rFonts w:hint="eastAsia"/>
                      <w:color w:val="auto"/>
                    </w:rPr>
                    <w:t>液态</w:t>
                  </w:r>
                </w:p>
              </w:tc>
              <w:tc>
                <w:tcPr>
                  <w:tcW w:w="891" w:type="pct"/>
                  <w:vAlign w:val="center"/>
                </w:tcPr>
                <w:p>
                  <w:pPr>
                    <w:pStyle w:val="123"/>
                    <w:rPr>
                      <w:rFonts w:hint="eastAsia"/>
                      <w:color w:val="auto"/>
                      <w:szCs w:val="21"/>
                    </w:rPr>
                  </w:pPr>
                  <w:r>
                    <w:rPr>
                      <w:rFonts w:hint="eastAsia"/>
                      <w:color w:val="auto"/>
                    </w:rPr>
                    <w:t>废切削液</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4.8</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10</w:t>
                  </w:r>
                </w:p>
              </w:tc>
              <w:tc>
                <w:tcPr>
                  <w:tcW w:w="715"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废润滑油</w:t>
                  </w:r>
                </w:p>
              </w:tc>
              <w:tc>
                <w:tcPr>
                  <w:tcW w:w="694" w:type="pct"/>
                  <w:vAlign w:val="center"/>
                </w:tcPr>
                <w:p>
                  <w:pPr>
                    <w:jc w:val="center"/>
                    <w:rPr>
                      <w:rFonts w:hint="default" w:eastAsia="宋体"/>
                      <w:color w:val="auto"/>
                      <w:szCs w:val="21"/>
                      <w:lang w:val="en-US" w:eastAsia="zh-CN"/>
                    </w:rPr>
                  </w:pPr>
                  <w:r>
                    <w:rPr>
                      <w:rFonts w:hint="eastAsia"/>
                      <w:color w:val="auto"/>
                      <w:szCs w:val="21"/>
                      <w:lang w:val="en-US" w:eastAsia="zh-CN"/>
                    </w:rPr>
                    <w:t>设备维护</w:t>
                  </w:r>
                </w:p>
              </w:tc>
              <w:tc>
                <w:tcPr>
                  <w:tcW w:w="524" w:type="pct"/>
                  <w:vAlign w:val="center"/>
                </w:tcPr>
                <w:p>
                  <w:pPr>
                    <w:pStyle w:val="123"/>
                    <w:rPr>
                      <w:rFonts w:hint="eastAsia" w:ascii="Times New Roman" w:hAnsi="Times New Roman" w:eastAsia="宋体" w:cs="Times New Roman"/>
                      <w:color w:val="auto"/>
                      <w:kern w:val="2"/>
                      <w:sz w:val="21"/>
                      <w:szCs w:val="21"/>
                      <w:lang w:val="en-US" w:eastAsia="zh-CN" w:bidi="ar-SA"/>
                    </w:rPr>
                  </w:pPr>
                  <w:r>
                    <w:rPr>
                      <w:rFonts w:hint="eastAsia"/>
                      <w:color w:val="auto"/>
                    </w:rPr>
                    <w:t>液态</w:t>
                  </w:r>
                </w:p>
              </w:tc>
              <w:tc>
                <w:tcPr>
                  <w:tcW w:w="891" w:type="pct"/>
                  <w:vAlign w:val="center"/>
                </w:tcPr>
                <w:p>
                  <w:pPr>
                    <w:pStyle w:val="123"/>
                    <w:rPr>
                      <w:rFonts w:hint="eastAsia"/>
                      <w:color w:val="auto"/>
                      <w:szCs w:val="21"/>
                    </w:rPr>
                  </w:pPr>
                  <w:r>
                    <w:rPr>
                      <w:rFonts w:hint="eastAsia"/>
                      <w:color w:val="auto"/>
                    </w:rPr>
                    <w:t>废润滑油</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0.25</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11</w:t>
                  </w:r>
                </w:p>
              </w:tc>
              <w:tc>
                <w:tcPr>
                  <w:tcW w:w="715"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漆渣</w:t>
                  </w:r>
                </w:p>
              </w:tc>
              <w:tc>
                <w:tcPr>
                  <w:tcW w:w="694"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eastAsia" w:cs="Times New Roman"/>
                      <w:bCs/>
                      <w:color w:val="auto"/>
                      <w:sz w:val="21"/>
                      <w:szCs w:val="21"/>
                      <w:lang w:val="en-US" w:eastAsia="zh-CN"/>
                    </w:rPr>
                    <w:t>喷漆工序、</w:t>
                  </w:r>
                  <w:r>
                    <w:rPr>
                      <w:rFonts w:hint="default" w:ascii="Times New Roman" w:hAnsi="Times New Roman" w:eastAsia="宋体" w:cs="Times New Roman"/>
                      <w:bCs/>
                      <w:color w:val="auto"/>
                      <w:sz w:val="21"/>
                      <w:szCs w:val="21"/>
                    </w:rPr>
                    <w:t>废气处理</w:t>
                  </w:r>
                </w:p>
              </w:tc>
              <w:tc>
                <w:tcPr>
                  <w:tcW w:w="524"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891"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漆固体份</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0.295</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12</w:t>
                  </w:r>
                </w:p>
              </w:tc>
              <w:tc>
                <w:tcPr>
                  <w:tcW w:w="715"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含漆废物</w:t>
                  </w:r>
                </w:p>
              </w:tc>
              <w:tc>
                <w:tcPr>
                  <w:tcW w:w="69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喷漆工序、废气处理</w:t>
                  </w:r>
                </w:p>
              </w:tc>
              <w:tc>
                <w:tcPr>
                  <w:tcW w:w="52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891"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eastAsia" w:cs="Times New Roman"/>
                      <w:color w:val="auto"/>
                      <w:sz w:val="21"/>
                      <w:szCs w:val="21"/>
                      <w:lang w:val="en-US" w:eastAsia="zh-CN"/>
                    </w:rPr>
                    <w:t>塑料薄膜</w:t>
                  </w:r>
                  <w:r>
                    <w:rPr>
                      <w:rFonts w:hint="default" w:ascii="Times New Roman" w:hAnsi="Times New Roman" w:eastAsia="宋体" w:cs="Times New Roman"/>
                      <w:color w:val="auto"/>
                      <w:sz w:val="21"/>
                      <w:szCs w:val="21"/>
                      <w:lang w:eastAsia="zh-CN"/>
                    </w:rPr>
                    <w:t>、抹布、手套、</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0.1</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5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13</w:t>
                  </w:r>
                </w:p>
              </w:tc>
              <w:tc>
                <w:tcPr>
                  <w:tcW w:w="715"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含漆废液</w:t>
                  </w:r>
                </w:p>
              </w:tc>
              <w:tc>
                <w:tcPr>
                  <w:tcW w:w="69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喷漆清洗</w:t>
                  </w:r>
                </w:p>
              </w:tc>
              <w:tc>
                <w:tcPr>
                  <w:tcW w:w="52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液态</w:t>
                  </w:r>
                </w:p>
              </w:tc>
              <w:tc>
                <w:tcPr>
                  <w:tcW w:w="891"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含漆废水</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0.48</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14</w:t>
                  </w:r>
                </w:p>
              </w:tc>
              <w:tc>
                <w:tcPr>
                  <w:tcW w:w="715"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w:t>
                  </w:r>
                </w:p>
              </w:tc>
              <w:tc>
                <w:tcPr>
                  <w:tcW w:w="69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废气处理</w:t>
                  </w:r>
                </w:p>
              </w:tc>
              <w:tc>
                <w:tcPr>
                  <w:tcW w:w="524" w:type="pct"/>
                  <w:vAlign w:val="center"/>
                </w:tcPr>
                <w:p>
                  <w:pPr>
                    <w:pStyle w:val="123"/>
                    <w:jc w:val="center"/>
                    <w:rPr>
                      <w:rFonts w:hint="default"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891"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废过滤棉等</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0.4</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45"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15</w:t>
                  </w:r>
                </w:p>
              </w:tc>
              <w:tc>
                <w:tcPr>
                  <w:tcW w:w="715"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694"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废气处理</w:t>
                  </w:r>
                </w:p>
              </w:tc>
              <w:tc>
                <w:tcPr>
                  <w:tcW w:w="524"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固态</w:t>
                  </w:r>
                </w:p>
              </w:tc>
              <w:tc>
                <w:tcPr>
                  <w:tcW w:w="891" w:type="pct"/>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685" w:type="pct"/>
                  <w:vAlign w:val="center"/>
                </w:tcPr>
                <w:p>
                  <w:pPr>
                    <w:jc w:val="center"/>
                    <w:rPr>
                      <w:rFonts w:hint="default" w:eastAsia="宋体"/>
                      <w:color w:val="auto"/>
                      <w:szCs w:val="21"/>
                      <w:lang w:val="en-US" w:eastAsia="zh-CN"/>
                    </w:rPr>
                  </w:pPr>
                  <w:r>
                    <w:rPr>
                      <w:rFonts w:hint="eastAsia"/>
                      <w:color w:val="auto"/>
                      <w:szCs w:val="21"/>
                      <w:lang w:val="en-US" w:eastAsia="zh-CN"/>
                    </w:rPr>
                    <w:t>2.339</w:t>
                  </w:r>
                </w:p>
              </w:tc>
              <w:tc>
                <w:tcPr>
                  <w:tcW w:w="667" w:type="pct"/>
                  <w:vAlign w:val="center"/>
                </w:tcPr>
                <w:p>
                  <w:pPr>
                    <w:keepNext w:val="0"/>
                    <w:keepLines w:val="0"/>
                    <w:pageBreakBefore w:val="0"/>
                    <w:widowControl w:val="0"/>
                    <w:kinsoku/>
                    <w:wordWrap/>
                    <w:overflowPunct/>
                    <w:topLinePunct w:val="0"/>
                    <w:autoSpaceDE/>
                    <w:autoSpaceDN/>
                    <w:bidi w:val="0"/>
                    <w:adjustRightInd/>
                    <w:snapToGrid/>
                    <w:jc w:val="center"/>
                    <w:textAlignment w:val="auto"/>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589" w:hRule="atLeast"/>
                <w:jc w:val="center"/>
              </w:trPr>
              <w:tc>
                <w:tcPr>
                  <w:tcW w:w="352"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16</w:t>
                  </w:r>
                </w:p>
              </w:tc>
              <w:tc>
                <w:tcPr>
                  <w:tcW w:w="715"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废包装桶</w:t>
                  </w:r>
                </w:p>
              </w:tc>
              <w:tc>
                <w:tcPr>
                  <w:tcW w:w="694"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原料拆封</w:t>
                  </w:r>
                </w:p>
              </w:tc>
              <w:tc>
                <w:tcPr>
                  <w:tcW w:w="524"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891" w:type="pct"/>
                  <w:vAlign w:val="center"/>
                </w:tcPr>
                <w:p>
                  <w:pPr>
                    <w:jc w:val="center"/>
                    <w:rPr>
                      <w:rFonts w:hint="default" w:eastAsia="宋体"/>
                      <w:color w:val="auto"/>
                      <w:sz w:val="24"/>
                      <w:szCs w:val="24"/>
                      <w:lang w:val="en-US" w:eastAsia="zh-CN"/>
                    </w:rPr>
                  </w:pPr>
                  <w:r>
                    <w:rPr>
                      <w:rFonts w:hint="eastAsia"/>
                      <w:color w:val="auto"/>
                      <w:sz w:val="24"/>
                      <w:szCs w:val="24"/>
                      <w:lang w:val="en-US" w:eastAsia="zh-CN"/>
                    </w:rPr>
                    <w:t>废铁桶</w:t>
                  </w:r>
                </w:p>
              </w:tc>
              <w:tc>
                <w:tcPr>
                  <w:tcW w:w="685"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0.95</w:t>
                  </w:r>
                </w:p>
              </w:tc>
              <w:tc>
                <w:tcPr>
                  <w:tcW w:w="667" w:type="pct"/>
                  <w:vAlign w:val="center"/>
                </w:tcPr>
                <w:p>
                  <w:pPr>
                    <w:keepNext w:val="0"/>
                    <w:keepLines w:val="0"/>
                    <w:pageBreakBefore w:val="0"/>
                    <w:widowControl w:val="0"/>
                    <w:kinsoku/>
                    <w:wordWrap/>
                    <w:overflowPunct/>
                    <w:topLinePunct w:val="0"/>
                    <w:autoSpaceDE/>
                    <w:autoSpaceDN/>
                    <w:bidi w:val="0"/>
                    <w:adjustRightInd/>
                    <w:snapToGrid/>
                    <w:jc w:val="center"/>
                    <w:textAlignment w:val="auto"/>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589" w:hRule="atLeast"/>
                <w:jc w:val="center"/>
              </w:trPr>
              <w:tc>
                <w:tcPr>
                  <w:tcW w:w="352"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17</w:t>
                  </w:r>
                </w:p>
              </w:tc>
              <w:tc>
                <w:tcPr>
                  <w:tcW w:w="715"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废劳保用品</w:t>
                  </w:r>
                </w:p>
              </w:tc>
              <w:tc>
                <w:tcPr>
                  <w:tcW w:w="69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设备维护</w:t>
                  </w:r>
                </w:p>
              </w:tc>
              <w:tc>
                <w:tcPr>
                  <w:tcW w:w="5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891" w:type="pct"/>
                  <w:vAlign w:val="center"/>
                </w:tcPr>
                <w:p>
                  <w:pPr>
                    <w:jc w:val="center"/>
                    <w:rPr>
                      <w:rFonts w:ascii="Times New Roman" w:hAnsi="Times New Roman" w:eastAsia="宋体" w:cs="Times New Roman"/>
                      <w:color w:val="auto"/>
                      <w:kern w:val="2"/>
                      <w:sz w:val="21"/>
                      <w:szCs w:val="21"/>
                      <w:lang w:val="en-US" w:eastAsia="zh-CN" w:bidi="ar-SA"/>
                    </w:rPr>
                  </w:pPr>
                  <w:r>
                    <w:rPr>
                      <w:color w:val="auto"/>
                      <w:sz w:val="24"/>
                      <w:szCs w:val="24"/>
                    </w:rPr>
                    <w:t>抹布、</w:t>
                  </w:r>
                  <w:r>
                    <w:rPr>
                      <w:rFonts w:hint="eastAsia"/>
                      <w:color w:val="auto"/>
                      <w:sz w:val="24"/>
                      <w:szCs w:val="24"/>
                    </w:rPr>
                    <w:t>海绵、</w:t>
                  </w:r>
                  <w:r>
                    <w:rPr>
                      <w:color w:val="auto"/>
                      <w:sz w:val="24"/>
                      <w:szCs w:val="24"/>
                    </w:rPr>
                    <w:t>手套等</w:t>
                  </w:r>
                </w:p>
              </w:tc>
              <w:tc>
                <w:tcPr>
                  <w:tcW w:w="685"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0.02</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52" w:type="pct"/>
                  <w:vAlign w:val="center"/>
                </w:tcPr>
                <w:p>
                  <w:pPr>
                    <w:jc w:val="center"/>
                    <w:rPr>
                      <w:rFonts w:hint="default" w:eastAsia="宋体"/>
                      <w:color w:val="auto"/>
                      <w:szCs w:val="21"/>
                      <w:lang w:val="en-US" w:eastAsia="zh-CN"/>
                    </w:rPr>
                  </w:pPr>
                  <w:r>
                    <w:rPr>
                      <w:rFonts w:hint="eastAsia"/>
                      <w:color w:val="auto"/>
                      <w:szCs w:val="21"/>
                      <w:lang w:val="en-US" w:eastAsia="zh-CN"/>
                    </w:rPr>
                    <w:t>18</w:t>
                  </w:r>
                </w:p>
              </w:tc>
              <w:tc>
                <w:tcPr>
                  <w:tcW w:w="715"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生活垃圾</w:t>
                  </w:r>
                </w:p>
              </w:tc>
              <w:tc>
                <w:tcPr>
                  <w:tcW w:w="694"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员工日常生活</w:t>
                  </w:r>
                </w:p>
              </w:tc>
              <w:tc>
                <w:tcPr>
                  <w:tcW w:w="524"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固态</w:t>
                  </w:r>
                </w:p>
              </w:tc>
              <w:tc>
                <w:tcPr>
                  <w:tcW w:w="891"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果皮、纸屑等</w:t>
                  </w:r>
                </w:p>
              </w:tc>
              <w:tc>
                <w:tcPr>
                  <w:tcW w:w="685"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1.5</w:t>
                  </w:r>
                </w:p>
              </w:tc>
              <w:tc>
                <w:tcPr>
                  <w:tcW w:w="667" w:type="pct"/>
                  <w:vAlign w:val="center"/>
                </w:tcPr>
                <w:p>
                  <w:pPr>
                    <w:jc w:val="center"/>
                    <w:rPr>
                      <w:bCs/>
                      <w:color w:val="auto"/>
                      <w:kern w:val="18"/>
                      <w:szCs w:val="21"/>
                    </w:rPr>
                  </w:pPr>
                  <w:r>
                    <w:rPr>
                      <w:bCs/>
                      <w:color w:val="auto"/>
                      <w:kern w:val="18"/>
                      <w:szCs w:val="21"/>
                    </w:rPr>
                    <w:t>√</w:t>
                  </w:r>
                </w:p>
              </w:tc>
              <w:tc>
                <w:tcPr>
                  <w:tcW w:w="467" w:type="pct"/>
                  <w:vMerge w:val="continue"/>
                  <w:vAlign w:val="center"/>
                </w:tcPr>
                <w:p>
                  <w:pPr>
                    <w:jc w:val="center"/>
                    <w:rPr>
                      <w:bCs/>
                      <w:color w:val="auto"/>
                      <w:kern w:val="18"/>
                      <w:szCs w:val="21"/>
                    </w:rPr>
                  </w:pPr>
                </w:p>
              </w:tc>
            </w:tr>
          </w:tbl>
          <w:p>
            <w:pPr>
              <w:jc w:val="center"/>
              <w:rPr>
                <w:b/>
                <w:color w:val="auto"/>
                <w:szCs w:val="21"/>
              </w:rPr>
            </w:pPr>
            <w:r>
              <w:rPr>
                <w:b/>
                <w:color w:val="auto"/>
                <w:szCs w:val="21"/>
              </w:rPr>
              <w:t>表</w:t>
            </w:r>
            <w:r>
              <w:rPr>
                <w:rFonts w:hint="eastAsia"/>
                <w:b/>
                <w:color w:val="auto"/>
                <w:szCs w:val="21"/>
              </w:rPr>
              <w:t>5-</w:t>
            </w:r>
            <w:r>
              <w:rPr>
                <w:rFonts w:hint="eastAsia"/>
                <w:b/>
                <w:color w:val="auto"/>
                <w:szCs w:val="21"/>
                <w:lang w:val="en-US" w:eastAsia="zh-CN"/>
              </w:rPr>
              <w:t xml:space="preserve">21 </w:t>
            </w:r>
            <w:r>
              <w:rPr>
                <w:b/>
                <w:color w:val="auto"/>
                <w:szCs w:val="21"/>
              </w:rPr>
              <w:t xml:space="preserve"> 本项目固体废物分析结果汇总一览表</w:t>
            </w:r>
          </w:p>
          <w:tbl>
            <w:tblPr>
              <w:tblStyle w:val="56"/>
              <w:tblW w:w="4995"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427"/>
              <w:gridCol w:w="938"/>
              <w:gridCol w:w="780"/>
              <w:gridCol w:w="720"/>
              <w:gridCol w:w="815"/>
              <w:gridCol w:w="883"/>
              <w:gridCol w:w="826"/>
              <w:gridCol w:w="1197"/>
              <w:gridCol w:w="871"/>
              <w:gridCol w:w="84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57" w:type="pct"/>
                  <w:vAlign w:val="center"/>
                </w:tcPr>
                <w:p>
                  <w:pPr>
                    <w:pStyle w:val="123"/>
                    <w:rPr>
                      <w:b/>
                      <w:color w:val="auto"/>
                    </w:rPr>
                  </w:pPr>
                  <w:r>
                    <w:rPr>
                      <w:b/>
                      <w:color w:val="auto"/>
                    </w:rPr>
                    <w:t>序号</w:t>
                  </w:r>
                </w:p>
              </w:tc>
              <w:tc>
                <w:tcPr>
                  <w:tcW w:w="564" w:type="pct"/>
                  <w:vAlign w:val="center"/>
                </w:tcPr>
                <w:p>
                  <w:pPr>
                    <w:pStyle w:val="123"/>
                    <w:rPr>
                      <w:b/>
                      <w:color w:val="auto"/>
                    </w:rPr>
                  </w:pPr>
                  <w:r>
                    <w:rPr>
                      <w:b/>
                      <w:color w:val="auto"/>
                    </w:rPr>
                    <w:t>固废名称</w:t>
                  </w:r>
                </w:p>
              </w:tc>
              <w:tc>
                <w:tcPr>
                  <w:tcW w:w="469" w:type="pct"/>
                  <w:vAlign w:val="center"/>
                </w:tcPr>
                <w:p>
                  <w:pPr>
                    <w:pStyle w:val="123"/>
                    <w:rPr>
                      <w:b/>
                      <w:color w:val="auto"/>
                    </w:rPr>
                  </w:pPr>
                  <w:r>
                    <w:rPr>
                      <w:b/>
                      <w:color w:val="auto"/>
                    </w:rPr>
                    <w:t>产生工序</w:t>
                  </w:r>
                </w:p>
              </w:tc>
              <w:tc>
                <w:tcPr>
                  <w:tcW w:w="433" w:type="pct"/>
                  <w:vAlign w:val="center"/>
                </w:tcPr>
                <w:p>
                  <w:pPr>
                    <w:pStyle w:val="123"/>
                    <w:rPr>
                      <w:b/>
                      <w:color w:val="auto"/>
                    </w:rPr>
                  </w:pPr>
                  <w:r>
                    <w:rPr>
                      <w:b/>
                      <w:color w:val="auto"/>
                    </w:rPr>
                    <w:t>形态</w:t>
                  </w:r>
                </w:p>
              </w:tc>
              <w:tc>
                <w:tcPr>
                  <w:tcW w:w="490" w:type="pct"/>
                  <w:vAlign w:val="center"/>
                </w:tcPr>
                <w:p>
                  <w:pPr>
                    <w:pStyle w:val="123"/>
                    <w:rPr>
                      <w:b/>
                      <w:color w:val="auto"/>
                    </w:rPr>
                  </w:pPr>
                  <w:r>
                    <w:rPr>
                      <w:b/>
                      <w:color w:val="auto"/>
                    </w:rPr>
                    <w:t>主要成分</w:t>
                  </w:r>
                </w:p>
              </w:tc>
              <w:tc>
                <w:tcPr>
                  <w:tcW w:w="531" w:type="pct"/>
                  <w:vAlign w:val="center"/>
                </w:tcPr>
                <w:p>
                  <w:pPr>
                    <w:pStyle w:val="123"/>
                    <w:rPr>
                      <w:b/>
                      <w:color w:val="auto"/>
                    </w:rPr>
                  </w:pPr>
                  <w:r>
                    <w:rPr>
                      <w:b/>
                      <w:color w:val="auto"/>
                    </w:rPr>
                    <w:t>危险特性</w:t>
                  </w:r>
                </w:p>
              </w:tc>
              <w:tc>
                <w:tcPr>
                  <w:tcW w:w="497" w:type="pct"/>
                  <w:vAlign w:val="center"/>
                </w:tcPr>
                <w:p>
                  <w:pPr>
                    <w:pStyle w:val="123"/>
                    <w:rPr>
                      <w:b/>
                      <w:color w:val="auto"/>
                    </w:rPr>
                  </w:pPr>
                  <w:r>
                    <w:rPr>
                      <w:b/>
                      <w:color w:val="auto"/>
                    </w:rPr>
                    <w:t>废物类别</w:t>
                  </w:r>
                </w:p>
              </w:tc>
              <w:tc>
                <w:tcPr>
                  <w:tcW w:w="720" w:type="pct"/>
                  <w:vAlign w:val="center"/>
                </w:tcPr>
                <w:p>
                  <w:pPr>
                    <w:pStyle w:val="123"/>
                    <w:rPr>
                      <w:b/>
                      <w:color w:val="auto"/>
                    </w:rPr>
                  </w:pPr>
                  <w:r>
                    <w:rPr>
                      <w:b/>
                      <w:color w:val="auto"/>
                    </w:rPr>
                    <w:t>废物代码</w:t>
                  </w:r>
                </w:p>
              </w:tc>
              <w:tc>
                <w:tcPr>
                  <w:tcW w:w="524" w:type="pct"/>
                  <w:vAlign w:val="center"/>
                </w:tcPr>
                <w:p>
                  <w:pPr>
                    <w:pStyle w:val="123"/>
                    <w:rPr>
                      <w:b/>
                      <w:color w:val="auto"/>
                    </w:rPr>
                  </w:pPr>
                  <w:r>
                    <w:rPr>
                      <w:b/>
                      <w:color w:val="auto"/>
                    </w:rPr>
                    <w:t>产生量（t/a）</w:t>
                  </w:r>
                </w:p>
              </w:tc>
              <w:tc>
                <w:tcPr>
                  <w:tcW w:w="509" w:type="pct"/>
                  <w:vAlign w:val="center"/>
                </w:tcPr>
                <w:p>
                  <w:pPr>
                    <w:pStyle w:val="123"/>
                    <w:rPr>
                      <w:b/>
                      <w:color w:val="auto"/>
                    </w:rPr>
                  </w:pPr>
                  <w:r>
                    <w:rPr>
                      <w:b/>
                      <w:color w:val="auto"/>
                    </w:rPr>
                    <w:t>危险性鉴别方法</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57"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1</w:t>
                  </w:r>
                </w:p>
              </w:tc>
              <w:tc>
                <w:tcPr>
                  <w:tcW w:w="5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废边角料</w:t>
                  </w:r>
                </w:p>
              </w:tc>
              <w:tc>
                <w:tcPr>
                  <w:tcW w:w="469"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镗铣粗加工、打孔</w:t>
                  </w:r>
                  <w:r>
                    <w:rPr>
                      <w:rFonts w:hint="eastAsia"/>
                      <w:color w:val="auto"/>
                      <w:szCs w:val="21"/>
                      <w:lang w:eastAsia="zh-CN"/>
                    </w:rPr>
                    <w:t>、</w:t>
                  </w:r>
                  <w:r>
                    <w:rPr>
                      <w:rFonts w:hint="eastAsia"/>
                      <w:color w:val="auto"/>
                      <w:szCs w:val="21"/>
                    </w:rPr>
                    <w:t>精加工工序</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废铁合金</w:t>
                  </w:r>
                </w:p>
              </w:tc>
              <w:tc>
                <w:tcPr>
                  <w:tcW w:w="531" w:type="pct"/>
                  <w:vAlign w:val="center"/>
                </w:tcPr>
                <w:p>
                  <w:pPr>
                    <w:jc w:val="center"/>
                    <w:rPr>
                      <w:color w:val="auto"/>
                      <w:szCs w:val="21"/>
                    </w:rPr>
                  </w:pPr>
                  <w:r>
                    <w:rPr>
                      <w:rFonts w:hint="eastAsia"/>
                      <w:color w:val="auto"/>
                      <w:szCs w:val="21"/>
                    </w:rPr>
                    <w:t>—</w:t>
                  </w:r>
                </w:p>
              </w:tc>
              <w:tc>
                <w:tcPr>
                  <w:tcW w:w="497" w:type="pct"/>
                  <w:vAlign w:val="center"/>
                </w:tcPr>
                <w:p>
                  <w:pPr>
                    <w:jc w:val="center"/>
                    <w:rPr>
                      <w:color w:val="auto"/>
                      <w:szCs w:val="21"/>
                    </w:rPr>
                  </w:pPr>
                  <w:r>
                    <w:rPr>
                      <w:rFonts w:hint="eastAsia"/>
                      <w:color w:val="auto"/>
                      <w:szCs w:val="21"/>
                    </w:rPr>
                    <w:t>—</w:t>
                  </w:r>
                </w:p>
              </w:tc>
              <w:tc>
                <w:tcPr>
                  <w:tcW w:w="720" w:type="pct"/>
                  <w:vAlign w:val="center"/>
                </w:tcPr>
                <w:p>
                  <w:pPr>
                    <w:jc w:val="center"/>
                    <w:rPr>
                      <w:color w:val="auto"/>
                      <w:szCs w:val="21"/>
                    </w:rPr>
                  </w:pPr>
                  <w:r>
                    <w:rPr>
                      <w:rFonts w:hint="eastAsia"/>
                      <w:color w:val="auto"/>
                      <w:szCs w:val="21"/>
                    </w:rPr>
                    <w:t>—</w:t>
                  </w:r>
                </w:p>
              </w:tc>
              <w:tc>
                <w:tcPr>
                  <w:tcW w:w="5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15</w:t>
                  </w:r>
                </w:p>
              </w:tc>
              <w:tc>
                <w:tcPr>
                  <w:tcW w:w="509" w:type="pct"/>
                  <w:vMerge w:val="restart"/>
                  <w:vAlign w:val="center"/>
                </w:tcPr>
                <w:p>
                  <w:pPr>
                    <w:pStyle w:val="123"/>
                    <w:rPr>
                      <w:b/>
                      <w:color w:val="auto"/>
                      <w:sz w:val="21"/>
                      <w:szCs w:val="21"/>
                    </w:rPr>
                  </w:pPr>
                  <w:r>
                    <w:rPr>
                      <w:color w:val="auto"/>
                      <w:sz w:val="21"/>
                      <w:szCs w:val="21"/>
                    </w:rPr>
                    <w:t>《国家危险废物名录</w:t>
                  </w:r>
                  <w:r>
                    <w:rPr>
                      <w:rFonts w:hint="eastAsia"/>
                      <w:color w:val="auto"/>
                      <w:sz w:val="21"/>
                      <w:szCs w:val="21"/>
                      <w:lang w:eastAsia="zh-CN"/>
                    </w:rPr>
                    <w:t>（</w:t>
                  </w:r>
                  <w:r>
                    <w:rPr>
                      <w:rFonts w:hint="eastAsia"/>
                      <w:color w:val="auto"/>
                      <w:sz w:val="21"/>
                      <w:szCs w:val="21"/>
                      <w:lang w:val="en-US" w:eastAsia="zh-CN"/>
                    </w:rPr>
                    <w:t>2021版</w:t>
                  </w:r>
                  <w:r>
                    <w:rPr>
                      <w:rFonts w:hint="eastAsia"/>
                      <w:color w:val="auto"/>
                      <w:sz w:val="21"/>
                      <w:szCs w:val="21"/>
                      <w:lang w:eastAsia="zh-CN"/>
                    </w:rPr>
                    <w:t>）</w:t>
                  </w:r>
                  <w:r>
                    <w:rPr>
                      <w:color w:val="auto"/>
                      <w:sz w:val="21"/>
                      <w:szCs w:val="21"/>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2</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废渣</w:t>
                  </w:r>
                </w:p>
              </w:tc>
              <w:tc>
                <w:tcPr>
                  <w:tcW w:w="46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清洗工序</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废铁合金</w:t>
                  </w:r>
                </w:p>
              </w:tc>
              <w:tc>
                <w:tcPr>
                  <w:tcW w:w="531" w:type="pct"/>
                  <w:vAlign w:val="center"/>
                </w:tcPr>
                <w:p>
                  <w:pPr>
                    <w:jc w:val="center"/>
                    <w:rPr>
                      <w:color w:val="auto"/>
                      <w:szCs w:val="21"/>
                    </w:rPr>
                  </w:pPr>
                  <w:r>
                    <w:rPr>
                      <w:rFonts w:hint="eastAsia"/>
                      <w:color w:val="auto"/>
                      <w:szCs w:val="21"/>
                    </w:rPr>
                    <w:t>—</w:t>
                  </w:r>
                </w:p>
              </w:tc>
              <w:tc>
                <w:tcPr>
                  <w:tcW w:w="497" w:type="pct"/>
                  <w:vAlign w:val="center"/>
                </w:tcPr>
                <w:p>
                  <w:pPr>
                    <w:jc w:val="center"/>
                    <w:rPr>
                      <w:color w:val="auto"/>
                      <w:szCs w:val="21"/>
                    </w:rPr>
                  </w:pPr>
                  <w:r>
                    <w:rPr>
                      <w:rFonts w:hint="eastAsia"/>
                      <w:color w:val="auto"/>
                      <w:szCs w:val="21"/>
                    </w:rPr>
                    <w:t>—</w:t>
                  </w:r>
                </w:p>
              </w:tc>
              <w:tc>
                <w:tcPr>
                  <w:tcW w:w="720" w:type="pct"/>
                  <w:vAlign w:val="center"/>
                </w:tcPr>
                <w:p>
                  <w:pPr>
                    <w:jc w:val="center"/>
                    <w:rPr>
                      <w:color w:val="auto"/>
                      <w:szCs w:val="21"/>
                    </w:rPr>
                  </w:pPr>
                  <w:r>
                    <w:rPr>
                      <w:rFonts w:hint="eastAsia"/>
                      <w:color w:val="auto"/>
                      <w:szCs w:val="21"/>
                    </w:rPr>
                    <w:t>—</w:t>
                  </w:r>
                </w:p>
              </w:tc>
              <w:tc>
                <w:tcPr>
                  <w:tcW w:w="52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3</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废砂</w:t>
                  </w:r>
                </w:p>
              </w:tc>
              <w:tc>
                <w:tcPr>
                  <w:tcW w:w="46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喷砂工序</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废铁砂</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4</w:t>
                  </w:r>
                </w:p>
              </w:tc>
              <w:tc>
                <w:tcPr>
                  <w:tcW w:w="564"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废铁丸</w:t>
                  </w:r>
                </w:p>
              </w:tc>
              <w:tc>
                <w:tcPr>
                  <w:tcW w:w="46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抛丸工序</w:t>
                  </w:r>
                </w:p>
              </w:tc>
              <w:tc>
                <w:tcPr>
                  <w:tcW w:w="433"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废铁丸</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5</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加工粉尘</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布袋收集</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铁锈等</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31.84</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6</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废塑粉</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喷塑工序</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塑粉</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0.109</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7</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锌颗粒物、废锌丝</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喷锌工序</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金属锌</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0.31</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8</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废包装材料</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原料拆封</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纸箱、尼龙带等</w:t>
                  </w:r>
                </w:p>
              </w:tc>
              <w:tc>
                <w:tcPr>
                  <w:tcW w:w="531" w:type="pct"/>
                  <w:vAlign w:val="center"/>
                </w:tcPr>
                <w:p>
                  <w:pPr>
                    <w:jc w:val="center"/>
                    <w:rPr>
                      <w:rFonts w:hint="eastAsia"/>
                      <w:color w:val="auto"/>
                      <w:szCs w:val="21"/>
                    </w:rPr>
                  </w:pPr>
                  <w:r>
                    <w:rPr>
                      <w:rFonts w:hint="eastAsia"/>
                      <w:color w:val="auto"/>
                      <w:szCs w:val="21"/>
                    </w:rPr>
                    <w:t>—</w:t>
                  </w:r>
                </w:p>
              </w:tc>
              <w:tc>
                <w:tcPr>
                  <w:tcW w:w="497" w:type="pct"/>
                  <w:vAlign w:val="center"/>
                </w:tcPr>
                <w:p>
                  <w:pPr>
                    <w:jc w:val="center"/>
                    <w:rPr>
                      <w:rFonts w:hint="eastAsia"/>
                      <w:color w:val="auto"/>
                      <w:szCs w:val="21"/>
                    </w:rPr>
                  </w:pPr>
                  <w:r>
                    <w:rPr>
                      <w:rFonts w:hint="eastAsia"/>
                      <w:color w:val="auto"/>
                      <w:szCs w:val="21"/>
                    </w:rPr>
                    <w:t>—</w:t>
                  </w:r>
                </w:p>
              </w:tc>
              <w:tc>
                <w:tcPr>
                  <w:tcW w:w="720" w:type="pct"/>
                  <w:vAlign w:val="center"/>
                </w:tcPr>
                <w:p>
                  <w:pPr>
                    <w:jc w:val="center"/>
                    <w:rPr>
                      <w:rFonts w:hint="eastAsia"/>
                      <w:color w:val="auto"/>
                      <w:szCs w:val="21"/>
                    </w:rPr>
                  </w:pPr>
                  <w:r>
                    <w:rPr>
                      <w:rFonts w:hint="eastAsia"/>
                      <w:color w:val="auto"/>
                      <w:szCs w:val="21"/>
                    </w:rPr>
                    <w:t>—</w:t>
                  </w:r>
                </w:p>
              </w:tc>
              <w:tc>
                <w:tcPr>
                  <w:tcW w:w="52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0.02</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9</w:t>
                  </w:r>
                </w:p>
              </w:tc>
              <w:tc>
                <w:tcPr>
                  <w:tcW w:w="564"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废切削液</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工、打孔</w:t>
                  </w:r>
                  <w:r>
                    <w:rPr>
                      <w:rFonts w:hint="eastAsia"/>
                      <w:color w:val="auto"/>
                      <w:szCs w:val="21"/>
                      <w:lang w:eastAsia="zh-CN"/>
                    </w:rPr>
                    <w:t>、</w:t>
                  </w:r>
                  <w:r>
                    <w:rPr>
                      <w:rFonts w:hint="eastAsia"/>
                      <w:color w:val="auto"/>
                      <w:szCs w:val="21"/>
                    </w:rPr>
                    <w:t>精加工工序</w:t>
                  </w:r>
                </w:p>
              </w:tc>
              <w:tc>
                <w:tcPr>
                  <w:tcW w:w="433" w:type="pct"/>
                  <w:vAlign w:val="center"/>
                </w:tcPr>
                <w:p>
                  <w:pPr>
                    <w:pStyle w:val="123"/>
                    <w:rPr>
                      <w:rFonts w:hint="eastAsia" w:ascii="Times New Roman" w:hAnsi="Times New Roman" w:eastAsia="宋体" w:cs="Times New Roman"/>
                      <w:color w:val="auto"/>
                      <w:kern w:val="2"/>
                      <w:sz w:val="21"/>
                      <w:szCs w:val="21"/>
                      <w:lang w:val="en-US" w:eastAsia="zh-CN" w:bidi="ar-SA"/>
                    </w:rPr>
                  </w:pPr>
                  <w:r>
                    <w:rPr>
                      <w:rFonts w:hint="eastAsia"/>
                      <w:color w:val="auto"/>
                    </w:rPr>
                    <w:t>液态</w:t>
                  </w:r>
                </w:p>
              </w:tc>
              <w:tc>
                <w:tcPr>
                  <w:tcW w:w="490"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废切削液</w:t>
                  </w:r>
                </w:p>
              </w:tc>
              <w:tc>
                <w:tcPr>
                  <w:tcW w:w="531"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T</w:t>
                  </w:r>
                </w:p>
              </w:tc>
              <w:tc>
                <w:tcPr>
                  <w:tcW w:w="497"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HW09</w:t>
                  </w:r>
                </w:p>
              </w:tc>
              <w:tc>
                <w:tcPr>
                  <w:tcW w:w="720"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900-006-09</w:t>
                  </w:r>
                </w:p>
              </w:tc>
              <w:tc>
                <w:tcPr>
                  <w:tcW w:w="524" w:type="pct"/>
                  <w:vAlign w:val="center"/>
                </w:tcPr>
                <w:p>
                  <w:pPr>
                    <w:jc w:val="center"/>
                    <w:rPr>
                      <w:rFonts w:hint="eastAsia"/>
                      <w:color w:val="auto"/>
                      <w:szCs w:val="21"/>
                    </w:rPr>
                  </w:pPr>
                  <w:r>
                    <w:rPr>
                      <w:rFonts w:hint="eastAsia"/>
                      <w:color w:val="auto"/>
                      <w:szCs w:val="21"/>
                      <w:lang w:val="en-US" w:eastAsia="zh-CN"/>
                    </w:rPr>
                    <w:t>4.8</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10</w:t>
                  </w:r>
                </w:p>
              </w:tc>
              <w:tc>
                <w:tcPr>
                  <w:tcW w:w="564"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废润滑油</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设备维护</w:t>
                  </w:r>
                </w:p>
              </w:tc>
              <w:tc>
                <w:tcPr>
                  <w:tcW w:w="433" w:type="pct"/>
                  <w:vAlign w:val="center"/>
                </w:tcPr>
                <w:p>
                  <w:pPr>
                    <w:pStyle w:val="123"/>
                    <w:rPr>
                      <w:rFonts w:hint="eastAsia" w:ascii="Times New Roman" w:hAnsi="Times New Roman" w:eastAsia="宋体" w:cs="Times New Roman"/>
                      <w:color w:val="auto"/>
                      <w:kern w:val="2"/>
                      <w:sz w:val="21"/>
                      <w:szCs w:val="21"/>
                      <w:lang w:val="en-US" w:eastAsia="zh-CN" w:bidi="ar-SA"/>
                    </w:rPr>
                  </w:pPr>
                  <w:r>
                    <w:rPr>
                      <w:rFonts w:hint="eastAsia"/>
                      <w:color w:val="auto"/>
                    </w:rPr>
                    <w:t>液态</w:t>
                  </w:r>
                </w:p>
              </w:tc>
              <w:tc>
                <w:tcPr>
                  <w:tcW w:w="490"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废润滑油</w:t>
                  </w:r>
                </w:p>
              </w:tc>
              <w:tc>
                <w:tcPr>
                  <w:tcW w:w="531"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T</w:t>
                  </w:r>
                  <w:r>
                    <w:rPr>
                      <w:rFonts w:hint="eastAsia"/>
                      <w:color w:val="auto"/>
                      <w:kern w:val="18"/>
                      <w:szCs w:val="21"/>
                      <w:lang w:eastAsia="zh-CN"/>
                    </w:rPr>
                    <w:t>，</w:t>
                  </w:r>
                  <w:r>
                    <w:rPr>
                      <w:color w:val="auto"/>
                      <w:kern w:val="18"/>
                      <w:szCs w:val="21"/>
                    </w:rPr>
                    <w:t>I</w:t>
                  </w:r>
                </w:p>
              </w:tc>
              <w:tc>
                <w:tcPr>
                  <w:tcW w:w="497"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HW08</w:t>
                  </w:r>
                </w:p>
              </w:tc>
              <w:tc>
                <w:tcPr>
                  <w:tcW w:w="720"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900-2</w:t>
                  </w:r>
                  <w:r>
                    <w:rPr>
                      <w:rFonts w:hint="eastAsia"/>
                      <w:color w:val="auto"/>
                      <w:kern w:val="18"/>
                      <w:szCs w:val="21"/>
                      <w:lang w:val="en-US" w:eastAsia="zh-CN"/>
                    </w:rPr>
                    <w:t>09</w:t>
                  </w:r>
                  <w:r>
                    <w:rPr>
                      <w:color w:val="auto"/>
                      <w:kern w:val="18"/>
                      <w:szCs w:val="21"/>
                    </w:rPr>
                    <w:t>-08</w:t>
                  </w:r>
                </w:p>
              </w:tc>
              <w:tc>
                <w:tcPr>
                  <w:tcW w:w="524" w:type="pct"/>
                  <w:vAlign w:val="center"/>
                </w:tcPr>
                <w:p>
                  <w:pPr>
                    <w:jc w:val="center"/>
                    <w:rPr>
                      <w:rFonts w:hint="eastAsia"/>
                      <w:color w:val="auto"/>
                      <w:szCs w:val="21"/>
                    </w:rPr>
                  </w:pPr>
                  <w:r>
                    <w:rPr>
                      <w:rFonts w:hint="eastAsia"/>
                      <w:color w:val="auto"/>
                      <w:szCs w:val="21"/>
                      <w:lang w:val="en-US" w:eastAsia="zh-CN"/>
                    </w:rPr>
                    <w:t>0.25</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11</w:t>
                  </w:r>
                </w:p>
              </w:tc>
              <w:tc>
                <w:tcPr>
                  <w:tcW w:w="564"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漆渣</w:t>
                  </w:r>
                </w:p>
              </w:tc>
              <w:tc>
                <w:tcPr>
                  <w:tcW w:w="469"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eastAsia" w:cs="Times New Roman"/>
                      <w:bCs/>
                      <w:color w:val="auto"/>
                      <w:sz w:val="21"/>
                      <w:szCs w:val="21"/>
                      <w:lang w:val="en-US" w:eastAsia="zh-CN"/>
                    </w:rPr>
                    <w:t>喷漆工序、</w:t>
                  </w:r>
                  <w:r>
                    <w:rPr>
                      <w:rFonts w:hint="default" w:ascii="Times New Roman" w:hAnsi="Times New Roman" w:eastAsia="宋体" w:cs="Times New Roman"/>
                      <w:bCs/>
                      <w:color w:val="auto"/>
                      <w:sz w:val="21"/>
                      <w:szCs w:val="21"/>
                    </w:rPr>
                    <w:t>废气处理</w:t>
                  </w:r>
                </w:p>
              </w:tc>
              <w:tc>
                <w:tcPr>
                  <w:tcW w:w="433"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490"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漆固体份</w:t>
                  </w:r>
                </w:p>
              </w:tc>
              <w:tc>
                <w:tcPr>
                  <w:tcW w:w="531" w:type="pct"/>
                  <w:vAlign w:val="center"/>
                </w:tcPr>
                <w:p>
                  <w:pPr>
                    <w:tabs>
                      <w:tab w:val="left" w:pos="2227"/>
                    </w:tabs>
                    <w:spacing w:line="240" w:lineRule="auto"/>
                    <w:contextualSpacing/>
                    <w:jc w:val="center"/>
                    <w:rPr>
                      <w:rFonts w:hint="eastAsia"/>
                      <w:color w:val="auto"/>
                      <w:szCs w:val="21"/>
                    </w:rPr>
                  </w:pPr>
                  <w:r>
                    <w:rPr>
                      <w:color w:val="auto"/>
                      <w:kern w:val="18"/>
                      <w:szCs w:val="21"/>
                    </w:rPr>
                    <w:t>T</w:t>
                  </w:r>
                  <w:r>
                    <w:rPr>
                      <w:rFonts w:hint="eastAsia"/>
                      <w:color w:val="auto"/>
                      <w:kern w:val="18"/>
                      <w:szCs w:val="21"/>
                      <w:lang w:eastAsia="zh-CN"/>
                    </w:rPr>
                    <w:t>，</w:t>
                  </w:r>
                  <w:r>
                    <w:rPr>
                      <w:color w:val="auto"/>
                      <w:kern w:val="18"/>
                      <w:szCs w:val="21"/>
                    </w:rPr>
                    <w:t>I</w:t>
                  </w:r>
                </w:p>
              </w:tc>
              <w:tc>
                <w:tcPr>
                  <w:tcW w:w="497" w:type="pct"/>
                  <w:vAlign w:val="center"/>
                </w:tcPr>
                <w:p>
                  <w:pPr>
                    <w:tabs>
                      <w:tab w:val="left" w:pos="2227"/>
                    </w:tabs>
                    <w:spacing w:line="240" w:lineRule="auto"/>
                    <w:contextualSpacing/>
                    <w:jc w:val="center"/>
                    <w:rPr>
                      <w:rFonts w:hint="eastAsia"/>
                      <w:color w:val="auto"/>
                      <w:szCs w:val="21"/>
                    </w:rPr>
                  </w:pPr>
                  <w:r>
                    <w:rPr>
                      <w:rFonts w:hint="default" w:ascii="Times New Roman" w:hAnsi="Times New Roman" w:eastAsia="宋体" w:cs="Times New Roman"/>
                      <w:color w:val="auto"/>
                      <w:kern w:val="0"/>
                      <w:sz w:val="21"/>
                      <w:szCs w:val="21"/>
                    </w:rPr>
                    <w:t>HW12</w:t>
                  </w:r>
                </w:p>
              </w:tc>
              <w:tc>
                <w:tcPr>
                  <w:tcW w:w="720" w:type="pct"/>
                  <w:vAlign w:val="center"/>
                </w:tcPr>
                <w:p>
                  <w:pPr>
                    <w:tabs>
                      <w:tab w:val="left" w:pos="2227"/>
                    </w:tabs>
                    <w:spacing w:line="240" w:lineRule="auto"/>
                    <w:contextualSpacing/>
                    <w:jc w:val="center"/>
                    <w:rPr>
                      <w:rFonts w:hint="default" w:eastAsia="宋体"/>
                      <w:color w:val="auto"/>
                      <w:szCs w:val="21"/>
                      <w:lang w:val="en-US" w:eastAsia="zh-CN"/>
                    </w:rPr>
                  </w:pPr>
                  <w:r>
                    <w:rPr>
                      <w:rFonts w:hint="eastAsia"/>
                      <w:color w:val="auto"/>
                      <w:szCs w:val="21"/>
                      <w:lang w:val="en-US" w:eastAsia="zh-CN"/>
                    </w:rPr>
                    <w:t>900-252-12</w:t>
                  </w:r>
                </w:p>
              </w:tc>
              <w:tc>
                <w:tcPr>
                  <w:tcW w:w="524" w:type="pct"/>
                  <w:vAlign w:val="center"/>
                </w:tcPr>
                <w:p>
                  <w:pPr>
                    <w:jc w:val="center"/>
                    <w:rPr>
                      <w:rFonts w:hint="eastAsia"/>
                      <w:color w:val="auto"/>
                      <w:szCs w:val="21"/>
                    </w:rPr>
                  </w:pPr>
                  <w:r>
                    <w:rPr>
                      <w:rFonts w:hint="eastAsia"/>
                      <w:color w:val="auto"/>
                      <w:szCs w:val="21"/>
                      <w:lang w:val="en-US" w:eastAsia="zh-CN"/>
                    </w:rPr>
                    <w:t>0.295</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12</w:t>
                  </w:r>
                </w:p>
              </w:tc>
              <w:tc>
                <w:tcPr>
                  <w:tcW w:w="564"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含漆废物</w:t>
                  </w:r>
                </w:p>
              </w:tc>
              <w:tc>
                <w:tcPr>
                  <w:tcW w:w="46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喷漆工序、废气处理</w:t>
                  </w:r>
                </w:p>
              </w:tc>
              <w:tc>
                <w:tcPr>
                  <w:tcW w:w="433"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490"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eastAsia" w:cs="Times New Roman"/>
                      <w:color w:val="auto"/>
                      <w:sz w:val="21"/>
                      <w:szCs w:val="21"/>
                      <w:lang w:val="en-US" w:eastAsia="zh-CN"/>
                    </w:rPr>
                    <w:t>塑料薄膜</w:t>
                  </w:r>
                  <w:r>
                    <w:rPr>
                      <w:rFonts w:hint="default" w:ascii="Times New Roman" w:hAnsi="Times New Roman" w:eastAsia="宋体" w:cs="Times New Roman"/>
                      <w:color w:val="auto"/>
                      <w:sz w:val="21"/>
                      <w:szCs w:val="21"/>
                      <w:lang w:eastAsia="zh-CN"/>
                    </w:rPr>
                    <w:t>、抹布、手套、</w:t>
                  </w:r>
                </w:p>
              </w:tc>
              <w:tc>
                <w:tcPr>
                  <w:tcW w:w="531" w:type="pct"/>
                  <w:vAlign w:val="center"/>
                </w:tcPr>
                <w:p>
                  <w:pPr>
                    <w:widowControl/>
                    <w:adjustRightInd w:val="0"/>
                    <w:snapToGrid w:val="0"/>
                    <w:spacing w:line="240" w:lineRule="auto"/>
                    <w:ind w:left="-105" w:leftChars="-50" w:right="-105" w:rightChars="-50"/>
                    <w:jc w:val="center"/>
                    <w:rPr>
                      <w:rFonts w:hint="eastAsia"/>
                      <w:color w:val="auto"/>
                      <w:szCs w:val="21"/>
                    </w:rPr>
                  </w:pPr>
                  <w:r>
                    <w:rPr>
                      <w:color w:val="auto"/>
                      <w:kern w:val="18"/>
                      <w:szCs w:val="21"/>
                    </w:rPr>
                    <w:t>T</w:t>
                  </w:r>
                  <w:r>
                    <w:rPr>
                      <w:rFonts w:hint="eastAsia"/>
                      <w:color w:val="auto"/>
                      <w:kern w:val="18"/>
                      <w:szCs w:val="21"/>
                      <w:lang w:eastAsia="zh-CN"/>
                    </w:rPr>
                    <w:t>，</w:t>
                  </w:r>
                  <w:r>
                    <w:rPr>
                      <w:color w:val="auto"/>
                      <w:kern w:val="18"/>
                      <w:szCs w:val="21"/>
                    </w:rPr>
                    <w:t>I</w:t>
                  </w:r>
                </w:p>
              </w:tc>
              <w:tc>
                <w:tcPr>
                  <w:tcW w:w="497" w:type="pct"/>
                  <w:vAlign w:val="center"/>
                </w:tcPr>
                <w:p>
                  <w:pPr>
                    <w:tabs>
                      <w:tab w:val="left" w:pos="2227"/>
                    </w:tabs>
                    <w:spacing w:line="240" w:lineRule="auto"/>
                    <w:contextualSpacing/>
                    <w:jc w:val="center"/>
                    <w:rPr>
                      <w:rFonts w:hint="eastAsia"/>
                      <w:color w:val="auto"/>
                      <w:szCs w:val="21"/>
                    </w:rPr>
                  </w:pPr>
                  <w:r>
                    <w:rPr>
                      <w:rFonts w:hint="default" w:ascii="Times New Roman" w:hAnsi="Times New Roman" w:eastAsia="宋体" w:cs="Times New Roman"/>
                      <w:color w:val="auto"/>
                      <w:kern w:val="0"/>
                      <w:sz w:val="21"/>
                      <w:szCs w:val="21"/>
                    </w:rPr>
                    <w:t>HW12</w:t>
                  </w:r>
                </w:p>
              </w:tc>
              <w:tc>
                <w:tcPr>
                  <w:tcW w:w="720" w:type="pct"/>
                  <w:vAlign w:val="center"/>
                </w:tcPr>
                <w:p>
                  <w:pPr>
                    <w:tabs>
                      <w:tab w:val="left" w:pos="2227"/>
                    </w:tabs>
                    <w:spacing w:line="240" w:lineRule="auto"/>
                    <w:contextualSpacing/>
                    <w:jc w:val="center"/>
                    <w:rPr>
                      <w:rFonts w:hint="eastAsia"/>
                      <w:color w:val="auto"/>
                      <w:szCs w:val="21"/>
                    </w:rPr>
                  </w:pPr>
                  <w:r>
                    <w:rPr>
                      <w:rFonts w:hint="eastAsia"/>
                      <w:color w:val="auto"/>
                      <w:szCs w:val="21"/>
                      <w:lang w:val="en-US" w:eastAsia="zh-CN"/>
                    </w:rPr>
                    <w:t>900-252-12</w:t>
                  </w:r>
                </w:p>
              </w:tc>
              <w:tc>
                <w:tcPr>
                  <w:tcW w:w="524" w:type="pct"/>
                  <w:vAlign w:val="center"/>
                </w:tcPr>
                <w:p>
                  <w:pPr>
                    <w:jc w:val="center"/>
                    <w:rPr>
                      <w:rFonts w:hint="eastAsia"/>
                      <w:color w:val="auto"/>
                      <w:szCs w:val="21"/>
                    </w:rPr>
                  </w:pPr>
                  <w:r>
                    <w:rPr>
                      <w:rFonts w:hint="eastAsia"/>
                      <w:color w:val="auto"/>
                      <w:szCs w:val="21"/>
                      <w:lang w:val="en-US" w:eastAsia="zh-CN"/>
                    </w:rPr>
                    <w:t>0.1</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13</w:t>
                  </w:r>
                </w:p>
              </w:tc>
              <w:tc>
                <w:tcPr>
                  <w:tcW w:w="564"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含漆废液</w:t>
                  </w:r>
                </w:p>
              </w:tc>
              <w:tc>
                <w:tcPr>
                  <w:tcW w:w="46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喷漆清洗</w:t>
                  </w:r>
                </w:p>
              </w:tc>
              <w:tc>
                <w:tcPr>
                  <w:tcW w:w="433"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液态</w:t>
                  </w:r>
                </w:p>
              </w:tc>
              <w:tc>
                <w:tcPr>
                  <w:tcW w:w="490"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含漆废水</w:t>
                  </w:r>
                </w:p>
              </w:tc>
              <w:tc>
                <w:tcPr>
                  <w:tcW w:w="531" w:type="pct"/>
                  <w:vAlign w:val="center"/>
                </w:tcPr>
                <w:p>
                  <w:pPr>
                    <w:tabs>
                      <w:tab w:val="left" w:pos="2227"/>
                    </w:tabs>
                    <w:spacing w:line="240" w:lineRule="auto"/>
                    <w:contextualSpacing/>
                    <w:jc w:val="center"/>
                    <w:rPr>
                      <w:rFonts w:hint="default" w:eastAsia="宋体"/>
                      <w:color w:val="auto"/>
                      <w:szCs w:val="21"/>
                      <w:lang w:val="en-US" w:eastAsia="zh-CN"/>
                    </w:rPr>
                  </w:pPr>
                  <w:r>
                    <w:rPr>
                      <w:rFonts w:hint="default" w:ascii="Times New Roman" w:hAnsi="Times New Roman" w:eastAsia="宋体" w:cs="Times New Roman"/>
                      <w:color w:val="auto"/>
                      <w:kern w:val="0"/>
                      <w:sz w:val="21"/>
                      <w:szCs w:val="21"/>
                    </w:rPr>
                    <w:t>T</w:t>
                  </w:r>
                  <w:r>
                    <w:rPr>
                      <w:rFonts w:hint="eastAsia" w:cs="Times New Roman"/>
                      <w:color w:val="auto"/>
                      <w:kern w:val="0"/>
                      <w:sz w:val="21"/>
                      <w:szCs w:val="21"/>
                      <w:lang w:val="en-US" w:eastAsia="zh-CN"/>
                    </w:rPr>
                    <w:t>/In</w:t>
                  </w:r>
                </w:p>
              </w:tc>
              <w:tc>
                <w:tcPr>
                  <w:tcW w:w="497" w:type="pct"/>
                  <w:vAlign w:val="center"/>
                </w:tcPr>
                <w:p>
                  <w:pPr>
                    <w:tabs>
                      <w:tab w:val="left" w:pos="2227"/>
                    </w:tabs>
                    <w:spacing w:line="240" w:lineRule="auto"/>
                    <w:contextualSpacing/>
                    <w:jc w:val="center"/>
                    <w:rPr>
                      <w:rFonts w:hint="default" w:eastAsia="宋体"/>
                      <w:color w:val="auto"/>
                      <w:szCs w:val="21"/>
                      <w:lang w:val="en-US" w:eastAsia="zh-CN"/>
                    </w:rPr>
                  </w:pPr>
                  <w:r>
                    <w:rPr>
                      <w:rFonts w:hint="default" w:ascii="Times New Roman" w:hAnsi="Times New Roman" w:eastAsia="宋体" w:cs="Times New Roman"/>
                      <w:color w:val="auto"/>
                      <w:kern w:val="0"/>
                      <w:sz w:val="21"/>
                      <w:szCs w:val="21"/>
                    </w:rPr>
                    <w:t>HW</w:t>
                  </w:r>
                  <w:r>
                    <w:rPr>
                      <w:rFonts w:hint="eastAsia" w:cs="Times New Roman"/>
                      <w:color w:val="auto"/>
                      <w:kern w:val="0"/>
                      <w:sz w:val="21"/>
                      <w:szCs w:val="21"/>
                      <w:lang w:val="en-US" w:eastAsia="zh-CN"/>
                    </w:rPr>
                    <w:t>49</w:t>
                  </w:r>
                </w:p>
              </w:tc>
              <w:tc>
                <w:tcPr>
                  <w:tcW w:w="720" w:type="pct"/>
                  <w:vAlign w:val="center"/>
                </w:tcPr>
                <w:p>
                  <w:pPr>
                    <w:tabs>
                      <w:tab w:val="left" w:pos="2227"/>
                    </w:tabs>
                    <w:spacing w:line="240" w:lineRule="auto"/>
                    <w:contextualSpacing/>
                    <w:jc w:val="center"/>
                    <w:rPr>
                      <w:rFonts w:hint="default" w:eastAsia="宋体"/>
                      <w:color w:val="auto"/>
                      <w:szCs w:val="21"/>
                      <w:lang w:val="en-US" w:eastAsia="zh-CN"/>
                    </w:rPr>
                  </w:pPr>
                  <w:r>
                    <w:rPr>
                      <w:rFonts w:hint="eastAsia" w:cs="Times New Roman"/>
                      <w:color w:val="auto"/>
                      <w:kern w:val="0"/>
                      <w:sz w:val="21"/>
                      <w:szCs w:val="21"/>
                      <w:lang w:val="en-US" w:eastAsia="zh-CN"/>
                    </w:rPr>
                    <w:t>900-041-49</w:t>
                  </w:r>
                </w:p>
              </w:tc>
              <w:tc>
                <w:tcPr>
                  <w:tcW w:w="524" w:type="pct"/>
                  <w:vAlign w:val="center"/>
                </w:tcPr>
                <w:p>
                  <w:pPr>
                    <w:jc w:val="center"/>
                    <w:rPr>
                      <w:rFonts w:hint="eastAsia"/>
                      <w:color w:val="auto"/>
                      <w:szCs w:val="21"/>
                    </w:rPr>
                  </w:pPr>
                  <w:r>
                    <w:rPr>
                      <w:rFonts w:hint="eastAsia"/>
                      <w:color w:val="auto"/>
                      <w:szCs w:val="21"/>
                      <w:lang w:val="en-US" w:eastAsia="zh-CN"/>
                    </w:rPr>
                    <w:t>0.48</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14</w:t>
                  </w:r>
                </w:p>
              </w:tc>
              <w:tc>
                <w:tcPr>
                  <w:tcW w:w="564"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w:t>
                  </w:r>
                </w:p>
              </w:tc>
              <w:tc>
                <w:tcPr>
                  <w:tcW w:w="46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废气处理</w:t>
                  </w:r>
                </w:p>
              </w:tc>
              <w:tc>
                <w:tcPr>
                  <w:tcW w:w="433"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rPr>
                    <w:t>固态</w:t>
                  </w:r>
                </w:p>
              </w:tc>
              <w:tc>
                <w:tcPr>
                  <w:tcW w:w="490"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废过滤棉等</w:t>
                  </w:r>
                </w:p>
              </w:tc>
              <w:tc>
                <w:tcPr>
                  <w:tcW w:w="531"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T/In</w:t>
                  </w:r>
                </w:p>
              </w:tc>
              <w:tc>
                <w:tcPr>
                  <w:tcW w:w="497"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HW49</w:t>
                  </w:r>
                </w:p>
              </w:tc>
              <w:tc>
                <w:tcPr>
                  <w:tcW w:w="720"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900-041-49</w:t>
                  </w:r>
                </w:p>
              </w:tc>
              <w:tc>
                <w:tcPr>
                  <w:tcW w:w="524" w:type="pct"/>
                  <w:vAlign w:val="center"/>
                </w:tcPr>
                <w:p>
                  <w:pPr>
                    <w:jc w:val="center"/>
                    <w:rPr>
                      <w:rFonts w:hint="eastAsia"/>
                      <w:color w:val="auto"/>
                      <w:szCs w:val="21"/>
                    </w:rPr>
                  </w:pPr>
                  <w:r>
                    <w:rPr>
                      <w:rFonts w:hint="eastAsia"/>
                      <w:color w:val="auto"/>
                      <w:szCs w:val="21"/>
                      <w:lang w:val="en-US" w:eastAsia="zh-CN"/>
                    </w:rPr>
                    <w:t>0.4</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15</w:t>
                  </w:r>
                </w:p>
              </w:tc>
              <w:tc>
                <w:tcPr>
                  <w:tcW w:w="564"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469"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废气处理</w:t>
                  </w:r>
                </w:p>
              </w:tc>
              <w:tc>
                <w:tcPr>
                  <w:tcW w:w="433"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固态</w:t>
                  </w:r>
                </w:p>
              </w:tc>
              <w:tc>
                <w:tcPr>
                  <w:tcW w:w="490"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531"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T</w:t>
                  </w:r>
                </w:p>
              </w:tc>
              <w:tc>
                <w:tcPr>
                  <w:tcW w:w="497"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HW49</w:t>
                  </w:r>
                </w:p>
              </w:tc>
              <w:tc>
                <w:tcPr>
                  <w:tcW w:w="720" w:type="pct"/>
                  <w:vAlign w:val="center"/>
                </w:tcPr>
                <w:p>
                  <w:pPr>
                    <w:widowControl/>
                    <w:adjustRightInd w:val="0"/>
                    <w:snapToGrid w:val="0"/>
                    <w:spacing w:line="240" w:lineRule="auto"/>
                    <w:ind w:left="-105" w:leftChars="-50" w:right="-105" w:rightChars="-50"/>
                    <w:jc w:val="center"/>
                    <w:rPr>
                      <w:rFonts w:hint="eastAsia"/>
                      <w:color w:val="auto"/>
                      <w:szCs w:val="21"/>
                    </w:rPr>
                  </w:pPr>
                  <w:r>
                    <w:rPr>
                      <w:rFonts w:hint="default" w:ascii="Times New Roman" w:hAnsi="Times New Roman" w:eastAsia="宋体" w:cs="Times New Roman"/>
                      <w:color w:val="auto"/>
                      <w:kern w:val="0"/>
                      <w:sz w:val="21"/>
                      <w:szCs w:val="21"/>
                    </w:rPr>
                    <w:t>900-0</w:t>
                  </w:r>
                  <w:r>
                    <w:rPr>
                      <w:rFonts w:hint="eastAsia" w:cs="Times New Roman"/>
                      <w:color w:val="auto"/>
                      <w:kern w:val="0"/>
                      <w:sz w:val="21"/>
                      <w:szCs w:val="21"/>
                      <w:lang w:val="en-US" w:eastAsia="zh-CN"/>
                    </w:rPr>
                    <w:t>39</w:t>
                  </w:r>
                  <w:r>
                    <w:rPr>
                      <w:rFonts w:hint="default" w:ascii="Times New Roman" w:hAnsi="Times New Roman" w:eastAsia="宋体" w:cs="Times New Roman"/>
                      <w:color w:val="auto"/>
                      <w:kern w:val="0"/>
                      <w:sz w:val="21"/>
                      <w:szCs w:val="21"/>
                    </w:rPr>
                    <w:t>-49</w:t>
                  </w:r>
                </w:p>
              </w:tc>
              <w:tc>
                <w:tcPr>
                  <w:tcW w:w="524" w:type="pct"/>
                  <w:vAlign w:val="center"/>
                </w:tcPr>
                <w:p>
                  <w:pPr>
                    <w:jc w:val="center"/>
                    <w:rPr>
                      <w:rFonts w:hint="eastAsia"/>
                      <w:color w:val="auto"/>
                      <w:szCs w:val="21"/>
                    </w:rPr>
                  </w:pPr>
                  <w:r>
                    <w:rPr>
                      <w:rFonts w:hint="eastAsia"/>
                      <w:color w:val="auto"/>
                      <w:szCs w:val="21"/>
                      <w:lang w:val="en-US" w:eastAsia="zh-CN"/>
                    </w:rPr>
                    <w:t>2.339</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57"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16</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废包装桶</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原料拆封</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490" w:type="pct"/>
                  <w:vAlign w:val="center"/>
                </w:tcPr>
                <w:p>
                  <w:pPr>
                    <w:jc w:val="center"/>
                    <w:rPr>
                      <w:rFonts w:hint="default" w:ascii="Times New Roman" w:hAnsi="Times New Roman" w:eastAsia="宋体" w:cs="Times New Roman"/>
                      <w:color w:val="auto"/>
                      <w:kern w:val="2"/>
                      <w:sz w:val="24"/>
                      <w:szCs w:val="24"/>
                      <w:lang w:val="en-US" w:eastAsia="zh-CN" w:bidi="ar-SA"/>
                    </w:rPr>
                  </w:pPr>
                  <w:r>
                    <w:rPr>
                      <w:rFonts w:hint="eastAsia"/>
                      <w:color w:val="auto"/>
                      <w:sz w:val="24"/>
                      <w:szCs w:val="24"/>
                      <w:lang w:val="en-US" w:eastAsia="zh-CN"/>
                    </w:rPr>
                    <w:t>废铁桶</w:t>
                  </w:r>
                </w:p>
              </w:tc>
              <w:tc>
                <w:tcPr>
                  <w:tcW w:w="531"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T/In</w:t>
                  </w:r>
                </w:p>
              </w:tc>
              <w:tc>
                <w:tcPr>
                  <w:tcW w:w="497"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0"/>
                      <w:szCs w:val="21"/>
                    </w:rPr>
                    <w:t>HW49</w:t>
                  </w:r>
                </w:p>
              </w:tc>
              <w:tc>
                <w:tcPr>
                  <w:tcW w:w="720"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bCs/>
                      <w:color w:val="auto"/>
                      <w:kern w:val="18"/>
                      <w:szCs w:val="21"/>
                    </w:rPr>
                    <w:t>900-041-49</w:t>
                  </w:r>
                </w:p>
              </w:tc>
              <w:tc>
                <w:tcPr>
                  <w:tcW w:w="524"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0.95</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90" w:hRule="atLeast"/>
                <w:jc w:val="center"/>
              </w:trPr>
              <w:tc>
                <w:tcPr>
                  <w:tcW w:w="257"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17</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废劳保用品</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设备维护</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 w:val="24"/>
                      <w:szCs w:val="24"/>
                    </w:rPr>
                    <w:t>抹布、</w:t>
                  </w:r>
                  <w:r>
                    <w:rPr>
                      <w:rFonts w:hint="eastAsia"/>
                      <w:color w:val="auto"/>
                      <w:sz w:val="24"/>
                      <w:szCs w:val="24"/>
                    </w:rPr>
                    <w:t>海绵、</w:t>
                  </w:r>
                  <w:r>
                    <w:rPr>
                      <w:color w:val="auto"/>
                      <w:sz w:val="24"/>
                      <w:szCs w:val="24"/>
                    </w:rPr>
                    <w:t>手套等</w:t>
                  </w:r>
                </w:p>
              </w:tc>
              <w:tc>
                <w:tcPr>
                  <w:tcW w:w="531"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0"/>
                      <w:szCs w:val="21"/>
                    </w:rPr>
                    <w:t>T/In</w:t>
                  </w:r>
                </w:p>
              </w:tc>
              <w:tc>
                <w:tcPr>
                  <w:tcW w:w="497"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0"/>
                      <w:szCs w:val="21"/>
                    </w:rPr>
                    <w:t>HW49</w:t>
                  </w:r>
                </w:p>
              </w:tc>
              <w:tc>
                <w:tcPr>
                  <w:tcW w:w="720"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0"/>
                      <w:szCs w:val="21"/>
                    </w:rPr>
                    <w:t>900-041-49</w:t>
                  </w:r>
                </w:p>
              </w:tc>
              <w:tc>
                <w:tcPr>
                  <w:tcW w:w="524" w:type="pct"/>
                  <w:vAlign w:val="center"/>
                </w:tcPr>
                <w:p>
                  <w:pPr>
                    <w:jc w:val="center"/>
                    <w:rPr>
                      <w:rFonts w:hint="eastAsia"/>
                      <w:color w:val="auto"/>
                      <w:szCs w:val="21"/>
                    </w:rPr>
                  </w:pPr>
                  <w:r>
                    <w:rPr>
                      <w:rFonts w:hint="eastAsia" w:cs="Times New Roman"/>
                      <w:color w:val="auto"/>
                      <w:kern w:val="2"/>
                      <w:sz w:val="21"/>
                      <w:szCs w:val="21"/>
                      <w:lang w:val="en-US" w:eastAsia="zh-CN" w:bidi="ar-SA"/>
                    </w:rPr>
                    <w:t>0.02</w:t>
                  </w:r>
                </w:p>
              </w:tc>
              <w:tc>
                <w:tcPr>
                  <w:tcW w:w="509"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90" w:hRule="atLeast"/>
                <w:jc w:val="center"/>
              </w:trPr>
              <w:tc>
                <w:tcPr>
                  <w:tcW w:w="257" w:type="pct"/>
                  <w:vAlign w:val="center"/>
                </w:tcPr>
                <w:p>
                  <w:pPr>
                    <w:pStyle w:val="123"/>
                    <w:rPr>
                      <w:rFonts w:hint="default" w:eastAsia="宋体"/>
                      <w:color w:val="auto"/>
                      <w:lang w:val="en-US" w:eastAsia="zh-CN"/>
                    </w:rPr>
                  </w:pPr>
                  <w:r>
                    <w:rPr>
                      <w:rFonts w:hint="eastAsia"/>
                      <w:color w:val="auto"/>
                      <w:lang w:val="en-US" w:eastAsia="zh-CN"/>
                    </w:rPr>
                    <w:t>18</w:t>
                  </w:r>
                </w:p>
              </w:tc>
              <w:tc>
                <w:tcPr>
                  <w:tcW w:w="564"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生活垃圾</w:t>
                  </w:r>
                </w:p>
              </w:tc>
              <w:tc>
                <w:tcPr>
                  <w:tcW w:w="46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员工日常生活</w:t>
                  </w:r>
                </w:p>
              </w:tc>
              <w:tc>
                <w:tcPr>
                  <w:tcW w:w="43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固态</w:t>
                  </w:r>
                </w:p>
              </w:tc>
              <w:tc>
                <w:tcPr>
                  <w:tcW w:w="49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果皮、纸屑等</w:t>
                  </w:r>
                </w:p>
              </w:tc>
              <w:tc>
                <w:tcPr>
                  <w:tcW w:w="531"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497"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720"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4" w:type="pct"/>
                  <w:vAlign w:val="center"/>
                </w:tcPr>
                <w:p>
                  <w:pPr>
                    <w:jc w:val="center"/>
                    <w:rPr>
                      <w:rFonts w:hint="eastAsia"/>
                      <w:color w:val="auto"/>
                      <w:szCs w:val="21"/>
                    </w:rPr>
                  </w:pPr>
                  <w:r>
                    <w:rPr>
                      <w:rFonts w:hint="eastAsia"/>
                      <w:color w:val="auto"/>
                      <w:szCs w:val="21"/>
                      <w:lang w:val="en-US" w:eastAsia="zh-CN"/>
                    </w:rPr>
                    <w:t>1.5</w:t>
                  </w:r>
                </w:p>
              </w:tc>
              <w:tc>
                <w:tcPr>
                  <w:tcW w:w="509" w:type="pct"/>
                  <w:vMerge w:val="continue"/>
                  <w:vAlign w:val="center"/>
                </w:tcPr>
                <w:p>
                  <w:pPr>
                    <w:pStyle w:val="123"/>
                    <w:rPr>
                      <w:b/>
                      <w:color w:val="auto"/>
                    </w:rPr>
                  </w:pPr>
                </w:p>
              </w:tc>
            </w:tr>
          </w:tbl>
          <w:p>
            <w:pPr>
              <w:jc w:val="center"/>
              <w:rPr>
                <w:b/>
                <w:color w:val="auto"/>
                <w:szCs w:val="21"/>
              </w:rPr>
            </w:pPr>
            <w:r>
              <w:rPr>
                <w:b/>
                <w:color w:val="auto"/>
                <w:szCs w:val="21"/>
              </w:rPr>
              <w:t>表</w:t>
            </w:r>
            <w:r>
              <w:rPr>
                <w:rFonts w:hint="eastAsia"/>
                <w:b/>
                <w:color w:val="auto"/>
                <w:szCs w:val="21"/>
              </w:rPr>
              <w:t>5-</w:t>
            </w:r>
            <w:r>
              <w:rPr>
                <w:rFonts w:hint="eastAsia"/>
                <w:b/>
                <w:color w:val="auto"/>
                <w:szCs w:val="21"/>
                <w:lang w:val="en-US" w:eastAsia="zh-CN"/>
              </w:rPr>
              <w:t>22</w:t>
            </w:r>
            <w:r>
              <w:rPr>
                <w:b/>
                <w:color w:val="auto"/>
                <w:szCs w:val="21"/>
              </w:rPr>
              <w:t xml:space="preserve"> 本项目固体废物利用处置方式评价表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640"/>
              <w:gridCol w:w="1526"/>
              <w:gridCol w:w="1295"/>
              <w:gridCol w:w="848"/>
              <w:gridCol w:w="1196"/>
              <w:gridCol w:w="870"/>
              <w:gridCol w:w="1009"/>
              <w:gridCol w:w="925"/>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b/>
                      <w:color w:val="auto"/>
                    </w:rPr>
                  </w:pPr>
                  <w:r>
                    <w:rPr>
                      <w:b/>
                      <w:color w:val="auto"/>
                    </w:rPr>
                    <w:t>序号</w:t>
                  </w:r>
                </w:p>
              </w:tc>
              <w:tc>
                <w:tcPr>
                  <w:tcW w:w="918" w:type="pct"/>
                  <w:vAlign w:val="center"/>
                </w:tcPr>
                <w:p>
                  <w:pPr>
                    <w:pStyle w:val="123"/>
                    <w:rPr>
                      <w:b/>
                      <w:color w:val="auto"/>
                    </w:rPr>
                  </w:pPr>
                  <w:r>
                    <w:rPr>
                      <w:b/>
                      <w:color w:val="auto"/>
                    </w:rPr>
                    <w:t>固体废物名称</w:t>
                  </w:r>
                </w:p>
              </w:tc>
              <w:tc>
                <w:tcPr>
                  <w:tcW w:w="779" w:type="pct"/>
                  <w:vAlign w:val="center"/>
                </w:tcPr>
                <w:p>
                  <w:pPr>
                    <w:pStyle w:val="123"/>
                    <w:rPr>
                      <w:b/>
                      <w:color w:val="auto"/>
                    </w:rPr>
                  </w:pPr>
                  <w:r>
                    <w:rPr>
                      <w:b/>
                      <w:color w:val="auto"/>
                    </w:rPr>
                    <w:t>产生工序</w:t>
                  </w:r>
                </w:p>
              </w:tc>
              <w:tc>
                <w:tcPr>
                  <w:tcW w:w="510" w:type="pct"/>
                  <w:vAlign w:val="center"/>
                </w:tcPr>
                <w:p>
                  <w:pPr>
                    <w:pStyle w:val="123"/>
                    <w:rPr>
                      <w:b/>
                      <w:color w:val="auto"/>
                    </w:rPr>
                  </w:pPr>
                  <w:r>
                    <w:rPr>
                      <w:rFonts w:hint="eastAsia"/>
                      <w:b/>
                      <w:color w:val="auto"/>
                    </w:rPr>
                    <w:t>属性</w:t>
                  </w:r>
                </w:p>
              </w:tc>
              <w:tc>
                <w:tcPr>
                  <w:tcW w:w="719" w:type="pct"/>
                  <w:vAlign w:val="center"/>
                </w:tcPr>
                <w:p>
                  <w:pPr>
                    <w:pStyle w:val="123"/>
                    <w:rPr>
                      <w:b/>
                      <w:color w:val="auto"/>
                    </w:rPr>
                  </w:pPr>
                  <w:r>
                    <w:rPr>
                      <w:b/>
                      <w:color w:val="auto"/>
                    </w:rPr>
                    <w:t>废物代码</w:t>
                  </w:r>
                </w:p>
              </w:tc>
              <w:tc>
                <w:tcPr>
                  <w:tcW w:w="523" w:type="pct"/>
                  <w:vAlign w:val="center"/>
                </w:tcPr>
                <w:p>
                  <w:pPr>
                    <w:pStyle w:val="123"/>
                    <w:rPr>
                      <w:b/>
                      <w:color w:val="auto"/>
                    </w:rPr>
                  </w:pPr>
                  <w:r>
                    <w:rPr>
                      <w:b/>
                      <w:color w:val="auto"/>
                    </w:rPr>
                    <w:t>产生量（t/a）</w:t>
                  </w:r>
                </w:p>
              </w:tc>
              <w:tc>
                <w:tcPr>
                  <w:tcW w:w="607" w:type="pct"/>
                  <w:vAlign w:val="center"/>
                </w:tcPr>
                <w:p>
                  <w:pPr>
                    <w:pStyle w:val="123"/>
                    <w:rPr>
                      <w:b/>
                      <w:color w:val="auto"/>
                    </w:rPr>
                  </w:pPr>
                  <w:r>
                    <w:rPr>
                      <w:b/>
                      <w:color w:val="auto"/>
                    </w:rPr>
                    <w:t>处理处置方式</w:t>
                  </w:r>
                </w:p>
              </w:tc>
              <w:tc>
                <w:tcPr>
                  <w:tcW w:w="556" w:type="pct"/>
                  <w:vAlign w:val="center"/>
                </w:tcPr>
                <w:p>
                  <w:pPr>
                    <w:pStyle w:val="123"/>
                    <w:rPr>
                      <w:b/>
                      <w:color w:val="auto"/>
                    </w:rPr>
                  </w:pPr>
                  <w:r>
                    <w:rPr>
                      <w:b/>
                      <w:color w:val="auto"/>
                    </w:rPr>
                    <w:t>利用处置单位</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1</w:t>
                  </w:r>
                </w:p>
              </w:tc>
              <w:tc>
                <w:tcPr>
                  <w:tcW w:w="918"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废边角料</w:t>
                  </w:r>
                </w:p>
              </w:tc>
              <w:tc>
                <w:tcPr>
                  <w:tcW w:w="779"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镗铣粗加工、打孔</w:t>
                  </w:r>
                  <w:r>
                    <w:rPr>
                      <w:rFonts w:hint="eastAsia"/>
                      <w:color w:val="auto"/>
                      <w:szCs w:val="21"/>
                      <w:lang w:eastAsia="zh-CN"/>
                    </w:rPr>
                    <w:t>、</w:t>
                  </w:r>
                  <w:r>
                    <w:rPr>
                      <w:rFonts w:hint="eastAsia"/>
                      <w:color w:val="auto"/>
                      <w:szCs w:val="21"/>
                    </w:rPr>
                    <w:t>精加工工序</w:t>
                  </w:r>
                </w:p>
              </w:tc>
              <w:tc>
                <w:tcPr>
                  <w:tcW w:w="510" w:type="pct"/>
                  <w:vMerge w:val="restart"/>
                  <w:vAlign w:val="center"/>
                </w:tcPr>
                <w:p>
                  <w:pPr>
                    <w:pStyle w:val="123"/>
                    <w:jc w:val="both"/>
                    <w:rPr>
                      <w:rFonts w:hint="default" w:eastAsia="宋体"/>
                      <w:b w:val="0"/>
                      <w:bCs/>
                      <w:color w:val="auto"/>
                      <w:lang w:val="en-US" w:eastAsia="zh-CN"/>
                    </w:rPr>
                  </w:pPr>
                  <w:r>
                    <w:rPr>
                      <w:rFonts w:hint="eastAsia"/>
                      <w:b w:val="0"/>
                      <w:bCs/>
                      <w:color w:val="auto"/>
                      <w:lang w:val="en-US" w:eastAsia="zh-CN"/>
                    </w:rPr>
                    <w:t>一般工业固废</w:t>
                  </w:r>
                </w:p>
              </w:tc>
              <w:tc>
                <w:tcPr>
                  <w:tcW w:w="719"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15</w:t>
                  </w:r>
                </w:p>
              </w:tc>
              <w:tc>
                <w:tcPr>
                  <w:tcW w:w="607" w:type="pct"/>
                  <w:vMerge w:val="restart"/>
                  <w:vAlign w:val="center"/>
                </w:tcPr>
                <w:p>
                  <w:pPr>
                    <w:pStyle w:val="123"/>
                    <w:jc w:val="both"/>
                    <w:rPr>
                      <w:rFonts w:hint="default" w:eastAsia="宋体"/>
                      <w:b/>
                      <w:color w:val="auto"/>
                      <w:lang w:val="en-US" w:eastAsia="zh-CN"/>
                    </w:rPr>
                  </w:pPr>
                  <w:r>
                    <w:rPr>
                      <w:rFonts w:hint="eastAsia"/>
                      <w:b w:val="0"/>
                      <w:bCs/>
                      <w:color w:val="auto"/>
                      <w:lang w:val="en-US" w:eastAsia="zh-CN"/>
                    </w:rPr>
                    <w:t>分类收集后售卖</w:t>
                  </w:r>
                </w:p>
              </w:tc>
              <w:tc>
                <w:tcPr>
                  <w:tcW w:w="556" w:type="pct"/>
                  <w:vMerge w:val="restart"/>
                  <w:vAlign w:val="center"/>
                </w:tcPr>
                <w:p>
                  <w:pPr>
                    <w:pStyle w:val="123"/>
                    <w:jc w:val="both"/>
                    <w:rPr>
                      <w:rFonts w:hint="default"/>
                      <w:b w:val="0"/>
                      <w:bCs/>
                      <w:color w:val="auto"/>
                      <w:lang w:val="en-US" w:eastAsia="zh-CN"/>
                    </w:rPr>
                  </w:pPr>
                  <w:r>
                    <w:rPr>
                      <w:rFonts w:hint="eastAsia"/>
                      <w:b w:val="0"/>
                      <w:bCs/>
                      <w:color w:val="auto"/>
                      <w:lang w:val="en-US" w:eastAsia="zh-CN"/>
                    </w:rPr>
                    <w:t>物资回收单位</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2</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废渣</w:t>
                  </w:r>
                </w:p>
              </w:tc>
              <w:tc>
                <w:tcPr>
                  <w:tcW w:w="77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清洗工序</w:t>
                  </w:r>
                </w:p>
              </w:tc>
              <w:tc>
                <w:tcPr>
                  <w:tcW w:w="510" w:type="pct"/>
                  <w:vMerge w:val="continue"/>
                  <w:vAlign w:val="center"/>
                </w:tcPr>
                <w:p>
                  <w:pPr>
                    <w:pStyle w:val="123"/>
                    <w:rPr>
                      <w:rFonts w:hint="eastAsia"/>
                      <w:b w:val="0"/>
                      <w:bCs/>
                      <w:color w:val="auto"/>
                    </w:rPr>
                  </w:pPr>
                </w:p>
              </w:tc>
              <w:tc>
                <w:tcPr>
                  <w:tcW w:w="719"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3</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废砂</w:t>
                  </w:r>
                </w:p>
              </w:tc>
              <w:tc>
                <w:tcPr>
                  <w:tcW w:w="77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喷砂工序</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4</w:t>
                  </w:r>
                </w:p>
              </w:tc>
              <w:tc>
                <w:tcPr>
                  <w:tcW w:w="918"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废铁丸</w:t>
                  </w:r>
                </w:p>
              </w:tc>
              <w:tc>
                <w:tcPr>
                  <w:tcW w:w="779" w:type="pc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抛丸工序</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5</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加工粉尘</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布袋收集</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31.84</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6</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废塑粉</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喷塑工序</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0.109</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7</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锌颗粒物、废锌丝</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喷锌工序</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0.31</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8</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废包装材料</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原料拆封</w:t>
                  </w:r>
                </w:p>
              </w:tc>
              <w:tc>
                <w:tcPr>
                  <w:tcW w:w="510" w:type="pct"/>
                  <w:vMerge w:val="continue"/>
                  <w:vAlign w:val="center"/>
                </w:tcPr>
                <w:p>
                  <w:pPr>
                    <w:pStyle w:val="123"/>
                    <w:rPr>
                      <w:rFonts w:hint="eastAsia"/>
                      <w:b w:val="0"/>
                      <w:bCs/>
                      <w:color w:val="auto"/>
                    </w:rPr>
                  </w:pP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0.02</w:t>
                  </w:r>
                </w:p>
              </w:tc>
              <w:tc>
                <w:tcPr>
                  <w:tcW w:w="607" w:type="pct"/>
                  <w:vMerge w:val="continue"/>
                  <w:vAlign w:val="center"/>
                </w:tcPr>
                <w:p>
                  <w:pPr>
                    <w:pStyle w:val="123"/>
                    <w:rPr>
                      <w:b/>
                      <w:color w:val="auto"/>
                    </w:rPr>
                  </w:pPr>
                </w:p>
              </w:tc>
              <w:tc>
                <w:tcPr>
                  <w:tcW w:w="556" w:type="pct"/>
                  <w:vMerge w:val="continue"/>
                  <w:vAlign w:val="center"/>
                </w:tcPr>
                <w:p>
                  <w:pPr>
                    <w:pStyle w:val="123"/>
                    <w:jc w:val="both"/>
                    <w:rPr>
                      <w:rFonts w:hint="eastAsia"/>
                      <w:b w:val="0"/>
                      <w:bCs/>
                      <w:color w:val="auto"/>
                      <w:lang w:val="en-US" w:eastAsia="zh-CN"/>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9</w:t>
                  </w:r>
                </w:p>
              </w:tc>
              <w:tc>
                <w:tcPr>
                  <w:tcW w:w="918"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废切削液</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工、打孔</w:t>
                  </w:r>
                  <w:r>
                    <w:rPr>
                      <w:rFonts w:hint="eastAsia"/>
                      <w:color w:val="auto"/>
                      <w:szCs w:val="21"/>
                      <w:lang w:eastAsia="zh-CN"/>
                    </w:rPr>
                    <w:t>、</w:t>
                  </w:r>
                  <w:r>
                    <w:rPr>
                      <w:rFonts w:hint="eastAsia"/>
                      <w:color w:val="auto"/>
                      <w:szCs w:val="21"/>
                    </w:rPr>
                    <w:t>精加工工序</w:t>
                  </w:r>
                </w:p>
              </w:tc>
              <w:tc>
                <w:tcPr>
                  <w:tcW w:w="510" w:type="pct"/>
                  <w:vMerge w:val="restart"/>
                  <w:vAlign w:val="center"/>
                </w:tcPr>
                <w:p>
                  <w:pPr>
                    <w:pStyle w:val="123"/>
                    <w:rPr>
                      <w:rFonts w:hint="default" w:eastAsia="宋体"/>
                      <w:b w:val="0"/>
                      <w:bCs/>
                      <w:color w:val="auto"/>
                      <w:lang w:val="en-US" w:eastAsia="zh-CN"/>
                    </w:rPr>
                  </w:pPr>
                  <w:r>
                    <w:rPr>
                      <w:rFonts w:hint="eastAsia"/>
                      <w:b w:val="0"/>
                      <w:bCs/>
                      <w:color w:val="auto"/>
                      <w:lang w:val="en-US" w:eastAsia="zh-CN"/>
                    </w:rPr>
                    <w:t>危险废物</w:t>
                  </w:r>
                </w:p>
              </w:tc>
              <w:tc>
                <w:tcPr>
                  <w:tcW w:w="1196" w:type="dxa"/>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900-006-09</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4.8</w:t>
                  </w:r>
                </w:p>
              </w:tc>
              <w:tc>
                <w:tcPr>
                  <w:tcW w:w="607" w:type="pct"/>
                  <w:vMerge w:val="restart"/>
                  <w:vAlign w:val="center"/>
                </w:tcPr>
                <w:p>
                  <w:pPr>
                    <w:pStyle w:val="123"/>
                    <w:rPr>
                      <w:rFonts w:hint="default"/>
                      <w:b w:val="0"/>
                      <w:bCs/>
                      <w:color w:val="auto"/>
                      <w:lang w:val="en-US" w:eastAsia="zh-CN"/>
                    </w:rPr>
                  </w:pPr>
                  <w:r>
                    <w:rPr>
                      <w:rFonts w:hint="eastAsia"/>
                      <w:b w:val="0"/>
                      <w:bCs/>
                      <w:color w:val="auto"/>
                      <w:lang w:val="en-US" w:eastAsia="zh-CN"/>
                    </w:rPr>
                    <w:t>委托有资质单位处置</w:t>
                  </w:r>
                </w:p>
              </w:tc>
              <w:tc>
                <w:tcPr>
                  <w:tcW w:w="556" w:type="pct"/>
                  <w:vMerge w:val="restart"/>
                  <w:vAlign w:val="center"/>
                </w:tcPr>
                <w:p>
                  <w:pPr>
                    <w:pStyle w:val="123"/>
                    <w:jc w:val="both"/>
                    <w:rPr>
                      <w:rFonts w:hint="default"/>
                      <w:b w:val="0"/>
                      <w:bCs/>
                      <w:color w:val="auto"/>
                      <w:lang w:val="en-US" w:eastAsia="zh-CN"/>
                    </w:rPr>
                  </w:pPr>
                  <w:r>
                    <w:rPr>
                      <w:rFonts w:hint="eastAsia"/>
                      <w:b w:val="0"/>
                      <w:bCs/>
                      <w:color w:val="auto"/>
                      <w:lang w:val="en-US" w:eastAsia="zh-CN"/>
                    </w:rPr>
                    <w:t>有资质单位</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10</w:t>
                  </w:r>
                </w:p>
              </w:tc>
              <w:tc>
                <w:tcPr>
                  <w:tcW w:w="918"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废润滑油</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设备维护</w:t>
                  </w:r>
                </w:p>
              </w:tc>
              <w:tc>
                <w:tcPr>
                  <w:tcW w:w="510" w:type="pct"/>
                  <w:vMerge w:val="continue"/>
                  <w:vAlign w:val="center"/>
                </w:tcPr>
                <w:p>
                  <w:pPr>
                    <w:pStyle w:val="123"/>
                    <w:rPr>
                      <w:rFonts w:hint="eastAsia"/>
                      <w:b/>
                      <w:color w:val="auto"/>
                    </w:rPr>
                  </w:pPr>
                </w:p>
              </w:tc>
              <w:tc>
                <w:tcPr>
                  <w:tcW w:w="1196" w:type="dxa"/>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900-2</w:t>
                  </w:r>
                  <w:r>
                    <w:rPr>
                      <w:rFonts w:hint="eastAsia"/>
                      <w:color w:val="auto"/>
                      <w:kern w:val="18"/>
                      <w:szCs w:val="21"/>
                      <w:lang w:val="en-US" w:eastAsia="zh-CN"/>
                    </w:rPr>
                    <w:t>09</w:t>
                  </w:r>
                  <w:r>
                    <w:rPr>
                      <w:color w:val="auto"/>
                      <w:kern w:val="18"/>
                      <w:szCs w:val="21"/>
                    </w:rPr>
                    <w:t>-08</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0.25</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11</w:t>
                  </w:r>
                </w:p>
              </w:tc>
              <w:tc>
                <w:tcPr>
                  <w:tcW w:w="918"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漆渣</w:t>
                  </w:r>
                </w:p>
              </w:tc>
              <w:tc>
                <w:tcPr>
                  <w:tcW w:w="779"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eastAsia" w:cs="Times New Roman"/>
                      <w:bCs/>
                      <w:color w:val="auto"/>
                      <w:sz w:val="21"/>
                      <w:szCs w:val="21"/>
                      <w:lang w:val="en-US" w:eastAsia="zh-CN"/>
                    </w:rPr>
                    <w:t>喷漆工序、</w:t>
                  </w:r>
                  <w:r>
                    <w:rPr>
                      <w:rFonts w:hint="default" w:ascii="Times New Roman" w:hAnsi="Times New Roman" w:eastAsia="宋体" w:cs="Times New Roman"/>
                      <w:bCs/>
                      <w:color w:val="auto"/>
                      <w:sz w:val="21"/>
                      <w:szCs w:val="21"/>
                    </w:rPr>
                    <w:t>废气处理</w:t>
                  </w:r>
                </w:p>
              </w:tc>
              <w:tc>
                <w:tcPr>
                  <w:tcW w:w="510" w:type="pct"/>
                  <w:vMerge w:val="continue"/>
                  <w:vAlign w:val="center"/>
                </w:tcPr>
                <w:p>
                  <w:pPr>
                    <w:pStyle w:val="123"/>
                    <w:rPr>
                      <w:rFonts w:hint="eastAsia"/>
                      <w:b/>
                      <w:color w:val="auto"/>
                    </w:rPr>
                  </w:pPr>
                </w:p>
              </w:tc>
              <w:tc>
                <w:tcPr>
                  <w:tcW w:w="1196" w:type="dxa"/>
                  <w:vAlign w:val="center"/>
                </w:tcPr>
                <w:p>
                  <w:pPr>
                    <w:tabs>
                      <w:tab w:val="left" w:pos="2227"/>
                    </w:tabs>
                    <w:spacing w:line="240" w:lineRule="auto"/>
                    <w:contextualSpacing/>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900-252-12</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0.295</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12</w:t>
                  </w:r>
                </w:p>
              </w:tc>
              <w:tc>
                <w:tcPr>
                  <w:tcW w:w="918"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含漆废物</w:t>
                  </w:r>
                </w:p>
              </w:tc>
              <w:tc>
                <w:tcPr>
                  <w:tcW w:w="77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喷漆工序、废气处理</w:t>
                  </w:r>
                </w:p>
              </w:tc>
              <w:tc>
                <w:tcPr>
                  <w:tcW w:w="510" w:type="pct"/>
                  <w:vMerge w:val="continue"/>
                  <w:vAlign w:val="center"/>
                </w:tcPr>
                <w:p>
                  <w:pPr>
                    <w:pStyle w:val="123"/>
                    <w:rPr>
                      <w:rFonts w:hint="eastAsia"/>
                      <w:b/>
                      <w:color w:val="auto"/>
                    </w:rPr>
                  </w:pPr>
                </w:p>
              </w:tc>
              <w:tc>
                <w:tcPr>
                  <w:tcW w:w="1196" w:type="dxa"/>
                  <w:vAlign w:val="center"/>
                </w:tcPr>
                <w:p>
                  <w:pPr>
                    <w:tabs>
                      <w:tab w:val="left" w:pos="2227"/>
                    </w:tabs>
                    <w:spacing w:line="240" w:lineRule="auto"/>
                    <w:contextualSpacing/>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900-252-12</w:t>
                  </w:r>
                </w:p>
              </w:tc>
              <w:tc>
                <w:tcPr>
                  <w:tcW w:w="523" w:type="pct"/>
                  <w:vAlign w:val="center"/>
                </w:tcPr>
                <w:p>
                  <w:pPr>
                    <w:jc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0.1</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13</w:t>
                  </w:r>
                </w:p>
              </w:tc>
              <w:tc>
                <w:tcPr>
                  <w:tcW w:w="918"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含漆废液</w:t>
                  </w:r>
                </w:p>
              </w:tc>
              <w:tc>
                <w:tcPr>
                  <w:tcW w:w="77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喷漆清洗</w:t>
                  </w:r>
                </w:p>
              </w:tc>
              <w:tc>
                <w:tcPr>
                  <w:tcW w:w="510" w:type="pct"/>
                  <w:vMerge w:val="continue"/>
                  <w:vAlign w:val="center"/>
                </w:tcPr>
                <w:p>
                  <w:pPr>
                    <w:pStyle w:val="123"/>
                    <w:rPr>
                      <w:rFonts w:hint="eastAsia"/>
                      <w:b/>
                      <w:color w:val="auto"/>
                    </w:rPr>
                  </w:pPr>
                </w:p>
              </w:tc>
              <w:tc>
                <w:tcPr>
                  <w:tcW w:w="1196" w:type="dxa"/>
                  <w:vAlign w:val="center"/>
                </w:tcPr>
                <w:p>
                  <w:pPr>
                    <w:tabs>
                      <w:tab w:val="left" w:pos="2227"/>
                    </w:tabs>
                    <w:spacing w:line="240" w:lineRule="auto"/>
                    <w:contextualSpacing/>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900-041-49</w:t>
                  </w:r>
                </w:p>
              </w:tc>
              <w:tc>
                <w:tcPr>
                  <w:tcW w:w="523" w:type="pct"/>
                  <w:vAlign w:val="center"/>
                </w:tcPr>
                <w:p>
                  <w:pPr>
                    <w:jc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0.48</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14</w:t>
                  </w:r>
                </w:p>
              </w:tc>
              <w:tc>
                <w:tcPr>
                  <w:tcW w:w="918"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w:t>
                  </w:r>
                </w:p>
              </w:tc>
              <w:tc>
                <w:tcPr>
                  <w:tcW w:w="779" w:type="pct"/>
                  <w:vAlign w:val="center"/>
                </w:tcPr>
                <w:p>
                  <w:pPr>
                    <w:pStyle w:val="123"/>
                    <w:jc w:val="center"/>
                    <w:rPr>
                      <w:rFonts w:hint="eastAsia" w:ascii="Times New Roman" w:hAnsi="Times New Roman" w:eastAsia="宋体" w:cs="Times New Roman"/>
                      <w:bCs/>
                      <w:color w:val="auto"/>
                      <w:kern w:val="18"/>
                      <w:sz w:val="21"/>
                      <w:szCs w:val="21"/>
                      <w:lang w:val="en-US" w:eastAsia="zh-CN" w:bidi="ar-SA"/>
                    </w:rPr>
                  </w:pPr>
                  <w:r>
                    <w:rPr>
                      <w:rFonts w:hint="default" w:ascii="Times New Roman" w:hAnsi="Times New Roman" w:eastAsia="宋体" w:cs="Times New Roman"/>
                      <w:bCs/>
                      <w:color w:val="auto"/>
                      <w:sz w:val="21"/>
                      <w:szCs w:val="21"/>
                      <w:lang w:eastAsia="zh-CN"/>
                    </w:rPr>
                    <w:t>废气处理</w:t>
                  </w:r>
                </w:p>
              </w:tc>
              <w:tc>
                <w:tcPr>
                  <w:tcW w:w="510" w:type="pct"/>
                  <w:vMerge w:val="continue"/>
                  <w:vAlign w:val="center"/>
                </w:tcPr>
                <w:p>
                  <w:pPr>
                    <w:pStyle w:val="123"/>
                    <w:rPr>
                      <w:rFonts w:hint="eastAsia"/>
                      <w:b/>
                      <w:color w:val="auto"/>
                    </w:rPr>
                  </w:pPr>
                </w:p>
              </w:tc>
              <w:tc>
                <w:tcPr>
                  <w:tcW w:w="1196"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900-041-49</w:t>
                  </w:r>
                </w:p>
              </w:tc>
              <w:tc>
                <w:tcPr>
                  <w:tcW w:w="523" w:type="pct"/>
                  <w:vAlign w:val="center"/>
                </w:tcPr>
                <w:p>
                  <w:pPr>
                    <w:jc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0.4</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15</w:t>
                  </w:r>
                </w:p>
              </w:tc>
              <w:tc>
                <w:tcPr>
                  <w:tcW w:w="918"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779" w:type="pct"/>
                  <w:vAlign w:val="center"/>
                </w:tcPr>
                <w:p>
                  <w:pPr>
                    <w:pStyle w:val="123"/>
                    <w:jc w:val="center"/>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废气处理</w:t>
                  </w:r>
                </w:p>
              </w:tc>
              <w:tc>
                <w:tcPr>
                  <w:tcW w:w="510" w:type="pct"/>
                  <w:vMerge w:val="continue"/>
                  <w:vAlign w:val="center"/>
                </w:tcPr>
                <w:p>
                  <w:pPr>
                    <w:pStyle w:val="123"/>
                    <w:rPr>
                      <w:rFonts w:hint="eastAsia"/>
                      <w:b/>
                      <w:color w:val="auto"/>
                    </w:rPr>
                  </w:pPr>
                </w:p>
              </w:tc>
              <w:tc>
                <w:tcPr>
                  <w:tcW w:w="1196"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900-0</w:t>
                  </w:r>
                  <w:r>
                    <w:rPr>
                      <w:rFonts w:hint="eastAsia" w:cs="Times New Roman"/>
                      <w:color w:val="auto"/>
                      <w:kern w:val="0"/>
                      <w:sz w:val="21"/>
                      <w:szCs w:val="21"/>
                      <w:lang w:val="en-US" w:eastAsia="zh-CN"/>
                    </w:rPr>
                    <w:t>39</w:t>
                  </w:r>
                  <w:r>
                    <w:rPr>
                      <w:rFonts w:hint="default" w:ascii="Times New Roman" w:hAnsi="Times New Roman" w:eastAsia="宋体" w:cs="Times New Roman"/>
                      <w:color w:val="auto"/>
                      <w:kern w:val="0"/>
                      <w:sz w:val="21"/>
                      <w:szCs w:val="21"/>
                    </w:rPr>
                    <w:t>-49</w:t>
                  </w:r>
                </w:p>
              </w:tc>
              <w:tc>
                <w:tcPr>
                  <w:tcW w:w="523" w:type="pct"/>
                  <w:vAlign w:val="center"/>
                </w:tcPr>
                <w:p>
                  <w:pPr>
                    <w:jc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2.339</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16</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废包装桶</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原料拆封</w:t>
                  </w:r>
                </w:p>
              </w:tc>
              <w:tc>
                <w:tcPr>
                  <w:tcW w:w="510" w:type="pct"/>
                  <w:vMerge w:val="continue"/>
                  <w:vAlign w:val="center"/>
                </w:tcPr>
                <w:p>
                  <w:pPr>
                    <w:pStyle w:val="123"/>
                    <w:rPr>
                      <w:rFonts w:hint="eastAsia"/>
                      <w:b/>
                      <w:color w:val="auto"/>
                    </w:rPr>
                  </w:pPr>
                </w:p>
              </w:tc>
              <w:tc>
                <w:tcPr>
                  <w:tcW w:w="1196" w:type="dxa"/>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bCs/>
                      <w:color w:val="auto"/>
                      <w:kern w:val="18"/>
                      <w:szCs w:val="21"/>
                    </w:rPr>
                    <w:t>900-041-49</w:t>
                  </w:r>
                </w:p>
              </w:tc>
              <w:tc>
                <w:tcPr>
                  <w:tcW w:w="523" w:type="pct"/>
                  <w:vAlign w:val="center"/>
                </w:tcPr>
                <w:p>
                  <w:pPr>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0.95</w:t>
                  </w:r>
                </w:p>
              </w:tc>
              <w:tc>
                <w:tcPr>
                  <w:tcW w:w="607" w:type="pct"/>
                  <w:vMerge w:val="continue"/>
                  <w:vAlign w:val="center"/>
                </w:tcPr>
                <w:p>
                  <w:pPr>
                    <w:pStyle w:val="123"/>
                    <w:rPr>
                      <w:rFonts w:hint="eastAsia"/>
                      <w:b w:val="0"/>
                      <w:bCs/>
                      <w:color w:val="auto"/>
                      <w:lang w:val="en-US" w:eastAsia="zh-CN"/>
                    </w:rPr>
                  </w:pPr>
                </w:p>
              </w:tc>
              <w:tc>
                <w:tcPr>
                  <w:tcW w:w="556" w:type="pct"/>
                  <w:vMerge w:val="continue"/>
                  <w:vAlign w:val="center"/>
                </w:tcPr>
                <w:p>
                  <w:pPr>
                    <w:pStyle w:val="123"/>
                    <w:rPr>
                      <w:b/>
                      <w:color w:val="auto"/>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17</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废劳保用品</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设备维护</w:t>
                  </w:r>
                </w:p>
              </w:tc>
              <w:tc>
                <w:tcPr>
                  <w:tcW w:w="510" w:type="pct"/>
                  <w:vMerge w:val="continue"/>
                  <w:vAlign w:val="center"/>
                </w:tcPr>
                <w:p>
                  <w:pPr>
                    <w:pStyle w:val="123"/>
                    <w:rPr>
                      <w:rFonts w:hint="eastAsia"/>
                      <w:b/>
                      <w:color w:val="auto"/>
                    </w:rPr>
                  </w:pPr>
                </w:p>
              </w:tc>
              <w:tc>
                <w:tcPr>
                  <w:tcW w:w="719" w:type="pct"/>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0"/>
                      <w:szCs w:val="21"/>
                    </w:rPr>
                    <w:t>900-041-49</w:t>
                  </w:r>
                </w:p>
              </w:tc>
              <w:tc>
                <w:tcPr>
                  <w:tcW w:w="523" w:type="pct"/>
                  <w:vAlign w:val="center"/>
                </w:tcPr>
                <w:p>
                  <w:pPr>
                    <w:jc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0.02</w:t>
                  </w:r>
                </w:p>
              </w:tc>
              <w:tc>
                <w:tcPr>
                  <w:tcW w:w="607" w:type="pct"/>
                  <w:vAlign w:val="center"/>
                </w:tcPr>
                <w:p>
                  <w:pPr>
                    <w:pStyle w:val="123"/>
                    <w:rPr>
                      <w:rFonts w:hint="default"/>
                      <w:b w:val="0"/>
                      <w:bCs/>
                      <w:color w:val="auto"/>
                      <w:lang w:val="en-US" w:eastAsia="zh-CN"/>
                    </w:rPr>
                  </w:pPr>
                  <w:r>
                    <w:rPr>
                      <w:rFonts w:hint="eastAsia"/>
                      <w:b w:val="0"/>
                      <w:bCs/>
                      <w:color w:val="auto"/>
                      <w:lang w:val="en-US" w:eastAsia="zh-CN"/>
                    </w:rPr>
                    <w:t>混入生活垃圾的委托环卫部门清运</w:t>
                  </w:r>
                </w:p>
              </w:tc>
              <w:tc>
                <w:tcPr>
                  <w:tcW w:w="556" w:type="pct"/>
                  <w:vMerge w:val="restart"/>
                  <w:vAlign w:val="center"/>
                </w:tcPr>
                <w:p>
                  <w:pPr>
                    <w:pStyle w:val="123"/>
                    <w:rPr>
                      <w:rFonts w:hint="default" w:eastAsia="宋体"/>
                      <w:b w:val="0"/>
                      <w:bCs/>
                      <w:color w:val="auto"/>
                      <w:lang w:val="en-US" w:eastAsia="zh-CN"/>
                    </w:rPr>
                  </w:pPr>
                  <w:r>
                    <w:rPr>
                      <w:rFonts w:hint="eastAsia"/>
                      <w:b w:val="0"/>
                      <w:bCs/>
                      <w:color w:val="auto"/>
                      <w:lang w:val="en-US" w:eastAsia="zh-CN"/>
                    </w:rPr>
                    <w:t>环卫部门</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385" w:type="pct"/>
                  <w:vAlign w:val="center"/>
                </w:tcPr>
                <w:p>
                  <w:pPr>
                    <w:pStyle w:val="123"/>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18</w:t>
                  </w:r>
                </w:p>
              </w:tc>
              <w:tc>
                <w:tcPr>
                  <w:tcW w:w="918"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生活垃圾</w:t>
                  </w:r>
                </w:p>
              </w:tc>
              <w:tc>
                <w:tcPr>
                  <w:tcW w:w="77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员工日常生活</w:t>
                  </w:r>
                </w:p>
              </w:tc>
              <w:tc>
                <w:tcPr>
                  <w:tcW w:w="510" w:type="pct"/>
                  <w:vAlign w:val="center"/>
                </w:tcPr>
                <w:p>
                  <w:pPr>
                    <w:pStyle w:val="123"/>
                    <w:rPr>
                      <w:rFonts w:hint="eastAsia"/>
                      <w:b/>
                      <w:color w:val="auto"/>
                    </w:rPr>
                  </w:pPr>
                  <w:r>
                    <w:rPr>
                      <w:rFonts w:hint="eastAsia"/>
                      <w:color w:val="auto"/>
                      <w:szCs w:val="21"/>
                    </w:rPr>
                    <w:t>生活垃圾</w:t>
                  </w:r>
                </w:p>
              </w:tc>
              <w:tc>
                <w:tcPr>
                  <w:tcW w:w="719"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5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1.5</w:t>
                  </w:r>
                </w:p>
              </w:tc>
              <w:tc>
                <w:tcPr>
                  <w:tcW w:w="607" w:type="pct"/>
                  <w:vAlign w:val="center"/>
                </w:tcPr>
                <w:p>
                  <w:pPr>
                    <w:pStyle w:val="123"/>
                    <w:rPr>
                      <w:rFonts w:hint="default" w:eastAsia="宋体"/>
                      <w:b/>
                      <w:color w:val="auto"/>
                      <w:lang w:val="en-US" w:eastAsia="zh-CN"/>
                    </w:rPr>
                  </w:pPr>
                  <w:r>
                    <w:rPr>
                      <w:rFonts w:hint="eastAsia"/>
                      <w:b w:val="0"/>
                      <w:bCs/>
                      <w:color w:val="auto"/>
                      <w:lang w:val="en-US" w:eastAsia="zh-CN"/>
                    </w:rPr>
                    <w:t>环卫部门清运</w:t>
                  </w:r>
                </w:p>
              </w:tc>
              <w:tc>
                <w:tcPr>
                  <w:tcW w:w="556" w:type="pct"/>
                  <w:vMerge w:val="continue"/>
                  <w:vAlign w:val="center"/>
                </w:tcPr>
                <w:p>
                  <w:pPr>
                    <w:pStyle w:val="123"/>
                    <w:rPr>
                      <w:b/>
                      <w:color w:val="auto"/>
                    </w:rPr>
                  </w:pPr>
                </w:p>
              </w:tc>
            </w:tr>
          </w:tbl>
          <w:p>
            <w:pPr>
              <w:spacing w:line="360" w:lineRule="auto"/>
              <w:ind w:firstLine="480" w:firstLineChars="200"/>
              <w:rPr>
                <w:b/>
                <w:color w:val="auto"/>
                <w:sz w:val="24"/>
                <w:szCs w:val="24"/>
              </w:rPr>
            </w:pPr>
            <w:r>
              <w:rPr>
                <w:b/>
                <w:color w:val="auto"/>
                <w:sz w:val="24"/>
                <w:szCs w:val="24"/>
              </w:rPr>
              <w:t>四、污染防治措施：</w:t>
            </w:r>
          </w:p>
          <w:p>
            <w:pPr>
              <w:adjustRightInd w:val="0"/>
              <w:snapToGrid w:val="0"/>
              <w:spacing w:line="360" w:lineRule="auto"/>
              <w:ind w:firstLine="480" w:firstLineChars="200"/>
              <w:rPr>
                <w:b/>
                <w:color w:val="auto"/>
                <w:sz w:val="24"/>
                <w:szCs w:val="24"/>
              </w:rPr>
            </w:pPr>
            <w:r>
              <w:rPr>
                <w:b/>
                <w:color w:val="auto"/>
                <w:sz w:val="24"/>
                <w:szCs w:val="24"/>
              </w:rPr>
              <w:t>1、废水防治措施</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b/>
                <w:color w:val="auto"/>
                <w:sz w:val="24"/>
                <w:szCs w:val="24"/>
              </w:rPr>
            </w:pPr>
            <w:r>
              <w:rPr>
                <w:b/>
                <w:color w:val="auto"/>
                <w:sz w:val="24"/>
                <w:szCs w:val="24"/>
              </w:rPr>
              <w:t>（1）厂区排水体制</w:t>
            </w:r>
          </w:p>
          <w:p>
            <w:pPr>
              <w:autoSpaceDE w:val="0"/>
              <w:autoSpaceDN w:val="0"/>
              <w:adjustRightInd w:val="0"/>
              <w:spacing w:line="360" w:lineRule="auto"/>
              <w:ind w:firstLine="480" w:firstLineChars="200"/>
              <w:rPr>
                <w:color w:val="auto"/>
                <w:sz w:val="24"/>
                <w:szCs w:val="24"/>
              </w:rPr>
            </w:pPr>
            <w:r>
              <w:rPr>
                <w:color w:val="auto"/>
                <w:sz w:val="24"/>
                <w:szCs w:val="24"/>
              </w:rPr>
              <w:t>本项目排水实施</w:t>
            </w:r>
            <w:r>
              <w:rPr>
                <w:rFonts w:hint="eastAsia"/>
                <w:color w:val="auto"/>
                <w:sz w:val="24"/>
                <w:szCs w:val="24"/>
              </w:rPr>
              <w:t>“</w:t>
            </w:r>
            <w:r>
              <w:rPr>
                <w:color w:val="auto"/>
                <w:sz w:val="24"/>
                <w:szCs w:val="24"/>
              </w:rPr>
              <w:t>雨污分流</w:t>
            </w:r>
            <w:r>
              <w:rPr>
                <w:rFonts w:hint="eastAsia"/>
                <w:color w:val="auto"/>
                <w:sz w:val="24"/>
                <w:szCs w:val="24"/>
              </w:rPr>
              <w:t>”</w:t>
            </w:r>
            <w:r>
              <w:rPr>
                <w:color w:val="auto"/>
                <w:sz w:val="24"/>
                <w:szCs w:val="24"/>
              </w:rPr>
              <w:t>，</w:t>
            </w:r>
            <w:r>
              <w:rPr>
                <w:rFonts w:hint="eastAsia"/>
                <w:color w:val="auto"/>
                <w:sz w:val="24"/>
                <w:szCs w:val="24"/>
              </w:rPr>
              <w:t>依托</w:t>
            </w:r>
            <w:r>
              <w:rPr>
                <w:rFonts w:hint="eastAsia"/>
                <w:color w:val="auto"/>
                <w:sz w:val="24"/>
                <w:szCs w:val="24"/>
                <w:lang w:eastAsia="zh-CN"/>
              </w:rPr>
              <w:t>常州科荣经编有限公司</w:t>
            </w:r>
            <w:r>
              <w:rPr>
                <w:color w:val="auto"/>
                <w:sz w:val="24"/>
                <w:szCs w:val="24"/>
              </w:rPr>
              <w:t>现有雨污管网，雨水经雨水管网收集后，排入当地市政雨水管网，最终汇入附近河流；</w:t>
            </w:r>
            <w:r>
              <w:rPr>
                <w:rFonts w:hint="eastAsia"/>
                <w:color w:val="auto"/>
                <w:sz w:val="24"/>
                <w:szCs w:val="24"/>
              </w:rPr>
              <w:t>生产工序中清洗用水经隔油+气浮一体设备（16t）处理后循环使用，不外排</w:t>
            </w:r>
            <w:r>
              <w:rPr>
                <w:rFonts w:hint="eastAsia"/>
                <w:color w:val="auto"/>
                <w:sz w:val="24"/>
                <w:szCs w:val="24"/>
                <w:lang w:eastAsia="zh-CN"/>
              </w:rPr>
              <w:t>；</w:t>
            </w:r>
            <w:r>
              <w:rPr>
                <w:color w:val="auto"/>
                <w:sz w:val="24"/>
                <w:szCs w:val="24"/>
              </w:rPr>
              <w:t>生活污水经</w:t>
            </w:r>
            <w:r>
              <w:rPr>
                <w:bCs/>
                <w:color w:val="auto"/>
                <w:sz w:val="24"/>
                <w:szCs w:val="24"/>
              </w:rPr>
              <w:t>化粪池处理后</w:t>
            </w:r>
            <w:r>
              <w:rPr>
                <w:rFonts w:hint="eastAsia"/>
                <w:bCs/>
                <w:color w:val="auto"/>
                <w:sz w:val="24"/>
                <w:szCs w:val="24"/>
              </w:rPr>
              <w:t>，</w:t>
            </w:r>
            <w:r>
              <w:rPr>
                <w:bCs/>
                <w:color w:val="auto"/>
                <w:sz w:val="24"/>
                <w:szCs w:val="24"/>
              </w:rPr>
              <w:t>通过</w:t>
            </w:r>
            <w:r>
              <w:rPr>
                <w:rFonts w:hint="eastAsia"/>
                <w:color w:val="auto"/>
                <w:sz w:val="24"/>
                <w:szCs w:val="24"/>
                <w:lang w:eastAsia="zh-CN"/>
              </w:rPr>
              <w:t>常州科荣经编有限公司</w:t>
            </w:r>
            <w:r>
              <w:rPr>
                <w:color w:val="auto"/>
                <w:sz w:val="24"/>
                <w:szCs w:val="24"/>
              </w:rPr>
              <w:t>污水</w:t>
            </w:r>
            <w:r>
              <w:rPr>
                <w:rFonts w:hint="eastAsia"/>
                <w:bCs/>
                <w:color w:val="auto"/>
                <w:sz w:val="24"/>
                <w:szCs w:val="24"/>
              </w:rPr>
              <w:t>排放口</w:t>
            </w:r>
            <w:r>
              <w:rPr>
                <w:bCs/>
                <w:color w:val="auto"/>
                <w:sz w:val="24"/>
                <w:szCs w:val="24"/>
              </w:rPr>
              <w:t>接管至金坛区第二污水处理厂处理，尾水排入</w:t>
            </w:r>
            <w:r>
              <w:rPr>
                <w:color w:val="auto"/>
                <w:spacing w:val="-6"/>
                <w:sz w:val="24"/>
              </w:rPr>
              <w:t>尧塘河</w:t>
            </w:r>
            <w:r>
              <w:rPr>
                <w:bCs/>
                <w:color w:val="auto"/>
                <w:sz w:val="24"/>
                <w:szCs w:val="24"/>
              </w:rPr>
              <w:t>。</w:t>
            </w:r>
          </w:p>
          <w:p>
            <w:pPr>
              <w:autoSpaceDE w:val="0"/>
              <w:autoSpaceDN w:val="0"/>
              <w:adjustRightInd w:val="0"/>
              <w:spacing w:line="360" w:lineRule="auto"/>
              <w:ind w:firstLine="480" w:firstLineChars="200"/>
              <w:rPr>
                <w:b/>
                <w:color w:val="auto"/>
                <w:sz w:val="24"/>
                <w:szCs w:val="24"/>
              </w:rPr>
            </w:pPr>
            <w:r>
              <w:rPr>
                <w:b/>
                <w:color w:val="auto"/>
                <w:sz w:val="24"/>
                <w:szCs w:val="24"/>
              </w:rPr>
              <w:t>（2）废水</w:t>
            </w:r>
            <w:r>
              <w:rPr>
                <w:rFonts w:hint="eastAsia"/>
                <w:b/>
                <w:color w:val="auto"/>
                <w:sz w:val="24"/>
                <w:szCs w:val="24"/>
              </w:rPr>
              <w:t>处理及</w:t>
            </w:r>
            <w:r>
              <w:rPr>
                <w:b/>
                <w:color w:val="auto"/>
                <w:sz w:val="24"/>
                <w:szCs w:val="24"/>
              </w:rPr>
              <w:t>接管可行性分析</w:t>
            </w:r>
          </w:p>
          <w:p>
            <w:pPr>
              <w:autoSpaceDE w:val="0"/>
              <w:autoSpaceDN w:val="0"/>
              <w:adjustRightInd w:val="0"/>
              <w:spacing w:line="360" w:lineRule="auto"/>
              <w:ind w:firstLine="480" w:firstLineChars="200"/>
              <w:rPr>
                <w:b/>
                <w:color w:val="auto"/>
                <w:sz w:val="24"/>
                <w:szCs w:val="24"/>
              </w:rPr>
            </w:pPr>
            <w:r>
              <w:rPr>
                <w:b/>
                <w:color w:val="auto"/>
                <w:sz w:val="24"/>
                <w:szCs w:val="24"/>
              </w:rPr>
              <w:t>生活污水接管可行性分析</w:t>
            </w:r>
          </w:p>
          <w:p>
            <w:pPr>
              <w:autoSpaceDE w:val="0"/>
              <w:autoSpaceDN w:val="0"/>
              <w:adjustRightInd w:val="0"/>
              <w:spacing w:line="360" w:lineRule="auto"/>
              <w:ind w:firstLine="480" w:firstLineChars="200"/>
              <w:rPr>
                <w:color w:val="auto"/>
                <w:sz w:val="24"/>
                <w:szCs w:val="24"/>
              </w:rPr>
            </w:pPr>
            <w:r>
              <w:rPr>
                <w:rFonts w:hint="eastAsia"/>
                <w:color w:val="auto"/>
                <w:sz w:val="24"/>
                <w:szCs w:val="24"/>
              </w:rPr>
              <w:t>水质：</w:t>
            </w:r>
            <w:r>
              <w:rPr>
                <w:color w:val="auto"/>
                <w:sz w:val="24"/>
                <w:szCs w:val="24"/>
              </w:rPr>
              <w:t>生活污水经化粪池收集预处理后</w:t>
            </w:r>
            <w:r>
              <w:rPr>
                <w:rFonts w:hint="eastAsia"/>
                <w:color w:val="auto"/>
                <w:sz w:val="24"/>
                <w:szCs w:val="24"/>
              </w:rPr>
              <w:t>，</w:t>
            </w:r>
            <w:r>
              <w:rPr>
                <w:color w:val="auto"/>
                <w:sz w:val="24"/>
                <w:szCs w:val="24"/>
              </w:rPr>
              <w:t>接管至金坛区第二污水处理厂</w:t>
            </w:r>
            <w:r>
              <w:rPr>
                <w:rFonts w:hint="eastAsia"/>
                <w:color w:val="auto"/>
                <w:sz w:val="24"/>
                <w:szCs w:val="24"/>
              </w:rPr>
              <w:t>深度处理</w:t>
            </w:r>
            <w:r>
              <w:rPr>
                <w:color w:val="auto"/>
                <w:sz w:val="24"/>
                <w:szCs w:val="24"/>
              </w:rPr>
              <w:t>；接管排放的污水量共计</w:t>
            </w:r>
            <w:r>
              <w:rPr>
                <w:rFonts w:hint="eastAsia"/>
                <w:color w:val="auto"/>
                <w:sz w:val="24"/>
                <w:szCs w:val="24"/>
                <w:lang w:val="en-US" w:eastAsia="zh-CN"/>
              </w:rPr>
              <w:t>120</w:t>
            </w:r>
            <w:r>
              <w:rPr>
                <w:color w:val="auto"/>
                <w:sz w:val="24"/>
                <w:szCs w:val="24"/>
              </w:rPr>
              <w:t>t/a，接管水质为COD：</w:t>
            </w:r>
            <w:r>
              <w:rPr>
                <w:rFonts w:hint="eastAsia"/>
                <w:color w:val="auto"/>
                <w:sz w:val="24"/>
                <w:szCs w:val="24"/>
              </w:rPr>
              <w:t>340</w:t>
            </w:r>
            <w:r>
              <w:rPr>
                <w:color w:val="auto"/>
                <w:sz w:val="24"/>
                <w:szCs w:val="24"/>
              </w:rPr>
              <w:t>mg/L、SS：</w:t>
            </w:r>
            <w:r>
              <w:rPr>
                <w:rFonts w:hint="eastAsia"/>
                <w:color w:val="auto"/>
                <w:sz w:val="24"/>
                <w:szCs w:val="24"/>
              </w:rPr>
              <w:t>160</w:t>
            </w:r>
            <w:r>
              <w:rPr>
                <w:color w:val="auto"/>
                <w:sz w:val="24"/>
                <w:szCs w:val="24"/>
              </w:rPr>
              <w:t>mg/L、氨氮：</w:t>
            </w:r>
            <w:r>
              <w:rPr>
                <w:rFonts w:hint="eastAsia"/>
                <w:color w:val="auto"/>
                <w:sz w:val="24"/>
                <w:szCs w:val="24"/>
              </w:rPr>
              <w:t>35</w:t>
            </w:r>
            <w:r>
              <w:rPr>
                <w:color w:val="auto"/>
                <w:sz w:val="24"/>
                <w:szCs w:val="24"/>
              </w:rPr>
              <w:t>mg/L、总磷：</w:t>
            </w:r>
            <w:r>
              <w:rPr>
                <w:rFonts w:hint="eastAsia"/>
                <w:color w:val="auto"/>
                <w:sz w:val="24"/>
                <w:szCs w:val="24"/>
              </w:rPr>
              <w:t>3</w:t>
            </w:r>
            <w:r>
              <w:rPr>
                <w:color w:val="auto"/>
                <w:sz w:val="24"/>
                <w:szCs w:val="24"/>
              </w:rPr>
              <w:t>mg/L、总氮：</w:t>
            </w:r>
            <w:r>
              <w:rPr>
                <w:rFonts w:hint="eastAsia"/>
                <w:color w:val="auto"/>
                <w:sz w:val="24"/>
                <w:szCs w:val="24"/>
              </w:rPr>
              <w:t>50</w:t>
            </w:r>
            <w:r>
              <w:rPr>
                <w:color w:val="auto"/>
                <w:sz w:val="24"/>
                <w:szCs w:val="24"/>
              </w:rPr>
              <w:t>mg/L，可达到金坛区</w:t>
            </w:r>
            <w:r>
              <w:rPr>
                <w:rFonts w:hint="eastAsia"/>
                <w:color w:val="auto"/>
                <w:sz w:val="24"/>
                <w:szCs w:val="24"/>
              </w:rPr>
              <w:t>第二</w:t>
            </w:r>
            <w:r>
              <w:rPr>
                <w:color w:val="auto"/>
                <w:sz w:val="24"/>
                <w:szCs w:val="24"/>
              </w:rPr>
              <w:t>污水处理厂接管要求。即：COD≤500mg/L、SS≤250mg/L、氨氮≤35 mg/L、TP≤3mg/L、T</w:t>
            </w:r>
            <w:r>
              <w:rPr>
                <w:rFonts w:hint="eastAsia"/>
                <w:color w:val="auto"/>
                <w:sz w:val="24"/>
                <w:szCs w:val="24"/>
              </w:rPr>
              <w:t>N</w:t>
            </w:r>
            <w:r>
              <w:rPr>
                <w:color w:val="auto"/>
                <w:sz w:val="24"/>
                <w:szCs w:val="24"/>
              </w:rPr>
              <w:t>≤</w:t>
            </w:r>
            <w:r>
              <w:rPr>
                <w:rFonts w:hint="eastAsia"/>
                <w:color w:val="auto"/>
                <w:sz w:val="24"/>
                <w:szCs w:val="24"/>
              </w:rPr>
              <w:t>50</w:t>
            </w:r>
            <w:r>
              <w:rPr>
                <w:color w:val="auto"/>
                <w:sz w:val="24"/>
                <w:szCs w:val="24"/>
              </w:rPr>
              <w:t>mg/L。</w:t>
            </w:r>
          </w:p>
          <w:p>
            <w:pPr>
              <w:spacing w:line="360" w:lineRule="auto"/>
              <w:ind w:firstLine="540" w:firstLineChars="200"/>
              <w:rPr>
                <w:color w:val="auto"/>
                <w:spacing w:val="15"/>
                <w:sz w:val="24"/>
              </w:rPr>
            </w:pPr>
            <w:r>
              <w:rPr>
                <w:rFonts w:hint="eastAsia"/>
                <w:color w:val="auto"/>
                <w:spacing w:val="15"/>
                <w:sz w:val="24"/>
              </w:rPr>
              <w:t>管网配套情况</w:t>
            </w:r>
            <w:r>
              <w:rPr>
                <w:rFonts w:hint="eastAsia"/>
                <w:color w:val="auto"/>
                <w:spacing w:val="15"/>
                <w:sz w:val="24"/>
                <w:lang w:eastAsia="zh-CN"/>
              </w:rPr>
              <w:t>：</w:t>
            </w:r>
            <w:r>
              <w:rPr>
                <w:rFonts w:hint="eastAsia"/>
                <w:color w:val="auto"/>
                <w:spacing w:val="15"/>
                <w:sz w:val="24"/>
              </w:rPr>
              <w:t>常州金坛区第二污水处理有限公司服务范围主要为金坛经济开发区范围内的生产和生活污水，纳尧塘镇工业园区企业、开发区河头部分企业工业废水及尧塘、汤庄、水北集镇镇区居民生活污水。本项目位于常州金坛区第二污水处理有限公司的服务范围内，目前项目所在地的污水管网已经铺设到位</w:t>
            </w:r>
            <w:r>
              <w:rPr>
                <w:color w:val="auto"/>
                <w:spacing w:val="15"/>
                <w:sz w:val="24"/>
              </w:rPr>
              <w:t>，从工程角度上，项目污水具备接管可行性。</w:t>
            </w:r>
          </w:p>
          <w:p>
            <w:pPr>
              <w:adjustRightInd w:val="0"/>
              <w:snapToGrid w:val="0"/>
              <w:spacing w:line="360" w:lineRule="auto"/>
              <w:ind w:firstLine="480" w:firstLineChars="200"/>
              <w:rPr>
                <w:color w:val="auto"/>
                <w:sz w:val="24"/>
                <w:szCs w:val="22"/>
              </w:rPr>
            </w:pPr>
            <w:r>
              <w:rPr>
                <w:b/>
                <w:bCs/>
                <w:color w:val="auto"/>
                <w:sz w:val="24"/>
                <w:szCs w:val="22"/>
              </w:rPr>
              <w:t>污水处理厂处理负荷可行性分析：</w:t>
            </w:r>
          </w:p>
          <w:p>
            <w:pPr>
              <w:spacing w:line="360" w:lineRule="auto"/>
              <w:ind w:firstLine="540" w:firstLineChars="200"/>
              <w:jc w:val="both"/>
              <w:rPr>
                <w:rFonts w:hint="eastAsia"/>
                <w:color w:val="auto"/>
                <w:spacing w:val="15"/>
                <w:sz w:val="24"/>
                <w:szCs w:val="22"/>
              </w:rPr>
            </w:pPr>
            <w:r>
              <w:rPr>
                <w:rFonts w:hint="eastAsia"/>
                <w:color w:val="auto"/>
                <w:spacing w:val="15"/>
                <w:sz w:val="24"/>
                <w:szCs w:val="22"/>
              </w:rPr>
              <w:t>金坛区第二污水处理厂一期建设规模2万m</w:t>
            </w:r>
            <w:r>
              <w:rPr>
                <w:rFonts w:hint="eastAsia"/>
                <w:color w:val="auto"/>
                <w:spacing w:val="15"/>
                <w:sz w:val="24"/>
                <w:szCs w:val="22"/>
                <w:vertAlign w:val="superscript"/>
              </w:rPr>
              <w:t>3</w:t>
            </w:r>
            <w:r>
              <w:rPr>
                <w:rFonts w:hint="eastAsia"/>
                <w:color w:val="auto"/>
                <w:spacing w:val="15"/>
                <w:sz w:val="24"/>
                <w:szCs w:val="22"/>
              </w:rPr>
              <w:t>/d，于2005年底建成运营；二期2万m</w:t>
            </w:r>
            <w:r>
              <w:rPr>
                <w:rFonts w:hint="eastAsia"/>
                <w:color w:val="auto"/>
                <w:spacing w:val="15"/>
                <w:sz w:val="24"/>
                <w:szCs w:val="22"/>
                <w:vertAlign w:val="superscript"/>
              </w:rPr>
              <w:t>3</w:t>
            </w:r>
            <w:r>
              <w:rPr>
                <w:rFonts w:hint="eastAsia"/>
                <w:color w:val="auto"/>
                <w:spacing w:val="15"/>
                <w:sz w:val="24"/>
                <w:szCs w:val="22"/>
              </w:rPr>
              <w:t>/d，已于2009年底正式投入运营；三期2万m</w:t>
            </w:r>
            <w:r>
              <w:rPr>
                <w:rFonts w:hint="eastAsia"/>
                <w:color w:val="auto"/>
                <w:spacing w:val="15"/>
                <w:sz w:val="24"/>
                <w:szCs w:val="22"/>
                <w:vertAlign w:val="superscript"/>
              </w:rPr>
              <w:t>3</w:t>
            </w:r>
            <w:r>
              <w:rPr>
                <w:rFonts w:hint="eastAsia"/>
                <w:color w:val="auto"/>
                <w:spacing w:val="15"/>
                <w:sz w:val="24"/>
                <w:szCs w:val="22"/>
              </w:rPr>
              <w:t>/d，已于2014年4月8日取得原金坛市环保局的环评批复。目前金坛区第二污水处理厂处理能力已达6万m</w:t>
            </w:r>
            <w:r>
              <w:rPr>
                <w:rFonts w:hint="eastAsia"/>
                <w:color w:val="auto"/>
                <w:spacing w:val="15"/>
                <w:sz w:val="24"/>
                <w:szCs w:val="22"/>
                <w:vertAlign w:val="superscript"/>
              </w:rPr>
              <w:t>3</w:t>
            </w:r>
            <w:r>
              <w:rPr>
                <w:rFonts w:hint="eastAsia"/>
                <w:color w:val="auto"/>
                <w:spacing w:val="15"/>
                <w:sz w:val="24"/>
                <w:szCs w:val="22"/>
              </w:rPr>
              <w:t>/d，现有企业实际污水处理量为5.5万m</w:t>
            </w:r>
            <w:r>
              <w:rPr>
                <w:rFonts w:hint="eastAsia"/>
                <w:color w:val="auto"/>
                <w:spacing w:val="15"/>
                <w:sz w:val="24"/>
                <w:szCs w:val="22"/>
                <w:vertAlign w:val="superscript"/>
              </w:rPr>
              <w:t>3</w:t>
            </w:r>
            <w:r>
              <w:rPr>
                <w:rFonts w:hint="eastAsia"/>
                <w:color w:val="auto"/>
                <w:spacing w:val="15"/>
                <w:sz w:val="24"/>
                <w:szCs w:val="22"/>
              </w:rPr>
              <w:t>/d，尚有0.5万m</w:t>
            </w:r>
            <w:r>
              <w:rPr>
                <w:rFonts w:hint="eastAsia"/>
                <w:color w:val="auto"/>
                <w:spacing w:val="15"/>
                <w:sz w:val="24"/>
                <w:szCs w:val="22"/>
                <w:vertAlign w:val="superscript"/>
              </w:rPr>
              <w:t>3</w:t>
            </w:r>
            <w:r>
              <w:rPr>
                <w:rFonts w:hint="eastAsia"/>
                <w:color w:val="auto"/>
                <w:spacing w:val="15"/>
                <w:sz w:val="24"/>
                <w:szCs w:val="22"/>
              </w:rPr>
              <w:t>/d的余量，且规划建设规模为16万m</w:t>
            </w:r>
            <w:r>
              <w:rPr>
                <w:rFonts w:hint="eastAsia"/>
                <w:color w:val="auto"/>
                <w:spacing w:val="15"/>
                <w:sz w:val="24"/>
                <w:szCs w:val="22"/>
                <w:vertAlign w:val="superscript"/>
              </w:rPr>
              <w:t>3</w:t>
            </w:r>
            <w:r>
              <w:rPr>
                <w:rFonts w:hint="eastAsia"/>
                <w:color w:val="auto"/>
                <w:spacing w:val="15"/>
                <w:sz w:val="24"/>
                <w:szCs w:val="22"/>
              </w:rPr>
              <w:t>/d。</w:t>
            </w:r>
          </w:p>
          <w:p>
            <w:pPr>
              <w:spacing w:line="360" w:lineRule="auto"/>
              <w:ind w:firstLine="540" w:firstLineChars="200"/>
              <w:jc w:val="both"/>
              <w:rPr>
                <w:rFonts w:hint="eastAsia"/>
                <w:color w:val="auto"/>
                <w:spacing w:val="15"/>
                <w:sz w:val="24"/>
                <w:szCs w:val="22"/>
              </w:rPr>
            </w:pPr>
            <w:r>
              <w:rPr>
                <w:rFonts w:hint="eastAsia"/>
                <w:color w:val="auto"/>
                <w:spacing w:val="15"/>
                <w:sz w:val="24"/>
                <w:szCs w:val="22"/>
              </w:rPr>
              <w:t>本项目建成后污水排放量约为</w:t>
            </w:r>
            <w:r>
              <w:rPr>
                <w:rFonts w:hint="eastAsia"/>
                <w:color w:val="auto"/>
                <w:spacing w:val="15"/>
                <w:sz w:val="24"/>
                <w:szCs w:val="22"/>
                <w:lang w:val="en-US" w:eastAsia="zh-CN"/>
              </w:rPr>
              <w:t>0.4</w:t>
            </w:r>
            <w:r>
              <w:rPr>
                <w:rFonts w:hint="eastAsia"/>
                <w:color w:val="auto"/>
                <w:spacing w:val="15"/>
                <w:sz w:val="24"/>
                <w:szCs w:val="22"/>
              </w:rPr>
              <w:t>m</w:t>
            </w:r>
            <w:r>
              <w:rPr>
                <w:rFonts w:hint="eastAsia"/>
                <w:color w:val="auto"/>
                <w:spacing w:val="15"/>
                <w:sz w:val="24"/>
                <w:szCs w:val="22"/>
                <w:vertAlign w:val="superscript"/>
              </w:rPr>
              <w:t>3</w:t>
            </w:r>
            <w:r>
              <w:rPr>
                <w:rFonts w:hint="eastAsia"/>
                <w:color w:val="auto"/>
                <w:spacing w:val="15"/>
                <w:sz w:val="24"/>
                <w:szCs w:val="22"/>
              </w:rPr>
              <w:t>/d，占金坛区第二污水处理厂处理余量的比例较小，仅为0.0</w:t>
            </w:r>
            <w:r>
              <w:rPr>
                <w:rFonts w:hint="eastAsia"/>
                <w:color w:val="auto"/>
                <w:spacing w:val="15"/>
                <w:sz w:val="24"/>
                <w:szCs w:val="22"/>
                <w:lang w:val="en-US" w:eastAsia="zh-CN"/>
              </w:rPr>
              <w:t>08</w:t>
            </w:r>
            <w:r>
              <w:rPr>
                <w:rFonts w:hint="eastAsia"/>
                <w:color w:val="auto"/>
                <w:spacing w:val="15"/>
                <w:sz w:val="24"/>
                <w:szCs w:val="22"/>
              </w:rPr>
              <w:t>%。因此，从水量分析，金坛区第二污水处理厂接纳本项目废水是可行的。</w:t>
            </w:r>
          </w:p>
          <w:p>
            <w:pPr>
              <w:adjustRightInd w:val="0"/>
              <w:snapToGrid w:val="0"/>
              <w:spacing w:line="360" w:lineRule="auto"/>
              <w:ind w:firstLine="480" w:firstLineChars="200"/>
              <w:rPr>
                <w:b/>
                <w:bCs/>
                <w:color w:val="auto"/>
                <w:sz w:val="24"/>
                <w:szCs w:val="22"/>
              </w:rPr>
            </w:pPr>
            <w:r>
              <w:rPr>
                <w:b/>
                <w:bCs/>
                <w:color w:val="auto"/>
                <w:sz w:val="24"/>
                <w:szCs w:val="22"/>
              </w:rPr>
              <w:t>污水处理厂处理工艺可行性分析：</w:t>
            </w:r>
          </w:p>
          <w:p>
            <w:pPr>
              <w:adjustRightInd w:val="0"/>
              <w:snapToGrid w:val="0"/>
              <w:spacing w:line="360" w:lineRule="auto"/>
              <w:ind w:firstLine="480" w:firstLineChars="200"/>
              <w:rPr>
                <w:color w:val="auto"/>
                <w:sz w:val="24"/>
                <w:szCs w:val="22"/>
              </w:rPr>
            </w:pPr>
            <w:r>
              <w:rPr>
                <w:color w:val="auto"/>
                <w:sz w:val="24"/>
                <w:szCs w:val="22"/>
              </w:rPr>
              <w:t>金坛区第二污水处理厂采用A</w:t>
            </w:r>
            <w:r>
              <w:rPr>
                <w:color w:val="auto"/>
                <w:sz w:val="24"/>
                <w:szCs w:val="22"/>
                <w:vertAlign w:val="superscript"/>
              </w:rPr>
              <w:t>2</w:t>
            </w:r>
            <w:r>
              <w:rPr>
                <w:color w:val="auto"/>
                <w:sz w:val="24"/>
                <w:szCs w:val="22"/>
              </w:rPr>
              <w:t>/O工艺，把除磷、脱氮和降解有机物三个生化过程结合起来，在厌氧段和缺氧段为除磷和脱氮提供各自不同的反应条件。污水处理厂尾水执行《城镇污水处理厂污染物排放标准》（GB18918-2002）一级A标准排入尧塘河。具体工艺流程见下图。</w:t>
            </w:r>
          </w:p>
          <w:p>
            <w:pPr>
              <w:jc w:val="center"/>
              <w:rPr>
                <w:b/>
                <w:color w:val="auto"/>
                <w:szCs w:val="21"/>
              </w:rPr>
            </w:pPr>
            <w:r>
              <w:rPr>
                <w:color w:val="auto"/>
                <w:szCs w:val="22"/>
              </w:rPr>
              <w:object>
                <v:shape id="_x0000_i1025" o:spt="75" type="#_x0000_t75" style="height:136.9pt;width:419.45pt;" o:ole="t" filled="f" o:preferrelative="t" stroked="f" coordsize="21600,21600">
                  <v:path/>
                  <v:fill on="f" focussize="0,0"/>
                  <v:stroke on="f" joinstyle="miter"/>
                  <v:imagedata r:id="rId19" o:title="209314951556505032470"/>
                  <o:lock v:ext="edit" aspectratio="t"/>
                  <w10:wrap type="none"/>
                  <w10:anchorlock/>
                </v:shape>
                <o:OLEObject Type="Embed" ProgID="Visio.Drawing.11" ShapeID="_x0000_i1025" DrawAspect="Content" ObjectID="_1468075725" r:id="rId18">
                  <o:LockedField>false</o:LockedField>
                </o:OLEObject>
              </w:object>
            </w:r>
            <w:r>
              <w:rPr>
                <w:b/>
                <w:color w:val="auto"/>
                <w:szCs w:val="21"/>
              </w:rPr>
              <w:t>图5-</w:t>
            </w:r>
            <w:r>
              <w:rPr>
                <w:rFonts w:hint="eastAsia"/>
                <w:b/>
                <w:color w:val="auto"/>
                <w:szCs w:val="21"/>
                <w:lang w:val="en-US" w:eastAsia="zh-CN"/>
              </w:rPr>
              <w:t>7</w:t>
            </w:r>
            <w:r>
              <w:rPr>
                <w:b/>
                <w:color w:val="auto"/>
                <w:szCs w:val="21"/>
              </w:rPr>
              <w:t xml:space="preserve">  金坛区第二污水处理厂处理工艺流程图</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color w:val="auto"/>
                <w:sz w:val="24"/>
                <w:szCs w:val="22"/>
              </w:rPr>
            </w:pPr>
            <w:r>
              <w:rPr>
                <w:color w:val="auto"/>
                <w:sz w:val="24"/>
                <w:szCs w:val="22"/>
              </w:rPr>
              <w:t>污水处理工艺简述：废水经过粗格栅隔去除尺寸较大的杂质由进水泵房的污水泵将污水经细格栅打入旋流沉砂池。污水经过沉砂后进入A</w:t>
            </w:r>
            <w:r>
              <w:rPr>
                <w:color w:val="auto"/>
                <w:sz w:val="24"/>
                <w:szCs w:val="22"/>
                <w:vertAlign w:val="superscript"/>
              </w:rPr>
              <w:t>2</w:t>
            </w:r>
            <w:r>
              <w:rPr>
                <w:color w:val="auto"/>
                <w:sz w:val="24"/>
                <w:szCs w:val="22"/>
              </w:rPr>
              <w:t>/O反应池进行生化处理，通过厌氧、缺氧和好氧交替变化的环境完成除磷脱氮，处理后废水经加氯接触消毒后排放。A</w:t>
            </w:r>
            <w:r>
              <w:rPr>
                <w:color w:val="auto"/>
                <w:sz w:val="24"/>
                <w:szCs w:val="22"/>
                <w:vertAlign w:val="superscript"/>
              </w:rPr>
              <w:t>2</w:t>
            </w:r>
            <w:r>
              <w:rPr>
                <w:color w:val="auto"/>
                <w:sz w:val="24"/>
                <w:szCs w:val="22"/>
              </w:rPr>
              <w:t>/O反应池剩余污泥从沉淀区排出，进入污泥均质池</w:t>
            </w:r>
            <w:r>
              <w:rPr>
                <w:rFonts w:hint="eastAsia"/>
                <w:color w:val="auto"/>
                <w:sz w:val="24"/>
                <w:szCs w:val="22"/>
              </w:rPr>
              <w:t xml:space="preserve"> </w:t>
            </w:r>
            <w:r>
              <w:rPr>
                <w:color w:val="auto"/>
                <w:sz w:val="24"/>
                <w:szCs w:val="22"/>
              </w:rPr>
              <w:t xml:space="preserve"> （回流污泥泵房），然后进入污泥浓缩脱水车间采用板框压滤机压成泥饼外运。污泥处理产生的废水返回到废水处理工艺流程，尾水处理达标后排入尧塘河。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pacing w:val="15"/>
                <w:sz w:val="24"/>
              </w:rPr>
            </w:pPr>
            <w:r>
              <w:rPr>
                <w:color w:val="auto"/>
                <w:sz w:val="24"/>
                <w:szCs w:val="22"/>
              </w:rPr>
              <w:t>本项目</w:t>
            </w:r>
            <w:r>
              <w:rPr>
                <w:rFonts w:hint="eastAsia"/>
                <w:color w:val="auto"/>
                <w:sz w:val="24"/>
                <w:szCs w:val="22"/>
              </w:rPr>
              <w:t>生活污水</w:t>
            </w:r>
            <w:r>
              <w:rPr>
                <w:rFonts w:hint="eastAsia"/>
                <w:color w:val="auto"/>
                <w:sz w:val="24"/>
                <w:szCs w:val="22"/>
                <w:lang w:eastAsia="zh-CN"/>
              </w:rPr>
              <w:t>量</w:t>
            </w:r>
            <w:r>
              <w:rPr>
                <w:rFonts w:hint="eastAsia"/>
                <w:color w:val="auto"/>
                <w:sz w:val="24"/>
                <w:szCs w:val="22"/>
                <w:lang w:val="en-US" w:eastAsia="zh-CN"/>
              </w:rPr>
              <w:t>120t/a，</w:t>
            </w:r>
            <w:r>
              <w:rPr>
                <w:color w:val="auto"/>
                <w:sz w:val="24"/>
                <w:szCs w:val="22"/>
              </w:rPr>
              <w:t>主要污染物为COD、SS、NH</w:t>
            </w:r>
            <w:r>
              <w:rPr>
                <w:color w:val="auto"/>
                <w:sz w:val="24"/>
                <w:szCs w:val="22"/>
                <w:vertAlign w:val="subscript"/>
              </w:rPr>
              <w:t>3</w:t>
            </w:r>
            <w:r>
              <w:rPr>
                <w:color w:val="auto"/>
                <w:sz w:val="24"/>
                <w:szCs w:val="22"/>
              </w:rPr>
              <w:t>-N、TP和TN，</w:t>
            </w:r>
            <w:r>
              <w:rPr>
                <w:rFonts w:hint="eastAsia"/>
                <w:color w:val="auto"/>
                <w:sz w:val="24"/>
                <w:szCs w:val="22"/>
                <w:lang w:eastAsia="zh-CN"/>
              </w:rPr>
              <w:t>废水量较小，</w:t>
            </w:r>
            <w:r>
              <w:rPr>
                <w:color w:val="auto"/>
                <w:sz w:val="24"/>
                <w:szCs w:val="22"/>
              </w:rPr>
              <w:t>水质简单，可生化性好，从废水排放达标分析结果可知，废水水质满足金坛区第二污水处理厂接管水质要求。即从处理工艺上接管可行。此外，本项目</w:t>
            </w:r>
            <w:r>
              <w:rPr>
                <w:rFonts w:hint="eastAsia"/>
                <w:color w:val="auto"/>
                <w:sz w:val="24"/>
                <w:szCs w:val="22"/>
              </w:rPr>
              <w:t>无生产废水产生</w:t>
            </w:r>
            <w:r>
              <w:rPr>
                <w:color w:val="auto"/>
                <w:sz w:val="24"/>
                <w:szCs w:val="22"/>
              </w:rPr>
              <w:t>，满足《江苏省太湖水污染防治条例》的有关规定。</w:t>
            </w:r>
          </w:p>
          <w:p>
            <w:pPr>
              <w:spacing w:line="360" w:lineRule="auto"/>
              <w:ind w:firstLine="540" w:firstLineChars="200"/>
              <w:rPr>
                <w:color w:val="auto"/>
                <w:spacing w:val="15"/>
                <w:sz w:val="24"/>
              </w:rPr>
            </w:pPr>
            <w:r>
              <w:rPr>
                <w:color w:val="auto"/>
                <w:spacing w:val="15"/>
                <w:sz w:val="24"/>
              </w:rPr>
              <w:t>本项目</w:t>
            </w:r>
            <w:r>
              <w:rPr>
                <w:rFonts w:hint="eastAsia"/>
                <w:color w:val="auto"/>
                <w:spacing w:val="15"/>
                <w:sz w:val="24"/>
              </w:rPr>
              <w:t>生活污水</w:t>
            </w:r>
            <w:r>
              <w:rPr>
                <w:color w:val="auto"/>
                <w:spacing w:val="15"/>
                <w:sz w:val="24"/>
              </w:rPr>
              <w:t>经</w:t>
            </w:r>
            <w:r>
              <w:rPr>
                <w:rFonts w:hint="eastAsia"/>
                <w:color w:val="auto"/>
                <w:spacing w:val="15"/>
                <w:sz w:val="24"/>
              </w:rPr>
              <w:t>金坛区</w:t>
            </w:r>
            <w:r>
              <w:rPr>
                <w:color w:val="auto"/>
                <w:spacing w:val="15"/>
                <w:sz w:val="24"/>
              </w:rPr>
              <w:t>第二污水处理厂处理后排放至尧塘河。引用金坛区第二污水处理厂的环评结论，废水经金坛区第二污水处理厂处理后对尧塘河的影响较小。</w:t>
            </w:r>
          </w:p>
          <w:p>
            <w:pPr>
              <w:autoSpaceDE w:val="0"/>
              <w:autoSpaceDN w:val="0"/>
              <w:adjustRightInd w:val="0"/>
              <w:spacing w:line="360" w:lineRule="auto"/>
              <w:ind w:firstLine="480" w:firstLineChars="200"/>
              <w:rPr>
                <w:b/>
                <w:bCs/>
                <w:color w:val="auto"/>
                <w:sz w:val="24"/>
                <w:szCs w:val="24"/>
              </w:rPr>
            </w:pPr>
            <w:r>
              <w:rPr>
                <w:b/>
                <w:bCs/>
                <w:color w:val="auto"/>
                <w:sz w:val="24"/>
                <w:szCs w:val="24"/>
              </w:rPr>
              <w:t>（3）排污口规范化设置</w:t>
            </w:r>
          </w:p>
          <w:p>
            <w:pPr>
              <w:autoSpaceDE w:val="0"/>
              <w:autoSpaceDN w:val="0"/>
              <w:adjustRightInd w:val="0"/>
              <w:spacing w:line="360" w:lineRule="auto"/>
              <w:ind w:firstLine="480" w:firstLineChars="200"/>
              <w:rPr>
                <w:color w:val="auto"/>
                <w:sz w:val="24"/>
                <w:szCs w:val="24"/>
              </w:rPr>
            </w:pPr>
            <w:r>
              <w:rPr>
                <w:rFonts w:hint="eastAsia"/>
                <w:color w:val="auto"/>
                <w:sz w:val="24"/>
                <w:szCs w:val="24"/>
              </w:rPr>
              <w:t>本项目污水排放口应设置规范的环保标识。</w:t>
            </w:r>
          </w:p>
          <w:p>
            <w:pPr>
              <w:adjustRightInd w:val="0"/>
              <w:snapToGrid w:val="0"/>
              <w:spacing w:line="360" w:lineRule="auto"/>
              <w:ind w:firstLine="480" w:firstLineChars="200"/>
              <w:rPr>
                <w:b/>
                <w:color w:val="auto"/>
                <w:sz w:val="24"/>
                <w:szCs w:val="24"/>
              </w:rPr>
            </w:pPr>
            <w:r>
              <w:rPr>
                <w:b/>
                <w:color w:val="auto"/>
                <w:sz w:val="24"/>
                <w:szCs w:val="24"/>
              </w:rPr>
              <w:t>2、废气治理措施</w:t>
            </w:r>
          </w:p>
          <w:p>
            <w:pPr>
              <w:autoSpaceDE w:val="0"/>
              <w:autoSpaceDN w:val="0"/>
              <w:adjustRightInd w:val="0"/>
              <w:spacing w:line="360" w:lineRule="auto"/>
              <w:ind w:firstLine="480" w:firstLineChars="200"/>
              <w:rPr>
                <w:b/>
                <w:color w:val="auto"/>
                <w:sz w:val="24"/>
                <w:szCs w:val="21"/>
              </w:rPr>
            </w:pPr>
            <w:r>
              <w:rPr>
                <w:rFonts w:hint="eastAsia"/>
                <w:b/>
                <w:color w:val="auto"/>
                <w:sz w:val="24"/>
                <w:szCs w:val="21"/>
              </w:rPr>
              <w:t>（1）有组织废气</w:t>
            </w:r>
          </w:p>
          <w:p>
            <w:pPr>
              <w:autoSpaceDE w:val="0"/>
              <w:autoSpaceDN w:val="0"/>
              <w:adjustRightInd w:val="0"/>
              <w:spacing w:line="360" w:lineRule="auto"/>
              <w:ind w:firstLine="480" w:firstLineChars="200"/>
              <w:rPr>
                <w:b/>
                <w:color w:val="auto"/>
                <w:sz w:val="24"/>
                <w:szCs w:val="21"/>
              </w:rPr>
            </w:pPr>
            <w:r>
              <w:rPr>
                <w:rFonts w:hint="eastAsia"/>
                <w:b/>
                <w:color w:val="auto"/>
                <w:sz w:val="24"/>
                <w:szCs w:val="21"/>
              </w:rPr>
              <w:t>①废气处理措施合理性分析</w:t>
            </w:r>
          </w:p>
          <w:p>
            <w:pPr>
              <w:autoSpaceDE w:val="0"/>
              <w:autoSpaceDN w:val="0"/>
              <w:adjustRightInd w:val="0"/>
              <w:spacing w:line="360" w:lineRule="auto"/>
              <w:ind w:firstLine="480" w:firstLineChars="200"/>
              <w:rPr>
                <w:rFonts w:hint="default" w:eastAsia="宋体"/>
                <w:b w:val="0"/>
                <w:bCs w:val="0"/>
                <w:color w:val="auto"/>
                <w:sz w:val="24"/>
                <w:szCs w:val="22"/>
                <w:lang w:val="en-US" w:eastAsia="zh-CN"/>
              </w:rPr>
            </w:pPr>
            <w:r>
              <w:rPr>
                <w:rFonts w:hint="eastAsia"/>
                <w:bCs/>
                <w:color w:val="auto"/>
                <w:sz w:val="24"/>
                <w:szCs w:val="21"/>
              </w:rPr>
              <w:t>根据工程分析可知</w:t>
            </w:r>
            <w:r>
              <w:rPr>
                <w:rFonts w:hint="eastAsia"/>
                <w:b w:val="0"/>
                <w:bCs w:val="0"/>
                <w:color w:val="auto"/>
                <w:sz w:val="24"/>
                <w:szCs w:val="22"/>
                <w:lang w:val="en-US" w:eastAsia="zh-CN"/>
              </w:rPr>
              <w:t>营运期废气主要为喷砂和抛丸工序产生的加工粉尘（G1-1、G1-2），喷塑工序产生的喷塑废气（G2-1）和固化废气（G2-2），喷锌产生的喷锌废气</w:t>
            </w:r>
            <w:r>
              <w:rPr>
                <w:rFonts w:hint="eastAsia"/>
                <w:b w:val="0"/>
                <w:bCs w:val="0"/>
                <w:color w:val="auto"/>
                <w:sz w:val="24"/>
                <w:szCs w:val="22"/>
                <w:lang w:eastAsia="zh-CN"/>
              </w:rPr>
              <w:t>（</w:t>
            </w:r>
            <w:r>
              <w:rPr>
                <w:rFonts w:hint="eastAsia"/>
                <w:b w:val="0"/>
                <w:bCs w:val="0"/>
                <w:color w:val="auto"/>
                <w:sz w:val="24"/>
                <w:szCs w:val="22"/>
                <w:lang w:val="en-US" w:eastAsia="zh-CN"/>
              </w:rPr>
              <w:t>G3-1</w:t>
            </w:r>
            <w:r>
              <w:rPr>
                <w:rFonts w:hint="eastAsia"/>
                <w:b w:val="0"/>
                <w:bCs w:val="0"/>
                <w:color w:val="auto"/>
                <w:sz w:val="24"/>
                <w:szCs w:val="22"/>
                <w:lang w:eastAsia="zh-CN"/>
              </w:rPr>
              <w:t>）</w:t>
            </w:r>
            <w:r>
              <w:rPr>
                <w:rFonts w:hint="eastAsia"/>
                <w:b w:val="0"/>
                <w:bCs w:val="0"/>
                <w:color w:val="auto"/>
                <w:sz w:val="24"/>
                <w:szCs w:val="22"/>
                <w:lang w:val="en-US" w:eastAsia="zh-CN"/>
              </w:rPr>
              <w:t>，喷漆工序产生的漆雾颗粒（</w:t>
            </w:r>
            <w:r>
              <w:rPr>
                <w:rFonts w:hint="eastAsia"/>
                <w:b w:val="0"/>
                <w:bCs/>
                <w:color w:val="auto"/>
                <w:sz w:val="24"/>
                <w:szCs w:val="24"/>
                <w:lang w:val="en-US" w:eastAsia="zh-CN"/>
              </w:rPr>
              <w:t>G4-1、G4-3、G4-5</w:t>
            </w:r>
            <w:r>
              <w:rPr>
                <w:rFonts w:hint="eastAsia"/>
                <w:b w:val="0"/>
                <w:bCs w:val="0"/>
                <w:color w:val="auto"/>
                <w:sz w:val="24"/>
                <w:szCs w:val="22"/>
                <w:lang w:val="en-US" w:eastAsia="zh-CN"/>
              </w:rPr>
              <w:t>）和有机废气VOCs（</w:t>
            </w:r>
            <w:r>
              <w:rPr>
                <w:rFonts w:hint="eastAsia"/>
                <w:b w:val="0"/>
                <w:bCs/>
                <w:color w:val="auto"/>
                <w:sz w:val="24"/>
                <w:szCs w:val="24"/>
                <w:lang w:val="en-US" w:eastAsia="zh-CN"/>
              </w:rPr>
              <w:t>G4-2、G4-4、G4-6</w:t>
            </w:r>
            <w:r>
              <w:rPr>
                <w:rFonts w:hint="eastAsia"/>
                <w:b w:val="0"/>
                <w:bCs w:val="0"/>
                <w:color w:val="auto"/>
                <w:sz w:val="24"/>
                <w:szCs w:val="22"/>
                <w:lang w:val="en-US" w:eastAsia="zh-CN"/>
              </w:rPr>
              <w:t>）。加工粉尘经各自带的引风装置和布袋除尘器处理后经15m排气筒DA001高空排放；喷塑工序产生的颗粒物经</w:t>
            </w:r>
            <w:r>
              <w:rPr>
                <w:rFonts w:hint="eastAsia"/>
                <w:color w:val="auto"/>
                <w:sz w:val="24"/>
                <w:szCs w:val="22"/>
              </w:rPr>
              <w:t>带滤简除尘设施处理后</w:t>
            </w:r>
            <w:r>
              <w:rPr>
                <w:rFonts w:hint="eastAsia"/>
                <w:color w:val="auto"/>
                <w:sz w:val="24"/>
                <w:szCs w:val="22"/>
                <w:lang w:eastAsia="zh-CN"/>
              </w:rPr>
              <w:t>，</w:t>
            </w:r>
            <w:r>
              <w:rPr>
                <w:rFonts w:hint="eastAsia"/>
                <w:color w:val="auto"/>
                <w:sz w:val="24"/>
                <w:szCs w:val="22"/>
                <w:lang w:val="en-US" w:eastAsia="zh-CN"/>
              </w:rPr>
              <w:t>与经二级活性炭吸附装置处理的固化废气非甲烷总烃经15m高排气筒DA002排放；喷锌废气经布袋除尘器处理后，喷漆房废气经干式喷漆柜+二级活性炭吸附装置处理后，共同通过15m高排气筒DA003高空排放。</w:t>
            </w:r>
          </w:p>
          <w:p>
            <w:pPr>
              <w:autoSpaceDE w:val="0"/>
              <w:autoSpaceDN w:val="0"/>
              <w:adjustRightInd w:val="0"/>
              <w:spacing w:line="360" w:lineRule="auto"/>
              <w:ind w:firstLine="480" w:firstLineChars="200"/>
              <w:rPr>
                <w:rFonts w:hint="eastAsia" w:eastAsia="宋体"/>
                <w:b w:val="0"/>
                <w:bCs/>
                <w:color w:val="auto"/>
                <w:sz w:val="24"/>
                <w:szCs w:val="21"/>
                <w:lang w:eastAsia="zh-CN"/>
              </w:rPr>
            </w:pPr>
            <w:r>
              <w:rPr>
                <w:rFonts w:hint="eastAsia"/>
                <w:b w:val="0"/>
                <w:bCs/>
                <w:color w:val="auto"/>
                <w:sz w:val="24"/>
                <w:szCs w:val="21"/>
                <w:lang w:eastAsia="zh-CN"/>
              </w:rPr>
              <w:t>危废仓库存在挥发性废气的危险废物，因此本次要求建设单位对危废仓库的废气进行收集，引至“二级活性炭吸附装置”（</w:t>
            </w:r>
            <w:r>
              <w:rPr>
                <w:rFonts w:hint="eastAsia"/>
                <w:b w:val="0"/>
                <w:bCs/>
                <w:color w:val="auto"/>
                <w:sz w:val="24"/>
                <w:szCs w:val="21"/>
                <w:lang w:val="en-US" w:eastAsia="zh-CN"/>
              </w:rPr>
              <w:t>TA004</w:t>
            </w:r>
            <w:r>
              <w:rPr>
                <w:rFonts w:hint="eastAsia"/>
                <w:b w:val="0"/>
                <w:bCs/>
                <w:color w:val="auto"/>
                <w:sz w:val="24"/>
                <w:szCs w:val="21"/>
                <w:lang w:eastAsia="zh-CN"/>
              </w:rPr>
              <w:t>）处理后有组织排放。</w:t>
            </w:r>
          </w:p>
          <w:p>
            <w:pPr>
              <w:spacing w:line="360" w:lineRule="auto"/>
              <w:ind w:firstLine="480" w:firstLineChars="200"/>
              <w:rPr>
                <w:b/>
                <w:color w:val="auto"/>
                <w:sz w:val="24"/>
                <w:lang w:val="zh-CN"/>
              </w:rPr>
            </w:pPr>
            <w:r>
              <w:rPr>
                <w:rFonts w:hint="eastAsia"/>
                <w:b/>
                <w:color w:val="auto"/>
                <w:sz w:val="24"/>
                <w:lang w:val="zh-CN"/>
              </w:rPr>
              <w:t>布袋除尘器：</w:t>
            </w:r>
          </w:p>
          <w:p>
            <w:pPr>
              <w:pStyle w:val="21"/>
              <w:spacing w:after="0" w:line="360" w:lineRule="auto"/>
              <w:ind w:firstLine="480" w:firstLineChars="200"/>
              <w:rPr>
                <w:bCs/>
                <w:color w:val="auto"/>
                <w:sz w:val="24"/>
                <w:lang w:val="zh-CN"/>
              </w:rPr>
            </w:pPr>
            <w:r>
              <w:rPr>
                <w:rFonts w:hint="eastAsia"/>
                <w:bCs/>
                <w:color w:val="auto"/>
                <w:sz w:val="24"/>
                <w:lang w:val="zh-CN"/>
              </w:rPr>
              <w:t>布袋除尘器是一种干式滤尘装置。它适用于捕集细小、干燥、非纤维性粉尘。滤袋采用纺织的滤布或非纺织的毡制成，利用纤维织物的过滤作用对含尘气体进行过滤，当含尘气体进入袋式除尘器后，颗粒大、比重大的粉尘，由于重力的作用沉降下来，落入灰斗，含有较细小粉尘的气体在通过滤料时，粉尘被阻留，使气体得到净化。因此本项目采用布袋除尘处理</w:t>
            </w:r>
            <w:r>
              <w:rPr>
                <w:rFonts w:hint="eastAsia"/>
                <w:bCs/>
                <w:color w:val="auto"/>
                <w:sz w:val="24"/>
                <w:lang w:val="en-US" w:eastAsia="zh-CN"/>
              </w:rPr>
              <w:t>破碎</w:t>
            </w:r>
            <w:r>
              <w:rPr>
                <w:rFonts w:hint="eastAsia"/>
                <w:bCs/>
                <w:color w:val="auto"/>
                <w:sz w:val="24"/>
                <w:lang w:val="zh-CN"/>
              </w:rPr>
              <w:t>粉尘是可行的。</w:t>
            </w:r>
          </w:p>
          <w:p>
            <w:pPr>
              <w:spacing w:line="360" w:lineRule="auto"/>
              <w:ind w:firstLine="480" w:firstLineChars="200"/>
              <w:jc w:val="left"/>
              <w:rPr>
                <w:b/>
                <w:color w:val="auto"/>
                <w:sz w:val="24"/>
                <w:szCs w:val="21"/>
              </w:rPr>
            </w:pPr>
            <w:r>
              <w:rPr>
                <w:rFonts w:hint="eastAsia"/>
                <w:b/>
                <w:bCs/>
                <w:color w:val="auto"/>
                <w:sz w:val="24"/>
                <w:lang w:val="zh-CN"/>
              </w:rPr>
              <w:t>工程实例：</w:t>
            </w:r>
            <w:r>
              <w:rPr>
                <w:rFonts w:hint="eastAsia"/>
                <w:color w:val="auto"/>
                <w:sz w:val="24"/>
                <w:lang w:val="zh-CN"/>
              </w:rPr>
              <w:t>根据《天津联欣盈塑胶科技有限公司年产5000万件塑料制品项目</w:t>
            </w:r>
            <w:r>
              <w:rPr>
                <w:rFonts w:ascii="宋体" w:hAnsi="宋体" w:cs="宋体"/>
                <w:color w:val="auto"/>
                <w:sz w:val="24"/>
                <w:szCs w:val="24"/>
              </w:rPr>
              <w:t>竣工环境保护验收监测报告</w:t>
            </w:r>
            <w:r>
              <w:rPr>
                <w:rFonts w:hint="eastAsia"/>
                <w:color w:val="auto"/>
                <w:sz w:val="24"/>
                <w:lang w:val="zh-CN"/>
              </w:rPr>
              <w:t>》（</w:t>
            </w:r>
            <w:r>
              <w:rPr>
                <w:rFonts w:hint="eastAsia"/>
                <w:color w:val="auto"/>
                <w:sz w:val="24"/>
              </w:rPr>
              <w:t>2020年09月07日</w:t>
            </w:r>
            <w:r>
              <w:rPr>
                <w:rFonts w:hint="eastAsia"/>
                <w:color w:val="auto"/>
                <w:sz w:val="24"/>
                <w:lang w:val="zh-CN"/>
              </w:rPr>
              <w:t>）可知，该项目颗粒物经布袋除尘器处理，处理效率可达</w:t>
            </w:r>
            <w:r>
              <w:rPr>
                <w:rFonts w:hint="eastAsia"/>
                <w:color w:val="auto"/>
                <w:sz w:val="24"/>
              </w:rPr>
              <w:t>94.6%。因此，本项目颗粒物采取布袋除尘器处理是可行的。</w:t>
            </w:r>
          </w:p>
          <w:p>
            <w:pPr>
              <w:adjustRightInd w:val="0"/>
              <w:snapToGrid w:val="0"/>
              <w:spacing w:line="360" w:lineRule="auto"/>
              <w:ind w:left="420" w:leftChars="200"/>
              <w:rPr>
                <w:rFonts w:hint="default" w:ascii="Times New Roman" w:hAnsi="Times New Roman" w:cs="Times New Roman"/>
                <w:b/>
                <w:bCs/>
                <w:color w:val="auto"/>
                <w:kern w:val="0"/>
                <w:sz w:val="24"/>
                <w:szCs w:val="24"/>
                <w:lang w:val="zh-CN"/>
              </w:rPr>
            </w:pPr>
            <w:r>
              <w:rPr>
                <w:rFonts w:hint="default" w:ascii="Times New Roman" w:hAnsi="Times New Roman" w:cs="Times New Roman"/>
                <w:b/>
                <w:bCs/>
                <w:color w:val="auto"/>
                <w:kern w:val="0"/>
                <w:sz w:val="24"/>
                <w:szCs w:val="24"/>
                <w:lang w:val="zh-CN"/>
              </w:rPr>
              <w:t>干式喷漆</w:t>
            </w:r>
            <w:r>
              <w:rPr>
                <w:rFonts w:hint="eastAsia" w:ascii="Times New Roman" w:hAnsi="Times New Roman" w:cs="Times New Roman"/>
                <w:b/>
                <w:bCs/>
                <w:color w:val="auto"/>
                <w:kern w:val="0"/>
                <w:sz w:val="24"/>
                <w:szCs w:val="24"/>
                <w:lang w:val="en-US" w:eastAsia="zh-CN"/>
              </w:rPr>
              <w:t>柜</w:t>
            </w:r>
            <w:r>
              <w:rPr>
                <w:rFonts w:hint="default" w:ascii="Times New Roman" w:hAnsi="Times New Roman" w:cs="Times New Roman"/>
                <w:b/>
                <w:bCs/>
                <w:color w:val="auto"/>
                <w:kern w:val="0"/>
                <w:sz w:val="24"/>
                <w:szCs w:val="24"/>
                <w:lang w:val="zh-CN"/>
              </w:rPr>
              <w:t>原理（过滤棉吸附装置）</w:t>
            </w:r>
          </w:p>
          <w:p>
            <w:pPr>
              <w:adjustRightInd w:val="0"/>
              <w:snapToGrid w:val="0"/>
              <w:spacing w:line="360" w:lineRule="auto"/>
              <w:ind w:firstLine="480" w:firstLineChars="200"/>
              <w:rPr>
                <w:rFonts w:hint="default" w:ascii="Times New Roman" w:hAnsi="Times New Roman" w:cs="Times New Roman"/>
                <w:color w:val="auto"/>
                <w:sz w:val="24"/>
                <w:szCs w:val="24"/>
                <w:lang w:val="zh-CN"/>
              </w:rPr>
            </w:pPr>
            <w:r>
              <w:rPr>
                <w:rFonts w:hint="default" w:ascii="Times New Roman" w:hAnsi="Times New Roman" w:cs="Times New Roman"/>
                <w:color w:val="auto"/>
                <w:sz w:val="24"/>
                <w:szCs w:val="24"/>
                <w:lang w:val="zh-CN"/>
              </w:rPr>
              <w:fldChar w:fldCharType="begin"/>
            </w:r>
            <w:r>
              <w:rPr>
                <w:rFonts w:hint="default" w:ascii="Times New Roman" w:hAnsi="Times New Roman" w:cs="Times New Roman"/>
                <w:color w:val="auto"/>
                <w:sz w:val="24"/>
                <w:szCs w:val="24"/>
                <w:lang w:val="zh-CN"/>
              </w:rPr>
              <w:instrText xml:space="preserve"> HYPERLINK "http://www.zhorhb.com/product/609-cn.html" \o "" </w:instrText>
            </w:r>
            <w:r>
              <w:rPr>
                <w:rFonts w:hint="default" w:ascii="Times New Roman" w:hAnsi="Times New Roman" w:cs="Times New Roman"/>
                <w:color w:val="auto"/>
                <w:sz w:val="24"/>
                <w:szCs w:val="24"/>
                <w:lang w:val="zh-CN"/>
              </w:rPr>
              <w:fldChar w:fldCharType="separate"/>
            </w:r>
            <w:r>
              <w:rPr>
                <w:rFonts w:hint="default" w:ascii="Times New Roman" w:hAnsi="Times New Roman" w:cs="Times New Roman"/>
                <w:color w:val="auto"/>
                <w:sz w:val="24"/>
                <w:szCs w:val="24"/>
                <w:lang w:val="zh-CN"/>
              </w:rPr>
              <w:t>干式喷</w:t>
            </w:r>
            <w:r>
              <w:rPr>
                <w:rFonts w:hint="default" w:ascii="Times New Roman" w:hAnsi="Times New Roman" w:cs="Times New Roman"/>
                <w:color w:val="auto"/>
                <w:sz w:val="24"/>
                <w:szCs w:val="24"/>
                <w:lang w:val="zh-CN"/>
              </w:rPr>
              <w:fldChar w:fldCharType="end"/>
            </w:r>
            <w:r>
              <w:rPr>
                <w:rFonts w:hint="default" w:ascii="Times New Roman" w:hAnsi="Times New Roman" w:cs="Times New Roman"/>
                <w:color w:val="auto"/>
                <w:sz w:val="24"/>
                <w:szCs w:val="24"/>
                <w:lang w:val="zh-CN"/>
              </w:rPr>
              <w:t>漆室核心是采用进口专用干式漆雾过滤材料作为核心部件，漆雾过滤材料是由玻璃纤维丝特殊处理后在电脑程序控制下粘合成型，成型时每层密度有一定的梯度，消除漆雾在过滤材料表面堵塞现象，漆雾沿各层纤维空隙内均匀累积，使整个材料空间得到充分利用，漆雾粒子在拦截、碰撞、吸收等作用下容纳在材料中，并逐步风化成粉末状，从而达到净化漆雾的目的。材料取出拍打清理后可多次重复使用。</w:t>
            </w:r>
          </w:p>
          <w:p>
            <w:pPr>
              <w:autoSpaceDE w:val="0"/>
              <w:autoSpaceDN w:val="0"/>
              <w:adjustRightInd w:val="0"/>
              <w:spacing w:line="360" w:lineRule="auto"/>
              <w:jc w:val="center"/>
              <w:rPr>
                <w:b/>
                <w:color w:val="auto"/>
                <w:sz w:val="24"/>
                <w:szCs w:val="21"/>
              </w:rPr>
            </w:pPr>
            <w:r>
              <w:rPr>
                <w:rFonts w:hint="default" w:ascii="Times New Roman" w:hAnsi="Times New Roman" w:cs="Times New Roman"/>
                <w:color w:val="auto"/>
                <w:sz w:val="28"/>
                <w:szCs w:val="28"/>
              </w:rPr>
              <w:drawing>
                <wp:inline distT="0" distB="0" distL="114300" distR="114300">
                  <wp:extent cx="3185795" cy="1960245"/>
                  <wp:effectExtent l="0" t="0" r="14605" b="190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0"/>
                          <a:stretch>
                            <a:fillRect/>
                          </a:stretch>
                        </pic:blipFill>
                        <pic:spPr>
                          <a:xfrm>
                            <a:off x="0" y="0"/>
                            <a:ext cx="3185795" cy="1960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auto"/>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图5-</w:t>
            </w:r>
            <w:r>
              <w:rPr>
                <w:rFonts w:hint="eastAsia" w:ascii="Times New Roman" w:hAnsi="Times New Roman" w:cs="Times New Roman"/>
                <w:b/>
                <w:bCs/>
                <w:color w:val="auto"/>
                <w:sz w:val="21"/>
                <w:szCs w:val="21"/>
                <w:lang w:val="en-US" w:eastAsia="zh-CN"/>
              </w:rPr>
              <w:t>8</w:t>
            </w:r>
            <w:r>
              <w:rPr>
                <w:rFonts w:hint="default" w:ascii="Times New Roman" w:hAnsi="Times New Roman" w:cs="Times New Roman"/>
                <w:b/>
                <w:bCs/>
                <w:color w:val="auto"/>
                <w:sz w:val="21"/>
                <w:szCs w:val="21"/>
              </w:rPr>
              <w:t xml:space="preserve">   </w:t>
            </w:r>
            <w:r>
              <w:rPr>
                <w:rFonts w:hint="default" w:ascii="Times New Roman" w:hAnsi="Times New Roman" w:cs="Times New Roman"/>
                <w:b/>
                <w:bCs/>
                <w:color w:val="auto"/>
                <w:sz w:val="21"/>
                <w:szCs w:val="21"/>
                <w:lang w:eastAsia="zh-CN"/>
              </w:rPr>
              <w:t>过滤棉吸附装置</w:t>
            </w:r>
            <w:r>
              <w:rPr>
                <w:rFonts w:hint="default" w:ascii="Times New Roman" w:hAnsi="Times New Roman" w:cs="Times New Roman"/>
                <w:b/>
                <w:bCs/>
                <w:color w:val="auto"/>
                <w:sz w:val="21"/>
                <w:szCs w:val="21"/>
              </w:rPr>
              <w:t>结构示意图</w:t>
            </w:r>
          </w:p>
          <w:p>
            <w:pPr>
              <w:autoSpaceDE w:val="0"/>
              <w:autoSpaceDN w:val="0"/>
              <w:adjustRightInd w:val="0"/>
              <w:spacing w:line="360" w:lineRule="auto"/>
              <w:ind w:firstLine="480" w:firstLineChars="200"/>
              <w:rPr>
                <w:rFonts w:hint="eastAsia"/>
                <w:b w:val="0"/>
                <w:bCs/>
                <w:color w:val="auto"/>
                <w:sz w:val="24"/>
                <w:szCs w:val="21"/>
              </w:rPr>
            </w:pPr>
            <w:r>
              <w:rPr>
                <w:rFonts w:hint="eastAsia"/>
                <w:b w:val="0"/>
                <w:bCs/>
                <w:color w:val="auto"/>
                <w:sz w:val="24"/>
                <w:szCs w:val="21"/>
              </w:rPr>
              <w:t>过滤棉吸附装置为干式净化，无需水，无二次污染、环保节能；漆雾净化效率高，净化效率达到90%以上；设备运行阻力低、运行能耗低；材料可多次回用，使用寿命（40~70天），节省成本；干式漆雾过滤材料净化效率高、容尘量大、阻燃、阻力小、使用寿命长，可多次重复使用。本项目选用干式过滤，技术可行。</w:t>
            </w:r>
          </w:p>
          <w:p>
            <w:pPr>
              <w:autoSpaceDE w:val="0"/>
              <w:autoSpaceDN w:val="0"/>
              <w:adjustRightInd w:val="0"/>
              <w:spacing w:line="360" w:lineRule="auto"/>
              <w:ind w:firstLine="480" w:firstLineChars="200"/>
              <w:rPr>
                <w:rFonts w:hint="eastAsia"/>
                <w:b w:val="0"/>
                <w:bCs/>
                <w:color w:val="auto"/>
                <w:sz w:val="24"/>
                <w:szCs w:val="21"/>
              </w:rPr>
            </w:pPr>
            <w:r>
              <w:rPr>
                <w:rFonts w:hint="eastAsia"/>
                <w:b w:val="0"/>
                <w:bCs/>
                <w:color w:val="auto"/>
                <w:sz w:val="24"/>
                <w:szCs w:val="21"/>
              </w:rPr>
              <w:t>经计算，本项目颗粒物经“过滤棉吸附装置”过滤后，最终通过DA00</w:t>
            </w:r>
            <w:r>
              <w:rPr>
                <w:rFonts w:hint="eastAsia"/>
                <w:b w:val="0"/>
                <w:bCs/>
                <w:color w:val="auto"/>
                <w:sz w:val="24"/>
                <w:szCs w:val="21"/>
                <w:lang w:val="en-US" w:eastAsia="zh-CN"/>
              </w:rPr>
              <w:t>3</w:t>
            </w:r>
            <w:r>
              <w:rPr>
                <w:rFonts w:hint="eastAsia"/>
                <w:b w:val="0"/>
                <w:bCs/>
                <w:color w:val="auto"/>
                <w:sz w:val="24"/>
                <w:szCs w:val="21"/>
              </w:rPr>
              <w:t>排气筒排放的颗粒物能够满足《大气污染物综合排放标准》（GB16297-1996）表2新污染源大气污染物排放限值。</w:t>
            </w:r>
          </w:p>
          <w:p>
            <w:pPr>
              <w:autoSpaceDE w:val="0"/>
              <w:autoSpaceDN w:val="0"/>
              <w:adjustRightInd w:val="0"/>
              <w:spacing w:line="360" w:lineRule="auto"/>
              <w:ind w:firstLine="480" w:firstLineChars="200"/>
              <w:rPr>
                <w:rFonts w:hint="eastAsia"/>
                <w:b w:val="0"/>
                <w:bCs/>
                <w:color w:val="auto"/>
                <w:sz w:val="24"/>
                <w:szCs w:val="21"/>
              </w:rPr>
            </w:pPr>
            <w:r>
              <w:rPr>
                <w:rFonts w:hint="eastAsia"/>
                <w:b w:val="0"/>
                <w:bCs/>
                <w:color w:val="auto"/>
                <w:sz w:val="24"/>
                <w:szCs w:val="21"/>
              </w:rPr>
              <w:t>根据《常州杰威汽车配件制造有限公司货车车厢制造项目竣工环境保护验收监测报告》，项目采用过滤棉吸附装置吸附漆雾，漆雾进口浓度约11.5mg/m3，经过滤棉吸附后，出口浓度最大为1mg/m3，漆雾处理效率高于91.3%，本项目保守估计，取90%。</w:t>
            </w:r>
          </w:p>
          <w:p>
            <w:pPr>
              <w:autoSpaceDE w:val="0"/>
              <w:autoSpaceDN w:val="0"/>
              <w:adjustRightInd w:val="0"/>
              <w:spacing w:line="360" w:lineRule="auto"/>
              <w:ind w:firstLine="480" w:firstLineChars="200"/>
              <w:rPr>
                <w:b w:val="0"/>
                <w:bCs/>
                <w:color w:val="auto"/>
                <w:sz w:val="24"/>
                <w:szCs w:val="21"/>
              </w:rPr>
            </w:pPr>
            <w:r>
              <w:rPr>
                <w:rFonts w:hint="eastAsia"/>
                <w:b w:val="0"/>
                <w:bCs/>
                <w:color w:val="auto"/>
                <w:sz w:val="24"/>
                <w:szCs w:val="21"/>
              </w:rPr>
              <w:t>综上，本项目采用干式喷漆</w:t>
            </w:r>
            <w:r>
              <w:rPr>
                <w:rFonts w:hint="eastAsia"/>
                <w:b w:val="0"/>
                <w:bCs/>
                <w:color w:val="auto"/>
                <w:sz w:val="24"/>
                <w:szCs w:val="21"/>
                <w:lang w:val="en-US" w:eastAsia="zh-CN"/>
              </w:rPr>
              <w:t>柜处理漆雾颗粒是</w:t>
            </w:r>
            <w:r>
              <w:rPr>
                <w:rFonts w:hint="eastAsia"/>
                <w:b w:val="0"/>
                <w:bCs/>
                <w:color w:val="auto"/>
                <w:sz w:val="24"/>
                <w:szCs w:val="21"/>
              </w:rPr>
              <w:t>可行</w:t>
            </w:r>
            <w:r>
              <w:rPr>
                <w:rFonts w:hint="eastAsia"/>
                <w:b w:val="0"/>
                <w:bCs/>
                <w:color w:val="auto"/>
                <w:sz w:val="24"/>
                <w:szCs w:val="21"/>
                <w:lang w:val="en-US" w:eastAsia="zh-CN"/>
              </w:rPr>
              <w:t>的</w:t>
            </w:r>
            <w:r>
              <w:rPr>
                <w:rFonts w:hint="eastAsia"/>
                <w:b w:val="0"/>
                <w:bCs/>
                <w:color w:val="auto"/>
                <w:sz w:val="24"/>
                <w:szCs w:val="21"/>
              </w:rPr>
              <w:t>。</w:t>
            </w:r>
          </w:p>
          <w:p>
            <w:pPr>
              <w:autoSpaceDE w:val="0"/>
              <w:autoSpaceDN w:val="0"/>
              <w:adjustRightInd w:val="0"/>
              <w:spacing w:line="360" w:lineRule="auto"/>
              <w:ind w:firstLine="480" w:firstLineChars="200"/>
              <w:rPr>
                <w:color w:val="auto"/>
                <w:sz w:val="24"/>
                <w:lang w:val="zh-CN"/>
              </w:rPr>
            </w:pPr>
            <w:r>
              <w:rPr>
                <w:b/>
                <w:color w:val="auto"/>
                <w:sz w:val="24"/>
                <w:szCs w:val="21"/>
              </w:rPr>
              <w:t>活性炭吸附装置：</w:t>
            </w:r>
            <w:r>
              <w:rPr>
                <w:color w:val="auto"/>
                <w:sz w:val="24"/>
                <w:lang w:val="zh-CN"/>
              </w:rPr>
              <w:t>活性炭吸附主要依靠其自身的多孔结构，多孔结构可以大大提高其比表面积，增加与吸附底物的接触面积，从而达到吸附分离的目的，这种吸附为物理吸附，主要依靠范德华力、诱导力等结合。</w:t>
            </w:r>
          </w:p>
          <w:p>
            <w:pPr>
              <w:autoSpaceDE w:val="0"/>
              <w:autoSpaceDN w:val="0"/>
              <w:adjustRightInd w:val="0"/>
              <w:spacing w:line="360" w:lineRule="auto"/>
              <w:ind w:firstLine="480" w:firstLineChars="200"/>
              <w:rPr>
                <w:color w:val="auto"/>
                <w:sz w:val="24"/>
                <w:szCs w:val="22"/>
                <w:lang w:val="zh-CN"/>
              </w:rPr>
            </w:pPr>
            <w:r>
              <w:rPr>
                <w:color w:val="auto"/>
                <w:sz w:val="24"/>
                <w:lang w:val="zh-CN"/>
              </w:rPr>
              <w:t>物理吸附过程可分为以下几个步骤：（a）污染气体通过吸附边界层，污染气体的分子可能被吸附，也可能被从活性炭表面带走，这取决于该成分在载气和边界层中气体里的浓度差值，该值决定着吸附的强弱。当污染空气通过活性炭时，一些有害气体的浓度差值很大，所以被吸附下来，而空气中的固有成分由于浓度差</w:t>
            </w:r>
            <w:r>
              <w:rPr>
                <w:color w:val="auto"/>
                <w:sz w:val="24"/>
                <w:szCs w:val="22"/>
                <w:lang w:val="zh-CN"/>
              </w:rPr>
              <w:t>基本为零，所以正常通过，而一些颗粒（如烟尘）由于过大，直接被留在大孔和中孔中。当有害气体的浓度差为零时，活性炭失效，需重新活化。（b）被吸附的分子向微孔扩散。（c）该分子被牢牢的绑扎在吸附剂表面。</w:t>
            </w:r>
          </w:p>
          <w:p>
            <w:pPr>
              <w:autoSpaceDE w:val="0"/>
              <w:autoSpaceDN w:val="0"/>
              <w:adjustRightInd w:val="0"/>
              <w:spacing w:line="360" w:lineRule="auto"/>
              <w:ind w:firstLine="480" w:firstLineChars="200"/>
              <w:rPr>
                <w:rFonts w:hint="eastAsia"/>
                <w:color w:val="auto"/>
                <w:sz w:val="24"/>
                <w:szCs w:val="22"/>
                <w:lang w:val="zh-CN"/>
              </w:rPr>
            </w:pPr>
            <w:r>
              <w:rPr>
                <w:rFonts w:hint="eastAsia"/>
                <w:color w:val="auto"/>
                <w:sz w:val="24"/>
                <w:szCs w:val="22"/>
                <w:lang w:val="zh-CN"/>
              </w:rPr>
              <w:t>参考《江苏海颜新材料有限公司扩建年产8000吨色母粒和100万件注塑塑料制品项目环境影响报告表》：其“挤出、注塑等产污工序设置固定式集气罩收集有机废气，集气罩除工位外二面加装软帘加强废气收集效率，使收集达到微负压收集的效果，项目集气罩收集效率以90％计”。本项目</w:t>
            </w:r>
            <w:r>
              <w:rPr>
                <w:rFonts w:hint="eastAsia"/>
                <w:color w:val="auto"/>
                <w:sz w:val="24"/>
                <w:szCs w:val="22"/>
                <w:lang w:val="en-US" w:eastAsia="zh-CN"/>
              </w:rPr>
              <w:t>喷漆房为密闭车间，为微负压工作状态</w:t>
            </w:r>
            <w:r>
              <w:rPr>
                <w:rFonts w:hint="eastAsia"/>
                <w:color w:val="auto"/>
                <w:sz w:val="24"/>
                <w:szCs w:val="22"/>
                <w:lang w:val="zh-CN"/>
              </w:rPr>
              <w:t>，</w:t>
            </w:r>
            <w:r>
              <w:rPr>
                <w:rFonts w:hint="eastAsia"/>
                <w:color w:val="auto"/>
                <w:sz w:val="24"/>
                <w:szCs w:val="22"/>
                <w:lang w:val="en-US" w:eastAsia="zh-CN"/>
              </w:rPr>
              <w:t>经微负压收集，</w:t>
            </w:r>
            <w:r>
              <w:rPr>
                <w:rFonts w:hint="eastAsia"/>
                <w:color w:val="auto"/>
                <w:sz w:val="24"/>
                <w:szCs w:val="22"/>
                <w:lang w:val="zh-CN"/>
              </w:rPr>
              <w:t>收集效率预计可达到90％；</w:t>
            </w:r>
            <w:r>
              <w:rPr>
                <w:rFonts w:hint="eastAsia"/>
                <w:color w:val="auto"/>
                <w:sz w:val="24"/>
                <w:szCs w:val="22"/>
                <w:lang w:val="en-US" w:eastAsia="zh-CN"/>
              </w:rPr>
              <w:t>固化废气经半密闭的集气罩（集气罩+软帘）收集，收集效率预计可达90%</w:t>
            </w:r>
            <w:r>
              <w:rPr>
                <w:rFonts w:hint="eastAsia"/>
                <w:color w:val="auto"/>
                <w:sz w:val="24"/>
                <w:szCs w:val="22"/>
                <w:lang w:val="zh-CN"/>
              </w:rPr>
              <w:t>。</w:t>
            </w:r>
          </w:p>
          <w:p>
            <w:pPr>
              <w:autoSpaceDE w:val="0"/>
              <w:autoSpaceDN w:val="0"/>
              <w:adjustRightInd w:val="0"/>
              <w:spacing w:line="360" w:lineRule="auto"/>
              <w:ind w:firstLine="480" w:firstLineChars="200"/>
              <w:rPr>
                <w:color w:val="auto"/>
                <w:sz w:val="24"/>
                <w:szCs w:val="22"/>
                <w:lang w:val="zh-CN"/>
              </w:rPr>
            </w:pPr>
            <w:r>
              <w:rPr>
                <w:rFonts w:hint="eastAsia"/>
                <w:color w:val="auto"/>
                <w:sz w:val="24"/>
                <w:szCs w:val="22"/>
                <w:lang w:val="zh-CN"/>
              </w:rPr>
              <w:t>本项目废气利用二级活性炭吸附装置处理，</w:t>
            </w:r>
            <w:r>
              <w:rPr>
                <w:rFonts w:hint="eastAsia"/>
                <w:color w:val="auto"/>
                <w:sz w:val="24"/>
                <w:szCs w:val="22"/>
                <w:lang w:val="en-US" w:eastAsia="zh-CN"/>
              </w:rPr>
              <w:t>喷漆房有机废气经微负压收集</w:t>
            </w:r>
            <w:r>
              <w:rPr>
                <w:rFonts w:hint="eastAsia"/>
                <w:color w:val="auto"/>
                <w:sz w:val="24"/>
                <w:szCs w:val="22"/>
                <w:lang w:val="zh-CN"/>
              </w:rPr>
              <w:t>，</w:t>
            </w:r>
            <w:r>
              <w:rPr>
                <w:rFonts w:hint="eastAsia"/>
                <w:color w:val="auto"/>
                <w:sz w:val="24"/>
                <w:szCs w:val="22"/>
                <w:lang w:val="en-US" w:eastAsia="zh-CN"/>
              </w:rPr>
              <w:t>固化废气经半密闭的集气罩（集气罩+软帘）收集，</w:t>
            </w:r>
            <w:r>
              <w:rPr>
                <w:rFonts w:hint="eastAsia"/>
                <w:color w:val="auto"/>
                <w:sz w:val="24"/>
                <w:szCs w:val="22"/>
                <w:lang w:val="zh-CN"/>
              </w:rPr>
              <w:t>其总净化效果可达到90%以上。同时，该装置具有运行成本低、占地面积小、适应性强等特点。适用范围涉及各种工业废气治理工程，故本项目废气治理措施技术稳定可靠可行。</w:t>
            </w:r>
          </w:p>
          <w:p>
            <w:pPr>
              <w:pStyle w:val="21"/>
              <w:spacing w:after="0" w:line="360" w:lineRule="auto"/>
              <w:rPr>
                <w:b/>
                <w:bCs/>
                <w:color w:val="auto"/>
                <w:sz w:val="24"/>
                <w:lang w:val="zh-CN"/>
              </w:rPr>
            </w:pPr>
            <w:r>
              <w:rPr>
                <w:b/>
                <w:bCs/>
                <w:color w:val="auto"/>
                <w:sz w:val="24"/>
                <w:lang w:val="zh-CN"/>
              </w:rPr>
              <w:drawing>
                <wp:inline distT="0" distB="0" distL="114300" distR="114300">
                  <wp:extent cx="5271135" cy="3634740"/>
                  <wp:effectExtent l="0" t="0" r="5715" b="3810"/>
                  <wp:docPr id="23" name="图片 23" descr="QQ截图2020122517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QQ截图20201225172753"/>
                          <pic:cNvPicPr>
                            <a:picLocks noChangeAspect="1"/>
                          </pic:cNvPicPr>
                        </pic:nvPicPr>
                        <pic:blipFill>
                          <a:blip r:embed="rId21"/>
                          <a:srcRect t="4024"/>
                          <a:stretch>
                            <a:fillRect/>
                          </a:stretch>
                        </pic:blipFill>
                        <pic:spPr>
                          <a:xfrm>
                            <a:off x="0" y="0"/>
                            <a:ext cx="5271135" cy="3634740"/>
                          </a:xfrm>
                          <a:prstGeom prst="rect">
                            <a:avLst/>
                          </a:prstGeom>
                        </pic:spPr>
                      </pic:pic>
                    </a:graphicData>
                  </a:graphic>
                </wp:inline>
              </w:drawing>
            </w:r>
          </w:p>
          <w:p>
            <w:pPr>
              <w:pStyle w:val="21"/>
              <w:spacing w:after="0"/>
              <w:ind w:firstLine="420" w:firstLineChars="200"/>
              <w:jc w:val="center"/>
              <w:rPr>
                <w:b/>
                <w:bCs/>
                <w:color w:val="auto"/>
                <w:sz w:val="24"/>
                <w:lang w:val="zh-CN"/>
              </w:rPr>
            </w:pPr>
            <w:r>
              <w:rPr>
                <w:b/>
                <w:color w:val="auto"/>
                <w:szCs w:val="21"/>
              </w:rPr>
              <w:t>图5-</w:t>
            </w:r>
            <w:r>
              <w:rPr>
                <w:rFonts w:hint="eastAsia"/>
                <w:b/>
                <w:color w:val="auto"/>
                <w:szCs w:val="21"/>
                <w:lang w:val="en-US" w:eastAsia="zh-CN"/>
              </w:rPr>
              <w:t>9</w:t>
            </w:r>
            <w:r>
              <w:rPr>
                <w:b/>
                <w:color w:val="auto"/>
                <w:szCs w:val="21"/>
              </w:rPr>
              <w:t xml:space="preserve"> </w:t>
            </w:r>
            <w:r>
              <w:rPr>
                <w:rFonts w:hint="eastAsia"/>
                <w:b/>
                <w:color w:val="auto"/>
                <w:szCs w:val="21"/>
              </w:rPr>
              <w:t>本项目废气收集净化示意图</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根据《挥发性有机物（VOCs）污染防治技术政策》（生态环境部公告2013年第31号2013-05-24实施），“对于含低浓度VOCs的废气，不宜回收时，可采用吸附浓缩燃烧技术、生物技术、吸收技术、等离子体技术或紫外光高级氧化技术等净化后达标排放。”本项目采用的</w:t>
            </w:r>
            <w:r>
              <w:rPr>
                <w:rFonts w:hint="eastAsia"/>
                <w:color w:val="auto"/>
                <w:sz w:val="24"/>
              </w:rPr>
              <w:t>水性</w:t>
            </w:r>
            <w:r>
              <w:rPr>
                <w:rFonts w:hint="eastAsia"/>
                <w:color w:val="auto"/>
                <w:sz w:val="24"/>
                <w:lang w:val="en-US" w:eastAsia="zh-CN"/>
              </w:rPr>
              <w:t>漆和水性固化剂</w:t>
            </w:r>
            <w:r>
              <w:rPr>
                <w:rFonts w:hint="eastAsia"/>
                <w:color w:val="auto"/>
                <w:sz w:val="24"/>
              </w:rPr>
              <w:t>，属于环保型涂料，</w:t>
            </w:r>
            <w:r>
              <w:rPr>
                <w:rFonts w:hint="eastAsia"/>
                <w:color w:val="auto"/>
                <w:sz w:val="24"/>
                <w:lang w:val="zh-CN"/>
              </w:rPr>
              <w:t>挥发性有机物浓度较低，因此本项目采用的“二级活性炭吸附装置”满足《挥发性有机物（VOCs）污染防治技术政策》和《印刷工业污染防治可行技术指南（HJ1089-2020）》中相关要求</w:t>
            </w:r>
            <w:r>
              <w:rPr>
                <w:color w:val="auto"/>
                <w:sz w:val="24"/>
                <w:lang w:val="zh-CN"/>
              </w:rPr>
              <w:t>。</w:t>
            </w:r>
          </w:p>
          <w:p>
            <w:pPr>
              <w:spacing w:line="360" w:lineRule="auto"/>
              <w:ind w:firstLine="480" w:firstLineChars="200"/>
              <w:rPr>
                <w:color w:val="auto"/>
                <w:sz w:val="24"/>
                <w:lang w:val="zh-CN"/>
              </w:rPr>
            </w:pPr>
            <w:r>
              <w:rPr>
                <w:rFonts w:hint="eastAsia"/>
                <w:color w:val="auto"/>
                <w:sz w:val="24"/>
                <w:lang w:val="zh-CN"/>
              </w:rPr>
              <w:t>活性炭单级吸附效率约70%，“二级活性炭吸附装置”理论吸附效率理论可达9</w:t>
            </w:r>
            <w:r>
              <w:rPr>
                <w:rFonts w:hint="eastAsia"/>
                <w:color w:val="auto"/>
                <w:sz w:val="24"/>
              </w:rPr>
              <w:t>1</w:t>
            </w:r>
            <w:r>
              <w:rPr>
                <w:rFonts w:hint="eastAsia"/>
                <w:color w:val="auto"/>
                <w:sz w:val="24"/>
                <w:lang w:val="zh-CN"/>
              </w:rPr>
              <w:t>%，本次以</w:t>
            </w:r>
            <w:r>
              <w:rPr>
                <w:rFonts w:hint="eastAsia"/>
                <w:color w:val="auto"/>
                <w:sz w:val="24"/>
              </w:rPr>
              <w:t>90</w:t>
            </w:r>
            <w:r>
              <w:rPr>
                <w:rFonts w:hint="eastAsia"/>
                <w:color w:val="auto"/>
                <w:sz w:val="24"/>
                <w:lang w:val="zh-CN"/>
              </w:rPr>
              <w:t>%计。</w:t>
            </w:r>
            <w:r>
              <w:rPr>
                <w:rFonts w:hint="eastAsia"/>
                <w:color w:val="auto"/>
                <w:sz w:val="24"/>
                <w:szCs w:val="22"/>
                <w:lang w:val="en-US" w:eastAsia="zh-CN"/>
              </w:rPr>
              <w:t>喷漆房有机废气经微负压收集</w:t>
            </w:r>
            <w:r>
              <w:rPr>
                <w:rFonts w:hint="eastAsia"/>
                <w:color w:val="auto"/>
                <w:sz w:val="24"/>
                <w:szCs w:val="22"/>
                <w:lang w:val="zh-CN"/>
              </w:rPr>
              <w:t>，</w:t>
            </w:r>
            <w:r>
              <w:rPr>
                <w:rFonts w:hint="eastAsia"/>
                <w:color w:val="auto"/>
                <w:sz w:val="24"/>
                <w:szCs w:val="22"/>
                <w:lang w:val="en-US" w:eastAsia="zh-CN"/>
              </w:rPr>
              <w:t>固化废气经半密闭的集气罩（集气罩+软帘）收集，</w:t>
            </w:r>
            <w:r>
              <w:rPr>
                <w:rFonts w:hint="eastAsia"/>
                <w:color w:val="auto"/>
                <w:sz w:val="24"/>
                <w:lang w:val="en-US" w:eastAsia="zh-CN"/>
              </w:rPr>
              <w:t>废气经收集至1套</w:t>
            </w:r>
            <w:r>
              <w:rPr>
                <w:rFonts w:hint="eastAsia"/>
                <w:color w:val="auto"/>
                <w:sz w:val="24"/>
                <w:lang w:val="zh-CN"/>
              </w:rPr>
              <w:t>“二级活性炭吸附装置”统一处理，可满足《江苏省重点行业挥发性有机物污染控制指南》处理要求。</w:t>
            </w:r>
          </w:p>
          <w:p>
            <w:pPr>
              <w:spacing w:line="360" w:lineRule="auto"/>
              <w:ind w:firstLine="480" w:firstLineChars="200"/>
              <w:rPr>
                <w:rFonts w:hint="eastAsia"/>
                <w:color w:val="auto"/>
                <w:sz w:val="24"/>
                <w:lang w:val="zh-CN"/>
              </w:rPr>
            </w:pPr>
            <w:r>
              <w:rPr>
                <w:rFonts w:hint="eastAsia"/>
                <w:b/>
                <w:bCs/>
                <w:color w:val="auto"/>
                <w:sz w:val="24"/>
                <w:lang w:val="zh-CN"/>
              </w:rPr>
              <w:t>工程实例：</w:t>
            </w:r>
            <w:r>
              <w:rPr>
                <w:rFonts w:hint="eastAsia"/>
                <w:color w:val="auto"/>
                <w:sz w:val="24"/>
                <w:lang w:val="zh-CN"/>
              </w:rPr>
              <w:t>根据《威海宏信印刷科技有限公司纸制品印刷项目三同时竣工验收报告》可知，威海宏信印刷科技有限公司印刷工序产生的</w:t>
            </w:r>
            <w:r>
              <w:rPr>
                <w:rFonts w:hint="eastAsia"/>
                <w:color w:val="auto"/>
                <w:sz w:val="24"/>
              </w:rPr>
              <w:t>VOCs</w:t>
            </w:r>
            <w:r>
              <w:rPr>
                <w:rFonts w:hint="eastAsia"/>
                <w:color w:val="auto"/>
                <w:sz w:val="24"/>
                <w:lang w:val="zh-CN"/>
              </w:rPr>
              <w:t>采用单级活性炭吸附装置处理。监测期间，</w:t>
            </w:r>
            <w:r>
              <w:rPr>
                <w:rFonts w:hint="eastAsia"/>
                <w:color w:val="auto"/>
                <w:sz w:val="24"/>
                <w:lang w:val="en-US" w:eastAsia="zh-CN"/>
              </w:rPr>
              <w:t>VOCs进口平均浓度为13.4mg/m</w:t>
            </w:r>
            <w:r>
              <w:rPr>
                <w:rFonts w:hint="eastAsia"/>
                <w:color w:val="auto"/>
                <w:sz w:val="24"/>
                <w:vertAlign w:val="superscript"/>
                <w:lang w:val="en-US" w:eastAsia="zh-CN"/>
              </w:rPr>
              <w:t>3</w:t>
            </w:r>
            <w:r>
              <w:rPr>
                <w:rFonts w:hint="eastAsia"/>
                <w:color w:val="auto"/>
                <w:sz w:val="24"/>
                <w:lang w:val="en-US" w:eastAsia="zh-CN"/>
              </w:rPr>
              <w:t>，出口平均浓度为为1.1mg/m</w:t>
            </w:r>
            <w:r>
              <w:rPr>
                <w:rFonts w:hint="eastAsia"/>
                <w:color w:val="auto"/>
                <w:sz w:val="24"/>
                <w:vertAlign w:val="superscript"/>
                <w:lang w:val="en-US" w:eastAsia="zh-CN"/>
              </w:rPr>
              <w:t>3</w:t>
            </w:r>
            <w:r>
              <w:rPr>
                <w:rFonts w:hint="eastAsia"/>
                <w:color w:val="auto"/>
                <w:sz w:val="24"/>
                <w:lang w:val="en-US" w:eastAsia="zh-CN"/>
              </w:rPr>
              <w:t>，标干流量7016Nm</w:t>
            </w:r>
            <w:r>
              <w:rPr>
                <w:rFonts w:hint="eastAsia"/>
                <w:color w:val="auto"/>
                <w:sz w:val="24"/>
                <w:vertAlign w:val="superscript"/>
                <w:lang w:val="en-US" w:eastAsia="zh-CN"/>
              </w:rPr>
              <w:t>3</w:t>
            </w:r>
            <w:r>
              <w:rPr>
                <w:rFonts w:hint="eastAsia"/>
                <w:color w:val="auto"/>
                <w:sz w:val="24"/>
                <w:lang w:val="en-US" w:eastAsia="zh-CN"/>
              </w:rPr>
              <w:t>/h（出口），</w:t>
            </w:r>
            <w:r>
              <w:rPr>
                <w:rFonts w:hint="eastAsia"/>
                <w:color w:val="auto"/>
                <w:sz w:val="24"/>
                <w:lang w:val="zh-CN"/>
              </w:rPr>
              <w:t>单级活性炭吸附效率可达</w:t>
            </w:r>
            <w:r>
              <w:rPr>
                <w:rFonts w:hint="eastAsia"/>
                <w:color w:val="auto"/>
                <w:sz w:val="24"/>
              </w:rPr>
              <w:t>87.8</w:t>
            </w:r>
            <w:r>
              <w:rPr>
                <w:rFonts w:hint="eastAsia"/>
                <w:color w:val="auto"/>
                <w:sz w:val="24"/>
                <w:lang w:val="zh-CN"/>
              </w:rPr>
              <w:t>%及以上。</w:t>
            </w:r>
          </w:p>
          <w:p>
            <w:pPr>
              <w:spacing w:line="360" w:lineRule="auto"/>
              <w:ind w:firstLine="480" w:firstLineChars="200"/>
              <w:rPr>
                <w:color w:val="auto"/>
                <w:sz w:val="24"/>
                <w:lang w:val="zh-CN"/>
              </w:rPr>
            </w:pPr>
            <w:r>
              <w:rPr>
                <w:rFonts w:hint="eastAsia"/>
                <w:color w:val="auto"/>
                <w:sz w:val="24"/>
                <w:lang w:val="zh-CN"/>
              </w:rPr>
              <w:t>本项目废气采用</w:t>
            </w:r>
            <w:r>
              <w:rPr>
                <w:rFonts w:hint="eastAsia"/>
                <w:color w:val="auto"/>
                <w:sz w:val="24"/>
                <w:lang w:val="en-US" w:eastAsia="zh-CN"/>
              </w:rPr>
              <w:t>1套</w:t>
            </w:r>
            <w:r>
              <w:rPr>
                <w:rFonts w:hint="eastAsia"/>
                <w:color w:val="auto"/>
                <w:sz w:val="24"/>
                <w:lang w:val="zh-CN"/>
              </w:rPr>
              <w:t>“二级活性炭吸附装置（</w:t>
            </w:r>
            <w:r>
              <w:rPr>
                <w:rFonts w:hint="eastAsia"/>
                <w:color w:val="auto"/>
                <w:sz w:val="24"/>
                <w:lang w:val="en-US" w:eastAsia="zh-CN"/>
              </w:rPr>
              <w:t>TA004</w:t>
            </w:r>
            <w:r>
              <w:rPr>
                <w:rFonts w:hint="eastAsia"/>
                <w:color w:val="auto"/>
                <w:sz w:val="24"/>
                <w:lang w:val="zh-CN"/>
              </w:rPr>
              <w:t>）”处理</w:t>
            </w:r>
            <w:r>
              <w:rPr>
                <w:rFonts w:hint="eastAsia"/>
                <w:color w:val="auto"/>
                <w:sz w:val="24"/>
                <w:lang w:val="en-US" w:eastAsia="zh-CN"/>
              </w:rPr>
              <w:t>喷固化废气非甲烷总烃，</w:t>
            </w:r>
            <w:r>
              <w:rPr>
                <w:rFonts w:hint="eastAsia"/>
                <w:color w:val="auto"/>
                <w:sz w:val="24"/>
                <w:lang w:val="zh-CN"/>
              </w:rPr>
              <w:t>采用</w:t>
            </w:r>
            <w:r>
              <w:rPr>
                <w:rFonts w:hint="eastAsia"/>
                <w:color w:val="auto"/>
                <w:sz w:val="24"/>
                <w:lang w:val="en-US" w:eastAsia="zh-CN"/>
              </w:rPr>
              <w:t>1套</w:t>
            </w:r>
            <w:r>
              <w:rPr>
                <w:rFonts w:hint="eastAsia"/>
                <w:color w:val="auto"/>
                <w:sz w:val="24"/>
                <w:lang w:val="zh-CN"/>
              </w:rPr>
              <w:t>“二级活性炭吸附装置（</w:t>
            </w:r>
            <w:r>
              <w:rPr>
                <w:rFonts w:hint="eastAsia"/>
                <w:color w:val="auto"/>
                <w:sz w:val="24"/>
                <w:lang w:val="en-US" w:eastAsia="zh-CN"/>
              </w:rPr>
              <w:t>TA007</w:t>
            </w:r>
            <w:r>
              <w:rPr>
                <w:rFonts w:hint="eastAsia"/>
                <w:color w:val="auto"/>
                <w:sz w:val="24"/>
                <w:lang w:val="zh-CN"/>
              </w:rPr>
              <w:t>）”处理</w:t>
            </w:r>
            <w:r>
              <w:rPr>
                <w:rFonts w:hint="eastAsia"/>
                <w:color w:val="auto"/>
                <w:sz w:val="24"/>
                <w:lang w:val="en-US" w:eastAsia="zh-CN"/>
              </w:rPr>
              <w:t>喷漆房VOCs</w:t>
            </w:r>
            <w:r>
              <w:rPr>
                <w:rFonts w:hint="eastAsia"/>
                <w:color w:val="auto"/>
                <w:sz w:val="24"/>
                <w:lang w:val="zh-CN"/>
              </w:rPr>
              <w:t>，</w:t>
            </w:r>
            <w:r>
              <w:rPr>
                <w:rFonts w:hint="eastAsia"/>
                <w:color w:val="auto"/>
                <w:sz w:val="24"/>
                <w:lang w:val="en-US" w:eastAsia="zh-CN"/>
              </w:rPr>
              <w:t>分别</w:t>
            </w:r>
            <w:r>
              <w:rPr>
                <w:rFonts w:hint="eastAsia"/>
                <w:color w:val="auto"/>
                <w:sz w:val="24"/>
                <w:lang w:val="zh-CN"/>
              </w:rPr>
              <w:t>配</w:t>
            </w:r>
            <w:r>
              <w:rPr>
                <w:rFonts w:hint="eastAsia"/>
                <w:color w:val="auto"/>
                <w:sz w:val="24"/>
                <w:lang w:val="en-US" w:eastAsia="zh-CN"/>
              </w:rPr>
              <w:t>5000m</w:t>
            </w:r>
            <w:r>
              <w:rPr>
                <w:rFonts w:hint="eastAsia"/>
                <w:color w:val="auto"/>
                <w:sz w:val="24"/>
                <w:vertAlign w:val="superscript"/>
                <w:lang w:val="en-US" w:eastAsia="zh-CN"/>
              </w:rPr>
              <w:t>3</w:t>
            </w:r>
            <w:r>
              <w:rPr>
                <w:rFonts w:hint="eastAsia"/>
                <w:color w:val="auto"/>
                <w:sz w:val="24"/>
                <w:lang w:val="en-US" w:eastAsia="zh-CN"/>
              </w:rPr>
              <w:t>/h和20000m</w:t>
            </w:r>
            <w:r>
              <w:rPr>
                <w:rFonts w:hint="eastAsia"/>
                <w:color w:val="auto"/>
                <w:sz w:val="24"/>
                <w:vertAlign w:val="superscript"/>
                <w:lang w:val="en-US" w:eastAsia="zh-CN"/>
              </w:rPr>
              <w:t>3</w:t>
            </w:r>
            <w:r>
              <w:rPr>
                <w:rFonts w:hint="eastAsia"/>
                <w:color w:val="auto"/>
                <w:sz w:val="24"/>
                <w:lang w:val="en-US" w:eastAsia="zh-CN"/>
              </w:rPr>
              <w:t>/h的风机，</w:t>
            </w:r>
            <w:r>
              <w:rPr>
                <w:rFonts w:hint="eastAsia"/>
                <w:color w:val="auto"/>
                <w:sz w:val="24"/>
                <w:lang w:val="zh-CN"/>
              </w:rPr>
              <w:t>处理效率预计可以达到</w:t>
            </w:r>
            <w:r>
              <w:rPr>
                <w:rFonts w:hint="eastAsia"/>
                <w:color w:val="auto"/>
                <w:sz w:val="24"/>
              </w:rPr>
              <w:t>90%</w:t>
            </w:r>
            <w:r>
              <w:rPr>
                <w:rFonts w:hint="eastAsia"/>
                <w:color w:val="auto"/>
                <w:sz w:val="24"/>
                <w:lang w:val="zh-CN"/>
              </w:rPr>
              <w:t>。</w:t>
            </w:r>
          </w:p>
          <w:p>
            <w:pPr>
              <w:spacing w:line="360" w:lineRule="auto"/>
              <w:ind w:firstLine="480" w:firstLineChars="200"/>
              <w:rPr>
                <w:color w:val="auto"/>
              </w:rPr>
            </w:pPr>
            <w:r>
              <w:rPr>
                <w:rFonts w:hint="eastAsia"/>
                <w:b/>
                <w:bCs/>
                <w:color w:val="auto"/>
                <w:sz w:val="24"/>
                <w:szCs w:val="24"/>
              </w:rPr>
              <w:t>废活性炭更换周期：</w:t>
            </w:r>
          </w:p>
          <w:p>
            <w:pPr>
              <w:spacing w:line="360" w:lineRule="auto"/>
              <w:ind w:firstLine="480" w:firstLineChars="200"/>
              <w:rPr>
                <w:rFonts w:hint="default"/>
                <w:color w:val="auto"/>
                <w:sz w:val="24"/>
                <w:szCs w:val="24"/>
                <w:lang w:val="en-US"/>
              </w:rPr>
            </w:pPr>
            <w:r>
              <w:rPr>
                <w:rFonts w:hint="eastAsia"/>
                <w:color w:val="auto"/>
                <w:sz w:val="24"/>
                <w:szCs w:val="24"/>
              </w:rPr>
              <w:t>根据工程分析，项目设置俩套二级活性炭吸附装置</w:t>
            </w:r>
            <w:r>
              <w:rPr>
                <w:rFonts w:hint="eastAsia"/>
                <w:color w:val="auto"/>
                <w:sz w:val="24"/>
                <w:szCs w:val="24"/>
                <w:lang w:val="en-US" w:eastAsia="zh-CN"/>
              </w:rPr>
              <w:t>(</w:t>
            </w:r>
            <w:r>
              <w:rPr>
                <w:rFonts w:hint="eastAsia"/>
                <w:color w:val="auto"/>
                <w:sz w:val="24"/>
                <w:szCs w:val="24"/>
              </w:rPr>
              <w:t>TA004、TA007</w:t>
            </w:r>
            <w:r>
              <w:rPr>
                <w:rFonts w:hint="eastAsia"/>
                <w:color w:val="auto"/>
                <w:sz w:val="24"/>
                <w:szCs w:val="24"/>
                <w:lang w:val="en-US" w:eastAsia="zh-CN"/>
              </w:rPr>
              <w:t>)，</w:t>
            </w:r>
            <w:r>
              <w:rPr>
                <w:color w:val="auto"/>
                <w:sz w:val="24"/>
              </w:rPr>
              <w:t>活性炭吸附箱中活性炭装填量为</w:t>
            </w:r>
            <w:r>
              <w:rPr>
                <w:rFonts w:hint="eastAsia"/>
                <w:color w:val="auto"/>
                <w:sz w:val="24"/>
                <w:lang w:val="en-US" w:eastAsia="zh-CN"/>
              </w:rPr>
              <w:t>:TA004：60</w:t>
            </w:r>
            <w:r>
              <w:rPr>
                <w:color w:val="auto"/>
                <w:sz w:val="24"/>
              </w:rPr>
              <w:t>kg/次（</w:t>
            </w:r>
            <w:r>
              <w:rPr>
                <w:rFonts w:hint="eastAsia"/>
                <w:color w:val="auto"/>
                <w:sz w:val="24"/>
                <w:lang w:val="en-US" w:eastAsia="zh-CN"/>
              </w:rPr>
              <w:t>30</w:t>
            </w:r>
            <w:r>
              <w:rPr>
                <w:rFonts w:hint="eastAsia"/>
                <w:color w:val="auto"/>
                <w:sz w:val="24"/>
              </w:rPr>
              <w:t>kg</w:t>
            </w:r>
            <w:r>
              <w:rPr>
                <w:color w:val="auto"/>
                <w:sz w:val="24"/>
              </w:rPr>
              <w:t>/</w:t>
            </w:r>
            <w:r>
              <w:rPr>
                <w:rFonts w:hint="eastAsia"/>
                <w:color w:val="auto"/>
                <w:sz w:val="24"/>
              </w:rPr>
              <w:t>箱，共2箱</w:t>
            </w:r>
            <w:r>
              <w:rPr>
                <w:color w:val="auto"/>
                <w:sz w:val="24"/>
              </w:rPr>
              <w:t>）</w:t>
            </w:r>
            <w:r>
              <w:rPr>
                <w:rFonts w:hint="eastAsia"/>
                <w:color w:val="auto"/>
                <w:sz w:val="24"/>
                <w:lang w:eastAsia="zh-CN"/>
              </w:rPr>
              <w:t>；</w:t>
            </w:r>
            <w:r>
              <w:rPr>
                <w:rFonts w:hint="eastAsia"/>
                <w:color w:val="auto"/>
                <w:sz w:val="24"/>
                <w:lang w:val="en-US" w:eastAsia="zh-CN"/>
              </w:rPr>
              <w:t>TA007：540</w:t>
            </w:r>
            <w:r>
              <w:rPr>
                <w:color w:val="auto"/>
                <w:sz w:val="24"/>
              </w:rPr>
              <w:t>kg/次（</w:t>
            </w:r>
            <w:r>
              <w:rPr>
                <w:rFonts w:hint="eastAsia"/>
                <w:color w:val="auto"/>
                <w:sz w:val="24"/>
                <w:lang w:val="en-US" w:eastAsia="zh-CN"/>
              </w:rPr>
              <w:t>270</w:t>
            </w:r>
            <w:r>
              <w:rPr>
                <w:rFonts w:hint="eastAsia"/>
                <w:color w:val="auto"/>
                <w:sz w:val="24"/>
              </w:rPr>
              <w:t>kg</w:t>
            </w:r>
            <w:r>
              <w:rPr>
                <w:color w:val="auto"/>
                <w:sz w:val="24"/>
              </w:rPr>
              <w:t>/</w:t>
            </w:r>
            <w:r>
              <w:rPr>
                <w:rFonts w:hint="eastAsia"/>
                <w:color w:val="auto"/>
                <w:sz w:val="24"/>
              </w:rPr>
              <w:t>箱，共2箱</w:t>
            </w:r>
            <w:r>
              <w:rPr>
                <w:color w:val="auto"/>
                <w:sz w:val="24"/>
              </w:rPr>
              <w:t>）</w:t>
            </w:r>
            <w:r>
              <w:rPr>
                <w:rFonts w:hint="eastAsia"/>
                <w:color w:val="auto"/>
                <w:sz w:val="24"/>
                <w:lang w:val="en-US" w:eastAsia="zh-CN"/>
              </w:rPr>
              <w:t>。建设单位</w:t>
            </w:r>
            <w:r>
              <w:rPr>
                <w:color w:val="auto"/>
                <w:sz w:val="24"/>
              </w:rPr>
              <w:t>每</w:t>
            </w:r>
            <w:r>
              <w:rPr>
                <w:rFonts w:hint="eastAsia"/>
                <w:color w:val="auto"/>
                <w:sz w:val="24"/>
                <w:lang w:val="en-US" w:eastAsia="zh-CN"/>
              </w:rPr>
              <w:t>四</w:t>
            </w:r>
            <w:r>
              <w:rPr>
                <w:rFonts w:hint="eastAsia"/>
                <w:color w:val="auto"/>
                <w:sz w:val="24"/>
              </w:rPr>
              <w:t>个月</w:t>
            </w:r>
            <w:r>
              <w:rPr>
                <w:color w:val="auto"/>
                <w:sz w:val="24"/>
              </w:rPr>
              <w:t>更换一次活性炭，即废活性炭的产生量为</w:t>
            </w:r>
            <w:r>
              <w:rPr>
                <w:rFonts w:hint="eastAsia"/>
                <w:color w:val="auto"/>
                <w:sz w:val="24"/>
              </w:rPr>
              <w:t>2.</w:t>
            </w:r>
            <w:r>
              <w:rPr>
                <w:rFonts w:hint="eastAsia"/>
                <w:color w:val="auto"/>
                <w:sz w:val="24"/>
                <w:lang w:val="en-US" w:eastAsia="zh-CN"/>
              </w:rPr>
              <w:t>339</w:t>
            </w:r>
            <w:r>
              <w:rPr>
                <w:color w:val="auto"/>
                <w:sz w:val="24"/>
              </w:rPr>
              <w:t>t/a。</w:t>
            </w:r>
            <w:r>
              <w:rPr>
                <w:rFonts w:hint="eastAsia"/>
                <w:color w:val="auto"/>
                <w:sz w:val="24"/>
                <w:szCs w:val="24"/>
              </w:rPr>
              <w:t>委托相关环保厂家进行更换。建设单位实际生产过程中应根据原料实际消耗量以及活性炭装置的一次填充量做好废活性炭更换台账。</w:t>
            </w:r>
          </w:p>
          <w:p>
            <w:pPr>
              <w:spacing w:line="360" w:lineRule="auto"/>
              <w:ind w:firstLine="480" w:firstLineChars="200"/>
              <w:rPr>
                <w:b/>
                <w:bCs/>
                <w:color w:val="auto"/>
                <w:sz w:val="24"/>
                <w:szCs w:val="24"/>
              </w:rPr>
            </w:pPr>
            <w:r>
              <w:rPr>
                <w:rFonts w:hint="eastAsia"/>
                <w:b/>
                <w:bCs/>
                <w:color w:val="auto"/>
                <w:sz w:val="24"/>
                <w:szCs w:val="24"/>
              </w:rPr>
              <w:t>②</w:t>
            </w:r>
            <w:r>
              <w:rPr>
                <w:b/>
                <w:bCs/>
                <w:color w:val="auto"/>
                <w:sz w:val="24"/>
                <w:szCs w:val="24"/>
              </w:rPr>
              <w:t>排气筒设置合理性</w:t>
            </w:r>
            <w:r>
              <w:rPr>
                <w:rFonts w:hint="eastAsia"/>
                <w:b/>
                <w:bCs/>
                <w:color w:val="auto"/>
                <w:sz w:val="24"/>
                <w:szCs w:val="24"/>
              </w:rPr>
              <w:t>分析</w:t>
            </w:r>
            <w:r>
              <w:rPr>
                <w:b/>
                <w:bCs/>
                <w:color w:val="auto"/>
                <w:sz w:val="24"/>
                <w:szCs w:val="24"/>
              </w:rPr>
              <w:t>：</w:t>
            </w:r>
          </w:p>
          <w:p>
            <w:pPr>
              <w:spacing w:line="360" w:lineRule="auto"/>
              <w:ind w:firstLine="480" w:firstLineChars="200"/>
              <w:rPr>
                <w:color w:val="auto"/>
                <w:sz w:val="24"/>
                <w:szCs w:val="24"/>
              </w:rPr>
            </w:pPr>
            <w:r>
              <w:rPr>
                <w:color w:val="auto"/>
                <w:sz w:val="24"/>
                <w:szCs w:val="24"/>
              </w:rPr>
              <w:t>本项目</w:t>
            </w:r>
            <w:r>
              <w:rPr>
                <w:rFonts w:hint="eastAsia"/>
                <w:color w:val="auto"/>
                <w:sz w:val="24"/>
                <w:szCs w:val="24"/>
              </w:rPr>
              <w:t>设有</w:t>
            </w:r>
            <w:r>
              <w:rPr>
                <w:rFonts w:hint="eastAsia"/>
                <w:color w:val="auto"/>
                <w:sz w:val="24"/>
                <w:szCs w:val="24"/>
                <w:lang w:val="en-US" w:eastAsia="zh-CN"/>
              </w:rPr>
              <w:t>3</w:t>
            </w:r>
            <w:r>
              <w:rPr>
                <w:color w:val="auto"/>
                <w:sz w:val="24"/>
                <w:szCs w:val="24"/>
              </w:rPr>
              <w:t>个工业废气排气筒。其合理性分析如下：</w:t>
            </w:r>
          </w:p>
          <w:p>
            <w:pPr>
              <w:spacing w:line="360" w:lineRule="auto"/>
              <w:ind w:firstLine="480" w:firstLineChars="200"/>
              <w:rPr>
                <w:color w:val="auto"/>
                <w:sz w:val="24"/>
                <w:szCs w:val="24"/>
              </w:rPr>
            </w:pPr>
            <w:r>
              <w:rPr>
                <w:b/>
                <w:bCs/>
                <w:color w:val="auto"/>
                <w:sz w:val="24"/>
                <w:szCs w:val="24"/>
              </w:rPr>
              <w:t>高度可行性分析</w:t>
            </w:r>
            <w:r>
              <w:rPr>
                <w:rFonts w:hint="eastAsia"/>
                <w:b/>
                <w:bCs/>
                <w:color w:val="auto"/>
                <w:sz w:val="24"/>
                <w:szCs w:val="24"/>
              </w:rPr>
              <w:t>：</w:t>
            </w:r>
            <w:r>
              <w:rPr>
                <w:color w:val="auto"/>
                <w:sz w:val="24"/>
                <w:szCs w:val="24"/>
              </w:rPr>
              <w:t>本项目根据废气处理装置运行情况和污染物性质：</w:t>
            </w:r>
            <w:r>
              <w:rPr>
                <w:rFonts w:hint="eastAsia"/>
                <w:color w:val="auto"/>
                <w:sz w:val="24"/>
                <w:szCs w:val="24"/>
              </w:rPr>
              <w:t>本项目全程产生的废气</w:t>
            </w:r>
            <w:r>
              <w:rPr>
                <w:rFonts w:hint="eastAsia"/>
                <w:color w:val="auto"/>
                <w:sz w:val="24"/>
                <w:szCs w:val="24"/>
                <w:lang w:val="en-US" w:eastAsia="zh-CN"/>
              </w:rPr>
              <w:t>为喷砂、抛丸工序产生的颗粒物，喷塑、固化工序产生的颗粒物和非甲烷总烃，喷锌工序产生的颗粒物，以及喷漆工序产生的漆雾颗粒和VOCs</w:t>
            </w:r>
            <w:r>
              <w:rPr>
                <w:rFonts w:hint="eastAsia"/>
                <w:color w:val="auto"/>
                <w:sz w:val="24"/>
                <w:szCs w:val="24"/>
              </w:rPr>
              <w:t>，</w:t>
            </w:r>
            <w:r>
              <w:rPr>
                <w:rFonts w:hint="eastAsia"/>
                <w:color w:val="auto"/>
                <w:sz w:val="24"/>
                <w:szCs w:val="24"/>
                <w:lang w:val="en-US" w:eastAsia="zh-CN"/>
              </w:rPr>
              <w:t>综合考虑车间布置情况，本项目</w:t>
            </w:r>
            <w:r>
              <w:rPr>
                <w:rFonts w:hint="eastAsia"/>
                <w:color w:val="auto"/>
                <w:sz w:val="24"/>
                <w:szCs w:val="24"/>
              </w:rPr>
              <w:t>设置</w:t>
            </w:r>
            <w:r>
              <w:rPr>
                <w:rFonts w:hint="eastAsia"/>
                <w:color w:val="auto"/>
                <w:sz w:val="24"/>
                <w:szCs w:val="24"/>
                <w:lang w:val="en-US" w:eastAsia="zh-CN"/>
              </w:rPr>
              <w:t>3</w:t>
            </w:r>
            <w:r>
              <w:rPr>
                <w:rFonts w:hint="eastAsia"/>
                <w:color w:val="auto"/>
                <w:sz w:val="24"/>
                <w:szCs w:val="24"/>
              </w:rPr>
              <w:t>根</w:t>
            </w:r>
            <w:r>
              <w:rPr>
                <w:rFonts w:hint="eastAsia"/>
                <w:color w:val="auto"/>
                <w:sz w:val="24"/>
                <w:szCs w:val="24"/>
                <w:lang w:val="en-US" w:eastAsia="zh-CN"/>
              </w:rPr>
              <w:t>15</w:t>
            </w:r>
            <w:r>
              <w:rPr>
                <w:rFonts w:hint="eastAsia"/>
                <w:color w:val="auto"/>
                <w:sz w:val="24"/>
                <w:szCs w:val="24"/>
              </w:rPr>
              <w:t>m高排气筒</w:t>
            </w:r>
            <w:r>
              <w:rPr>
                <w:color w:val="auto"/>
                <w:sz w:val="24"/>
                <w:szCs w:val="24"/>
              </w:rPr>
              <w:t>。根据第7章大气影响预测分析，污染因子在相应的预测模式下，厂界均能达标，对周围大气环境质量影响不大。</w:t>
            </w:r>
          </w:p>
          <w:p>
            <w:pPr>
              <w:spacing w:line="360" w:lineRule="auto"/>
              <w:ind w:firstLine="480" w:firstLineChars="200"/>
              <w:rPr>
                <w:color w:val="auto"/>
                <w:sz w:val="24"/>
                <w:szCs w:val="24"/>
              </w:rPr>
            </w:pPr>
            <w:r>
              <w:rPr>
                <w:color w:val="auto"/>
                <w:sz w:val="24"/>
                <w:szCs w:val="24"/>
              </w:rPr>
              <w:t>根据《大气污染物综合排放标准》</w:t>
            </w:r>
            <w:r>
              <w:rPr>
                <w:rFonts w:hint="eastAsia"/>
                <w:color w:val="auto"/>
                <w:sz w:val="24"/>
                <w:szCs w:val="24"/>
              </w:rPr>
              <w:t>（</w:t>
            </w:r>
            <w:r>
              <w:rPr>
                <w:color w:val="auto"/>
                <w:sz w:val="24"/>
                <w:szCs w:val="24"/>
              </w:rPr>
              <w:t>GB16297-1996</w:t>
            </w:r>
            <w:r>
              <w:rPr>
                <w:rFonts w:hint="eastAsia"/>
                <w:color w:val="auto"/>
                <w:sz w:val="24"/>
                <w:szCs w:val="24"/>
              </w:rPr>
              <w:t>）</w:t>
            </w:r>
            <w:r>
              <w:rPr>
                <w:color w:val="auto"/>
                <w:sz w:val="24"/>
                <w:szCs w:val="24"/>
              </w:rPr>
              <w:t>要求，排气筒的高度应遵守排放速率标准值，建设项目设置排气筒高度均能满足排放速率标准要求；新建污染物的排气筒一般不能低于</w:t>
            </w:r>
            <w:r>
              <w:rPr>
                <w:rFonts w:hint="eastAsia"/>
                <w:color w:val="auto"/>
                <w:sz w:val="24"/>
                <w:szCs w:val="24"/>
              </w:rPr>
              <w:t>15m</w:t>
            </w:r>
            <w:r>
              <w:rPr>
                <w:color w:val="auto"/>
                <w:sz w:val="24"/>
                <w:szCs w:val="24"/>
              </w:rPr>
              <w:t>，建设项目</w:t>
            </w:r>
            <w:r>
              <w:rPr>
                <w:rFonts w:hint="eastAsia"/>
                <w:color w:val="auto"/>
                <w:sz w:val="24"/>
                <w:szCs w:val="24"/>
              </w:rPr>
              <w:t>房高</w:t>
            </w:r>
            <w:r>
              <w:rPr>
                <w:rFonts w:hint="eastAsia"/>
                <w:color w:val="auto"/>
                <w:sz w:val="24"/>
                <w:szCs w:val="24"/>
                <w:lang w:val="en-US" w:eastAsia="zh-CN"/>
              </w:rPr>
              <w:t>8</w:t>
            </w:r>
            <w:r>
              <w:rPr>
                <w:rFonts w:hint="eastAsia"/>
                <w:color w:val="auto"/>
                <w:sz w:val="24"/>
                <w:szCs w:val="24"/>
              </w:rPr>
              <w:t>m，因此本次</w:t>
            </w:r>
            <w:r>
              <w:rPr>
                <w:color w:val="auto"/>
                <w:sz w:val="24"/>
                <w:szCs w:val="24"/>
              </w:rPr>
              <w:t>设置</w:t>
            </w:r>
            <w:r>
              <w:rPr>
                <w:rFonts w:hint="eastAsia"/>
                <w:color w:val="auto"/>
                <w:sz w:val="24"/>
                <w:szCs w:val="24"/>
              </w:rPr>
              <w:t>的</w:t>
            </w:r>
            <w:r>
              <w:rPr>
                <w:color w:val="auto"/>
                <w:sz w:val="24"/>
                <w:szCs w:val="24"/>
              </w:rPr>
              <w:t>排气筒高度为</w:t>
            </w:r>
            <w:r>
              <w:rPr>
                <w:rFonts w:hint="eastAsia"/>
                <w:color w:val="auto"/>
                <w:sz w:val="24"/>
                <w:szCs w:val="24"/>
                <w:lang w:val="en-US" w:eastAsia="zh-CN"/>
              </w:rPr>
              <w:t>15</w:t>
            </w:r>
            <w:r>
              <w:rPr>
                <w:color w:val="auto"/>
                <w:sz w:val="24"/>
                <w:szCs w:val="24"/>
              </w:rPr>
              <w:t>m</w:t>
            </w:r>
            <w:r>
              <w:rPr>
                <w:rFonts w:hint="eastAsia"/>
                <w:color w:val="auto"/>
                <w:sz w:val="24"/>
                <w:szCs w:val="24"/>
              </w:rPr>
              <w:t>，</w:t>
            </w:r>
            <w:r>
              <w:rPr>
                <w:color w:val="auto"/>
                <w:sz w:val="24"/>
                <w:szCs w:val="24"/>
              </w:rPr>
              <w:t>并设置了采样平台及采样孔。</w:t>
            </w:r>
          </w:p>
          <w:p>
            <w:pPr>
              <w:spacing w:line="360" w:lineRule="auto"/>
              <w:ind w:firstLine="480" w:firstLineChars="200"/>
              <w:rPr>
                <w:color w:val="auto"/>
                <w:sz w:val="24"/>
                <w:szCs w:val="24"/>
              </w:rPr>
            </w:pPr>
            <w:r>
              <w:rPr>
                <w:b/>
                <w:bCs/>
                <w:color w:val="auto"/>
                <w:sz w:val="24"/>
                <w:szCs w:val="24"/>
              </w:rPr>
              <w:t>数量可行性分析</w:t>
            </w:r>
            <w:r>
              <w:rPr>
                <w:rFonts w:hint="eastAsia"/>
                <w:b/>
                <w:bCs/>
                <w:color w:val="auto"/>
                <w:sz w:val="24"/>
                <w:szCs w:val="24"/>
              </w:rPr>
              <w:t>：</w:t>
            </w:r>
            <w:r>
              <w:rPr>
                <w:color w:val="auto"/>
                <w:sz w:val="24"/>
                <w:szCs w:val="24"/>
              </w:rPr>
              <w:t>本项目排气筒的设置数量严格按照车间分布来布置，为减少排气筒数量，项目按照</w:t>
            </w:r>
            <w:r>
              <w:rPr>
                <w:rFonts w:hint="eastAsia"/>
                <w:color w:val="auto"/>
                <w:sz w:val="24"/>
                <w:szCs w:val="24"/>
              </w:rPr>
              <w:t>“</w:t>
            </w:r>
            <w:r>
              <w:rPr>
                <w:color w:val="auto"/>
                <w:sz w:val="24"/>
                <w:szCs w:val="24"/>
              </w:rPr>
              <w:t>分类收集处理，统一排放</w:t>
            </w:r>
            <w:r>
              <w:rPr>
                <w:rFonts w:hint="eastAsia"/>
                <w:color w:val="auto"/>
                <w:sz w:val="24"/>
                <w:szCs w:val="24"/>
              </w:rPr>
              <w:t>”</w:t>
            </w:r>
            <w:r>
              <w:rPr>
                <w:color w:val="auto"/>
                <w:sz w:val="24"/>
                <w:szCs w:val="24"/>
              </w:rPr>
              <w:t>的原则布置排气筒。排气布置时综合考虑了废气合并处理的适宜性、风量大小、排气筒检修对生产装置带来的影响大小等因素。</w:t>
            </w:r>
          </w:p>
          <w:p>
            <w:pPr>
              <w:spacing w:line="360" w:lineRule="auto"/>
              <w:ind w:firstLine="480" w:firstLineChars="200"/>
              <w:rPr>
                <w:color w:val="auto"/>
                <w:sz w:val="24"/>
                <w:szCs w:val="24"/>
              </w:rPr>
            </w:pPr>
            <w:r>
              <w:rPr>
                <w:b/>
                <w:bCs/>
                <w:color w:val="auto"/>
                <w:sz w:val="24"/>
                <w:szCs w:val="24"/>
              </w:rPr>
              <w:t>风量合理性分析</w:t>
            </w:r>
            <w:r>
              <w:rPr>
                <w:rFonts w:hint="eastAsia"/>
                <w:b/>
                <w:bCs/>
                <w:color w:val="auto"/>
                <w:sz w:val="24"/>
                <w:szCs w:val="24"/>
              </w:rPr>
              <w:t>：</w:t>
            </w:r>
            <w:r>
              <w:rPr>
                <w:color w:val="auto"/>
                <w:sz w:val="24"/>
                <w:szCs w:val="24"/>
              </w:rPr>
              <w:t>经计算，本项目排气筒排放速度</w:t>
            </w:r>
            <w:r>
              <w:rPr>
                <w:rFonts w:hint="eastAsia"/>
                <w:color w:val="auto"/>
                <w:sz w:val="24"/>
                <w:szCs w:val="24"/>
                <w:lang w:val="en-US" w:eastAsia="zh-CN"/>
              </w:rPr>
              <w:t>分别为11.05</w:t>
            </w:r>
            <w:r>
              <w:rPr>
                <w:color w:val="auto"/>
                <w:sz w:val="24"/>
                <w:szCs w:val="24"/>
              </w:rPr>
              <w:t>m/s</w:t>
            </w:r>
            <w:r>
              <w:rPr>
                <w:rFonts w:hint="eastAsia"/>
                <w:color w:val="auto"/>
                <w:sz w:val="24"/>
                <w:szCs w:val="24"/>
                <w:lang w:eastAsia="zh-CN"/>
              </w:rPr>
              <w:t>、</w:t>
            </w:r>
            <w:r>
              <w:rPr>
                <w:rFonts w:hint="eastAsia"/>
                <w:color w:val="auto"/>
                <w:sz w:val="24"/>
                <w:szCs w:val="24"/>
                <w:lang w:val="en-US" w:eastAsia="zh-CN"/>
              </w:rPr>
              <w:t>14.1</w:t>
            </w:r>
            <w:r>
              <w:rPr>
                <w:color w:val="auto"/>
                <w:sz w:val="24"/>
                <w:szCs w:val="24"/>
              </w:rPr>
              <w:t>m/s</w:t>
            </w:r>
            <w:r>
              <w:rPr>
                <w:rFonts w:hint="eastAsia"/>
                <w:color w:val="auto"/>
                <w:sz w:val="24"/>
                <w:szCs w:val="24"/>
                <w:lang w:val="en-US" w:eastAsia="zh-CN"/>
              </w:rPr>
              <w:t>5和17.68</w:t>
            </w:r>
            <w:r>
              <w:rPr>
                <w:color w:val="auto"/>
                <w:sz w:val="24"/>
                <w:szCs w:val="24"/>
              </w:rPr>
              <w:t>m/s</w:t>
            </w:r>
            <w:r>
              <w:rPr>
                <w:rFonts w:hint="eastAsia"/>
                <w:color w:val="auto"/>
                <w:sz w:val="24"/>
                <w:szCs w:val="24"/>
                <w:lang w:eastAsia="zh-CN"/>
              </w:rPr>
              <w:t>，</w:t>
            </w:r>
            <w:r>
              <w:rPr>
                <w:color w:val="auto"/>
                <w:sz w:val="24"/>
                <w:szCs w:val="24"/>
              </w:rPr>
              <w:t>在15m/s左右，满足《大气污染治理工程技术导则》（HJ2000-2010）第5.3.5节</w:t>
            </w:r>
            <w:r>
              <w:rPr>
                <w:rFonts w:hint="eastAsia"/>
                <w:color w:val="auto"/>
                <w:sz w:val="24"/>
                <w:szCs w:val="24"/>
              </w:rPr>
              <w:t>“</w:t>
            </w:r>
            <w:r>
              <w:rPr>
                <w:color w:val="auto"/>
                <w:sz w:val="24"/>
                <w:szCs w:val="24"/>
              </w:rPr>
              <w:t>排气筒的出口直径应根据出口流速确定，流速宜取15m/s左右</w:t>
            </w:r>
            <w:r>
              <w:rPr>
                <w:rFonts w:hint="eastAsia"/>
                <w:color w:val="auto"/>
                <w:sz w:val="24"/>
                <w:szCs w:val="24"/>
              </w:rPr>
              <w:t>”</w:t>
            </w:r>
            <w:r>
              <w:rPr>
                <w:color w:val="auto"/>
                <w:sz w:val="24"/>
                <w:szCs w:val="24"/>
              </w:rPr>
              <w:t>的通用技术要求。</w:t>
            </w:r>
          </w:p>
          <w:p>
            <w:pPr>
              <w:spacing w:line="360" w:lineRule="auto"/>
              <w:ind w:firstLine="480" w:firstLineChars="200"/>
              <w:rPr>
                <w:color w:val="auto"/>
                <w:sz w:val="24"/>
                <w:szCs w:val="24"/>
              </w:rPr>
            </w:pPr>
            <w:r>
              <w:rPr>
                <w:b/>
                <w:bCs/>
                <w:color w:val="auto"/>
                <w:sz w:val="24"/>
                <w:szCs w:val="24"/>
              </w:rPr>
              <w:t>位置合理性分析</w:t>
            </w:r>
            <w:r>
              <w:rPr>
                <w:rFonts w:hint="eastAsia"/>
                <w:color w:val="auto"/>
                <w:sz w:val="24"/>
                <w:szCs w:val="24"/>
              </w:rPr>
              <w:t>：</w:t>
            </w:r>
            <w:r>
              <w:rPr>
                <w:color w:val="auto"/>
                <w:sz w:val="24"/>
                <w:szCs w:val="24"/>
              </w:rPr>
              <w:t>建设项目排气筒位于紧邻生产车间的外围或者废气产生装置的周边，有效减少了管道长度。</w:t>
            </w:r>
          </w:p>
          <w:p>
            <w:pPr>
              <w:spacing w:line="360" w:lineRule="auto"/>
              <w:ind w:firstLine="480" w:firstLineChars="200"/>
              <w:rPr>
                <w:color w:val="auto"/>
              </w:rPr>
            </w:pPr>
            <w:r>
              <w:rPr>
                <w:color w:val="auto"/>
                <w:sz w:val="24"/>
                <w:szCs w:val="24"/>
              </w:rPr>
              <w:t>综上所述，建设项目排气筒位置设置是合理的。</w:t>
            </w:r>
          </w:p>
          <w:p>
            <w:pPr>
              <w:autoSpaceDE w:val="0"/>
              <w:autoSpaceDN w:val="0"/>
              <w:adjustRightInd w:val="0"/>
              <w:spacing w:line="360" w:lineRule="auto"/>
              <w:ind w:firstLine="480" w:firstLineChars="200"/>
              <w:rPr>
                <w:b/>
                <w:color w:val="auto"/>
                <w:sz w:val="24"/>
                <w:szCs w:val="21"/>
              </w:rPr>
            </w:pPr>
            <w:r>
              <w:rPr>
                <w:rFonts w:hint="eastAsia"/>
                <w:b/>
                <w:color w:val="auto"/>
                <w:sz w:val="24"/>
                <w:szCs w:val="21"/>
              </w:rPr>
              <w:t>（2）无组织废气</w:t>
            </w:r>
          </w:p>
          <w:p>
            <w:pPr>
              <w:autoSpaceDE w:val="0"/>
              <w:autoSpaceDN w:val="0"/>
              <w:adjustRightInd w:val="0"/>
              <w:spacing w:line="360" w:lineRule="auto"/>
              <w:ind w:firstLine="480" w:firstLineChars="200"/>
              <w:rPr>
                <w:bCs/>
                <w:color w:val="auto"/>
                <w:sz w:val="24"/>
                <w:szCs w:val="24"/>
              </w:rPr>
            </w:pPr>
            <w:r>
              <w:rPr>
                <w:rFonts w:hint="eastAsia"/>
                <w:bCs/>
                <w:color w:val="auto"/>
                <w:sz w:val="24"/>
                <w:szCs w:val="24"/>
              </w:rPr>
              <w:t>本项目无组织废气主要为未捕集废气(</w:t>
            </w:r>
            <w:r>
              <w:rPr>
                <w:rFonts w:hint="eastAsia"/>
                <w:color w:val="auto"/>
                <w:sz w:val="24"/>
                <w:szCs w:val="24"/>
                <w:lang w:val="en-US" w:eastAsia="zh-CN"/>
              </w:rPr>
              <w:t>喷砂、抛丸工序产生的颗粒物，喷塑、固化工序产生的颗粒物和非甲烷总烃，喷锌工序产生的颗粒物，以及喷漆工序产生的漆雾颗粒和VOCs</w:t>
            </w:r>
            <w:r>
              <w:rPr>
                <w:rFonts w:hint="eastAsia"/>
                <w:bCs/>
                <w:color w:val="auto"/>
                <w:sz w:val="24"/>
                <w:szCs w:val="24"/>
              </w:rPr>
              <w:t>），无组织控制措施为：①规范合理设计集气罩及风管，提高各集气罩、风管对废气的捕集效率；②加强生产管理，规范操作，使设备设施处于正常工作状态，减少生产、控制、输送等过程中的废气散发；③</w:t>
            </w:r>
            <w:r>
              <w:rPr>
                <w:rFonts w:hint="eastAsia"/>
                <w:bCs/>
                <w:color w:val="auto"/>
                <w:sz w:val="24"/>
                <w:szCs w:val="24"/>
                <w:lang w:eastAsia="zh-CN"/>
              </w:rPr>
              <w:t>增加车间通风频次，</w:t>
            </w:r>
            <w:r>
              <w:rPr>
                <w:rFonts w:hint="eastAsia"/>
                <w:bCs/>
                <w:color w:val="auto"/>
                <w:sz w:val="24"/>
                <w:szCs w:val="24"/>
              </w:rPr>
              <w:t>确保未捕集的少量废气厂界无组织达标排放。</w:t>
            </w:r>
          </w:p>
          <w:p>
            <w:pPr>
              <w:autoSpaceDE w:val="0"/>
              <w:autoSpaceDN w:val="0"/>
              <w:adjustRightInd w:val="0"/>
              <w:spacing w:line="360" w:lineRule="auto"/>
              <w:ind w:firstLine="480" w:firstLineChars="200"/>
              <w:rPr>
                <w:b/>
                <w:color w:val="auto"/>
                <w:sz w:val="24"/>
                <w:szCs w:val="24"/>
              </w:rPr>
            </w:pPr>
            <w:r>
              <w:rPr>
                <w:b/>
                <w:color w:val="auto"/>
                <w:sz w:val="24"/>
                <w:szCs w:val="24"/>
              </w:rPr>
              <w:t>3、固废防治措施</w:t>
            </w:r>
          </w:p>
          <w:p>
            <w:pPr>
              <w:autoSpaceDE w:val="0"/>
              <w:autoSpaceDN w:val="0"/>
              <w:adjustRightInd w:val="0"/>
              <w:spacing w:line="360" w:lineRule="auto"/>
              <w:ind w:firstLine="480" w:firstLineChars="200"/>
              <w:rPr>
                <w:color w:val="auto"/>
                <w:sz w:val="24"/>
                <w:szCs w:val="24"/>
              </w:rPr>
            </w:pPr>
            <w:r>
              <w:rPr>
                <w:color w:val="auto"/>
                <w:sz w:val="24"/>
                <w:szCs w:val="24"/>
              </w:rPr>
              <w:t>（1）危险固体废物</w:t>
            </w:r>
          </w:p>
          <w:p>
            <w:pPr>
              <w:autoSpaceDE w:val="0"/>
              <w:autoSpaceDN w:val="0"/>
              <w:adjustRightInd w:val="0"/>
              <w:spacing w:line="360" w:lineRule="auto"/>
              <w:ind w:firstLine="480" w:firstLineChars="200"/>
              <w:rPr>
                <w:color w:val="auto"/>
                <w:sz w:val="24"/>
                <w:szCs w:val="24"/>
              </w:rPr>
            </w:pPr>
            <w:r>
              <w:rPr>
                <w:color w:val="auto"/>
                <w:sz w:val="24"/>
                <w:szCs w:val="24"/>
              </w:rPr>
              <w:t>1）危险废物处置方式</w:t>
            </w:r>
          </w:p>
          <w:p>
            <w:pPr>
              <w:autoSpaceDE w:val="0"/>
              <w:autoSpaceDN w:val="0"/>
              <w:adjustRightInd w:val="0"/>
              <w:spacing w:line="360" w:lineRule="auto"/>
              <w:ind w:firstLine="480" w:firstLineChars="200"/>
              <w:rPr>
                <w:color w:val="auto"/>
                <w:sz w:val="24"/>
                <w:szCs w:val="24"/>
              </w:rPr>
            </w:pPr>
            <w:r>
              <w:rPr>
                <w:rFonts w:hint="eastAsia"/>
                <w:color w:val="auto"/>
                <w:sz w:val="24"/>
                <w:szCs w:val="24"/>
              </w:rPr>
              <w:t>本项目产生的危险固废为</w:t>
            </w:r>
            <w:r>
              <w:rPr>
                <w:rFonts w:hint="eastAsia"/>
                <w:color w:val="auto"/>
                <w:sz w:val="24"/>
                <w:szCs w:val="24"/>
                <w:lang w:val="en-US" w:eastAsia="zh-CN"/>
              </w:rPr>
              <w:t>废切削液、废润滑油、漆渣、含漆废物、含漆废液、废过滤棉、废活性炭、废包装桶、废劳保用品</w:t>
            </w:r>
            <w:r>
              <w:rPr>
                <w:rFonts w:hint="eastAsia"/>
                <w:color w:val="auto"/>
                <w:sz w:val="24"/>
                <w:szCs w:val="24"/>
              </w:rPr>
              <w:t>，</w:t>
            </w:r>
            <w:r>
              <w:rPr>
                <w:rFonts w:hint="eastAsia"/>
                <w:color w:val="auto"/>
                <w:sz w:val="24"/>
                <w:szCs w:val="24"/>
                <w:lang w:val="en-US" w:eastAsia="zh-CN"/>
              </w:rPr>
              <w:t>其中混入生活垃圾的废劳保用品全程豁免管理，其他危险废物</w:t>
            </w:r>
            <w:r>
              <w:rPr>
                <w:rFonts w:hint="eastAsia"/>
                <w:color w:val="auto"/>
                <w:sz w:val="24"/>
                <w:szCs w:val="24"/>
              </w:rPr>
              <w:t>经分类收集后委托有资质单位处置。</w:t>
            </w:r>
          </w:p>
          <w:p>
            <w:pPr>
              <w:autoSpaceDE w:val="0"/>
              <w:autoSpaceDN w:val="0"/>
              <w:adjustRightInd w:val="0"/>
              <w:spacing w:line="360" w:lineRule="auto"/>
              <w:ind w:firstLine="480" w:firstLineChars="200"/>
              <w:rPr>
                <w:color w:val="auto"/>
                <w:sz w:val="24"/>
                <w:szCs w:val="24"/>
              </w:rPr>
            </w:pPr>
            <w:r>
              <w:rPr>
                <w:rFonts w:hint="eastAsia"/>
                <w:color w:val="auto"/>
                <w:sz w:val="24"/>
                <w:szCs w:val="24"/>
              </w:rPr>
              <w:t>2</w:t>
            </w:r>
            <w:r>
              <w:rPr>
                <w:color w:val="auto"/>
                <w:sz w:val="24"/>
                <w:szCs w:val="24"/>
              </w:rPr>
              <w:t>）贮存场所（设施）污染防治措施</w:t>
            </w:r>
          </w:p>
          <w:p>
            <w:pPr>
              <w:autoSpaceDE w:val="0"/>
              <w:autoSpaceDN w:val="0"/>
              <w:adjustRightInd w:val="0"/>
              <w:spacing w:line="360" w:lineRule="auto"/>
              <w:ind w:firstLine="480" w:firstLineChars="200"/>
              <w:rPr>
                <w:color w:val="auto"/>
                <w:sz w:val="24"/>
              </w:rPr>
            </w:pPr>
            <w:r>
              <w:rPr>
                <w:color w:val="auto"/>
                <w:sz w:val="24"/>
                <w:szCs w:val="24"/>
              </w:rPr>
              <w:t>厂区应设置1个</w:t>
            </w:r>
            <w:r>
              <w:rPr>
                <w:rFonts w:hint="eastAsia"/>
                <w:color w:val="auto"/>
                <w:sz w:val="24"/>
                <w:szCs w:val="24"/>
              </w:rPr>
              <w:t>危废仓库</w:t>
            </w:r>
            <w:r>
              <w:rPr>
                <w:color w:val="auto"/>
                <w:sz w:val="24"/>
                <w:szCs w:val="24"/>
              </w:rPr>
              <w:t>对危险固废进行安全暂存，</w:t>
            </w:r>
            <w:r>
              <w:rPr>
                <w:color w:val="auto"/>
                <w:sz w:val="24"/>
              </w:rPr>
              <w:t>建筑面积约为</w:t>
            </w:r>
            <w:r>
              <w:rPr>
                <w:rFonts w:hint="eastAsia"/>
                <w:color w:val="auto"/>
                <w:sz w:val="24"/>
              </w:rPr>
              <w:t>15</w:t>
            </w:r>
            <w:r>
              <w:rPr>
                <w:color w:val="auto"/>
                <w:sz w:val="24"/>
              </w:rPr>
              <w:t>m</w:t>
            </w:r>
            <w:r>
              <w:rPr>
                <w:color w:val="auto"/>
                <w:sz w:val="24"/>
                <w:vertAlign w:val="superscript"/>
              </w:rPr>
              <w:t>2</w:t>
            </w:r>
            <w:r>
              <w:rPr>
                <w:color w:val="auto"/>
                <w:sz w:val="24"/>
              </w:rPr>
              <w:t>。危险废物贮存场所基本情况详见下表。</w:t>
            </w:r>
          </w:p>
          <w:p>
            <w:pPr>
              <w:ind w:firstLine="482"/>
              <w:jc w:val="center"/>
              <w:rPr>
                <w:b/>
                <w:color w:val="auto"/>
                <w:szCs w:val="21"/>
              </w:rPr>
            </w:pPr>
            <w:r>
              <w:rPr>
                <w:b/>
                <w:color w:val="auto"/>
                <w:szCs w:val="21"/>
              </w:rPr>
              <w:t>表5-</w:t>
            </w:r>
            <w:r>
              <w:rPr>
                <w:rFonts w:hint="eastAsia"/>
                <w:b/>
                <w:color w:val="auto"/>
                <w:szCs w:val="21"/>
                <w:lang w:val="en-US" w:eastAsia="zh-CN"/>
              </w:rPr>
              <w:t>23</w:t>
            </w:r>
            <w:r>
              <w:rPr>
                <w:b/>
                <w:color w:val="auto"/>
                <w:szCs w:val="21"/>
              </w:rPr>
              <w:t xml:space="preserve"> 危险废物贮存场所基本情况表</w:t>
            </w:r>
          </w:p>
          <w:tbl>
            <w:tblPr>
              <w:tblStyle w:val="56"/>
              <w:tblW w:w="0" w:type="auto"/>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427"/>
              <w:gridCol w:w="929"/>
              <w:gridCol w:w="775"/>
              <w:gridCol w:w="999"/>
              <w:gridCol w:w="1275"/>
              <w:gridCol w:w="968"/>
              <w:gridCol w:w="689"/>
              <w:gridCol w:w="793"/>
              <w:gridCol w:w="709"/>
              <w:gridCol w:w="748"/>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427" w:type="dxa"/>
                  <w:vAlign w:val="center"/>
                </w:tcPr>
                <w:p>
                  <w:pPr>
                    <w:pStyle w:val="123"/>
                    <w:rPr>
                      <w:b/>
                      <w:color w:val="auto"/>
                    </w:rPr>
                  </w:pPr>
                  <w:r>
                    <w:rPr>
                      <w:b/>
                      <w:color w:val="auto"/>
                    </w:rPr>
                    <w:t>序号</w:t>
                  </w:r>
                </w:p>
              </w:tc>
              <w:tc>
                <w:tcPr>
                  <w:tcW w:w="929" w:type="dxa"/>
                  <w:vAlign w:val="center"/>
                </w:tcPr>
                <w:p>
                  <w:pPr>
                    <w:pStyle w:val="123"/>
                    <w:rPr>
                      <w:b/>
                      <w:color w:val="auto"/>
                    </w:rPr>
                  </w:pPr>
                  <w:r>
                    <w:rPr>
                      <w:b/>
                      <w:color w:val="auto"/>
                    </w:rPr>
                    <w:t>固体废物名称</w:t>
                  </w:r>
                </w:p>
              </w:tc>
              <w:tc>
                <w:tcPr>
                  <w:tcW w:w="775" w:type="dxa"/>
                  <w:vAlign w:val="center"/>
                </w:tcPr>
                <w:p>
                  <w:pPr>
                    <w:pStyle w:val="123"/>
                    <w:rPr>
                      <w:b/>
                      <w:color w:val="auto"/>
                    </w:rPr>
                  </w:pPr>
                  <w:r>
                    <w:rPr>
                      <w:b/>
                      <w:color w:val="auto"/>
                    </w:rPr>
                    <w:t>贮存场所</w:t>
                  </w:r>
                </w:p>
              </w:tc>
              <w:tc>
                <w:tcPr>
                  <w:tcW w:w="999" w:type="dxa"/>
                  <w:vAlign w:val="center"/>
                </w:tcPr>
                <w:p>
                  <w:pPr>
                    <w:pStyle w:val="123"/>
                    <w:rPr>
                      <w:b/>
                      <w:color w:val="auto"/>
                    </w:rPr>
                  </w:pPr>
                  <w:r>
                    <w:rPr>
                      <w:b/>
                      <w:color w:val="auto"/>
                    </w:rPr>
                    <w:t>危废类别</w:t>
                  </w:r>
                </w:p>
              </w:tc>
              <w:tc>
                <w:tcPr>
                  <w:tcW w:w="1275" w:type="dxa"/>
                  <w:vAlign w:val="center"/>
                </w:tcPr>
                <w:p>
                  <w:pPr>
                    <w:pStyle w:val="123"/>
                    <w:rPr>
                      <w:b/>
                      <w:color w:val="auto"/>
                    </w:rPr>
                  </w:pPr>
                  <w:r>
                    <w:rPr>
                      <w:b/>
                      <w:color w:val="auto"/>
                    </w:rPr>
                    <w:t>废物代码</w:t>
                  </w:r>
                </w:p>
              </w:tc>
              <w:tc>
                <w:tcPr>
                  <w:tcW w:w="968" w:type="dxa"/>
                  <w:vAlign w:val="center"/>
                </w:tcPr>
                <w:p>
                  <w:pPr>
                    <w:pStyle w:val="123"/>
                    <w:rPr>
                      <w:b/>
                      <w:color w:val="auto"/>
                    </w:rPr>
                  </w:pPr>
                  <w:r>
                    <w:rPr>
                      <w:b/>
                      <w:color w:val="auto"/>
                    </w:rPr>
                    <w:t>产生量（t/a）</w:t>
                  </w:r>
                </w:p>
              </w:tc>
              <w:tc>
                <w:tcPr>
                  <w:tcW w:w="689" w:type="dxa"/>
                  <w:vAlign w:val="center"/>
                </w:tcPr>
                <w:p>
                  <w:pPr>
                    <w:pStyle w:val="123"/>
                    <w:rPr>
                      <w:b/>
                      <w:color w:val="auto"/>
                    </w:rPr>
                  </w:pPr>
                  <w:r>
                    <w:rPr>
                      <w:b/>
                      <w:color w:val="auto"/>
                    </w:rPr>
                    <w:t>占地面积</w:t>
                  </w:r>
                  <w:r>
                    <w:rPr>
                      <w:rFonts w:hint="eastAsia"/>
                      <w:b/>
                      <w:color w:val="auto"/>
                    </w:rPr>
                    <w:t>m</w:t>
                  </w:r>
                  <w:r>
                    <w:rPr>
                      <w:rFonts w:hint="eastAsia"/>
                      <w:b/>
                      <w:color w:val="auto"/>
                      <w:vertAlign w:val="superscript"/>
                    </w:rPr>
                    <w:t>2</w:t>
                  </w:r>
                </w:p>
              </w:tc>
              <w:tc>
                <w:tcPr>
                  <w:tcW w:w="793" w:type="dxa"/>
                  <w:vAlign w:val="center"/>
                </w:tcPr>
                <w:p>
                  <w:pPr>
                    <w:pStyle w:val="123"/>
                    <w:rPr>
                      <w:b/>
                      <w:color w:val="auto"/>
                    </w:rPr>
                  </w:pPr>
                  <w:r>
                    <w:rPr>
                      <w:b/>
                      <w:color w:val="auto"/>
                    </w:rPr>
                    <w:t>贮存方式</w:t>
                  </w:r>
                </w:p>
              </w:tc>
              <w:tc>
                <w:tcPr>
                  <w:tcW w:w="709" w:type="dxa"/>
                  <w:vAlign w:val="center"/>
                </w:tcPr>
                <w:p>
                  <w:pPr>
                    <w:pStyle w:val="123"/>
                    <w:rPr>
                      <w:b/>
                      <w:color w:val="auto"/>
                    </w:rPr>
                  </w:pPr>
                  <w:r>
                    <w:rPr>
                      <w:b/>
                      <w:color w:val="auto"/>
                    </w:rPr>
                    <w:t>贮存能力</w:t>
                  </w:r>
                  <w:r>
                    <w:rPr>
                      <w:rFonts w:hint="eastAsia"/>
                      <w:color w:val="auto"/>
                    </w:rPr>
                    <w:t>t</w:t>
                  </w:r>
                </w:p>
              </w:tc>
              <w:tc>
                <w:tcPr>
                  <w:tcW w:w="748" w:type="dxa"/>
                  <w:vAlign w:val="center"/>
                </w:tcPr>
                <w:p>
                  <w:pPr>
                    <w:pStyle w:val="123"/>
                    <w:rPr>
                      <w:b/>
                      <w:color w:val="auto"/>
                    </w:rPr>
                  </w:pPr>
                  <w:r>
                    <w:rPr>
                      <w:b/>
                      <w:color w:val="auto"/>
                    </w:rPr>
                    <w:t>贮存周期</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color w:val="auto"/>
                    </w:rPr>
                  </w:pPr>
                  <w:r>
                    <w:rPr>
                      <w:rFonts w:hint="eastAsia"/>
                      <w:color w:val="auto"/>
                    </w:rPr>
                    <w:t>1</w:t>
                  </w:r>
                </w:p>
              </w:tc>
              <w:tc>
                <w:tcPr>
                  <w:tcW w:w="929" w:type="dxa"/>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废切削液</w:t>
                  </w:r>
                </w:p>
              </w:tc>
              <w:tc>
                <w:tcPr>
                  <w:tcW w:w="775" w:type="dxa"/>
                  <w:vMerge w:val="restart"/>
                  <w:vAlign w:val="center"/>
                </w:tcPr>
                <w:p>
                  <w:pPr>
                    <w:pStyle w:val="123"/>
                    <w:rPr>
                      <w:color w:val="auto"/>
                    </w:rPr>
                  </w:pPr>
                  <w:r>
                    <w:rPr>
                      <w:rFonts w:hint="eastAsia"/>
                      <w:color w:val="auto"/>
                    </w:rPr>
                    <w:t>危废仓库</w:t>
                  </w:r>
                  <w:r>
                    <w:rPr>
                      <w:rFonts w:hint="eastAsia"/>
                      <w:color w:val="auto"/>
                      <w:lang w:val="en-US" w:eastAsia="zh-CN"/>
                    </w:rPr>
                    <w:t>20</w:t>
                  </w:r>
                  <w:r>
                    <w:rPr>
                      <w:color w:val="auto"/>
                    </w:rPr>
                    <w:t>m</w:t>
                  </w:r>
                  <w:r>
                    <w:rPr>
                      <w:color w:val="auto"/>
                      <w:vertAlign w:val="superscript"/>
                    </w:rPr>
                    <w:t>2</w:t>
                  </w:r>
                </w:p>
              </w:tc>
              <w:tc>
                <w:tcPr>
                  <w:tcW w:w="999" w:type="dxa"/>
                  <w:vAlign w:val="center"/>
                </w:tcPr>
                <w:p>
                  <w:pPr>
                    <w:widowControl/>
                    <w:adjustRightInd w:val="0"/>
                    <w:snapToGrid w:val="0"/>
                    <w:ind w:left="-105" w:leftChars="-50" w:right="-105" w:rightChars="-50"/>
                    <w:jc w:val="center"/>
                    <w:rPr>
                      <w:rFonts w:hint="eastAsia"/>
                      <w:color w:val="auto"/>
                      <w:lang w:val="en-US" w:eastAsia="zh-CN"/>
                    </w:rPr>
                  </w:pPr>
                  <w:r>
                    <w:rPr>
                      <w:color w:val="auto"/>
                      <w:kern w:val="18"/>
                      <w:szCs w:val="21"/>
                    </w:rPr>
                    <w:t>HW09</w:t>
                  </w:r>
                </w:p>
              </w:tc>
              <w:tc>
                <w:tcPr>
                  <w:tcW w:w="1275" w:type="dxa"/>
                  <w:vAlign w:val="center"/>
                </w:tcPr>
                <w:p>
                  <w:pPr>
                    <w:widowControl/>
                    <w:adjustRightInd w:val="0"/>
                    <w:snapToGrid w:val="0"/>
                    <w:ind w:left="-105" w:leftChars="-50" w:right="-105" w:rightChars="-50"/>
                    <w:jc w:val="center"/>
                    <w:rPr>
                      <w:rFonts w:hint="eastAsia"/>
                      <w:color w:val="auto"/>
                      <w:lang w:val="en-US" w:eastAsia="zh-CN"/>
                    </w:rPr>
                  </w:pPr>
                  <w:r>
                    <w:rPr>
                      <w:color w:val="auto"/>
                      <w:kern w:val="18"/>
                      <w:szCs w:val="21"/>
                    </w:rPr>
                    <w:t>900-006-09</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4.8</w:t>
                  </w:r>
                </w:p>
              </w:tc>
              <w:tc>
                <w:tcPr>
                  <w:tcW w:w="689" w:type="dxa"/>
                  <w:vAlign w:val="center"/>
                </w:tcPr>
                <w:p>
                  <w:pPr>
                    <w:pStyle w:val="123"/>
                    <w:rPr>
                      <w:rFonts w:hint="default" w:eastAsia="宋体"/>
                      <w:color w:val="auto"/>
                      <w:lang w:val="en-US" w:eastAsia="zh-CN"/>
                    </w:rPr>
                  </w:pPr>
                  <w:r>
                    <w:rPr>
                      <w:rFonts w:hint="eastAsia"/>
                      <w:color w:val="auto"/>
                      <w:lang w:val="en-US" w:eastAsia="zh-CN"/>
                    </w:rPr>
                    <w:t>2</w:t>
                  </w:r>
                </w:p>
              </w:tc>
              <w:tc>
                <w:tcPr>
                  <w:tcW w:w="793" w:type="dxa"/>
                  <w:vAlign w:val="center"/>
                </w:tcPr>
                <w:p>
                  <w:pPr>
                    <w:pStyle w:val="123"/>
                    <w:rPr>
                      <w:color w:val="auto"/>
                    </w:rPr>
                  </w:pPr>
                  <w:r>
                    <w:rPr>
                      <w:rFonts w:hint="eastAsia"/>
                      <w:color w:val="auto"/>
                    </w:rPr>
                    <w:t>桶装</w:t>
                  </w:r>
                </w:p>
              </w:tc>
              <w:tc>
                <w:tcPr>
                  <w:tcW w:w="709" w:type="dxa"/>
                  <w:vAlign w:val="center"/>
                </w:tcPr>
                <w:p>
                  <w:pPr>
                    <w:pStyle w:val="123"/>
                    <w:rPr>
                      <w:rFonts w:hint="default" w:eastAsia="宋体"/>
                      <w:color w:val="auto"/>
                      <w:lang w:val="en-US" w:eastAsia="zh-CN"/>
                    </w:rPr>
                  </w:pPr>
                  <w:r>
                    <w:rPr>
                      <w:rFonts w:hint="eastAsia"/>
                      <w:color w:val="auto"/>
                      <w:lang w:val="en-US" w:eastAsia="zh-CN"/>
                    </w:rPr>
                    <w:t>0.8</w:t>
                  </w:r>
                </w:p>
              </w:tc>
              <w:tc>
                <w:tcPr>
                  <w:tcW w:w="748" w:type="dxa"/>
                  <w:vAlign w:val="center"/>
                </w:tcPr>
                <w:p>
                  <w:pPr>
                    <w:pStyle w:val="123"/>
                    <w:rPr>
                      <w:color w:val="auto"/>
                    </w:rPr>
                  </w:pPr>
                  <w:r>
                    <w:rPr>
                      <w:rFonts w:hint="eastAsia"/>
                      <w:color w:val="auto"/>
                      <w:lang w:val="en-US" w:eastAsia="zh-CN"/>
                    </w:rPr>
                    <w:t>2</w:t>
                  </w:r>
                  <w:r>
                    <w:rPr>
                      <w:rFonts w:hint="eastAsia"/>
                      <w:color w:val="auto"/>
                    </w:rPr>
                    <w:t>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color w:val="auto"/>
                    </w:rPr>
                  </w:pPr>
                  <w:r>
                    <w:rPr>
                      <w:rFonts w:hint="eastAsia"/>
                      <w:color w:val="auto"/>
                    </w:rPr>
                    <w:t>2</w:t>
                  </w:r>
                </w:p>
              </w:tc>
              <w:tc>
                <w:tcPr>
                  <w:tcW w:w="929" w:type="dxa"/>
                  <w:vAlign w:val="center"/>
                </w:tcPr>
                <w:p>
                  <w:pPr>
                    <w:pStyle w:val="123"/>
                    <w:rPr>
                      <w:rFonts w:hint="eastAsia" w:ascii="Times New Roman" w:hAnsi="Times New Roman" w:eastAsia="宋体" w:cs="Times New Roman"/>
                      <w:color w:val="auto"/>
                      <w:kern w:val="18"/>
                      <w:sz w:val="21"/>
                      <w:szCs w:val="21"/>
                      <w:lang w:val="en-US" w:eastAsia="zh-CN" w:bidi="ar-SA"/>
                    </w:rPr>
                  </w:pPr>
                  <w:r>
                    <w:rPr>
                      <w:rFonts w:hint="eastAsia"/>
                      <w:color w:val="auto"/>
                    </w:rPr>
                    <w:t>废润滑油</w:t>
                  </w:r>
                </w:p>
              </w:tc>
              <w:tc>
                <w:tcPr>
                  <w:tcW w:w="775" w:type="dxa"/>
                  <w:vMerge w:val="continue"/>
                  <w:vAlign w:val="center"/>
                </w:tcPr>
                <w:p>
                  <w:pPr>
                    <w:pStyle w:val="123"/>
                    <w:rPr>
                      <w:color w:val="auto"/>
                    </w:rPr>
                  </w:pPr>
                </w:p>
              </w:tc>
              <w:tc>
                <w:tcPr>
                  <w:tcW w:w="999" w:type="dxa"/>
                  <w:vAlign w:val="center"/>
                </w:tcPr>
                <w:p>
                  <w:pPr>
                    <w:widowControl/>
                    <w:adjustRightInd w:val="0"/>
                    <w:snapToGrid w:val="0"/>
                    <w:ind w:left="-105" w:leftChars="-50" w:right="-105" w:rightChars="-50"/>
                    <w:jc w:val="center"/>
                    <w:rPr>
                      <w:rFonts w:hint="eastAsia"/>
                      <w:color w:val="auto"/>
                      <w:lang w:val="en-US" w:eastAsia="zh-CN"/>
                    </w:rPr>
                  </w:pPr>
                  <w:r>
                    <w:rPr>
                      <w:color w:val="auto"/>
                      <w:kern w:val="18"/>
                      <w:szCs w:val="21"/>
                    </w:rPr>
                    <w:t>HW08</w:t>
                  </w:r>
                </w:p>
              </w:tc>
              <w:tc>
                <w:tcPr>
                  <w:tcW w:w="1275" w:type="dxa"/>
                  <w:vAlign w:val="center"/>
                </w:tcPr>
                <w:p>
                  <w:pPr>
                    <w:widowControl/>
                    <w:adjustRightInd w:val="0"/>
                    <w:snapToGrid w:val="0"/>
                    <w:ind w:left="-105" w:leftChars="-50" w:right="-105" w:rightChars="-50"/>
                    <w:jc w:val="center"/>
                    <w:rPr>
                      <w:rFonts w:hint="eastAsia"/>
                      <w:color w:val="auto"/>
                      <w:lang w:val="en-US" w:eastAsia="zh-CN"/>
                    </w:rPr>
                  </w:pPr>
                  <w:r>
                    <w:rPr>
                      <w:color w:val="auto"/>
                      <w:kern w:val="18"/>
                      <w:szCs w:val="21"/>
                    </w:rPr>
                    <w:t>900-2</w:t>
                  </w:r>
                  <w:r>
                    <w:rPr>
                      <w:rFonts w:hint="eastAsia"/>
                      <w:color w:val="auto"/>
                      <w:kern w:val="18"/>
                      <w:szCs w:val="21"/>
                      <w:lang w:val="en-US" w:eastAsia="zh-CN"/>
                    </w:rPr>
                    <w:t>09</w:t>
                  </w:r>
                  <w:r>
                    <w:rPr>
                      <w:color w:val="auto"/>
                      <w:kern w:val="18"/>
                      <w:szCs w:val="21"/>
                    </w:rPr>
                    <w:t>-08</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0.25</w:t>
                  </w:r>
                </w:p>
              </w:tc>
              <w:tc>
                <w:tcPr>
                  <w:tcW w:w="689" w:type="dxa"/>
                  <w:vAlign w:val="center"/>
                </w:tcPr>
                <w:p>
                  <w:pPr>
                    <w:pStyle w:val="123"/>
                    <w:rPr>
                      <w:rFonts w:hint="default" w:eastAsia="宋体"/>
                      <w:color w:val="auto"/>
                      <w:lang w:val="en-US" w:eastAsia="zh-CN"/>
                    </w:rPr>
                  </w:pPr>
                  <w:r>
                    <w:rPr>
                      <w:rFonts w:hint="eastAsia"/>
                      <w:color w:val="auto"/>
                      <w:lang w:val="en-US" w:eastAsia="zh-CN"/>
                    </w:rPr>
                    <w:t>0.5</w:t>
                  </w:r>
                </w:p>
              </w:tc>
              <w:tc>
                <w:tcPr>
                  <w:tcW w:w="793" w:type="dxa"/>
                  <w:vAlign w:val="center"/>
                </w:tcPr>
                <w:p>
                  <w:pPr>
                    <w:pStyle w:val="123"/>
                    <w:rPr>
                      <w:color w:val="auto"/>
                    </w:rPr>
                  </w:pPr>
                  <w:r>
                    <w:rPr>
                      <w:rFonts w:hint="eastAsia"/>
                      <w:color w:val="auto"/>
                    </w:rPr>
                    <w:t>桶装</w:t>
                  </w:r>
                </w:p>
              </w:tc>
              <w:tc>
                <w:tcPr>
                  <w:tcW w:w="709" w:type="dxa"/>
                  <w:vAlign w:val="center"/>
                </w:tcPr>
                <w:p>
                  <w:pPr>
                    <w:pStyle w:val="123"/>
                    <w:rPr>
                      <w:rFonts w:hint="default" w:eastAsia="宋体"/>
                      <w:color w:val="auto"/>
                      <w:lang w:val="en-US" w:eastAsia="zh-CN"/>
                    </w:rPr>
                  </w:pPr>
                  <w:r>
                    <w:rPr>
                      <w:rFonts w:hint="eastAsia"/>
                      <w:color w:val="auto"/>
                      <w:lang w:val="en-US" w:eastAsia="zh-CN"/>
                    </w:rPr>
                    <w:t>0.13</w:t>
                  </w:r>
                </w:p>
              </w:tc>
              <w:tc>
                <w:tcPr>
                  <w:tcW w:w="748" w:type="dxa"/>
                  <w:vAlign w:val="center"/>
                </w:tcPr>
                <w:p>
                  <w:pPr>
                    <w:pStyle w:val="123"/>
                    <w:rPr>
                      <w:color w:val="auto"/>
                    </w:rPr>
                  </w:pPr>
                  <w:r>
                    <w:rPr>
                      <w:rFonts w:hint="eastAsia"/>
                      <w:color w:val="auto"/>
                      <w:lang w:val="en-US" w:eastAsia="zh-CN"/>
                    </w:rPr>
                    <w:t>6</w:t>
                  </w:r>
                  <w:r>
                    <w:rPr>
                      <w:rFonts w:hint="eastAsia"/>
                      <w:color w:val="auto"/>
                    </w:rPr>
                    <w:t>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color w:val="auto"/>
                    </w:rPr>
                  </w:pPr>
                  <w:r>
                    <w:rPr>
                      <w:rFonts w:hint="eastAsia"/>
                      <w:color w:val="auto"/>
                    </w:rPr>
                    <w:t>3</w:t>
                  </w:r>
                </w:p>
              </w:tc>
              <w:tc>
                <w:tcPr>
                  <w:tcW w:w="929" w:type="dxa"/>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漆渣</w:t>
                  </w:r>
                </w:p>
              </w:tc>
              <w:tc>
                <w:tcPr>
                  <w:tcW w:w="775" w:type="dxa"/>
                  <w:vMerge w:val="continue"/>
                  <w:vAlign w:val="center"/>
                </w:tcPr>
                <w:p>
                  <w:pPr>
                    <w:pStyle w:val="123"/>
                    <w:rPr>
                      <w:color w:val="auto"/>
                    </w:rPr>
                  </w:pPr>
                </w:p>
              </w:tc>
              <w:tc>
                <w:tcPr>
                  <w:tcW w:w="999" w:type="dxa"/>
                  <w:vAlign w:val="center"/>
                </w:tcPr>
                <w:p>
                  <w:pPr>
                    <w:tabs>
                      <w:tab w:val="left" w:pos="2227"/>
                    </w:tabs>
                    <w:spacing w:line="240" w:lineRule="auto"/>
                    <w:contextualSpacing/>
                    <w:jc w:val="center"/>
                    <w:rPr>
                      <w:rFonts w:hint="eastAsia"/>
                      <w:color w:val="auto"/>
                      <w:lang w:val="en-US" w:eastAsia="zh-CN"/>
                    </w:rPr>
                  </w:pPr>
                  <w:r>
                    <w:rPr>
                      <w:rFonts w:hint="default" w:ascii="Times New Roman" w:hAnsi="Times New Roman" w:eastAsia="宋体" w:cs="Times New Roman"/>
                      <w:color w:val="auto"/>
                      <w:kern w:val="0"/>
                      <w:sz w:val="21"/>
                      <w:szCs w:val="21"/>
                    </w:rPr>
                    <w:t>HW12</w:t>
                  </w:r>
                </w:p>
              </w:tc>
              <w:tc>
                <w:tcPr>
                  <w:tcW w:w="1275" w:type="dxa"/>
                  <w:vAlign w:val="center"/>
                </w:tcPr>
                <w:p>
                  <w:pPr>
                    <w:tabs>
                      <w:tab w:val="left" w:pos="2227"/>
                    </w:tabs>
                    <w:spacing w:line="240" w:lineRule="auto"/>
                    <w:contextualSpacing/>
                    <w:jc w:val="center"/>
                    <w:rPr>
                      <w:rFonts w:hint="eastAsia"/>
                      <w:color w:val="auto"/>
                      <w:lang w:val="en-US" w:eastAsia="zh-CN"/>
                    </w:rPr>
                  </w:pPr>
                  <w:r>
                    <w:rPr>
                      <w:rFonts w:hint="eastAsia"/>
                      <w:color w:val="auto"/>
                      <w:szCs w:val="21"/>
                      <w:lang w:val="en-US" w:eastAsia="zh-CN"/>
                    </w:rPr>
                    <w:t>900-252-12</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0.295</w:t>
                  </w:r>
                </w:p>
              </w:tc>
              <w:tc>
                <w:tcPr>
                  <w:tcW w:w="689" w:type="dxa"/>
                  <w:vAlign w:val="center"/>
                </w:tcPr>
                <w:p>
                  <w:pPr>
                    <w:pStyle w:val="123"/>
                    <w:rPr>
                      <w:rFonts w:hint="eastAsia" w:eastAsia="宋体"/>
                      <w:color w:val="auto"/>
                      <w:lang w:val="en-US" w:eastAsia="zh-CN"/>
                    </w:rPr>
                  </w:pPr>
                  <w:r>
                    <w:rPr>
                      <w:rFonts w:hint="eastAsia"/>
                      <w:color w:val="auto"/>
                      <w:lang w:val="en-US" w:eastAsia="zh-CN"/>
                    </w:rPr>
                    <w:t>2</w:t>
                  </w:r>
                </w:p>
              </w:tc>
              <w:tc>
                <w:tcPr>
                  <w:tcW w:w="793" w:type="dxa"/>
                  <w:vAlign w:val="center"/>
                </w:tcPr>
                <w:p>
                  <w:pPr>
                    <w:pStyle w:val="123"/>
                    <w:rPr>
                      <w:color w:val="auto"/>
                    </w:rPr>
                  </w:pPr>
                  <w:r>
                    <w:rPr>
                      <w:rFonts w:hint="eastAsia"/>
                      <w:color w:val="auto"/>
                    </w:rPr>
                    <w:t>桶装</w:t>
                  </w:r>
                </w:p>
              </w:tc>
              <w:tc>
                <w:tcPr>
                  <w:tcW w:w="709" w:type="dxa"/>
                  <w:vAlign w:val="center"/>
                </w:tcPr>
                <w:p>
                  <w:pPr>
                    <w:pStyle w:val="123"/>
                    <w:rPr>
                      <w:rFonts w:hint="default" w:eastAsia="宋体"/>
                      <w:color w:val="auto"/>
                      <w:lang w:val="en-US" w:eastAsia="zh-CN"/>
                    </w:rPr>
                  </w:pPr>
                  <w:r>
                    <w:rPr>
                      <w:rFonts w:hint="eastAsia"/>
                      <w:color w:val="auto"/>
                      <w:lang w:val="en-US" w:eastAsia="zh-CN"/>
                    </w:rPr>
                    <w:t>0.2</w:t>
                  </w:r>
                </w:p>
              </w:tc>
              <w:tc>
                <w:tcPr>
                  <w:tcW w:w="748" w:type="dxa"/>
                  <w:vAlign w:val="center"/>
                </w:tcPr>
                <w:p>
                  <w:pPr>
                    <w:rPr>
                      <w:color w:val="auto"/>
                      <w:szCs w:val="21"/>
                    </w:rPr>
                  </w:pPr>
                  <w:r>
                    <w:rPr>
                      <w:rFonts w:hint="eastAsia"/>
                      <w:color w:val="auto"/>
                      <w:szCs w:val="21"/>
                    </w:rPr>
                    <w:t>6个月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color w:val="auto"/>
                    </w:rPr>
                  </w:pPr>
                  <w:r>
                    <w:rPr>
                      <w:rFonts w:hint="eastAsia"/>
                      <w:color w:val="auto"/>
                    </w:rPr>
                    <w:t>4</w:t>
                  </w:r>
                </w:p>
              </w:tc>
              <w:tc>
                <w:tcPr>
                  <w:tcW w:w="929" w:type="dxa"/>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含漆废物</w:t>
                  </w:r>
                </w:p>
              </w:tc>
              <w:tc>
                <w:tcPr>
                  <w:tcW w:w="775" w:type="dxa"/>
                  <w:vMerge w:val="continue"/>
                  <w:vAlign w:val="center"/>
                </w:tcPr>
                <w:p>
                  <w:pPr>
                    <w:pStyle w:val="123"/>
                    <w:rPr>
                      <w:color w:val="auto"/>
                    </w:rPr>
                  </w:pPr>
                </w:p>
              </w:tc>
              <w:tc>
                <w:tcPr>
                  <w:tcW w:w="999" w:type="dxa"/>
                  <w:vAlign w:val="center"/>
                </w:tcPr>
                <w:p>
                  <w:pPr>
                    <w:tabs>
                      <w:tab w:val="left" w:pos="2227"/>
                    </w:tabs>
                    <w:spacing w:line="240" w:lineRule="auto"/>
                    <w:contextualSpacing/>
                    <w:jc w:val="center"/>
                    <w:rPr>
                      <w:rFonts w:hint="eastAsia"/>
                      <w:color w:val="auto"/>
                      <w:lang w:val="en-US" w:eastAsia="zh-CN"/>
                    </w:rPr>
                  </w:pPr>
                  <w:r>
                    <w:rPr>
                      <w:rFonts w:hint="default" w:ascii="Times New Roman" w:hAnsi="Times New Roman" w:eastAsia="宋体" w:cs="Times New Roman"/>
                      <w:color w:val="auto"/>
                      <w:kern w:val="0"/>
                      <w:sz w:val="21"/>
                      <w:szCs w:val="21"/>
                    </w:rPr>
                    <w:t>HW12</w:t>
                  </w:r>
                </w:p>
              </w:tc>
              <w:tc>
                <w:tcPr>
                  <w:tcW w:w="1275" w:type="dxa"/>
                  <w:vAlign w:val="center"/>
                </w:tcPr>
                <w:p>
                  <w:pPr>
                    <w:tabs>
                      <w:tab w:val="left" w:pos="2227"/>
                    </w:tabs>
                    <w:spacing w:line="240" w:lineRule="auto"/>
                    <w:contextualSpacing/>
                    <w:jc w:val="center"/>
                    <w:rPr>
                      <w:rFonts w:hint="eastAsia"/>
                      <w:color w:val="auto"/>
                      <w:lang w:val="en-US" w:eastAsia="zh-CN"/>
                    </w:rPr>
                  </w:pPr>
                  <w:r>
                    <w:rPr>
                      <w:rFonts w:hint="eastAsia"/>
                      <w:color w:val="auto"/>
                      <w:szCs w:val="21"/>
                      <w:lang w:val="en-US" w:eastAsia="zh-CN"/>
                    </w:rPr>
                    <w:t>900-252-12</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0.1</w:t>
                  </w:r>
                </w:p>
              </w:tc>
              <w:tc>
                <w:tcPr>
                  <w:tcW w:w="689" w:type="dxa"/>
                  <w:vAlign w:val="center"/>
                </w:tcPr>
                <w:p>
                  <w:pPr>
                    <w:pStyle w:val="123"/>
                    <w:rPr>
                      <w:rFonts w:hint="eastAsia" w:eastAsia="宋体"/>
                      <w:color w:val="auto"/>
                      <w:lang w:val="en-US" w:eastAsia="zh-CN"/>
                    </w:rPr>
                  </w:pPr>
                  <w:r>
                    <w:rPr>
                      <w:rFonts w:hint="eastAsia"/>
                      <w:color w:val="auto"/>
                      <w:lang w:val="en-US" w:eastAsia="zh-CN"/>
                    </w:rPr>
                    <w:t>1</w:t>
                  </w:r>
                </w:p>
              </w:tc>
              <w:tc>
                <w:tcPr>
                  <w:tcW w:w="793" w:type="dxa"/>
                  <w:vAlign w:val="center"/>
                </w:tcPr>
                <w:p>
                  <w:pPr>
                    <w:pStyle w:val="123"/>
                    <w:rPr>
                      <w:rFonts w:hint="eastAsia" w:eastAsia="宋体"/>
                      <w:color w:val="auto"/>
                      <w:lang w:eastAsia="zh-CN"/>
                    </w:rPr>
                  </w:pPr>
                  <w:r>
                    <w:rPr>
                      <w:rFonts w:hint="eastAsia"/>
                      <w:color w:val="auto"/>
                      <w:lang w:val="en-US" w:eastAsia="zh-CN"/>
                    </w:rPr>
                    <w:t>袋子</w:t>
                  </w:r>
                </w:p>
              </w:tc>
              <w:tc>
                <w:tcPr>
                  <w:tcW w:w="709" w:type="dxa"/>
                  <w:vAlign w:val="center"/>
                </w:tcPr>
                <w:p>
                  <w:pPr>
                    <w:pStyle w:val="123"/>
                    <w:rPr>
                      <w:rFonts w:hint="default" w:eastAsia="宋体"/>
                      <w:color w:val="auto"/>
                      <w:lang w:val="en-US" w:eastAsia="zh-CN"/>
                    </w:rPr>
                  </w:pPr>
                  <w:r>
                    <w:rPr>
                      <w:rFonts w:hint="eastAsia"/>
                      <w:color w:val="auto"/>
                      <w:lang w:val="en-US" w:eastAsia="zh-CN"/>
                    </w:rPr>
                    <w:t>0.05</w:t>
                  </w:r>
                </w:p>
              </w:tc>
              <w:tc>
                <w:tcPr>
                  <w:tcW w:w="748" w:type="dxa"/>
                  <w:vAlign w:val="center"/>
                </w:tcPr>
                <w:p>
                  <w:pPr>
                    <w:rPr>
                      <w:color w:val="auto"/>
                      <w:szCs w:val="21"/>
                    </w:rPr>
                  </w:pPr>
                  <w:r>
                    <w:rPr>
                      <w:rFonts w:hint="eastAsia"/>
                      <w:color w:val="auto"/>
                      <w:szCs w:val="21"/>
                      <w:lang w:val="en-US" w:eastAsia="zh-CN"/>
                    </w:rPr>
                    <w:t>6</w:t>
                  </w:r>
                  <w:r>
                    <w:rPr>
                      <w:rFonts w:hint="eastAsia"/>
                      <w:color w:val="auto"/>
                      <w:szCs w:val="21"/>
                    </w:rPr>
                    <w:t>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color w:val="auto"/>
                    </w:rPr>
                  </w:pPr>
                  <w:r>
                    <w:rPr>
                      <w:rFonts w:hint="eastAsia"/>
                      <w:color w:val="auto"/>
                    </w:rPr>
                    <w:t>5</w:t>
                  </w:r>
                </w:p>
              </w:tc>
              <w:tc>
                <w:tcPr>
                  <w:tcW w:w="929" w:type="dxa"/>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含漆废液</w:t>
                  </w:r>
                </w:p>
              </w:tc>
              <w:tc>
                <w:tcPr>
                  <w:tcW w:w="775" w:type="dxa"/>
                  <w:vMerge w:val="continue"/>
                  <w:vAlign w:val="center"/>
                </w:tcPr>
                <w:p>
                  <w:pPr>
                    <w:pStyle w:val="123"/>
                    <w:rPr>
                      <w:color w:val="auto"/>
                    </w:rPr>
                  </w:pPr>
                </w:p>
              </w:tc>
              <w:tc>
                <w:tcPr>
                  <w:tcW w:w="999" w:type="dxa"/>
                  <w:vAlign w:val="center"/>
                </w:tcPr>
                <w:p>
                  <w:pPr>
                    <w:tabs>
                      <w:tab w:val="left" w:pos="2227"/>
                    </w:tabs>
                    <w:spacing w:line="240" w:lineRule="auto"/>
                    <w:contextualSpacing/>
                    <w:jc w:val="center"/>
                    <w:rPr>
                      <w:rFonts w:hint="eastAsia"/>
                      <w:color w:val="auto"/>
                      <w:lang w:val="en-US" w:eastAsia="zh-CN"/>
                    </w:rPr>
                  </w:pPr>
                  <w:r>
                    <w:rPr>
                      <w:rFonts w:hint="default" w:ascii="Times New Roman" w:hAnsi="Times New Roman" w:eastAsia="宋体" w:cs="Times New Roman"/>
                      <w:color w:val="auto"/>
                      <w:kern w:val="0"/>
                      <w:sz w:val="21"/>
                      <w:szCs w:val="21"/>
                    </w:rPr>
                    <w:t>HW</w:t>
                  </w:r>
                  <w:r>
                    <w:rPr>
                      <w:rFonts w:hint="eastAsia" w:cs="Times New Roman"/>
                      <w:color w:val="auto"/>
                      <w:kern w:val="0"/>
                      <w:sz w:val="21"/>
                      <w:szCs w:val="21"/>
                      <w:lang w:val="en-US" w:eastAsia="zh-CN"/>
                    </w:rPr>
                    <w:t>49</w:t>
                  </w:r>
                </w:p>
              </w:tc>
              <w:tc>
                <w:tcPr>
                  <w:tcW w:w="1275" w:type="dxa"/>
                  <w:vAlign w:val="center"/>
                </w:tcPr>
                <w:p>
                  <w:pPr>
                    <w:tabs>
                      <w:tab w:val="left" w:pos="2227"/>
                    </w:tabs>
                    <w:spacing w:line="240" w:lineRule="auto"/>
                    <w:contextualSpacing/>
                    <w:jc w:val="center"/>
                    <w:rPr>
                      <w:rFonts w:hint="eastAsia"/>
                      <w:color w:val="auto"/>
                      <w:lang w:val="en-US" w:eastAsia="zh-CN"/>
                    </w:rPr>
                  </w:pPr>
                  <w:r>
                    <w:rPr>
                      <w:rFonts w:hint="eastAsia" w:cs="Times New Roman"/>
                      <w:color w:val="auto"/>
                      <w:kern w:val="0"/>
                      <w:sz w:val="21"/>
                      <w:szCs w:val="21"/>
                      <w:lang w:val="en-US" w:eastAsia="zh-CN"/>
                    </w:rPr>
                    <w:t>900-041-49</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0.48</w:t>
                  </w:r>
                </w:p>
              </w:tc>
              <w:tc>
                <w:tcPr>
                  <w:tcW w:w="689" w:type="dxa"/>
                  <w:vAlign w:val="center"/>
                </w:tcPr>
                <w:p>
                  <w:pPr>
                    <w:pStyle w:val="123"/>
                    <w:rPr>
                      <w:rFonts w:hint="default" w:eastAsia="宋体"/>
                      <w:color w:val="auto"/>
                      <w:lang w:val="en-US" w:eastAsia="zh-CN"/>
                    </w:rPr>
                  </w:pPr>
                  <w:r>
                    <w:rPr>
                      <w:rFonts w:hint="eastAsia"/>
                      <w:color w:val="auto"/>
                      <w:lang w:val="en-US" w:eastAsia="zh-CN"/>
                    </w:rPr>
                    <w:t>1</w:t>
                  </w:r>
                </w:p>
              </w:tc>
              <w:tc>
                <w:tcPr>
                  <w:tcW w:w="793" w:type="dxa"/>
                  <w:vAlign w:val="center"/>
                </w:tcPr>
                <w:p>
                  <w:pPr>
                    <w:pStyle w:val="123"/>
                    <w:rPr>
                      <w:color w:val="auto"/>
                    </w:rPr>
                  </w:pPr>
                  <w:r>
                    <w:rPr>
                      <w:rFonts w:hint="eastAsia"/>
                      <w:color w:val="auto"/>
                    </w:rPr>
                    <w:t>桶装</w:t>
                  </w:r>
                </w:p>
              </w:tc>
              <w:tc>
                <w:tcPr>
                  <w:tcW w:w="709" w:type="dxa"/>
                  <w:vAlign w:val="center"/>
                </w:tcPr>
                <w:p>
                  <w:pPr>
                    <w:pStyle w:val="123"/>
                    <w:rPr>
                      <w:rFonts w:hint="default" w:eastAsia="宋体"/>
                      <w:color w:val="auto"/>
                      <w:lang w:val="en-US" w:eastAsia="zh-CN"/>
                    </w:rPr>
                  </w:pPr>
                  <w:r>
                    <w:rPr>
                      <w:rFonts w:hint="eastAsia"/>
                      <w:color w:val="auto"/>
                      <w:lang w:val="en-US" w:eastAsia="zh-CN"/>
                    </w:rPr>
                    <w:t>0.25</w:t>
                  </w:r>
                </w:p>
              </w:tc>
              <w:tc>
                <w:tcPr>
                  <w:tcW w:w="748" w:type="dxa"/>
                  <w:vAlign w:val="center"/>
                </w:tcPr>
                <w:p>
                  <w:pPr>
                    <w:rPr>
                      <w:color w:val="auto"/>
                      <w:szCs w:val="21"/>
                    </w:rPr>
                  </w:pPr>
                  <w:r>
                    <w:rPr>
                      <w:rFonts w:hint="eastAsia"/>
                      <w:color w:val="auto"/>
                      <w:szCs w:val="21"/>
                    </w:rPr>
                    <w:t>6个月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rFonts w:hint="eastAsia" w:eastAsia="宋体"/>
                      <w:color w:val="auto"/>
                      <w:lang w:val="en-US" w:eastAsia="zh-CN"/>
                    </w:rPr>
                  </w:pPr>
                  <w:r>
                    <w:rPr>
                      <w:rFonts w:hint="eastAsia"/>
                      <w:color w:val="auto"/>
                      <w:lang w:val="en-US" w:eastAsia="zh-CN"/>
                    </w:rPr>
                    <w:t>6</w:t>
                  </w:r>
                </w:p>
              </w:tc>
              <w:tc>
                <w:tcPr>
                  <w:tcW w:w="929" w:type="dxa"/>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lang w:eastAsia="zh-CN"/>
                    </w:rPr>
                    <w:t>废过滤棉</w:t>
                  </w:r>
                </w:p>
              </w:tc>
              <w:tc>
                <w:tcPr>
                  <w:tcW w:w="775" w:type="dxa"/>
                  <w:vMerge w:val="continue"/>
                  <w:vAlign w:val="center"/>
                </w:tcPr>
                <w:p>
                  <w:pPr>
                    <w:pStyle w:val="123"/>
                    <w:rPr>
                      <w:color w:val="auto"/>
                    </w:rPr>
                  </w:pPr>
                </w:p>
              </w:tc>
              <w:tc>
                <w:tcPr>
                  <w:tcW w:w="999"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HW49</w:t>
                  </w:r>
                </w:p>
              </w:tc>
              <w:tc>
                <w:tcPr>
                  <w:tcW w:w="1275"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900-041-49</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0.4</w:t>
                  </w:r>
                </w:p>
              </w:tc>
              <w:tc>
                <w:tcPr>
                  <w:tcW w:w="689" w:type="dxa"/>
                  <w:vAlign w:val="center"/>
                </w:tcPr>
                <w:p>
                  <w:pPr>
                    <w:pStyle w:val="123"/>
                    <w:rPr>
                      <w:rFonts w:hint="eastAsia" w:eastAsia="宋体"/>
                      <w:color w:val="auto"/>
                      <w:lang w:val="en-US" w:eastAsia="zh-CN"/>
                    </w:rPr>
                  </w:pPr>
                  <w:r>
                    <w:rPr>
                      <w:rFonts w:hint="eastAsia"/>
                      <w:color w:val="auto"/>
                      <w:lang w:val="en-US" w:eastAsia="zh-CN"/>
                    </w:rPr>
                    <w:t>1</w:t>
                  </w:r>
                </w:p>
              </w:tc>
              <w:tc>
                <w:tcPr>
                  <w:tcW w:w="793" w:type="dxa"/>
                  <w:vAlign w:val="center"/>
                </w:tcPr>
                <w:p>
                  <w:pPr>
                    <w:pStyle w:val="123"/>
                    <w:rPr>
                      <w:rFonts w:hint="eastAsia"/>
                      <w:color w:val="auto"/>
                    </w:rPr>
                  </w:pPr>
                  <w:r>
                    <w:rPr>
                      <w:rFonts w:hint="eastAsia"/>
                      <w:color w:val="auto"/>
                      <w:lang w:val="en-US" w:eastAsia="zh-CN"/>
                    </w:rPr>
                    <w:t>袋子</w:t>
                  </w:r>
                </w:p>
              </w:tc>
              <w:tc>
                <w:tcPr>
                  <w:tcW w:w="709" w:type="dxa"/>
                  <w:vAlign w:val="center"/>
                </w:tcPr>
                <w:p>
                  <w:pPr>
                    <w:pStyle w:val="123"/>
                    <w:rPr>
                      <w:rFonts w:hint="default" w:eastAsia="宋体"/>
                      <w:color w:val="auto"/>
                      <w:lang w:val="en-US" w:eastAsia="zh-CN"/>
                    </w:rPr>
                  </w:pPr>
                  <w:r>
                    <w:rPr>
                      <w:rFonts w:hint="eastAsia"/>
                      <w:color w:val="auto"/>
                      <w:lang w:val="en-US" w:eastAsia="zh-CN"/>
                    </w:rPr>
                    <w:t>0.2</w:t>
                  </w:r>
                </w:p>
              </w:tc>
              <w:tc>
                <w:tcPr>
                  <w:tcW w:w="748" w:type="dxa"/>
                  <w:vAlign w:val="center"/>
                </w:tcPr>
                <w:p>
                  <w:pPr>
                    <w:rPr>
                      <w:rFonts w:hint="eastAsia"/>
                      <w:color w:val="auto"/>
                      <w:szCs w:val="21"/>
                    </w:rPr>
                  </w:pPr>
                  <w:r>
                    <w:rPr>
                      <w:rFonts w:hint="eastAsia"/>
                      <w:color w:val="auto"/>
                      <w:szCs w:val="21"/>
                    </w:rPr>
                    <w:t>6个月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rFonts w:hint="eastAsia" w:eastAsia="宋体"/>
                      <w:color w:val="auto"/>
                      <w:lang w:val="en-US" w:eastAsia="zh-CN"/>
                    </w:rPr>
                  </w:pPr>
                  <w:r>
                    <w:rPr>
                      <w:rFonts w:hint="eastAsia"/>
                      <w:color w:val="auto"/>
                      <w:lang w:val="en-US" w:eastAsia="zh-CN"/>
                    </w:rPr>
                    <w:t>7</w:t>
                  </w:r>
                </w:p>
              </w:tc>
              <w:tc>
                <w:tcPr>
                  <w:tcW w:w="929" w:type="dxa"/>
                  <w:vAlign w:val="center"/>
                </w:tcPr>
                <w:p>
                  <w:pPr>
                    <w:pStyle w:val="123"/>
                    <w:jc w:val="center"/>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sz w:val="21"/>
                      <w:szCs w:val="21"/>
                    </w:rPr>
                    <w:t>废活性炭</w:t>
                  </w:r>
                </w:p>
              </w:tc>
              <w:tc>
                <w:tcPr>
                  <w:tcW w:w="775" w:type="dxa"/>
                  <w:vMerge w:val="continue"/>
                  <w:vAlign w:val="center"/>
                </w:tcPr>
                <w:p>
                  <w:pPr>
                    <w:pStyle w:val="123"/>
                    <w:rPr>
                      <w:color w:val="auto"/>
                    </w:rPr>
                  </w:pPr>
                </w:p>
              </w:tc>
              <w:tc>
                <w:tcPr>
                  <w:tcW w:w="999"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HW49</w:t>
                  </w:r>
                </w:p>
              </w:tc>
              <w:tc>
                <w:tcPr>
                  <w:tcW w:w="1275" w:type="dxa"/>
                  <w:vAlign w:val="center"/>
                </w:tcPr>
                <w:p>
                  <w:pPr>
                    <w:widowControl/>
                    <w:adjustRightInd w:val="0"/>
                    <w:snapToGrid w:val="0"/>
                    <w:spacing w:line="240" w:lineRule="auto"/>
                    <w:ind w:left="-105" w:leftChars="-50" w:right="-105" w:rightChars="-5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rPr>
                    <w:t>900-0</w:t>
                  </w:r>
                  <w:r>
                    <w:rPr>
                      <w:rFonts w:hint="eastAsia" w:cs="Times New Roman"/>
                      <w:color w:val="auto"/>
                      <w:kern w:val="0"/>
                      <w:sz w:val="21"/>
                      <w:szCs w:val="21"/>
                      <w:lang w:val="en-US" w:eastAsia="zh-CN"/>
                    </w:rPr>
                    <w:t>39</w:t>
                  </w:r>
                  <w:r>
                    <w:rPr>
                      <w:rFonts w:hint="default" w:ascii="Times New Roman" w:hAnsi="Times New Roman" w:eastAsia="宋体" w:cs="Times New Roman"/>
                      <w:color w:val="auto"/>
                      <w:kern w:val="0"/>
                      <w:sz w:val="21"/>
                      <w:szCs w:val="21"/>
                    </w:rPr>
                    <w:t>-49</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2.339</w:t>
                  </w:r>
                </w:p>
              </w:tc>
              <w:tc>
                <w:tcPr>
                  <w:tcW w:w="689" w:type="dxa"/>
                  <w:vAlign w:val="center"/>
                </w:tcPr>
                <w:p>
                  <w:pPr>
                    <w:pStyle w:val="123"/>
                    <w:rPr>
                      <w:rFonts w:hint="eastAsia" w:eastAsia="宋体"/>
                      <w:color w:val="auto"/>
                      <w:lang w:val="en-US" w:eastAsia="zh-CN"/>
                    </w:rPr>
                  </w:pPr>
                  <w:r>
                    <w:rPr>
                      <w:rFonts w:hint="eastAsia"/>
                      <w:color w:val="auto"/>
                      <w:lang w:val="en-US" w:eastAsia="zh-CN"/>
                    </w:rPr>
                    <w:t>2</w:t>
                  </w:r>
                </w:p>
              </w:tc>
              <w:tc>
                <w:tcPr>
                  <w:tcW w:w="793" w:type="dxa"/>
                  <w:vAlign w:val="center"/>
                </w:tcPr>
                <w:p>
                  <w:pPr>
                    <w:pStyle w:val="123"/>
                    <w:rPr>
                      <w:rFonts w:hint="eastAsia"/>
                      <w:color w:val="auto"/>
                    </w:rPr>
                  </w:pPr>
                  <w:r>
                    <w:rPr>
                      <w:rFonts w:hint="eastAsia"/>
                      <w:color w:val="auto"/>
                      <w:lang w:val="en-US" w:eastAsia="zh-CN"/>
                    </w:rPr>
                    <w:t>袋子</w:t>
                  </w:r>
                </w:p>
              </w:tc>
              <w:tc>
                <w:tcPr>
                  <w:tcW w:w="709" w:type="dxa"/>
                  <w:vAlign w:val="center"/>
                </w:tcPr>
                <w:p>
                  <w:pPr>
                    <w:pStyle w:val="123"/>
                    <w:rPr>
                      <w:rFonts w:hint="default" w:eastAsia="宋体"/>
                      <w:color w:val="auto"/>
                      <w:lang w:val="en-US" w:eastAsia="zh-CN"/>
                    </w:rPr>
                  </w:pPr>
                  <w:r>
                    <w:rPr>
                      <w:rFonts w:hint="eastAsia"/>
                      <w:color w:val="auto"/>
                      <w:lang w:val="en-US" w:eastAsia="zh-CN"/>
                    </w:rPr>
                    <w:t>0.8</w:t>
                  </w:r>
                </w:p>
              </w:tc>
              <w:tc>
                <w:tcPr>
                  <w:tcW w:w="748" w:type="dxa"/>
                  <w:vAlign w:val="center"/>
                </w:tcPr>
                <w:p>
                  <w:pPr>
                    <w:rPr>
                      <w:rFonts w:hint="eastAsia"/>
                      <w:color w:val="auto"/>
                      <w:szCs w:val="21"/>
                    </w:rPr>
                  </w:pPr>
                  <w:r>
                    <w:rPr>
                      <w:rFonts w:hint="eastAsia"/>
                      <w:color w:val="auto"/>
                      <w:szCs w:val="21"/>
                      <w:lang w:val="en-US" w:eastAsia="zh-CN"/>
                    </w:rPr>
                    <w:t>4</w:t>
                  </w:r>
                  <w:r>
                    <w:rPr>
                      <w:rFonts w:hint="eastAsia"/>
                      <w:color w:val="auto"/>
                      <w:szCs w:val="21"/>
                    </w:rPr>
                    <w:t>个月</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90" w:hRule="atLeast"/>
                <w:jc w:val="center"/>
              </w:trPr>
              <w:tc>
                <w:tcPr>
                  <w:tcW w:w="427" w:type="dxa"/>
                  <w:vAlign w:val="center"/>
                </w:tcPr>
                <w:p>
                  <w:pPr>
                    <w:pStyle w:val="123"/>
                    <w:rPr>
                      <w:rFonts w:hint="eastAsia" w:eastAsia="宋体"/>
                      <w:color w:val="auto"/>
                      <w:lang w:val="en-US" w:eastAsia="zh-CN"/>
                    </w:rPr>
                  </w:pPr>
                  <w:r>
                    <w:rPr>
                      <w:rFonts w:hint="eastAsia"/>
                      <w:color w:val="auto"/>
                      <w:lang w:val="en-US" w:eastAsia="zh-CN"/>
                    </w:rPr>
                    <w:t>8</w:t>
                  </w:r>
                </w:p>
              </w:tc>
              <w:tc>
                <w:tcPr>
                  <w:tcW w:w="929"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废包装桶</w:t>
                  </w:r>
                </w:p>
              </w:tc>
              <w:tc>
                <w:tcPr>
                  <w:tcW w:w="775" w:type="dxa"/>
                  <w:vMerge w:val="continue"/>
                  <w:vAlign w:val="center"/>
                </w:tcPr>
                <w:p>
                  <w:pPr>
                    <w:pStyle w:val="123"/>
                    <w:rPr>
                      <w:color w:val="auto"/>
                    </w:rPr>
                  </w:pPr>
                </w:p>
              </w:tc>
              <w:tc>
                <w:tcPr>
                  <w:tcW w:w="999" w:type="dxa"/>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color w:val="auto"/>
                      <w:kern w:val="18"/>
                      <w:szCs w:val="21"/>
                    </w:rPr>
                    <w:t>HW09</w:t>
                  </w:r>
                </w:p>
              </w:tc>
              <w:tc>
                <w:tcPr>
                  <w:tcW w:w="1275" w:type="dxa"/>
                  <w:vAlign w:val="center"/>
                </w:tcPr>
                <w:p>
                  <w:pPr>
                    <w:widowControl/>
                    <w:adjustRightInd w:val="0"/>
                    <w:snapToGrid w:val="0"/>
                    <w:ind w:left="-105" w:leftChars="-50" w:right="-105" w:rightChars="-50"/>
                    <w:jc w:val="center"/>
                    <w:rPr>
                      <w:rFonts w:hint="eastAsia" w:ascii="Times New Roman" w:hAnsi="Times New Roman" w:eastAsia="宋体" w:cs="Times New Roman"/>
                      <w:color w:val="auto"/>
                      <w:kern w:val="18"/>
                      <w:sz w:val="21"/>
                      <w:szCs w:val="21"/>
                      <w:lang w:val="en-US" w:eastAsia="zh-CN" w:bidi="ar-SA"/>
                    </w:rPr>
                  </w:pPr>
                  <w:r>
                    <w:rPr>
                      <w:bCs/>
                      <w:color w:val="auto"/>
                      <w:kern w:val="18"/>
                      <w:szCs w:val="21"/>
                    </w:rPr>
                    <w:t>900-041-49</w:t>
                  </w:r>
                </w:p>
              </w:tc>
              <w:tc>
                <w:tcPr>
                  <w:tcW w:w="96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0.95</w:t>
                  </w:r>
                </w:p>
              </w:tc>
              <w:tc>
                <w:tcPr>
                  <w:tcW w:w="689" w:type="dxa"/>
                  <w:vAlign w:val="center"/>
                </w:tcPr>
                <w:p>
                  <w:pPr>
                    <w:pStyle w:val="123"/>
                    <w:rPr>
                      <w:rFonts w:hint="eastAsia" w:eastAsia="宋体"/>
                      <w:color w:val="auto"/>
                      <w:lang w:val="en-US" w:eastAsia="zh-CN"/>
                    </w:rPr>
                  </w:pPr>
                  <w:r>
                    <w:rPr>
                      <w:rFonts w:hint="eastAsia"/>
                      <w:color w:val="auto"/>
                      <w:lang w:val="en-US" w:eastAsia="zh-CN"/>
                    </w:rPr>
                    <w:t>5</w:t>
                  </w:r>
                </w:p>
              </w:tc>
              <w:tc>
                <w:tcPr>
                  <w:tcW w:w="793" w:type="dxa"/>
                  <w:vAlign w:val="center"/>
                </w:tcPr>
                <w:p>
                  <w:pPr>
                    <w:pStyle w:val="123"/>
                    <w:rPr>
                      <w:rFonts w:hint="default" w:eastAsia="宋体"/>
                      <w:color w:val="auto"/>
                      <w:lang w:val="en-US" w:eastAsia="zh-CN"/>
                    </w:rPr>
                  </w:pPr>
                  <w:r>
                    <w:rPr>
                      <w:rFonts w:hint="eastAsia"/>
                      <w:color w:val="auto"/>
                      <w:lang w:val="en-US" w:eastAsia="zh-CN"/>
                    </w:rPr>
                    <w:t>托盘</w:t>
                  </w:r>
                </w:p>
              </w:tc>
              <w:tc>
                <w:tcPr>
                  <w:tcW w:w="709" w:type="dxa"/>
                  <w:vAlign w:val="center"/>
                </w:tcPr>
                <w:p>
                  <w:pPr>
                    <w:pStyle w:val="123"/>
                    <w:rPr>
                      <w:rFonts w:hint="default" w:eastAsia="宋体"/>
                      <w:color w:val="auto"/>
                      <w:lang w:val="en-US" w:eastAsia="zh-CN"/>
                    </w:rPr>
                  </w:pPr>
                  <w:r>
                    <w:rPr>
                      <w:rFonts w:hint="eastAsia"/>
                      <w:color w:val="auto"/>
                      <w:lang w:val="en-US" w:eastAsia="zh-CN"/>
                    </w:rPr>
                    <w:t>0.1</w:t>
                  </w:r>
                </w:p>
              </w:tc>
              <w:tc>
                <w:tcPr>
                  <w:tcW w:w="748" w:type="dxa"/>
                  <w:vAlign w:val="center"/>
                </w:tcPr>
                <w:p>
                  <w:pPr>
                    <w:rPr>
                      <w:rFonts w:hint="default" w:eastAsia="宋体"/>
                      <w:color w:val="auto"/>
                      <w:szCs w:val="21"/>
                      <w:lang w:val="en-US" w:eastAsia="zh-CN"/>
                    </w:rPr>
                  </w:pPr>
                  <w:r>
                    <w:rPr>
                      <w:rFonts w:hint="eastAsia"/>
                      <w:color w:val="auto"/>
                      <w:szCs w:val="21"/>
                      <w:lang w:val="en-US" w:eastAsia="zh-CN"/>
                    </w:rPr>
                    <w:t>1个月</w:t>
                  </w:r>
                </w:p>
              </w:tc>
            </w:tr>
          </w:tbl>
          <w:p>
            <w:pPr>
              <w:autoSpaceDE w:val="0"/>
              <w:autoSpaceDN w:val="0"/>
              <w:adjustRightInd w:val="0"/>
              <w:spacing w:line="360" w:lineRule="auto"/>
              <w:ind w:firstLine="480" w:firstLineChars="200"/>
              <w:rPr>
                <w:bCs/>
                <w:color w:val="auto"/>
                <w:sz w:val="24"/>
              </w:rPr>
            </w:pPr>
            <w:r>
              <w:rPr>
                <w:bCs/>
                <w:color w:val="auto"/>
                <w:sz w:val="24"/>
              </w:rPr>
              <w:t>由上表可知，本项目危险废物暂存需要</w:t>
            </w:r>
            <w:r>
              <w:rPr>
                <w:rFonts w:hint="eastAsia"/>
                <w:bCs/>
                <w:color w:val="auto"/>
                <w:sz w:val="24"/>
                <w:lang w:val="en-US" w:eastAsia="zh-CN"/>
              </w:rPr>
              <w:t>14.5</w:t>
            </w:r>
            <w:r>
              <w:rPr>
                <w:bCs/>
                <w:color w:val="auto"/>
                <w:sz w:val="24"/>
              </w:rPr>
              <w:t>m</w:t>
            </w:r>
            <w:r>
              <w:rPr>
                <w:bCs/>
                <w:color w:val="auto"/>
                <w:sz w:val="24"/>
                <w:vertAlign w:val="superscript"/>
              </w:rPr>
              <w:t>2</w:t>
            </w:r>
            <w:r>
              <w:rPr>
                <w:bCs/>
                <w:color w:val="auto"/>
                <w:sz w:val="24"/>
              </w:rPr>
              <w:t>，其他可作为过道、间隔等所用。项目设置</w:t>
            </w:r>
            <w:r>
              <w:rPr>
                <w:rFonts w:hint="eastAsia"/>
                <w:bCs/>
                <w:color w:val="auto"/>
                <w:sz w:val="24"/>
                <w:lang w:val="en-US" w:eastAsia="zh-CN"/>
              </w:rPr>
              <w:t>20</w:t>
            </w:r>
            <w:r>
              <w:rPr>
                <w:bCs/>
                <w:color w:val="auto"/>
                <w:sz w:val="24"/>
              </w:rPr>
              <w:t>m</w:t>
            </w:r>
            <w:r>
              <w:rPr>
                <w:bCs/>
                <w:color w:val="auto"/>
                <w:sz w:val="24"/>
                <w:vertAlign w:val="superscript"/>
              </w:rPr>
              <w:t>2</w:t>
            </w:r>
            <w:r>
              <w:rPr>
                <w:bCs/>
                <w:color w:val="auto"/>
                <w:sz w:val="24"/>
              </w:rPr>
              <w:t>的</w:t>
            </w:r>
            <w:r>
              <w:rPr>
                <w:color w:val="auto"/>
                <w:sz w:val="24"/>
                <w:szCs w:val="24"/>
              </w:rPr>
              <w:t>危险废物仓库</w:t>
            </w:r>
            <w:r>
              <w:rPr>
                <w:bCs/>
                <w:color w:val="auto"/>
                <w:sz w:val="24"/>
              </w:rPr>
              <w:t>足够本项目使用</w:t>
            </w:r>
            <w:r>
              <w:rPr>
                <w:rFonts w:hint="eastAsia"/>
                <w:bCs/>
                <w:color w:val="auto"/>
                <w:sz w:val="24"/>
              </w:rPr>
              <w:t>。为确保危废合规暂存，建设单位应严格按照制定的转移周期转移。</w:t>
            </w:r>
          </w:p>
          <w:p>
            <w:pPr>
              <w:autoSpaceDE w:val="0"/>
              <w:autoSpaceDN w:val="0"/>
              <w:adjustRightInd w:val="0"/>
              <w:spacing w:line="360" w:lineRule="auto"/>
              <w:ind w:firstLine="480" w:firstLineChars="200"/>
              <w:rPr>
                <w:color w:val="auto"/>
                <w:sz w:val="24"/>
                <w:szCs w:val="24"/>
              </w:rPr>
            </w:pPr>
            <w:r>
              <w:rPr>
                <w:rFonts w:hint="eastAsia"/>
                <w:color w:val="auto"/>
                <w:sz w:val="24"/>
                <w:szCs w:val="24"/>
              </w:rPr>
              <w:t>3）危废仓库所设计要求</w:t>
            </w:r>
          </w:p>
          <w:p>
            <w:pPr>
              <w:autoSpaceDE w:val="0"/>
              <w:autoSpaceDN w:val="0"/>
              <w:adjustRightInd w:val="0"/>
              <w:spacing w:line="360" w:lineRule="auto"/>
              <w:ind w:firstLine="480" w:firstLineChars="200"/>
              <w:rPr>
                <w:color w:val="auto"/>
                <w:sz w:val="24"/>
                <w:szCs w:val="24"/>
              </w:rPr>
            </w:pPr>
            <w:r>
              <w:rPr>
                <w:color w:val="auto"/>
                <w:sz w:val="24"/>
                <w:szCs w:val="24"/>
              </w:rPr>
              <w:t>危险废物仓库必须按《危险废物贮存污染控制》（GB18597-2001）</w:t>
            </w:r>
            <w:r>
              <w:rPr>
                <w:rFonts w:hint="eastAsia"/>
                <w:color w:val="auto"/>
                <w:sz w:val="24"/>
                <w:szCs w:val="24"/>
              </w:rPr>
              <w:t>和《省生态环境厅关于印发江苏省危险废物贮存规范化管理专项整治行动方案的通知》（苏环办〔2019〕149号）</w:t>
            </w:r>
            <w:r>
              <w:rPr>
                <w:color w:val="auto"/>
                <w:sz w:val="24"/>
                <w:szCs w:val="24"/>
              </w:rPr>
              <w:t>的要求进行设置，并做到以下几点：</w:t>
            </w:r>
          </w:p>
          <w:p>
            <w:pPr>
              <w:autoSpaceDE w:val="0"/>
              <w:autoSpaceDN w:val="0"/>
              <w:adjustRightInd w:val="0"/>
              <w:spacing w:line="360" w:lineRule="auto"/>
              <w:ind w:firstLine="480" w:firstLineChars="200"/>
              <w:rPr>
                <w:color w:val="auto"/>
                <w:sz w:val="24"/>
                <w:szCs w:val="24"/>
              </w:rPr>
            </w:pPr>
            <w:r>
              <w:rPr>
                <w:rFonts w:hint="eastAsia"/>
                <w:color w:val="auto"/>
                <w:sz w:val="24"/>
                <w:szCs w:val="24"/>
              </w:rPr>
              <w:t>a企业应根据危险废物的种类和特性进行分区、分类贮存，设置防雨、防火、防雷、防扬散、防渗漏装置及泄漏液体收集装置；</w:t>
            </w:r>
          </w:p>
          <w:p>
            <w:pPr>
              <w:autoSpaceDE w:val="0"/>
              <w:autoSpaceDN w:val="0"/>
              <w:adjustRightInd w:val="0"/>
              <w:spacing w:line="360" w:lineRule="auto"/>
              <w:ind w:firstLine="480" w:firstLineChars="200"/>
              <w:rPr>
                <w:color w:val="auto"/>
                <w:sz w:val="24"/>
                <w:szCs w:val="24"/>
              </w:rPr>
            </w:pPr>
            <w:r>
              <w:rPr>
                <w:rFonts w:hint="eastAsia"/>
                <w:color w:val="auto"/>
                <w:sz w:val="24"/>
                <w:szCs w:val="24"/>
              </w:rPr>
              <w:t>b</w:t>
            </w:r>
            <w:r>
              <w:rPr>
                <w:color w:val="auto"/>
                <w:sz w:val="24"/>
                <w:szCs w:val="24"/>
              </w:rPr>
              <w:t>废物贮存设施周围应设置围墙或其它防护栅栏；</w:t>
            </w:r>
          </w:p>
          <w:p>
            <w:pPr>
              <w:autoSpaceDE w:val="0"/>
              <w:autoSpaceDN w:val="0"/>
              <w:adjustRightInd w:val="0"/>
              <w:spacing w:line="360" w:lineRule="auto"/>
              <w:ind w:firstLine="480" w:firstLineChars="200"/>
              <w:rPr>
                <w:color w:val="auto"/>
                <w:sz w:val="24"/>
                <w:szCs w:val="24"/>
              </w:rPr>
            </w:pPr>
            <w:r>
              <w:rPr>
                <w:rFonts w:hint="eastAsia"/>
                <w:color w:val="auto"/>
                <w:sz w:val="24"/>
                <w:szCs w:val="24"/>
              </w:rPr>
              <w:t>c</w:t>
            </w:r>
            <w:r>
              <w:rPr>
                <w:color w:val="auto"/>
                <w:sz w:val="24"/>
                <w:szCs w:val="24"/>
              </w:rPr>
              <w:t>废物贮存设施内清理出来的泄漏物，一律按危险废物处理；</w:t>
            </w:r>
          </w:p>
          <w:p>
            <w:pPr>
              <w:autoSpaceDE w:val="0"/>
              <w:autoSpaceDN w:val="0"/>
              <w:adjustRightInd w:val="0"/>
              <w:spacing w:line="360" w:lineRule="auto"/>
              <w:ind w:firstLine="480" w:firstLineChars="200"/>
              <w:rPr>
                <w:color w:val="auto"/>
                <w:sz w:val="24"/>
                <w:szCs w:val="24"/>
              </w:rPr>
            </w:pPr>
            <w:r>
              <w:rPr>
                <w:rFonts w:hint="eastAsia"/>
                <w:color w:val="auto"/>
                <w:sz w:val="24"/>
                <w:szCs w:val="24"/>
              </w:rPr>
              <w:t>d</w:t>
            </w:r>
            <w:r>
              <w:rPr>
                <w:color w:val="auto"/>
                <w:sz w:val="24"/>
                <w:szCs w:val="24"/>
              </w:rPr>
              <w:t>危险废物暂存场地面与裙脚要用坚固、防渗的材料建造，建筑材料必须与危险废物相容。</w:t>
            </w:r>
          </w:p>
          <w:p>
            <w:pPr>
              <w:autoSpaceDE w:val="0"/>
              <w:autoSpaceDN w:val="0"/>
              <w:adjustRightInd w:val="0"/>
              <w:spacing w:line="360" w:lineRule="auto"/>
              <w:ind w:firstLine="480" w:firstLineChars="200"/>
              <w:rPr>
                <w:color w:val="auto"/>
                <w:sz w:val="24"/>
                <w:szCs w:val="24"/>
              </w:rPr>
            </w:pPr>
            <w:r>
              <w:rPr>
                <w:rFonts w:hint="eastAsia"/>
                <w:color w:val="auto"/>
                <w:sz w:val="24"/>
                <w:szCs w:val="24"/>
              </w:rPr>
              <w:t>e</w:t>
            </w:r>
            <w:r>
              <w:rPr>
                <w:color w:val="auto"/>
                <w:sz w:val="24"/>
                <w:szCs w:val="24"/>
              </w:rPr>
              <w:t>废物贮存设施应配备通讯设备、照明设施、安全防护服装及工具，并设有应急防护设施；在出入口、设施内部、危险废物运输车辆通道等关键位置按照危险废物贮存设施视频监控布设要求设置视频监控，并与中控室联网</w:t>
            </w:r>
            <w:r>
              <w:rPr>
                <w:rFonts w:hint="eastAsia"/>
                <w:color w:val="auto"/>
                <w:sz w:val="24"/>
                <w:szCs w:val="24"/>
              </w:rPr>
              <w:t>；因维修、更换等原因导致监控设备不能正常运行的，应采取人工摄像等应急措施，确保视频监控不间断；</w:t>
            </w:r>
          </w:p>
          <w:p>
            <w:pPr>
              <w:autoSpaceDE w:val="0"/>
              <w:autoSpaceDN w:val="0"/>
              <w:adjustRightInd w:val="0"/>
              <w:spacing w:line="360" w:lineRule="auto"/>
              <w:ind w:firstLine="480" w:firstLineChars="200"/>
              <w:rPr>
                <w:color w:val="auto"/>
                <w:sz w:val="24"/>
                <w:szCs w:val="24"/>
              </w:rPr>
            </w:pPr>
            <w:r>
              <w:rPr>
                <w:rFonts w:hint="eastAsia"/>
                <w:color w:val="auto"/>
                <w:sz w:val="24"/>
                <w:szCs w:val="24"/>
              </w:rPr>
              <w:t>f</w:t>
            </w:r>
            <w:r>
              <w:rPr>
                <w:color w:val="auto"/>
                <w:sz w:val="24"/>
                <w:szCs w:val="24"/>
              </w:rPr>
              <w:t>废物贮存设施必须按《环境保护图形标志(GB15562－1995)》</w:t>
            </w:r>
            <w:r>
              <w:rPr>
                <w:rFonts w:hint="eastAsia"/>
                <w:color w:val="auto"/>
                <w:sz w:val="24"/>
                <w:szCs w:val="24"/>
              </w:rPr>
              <w:t>及《省生态环境厅关于进一步加强危险废物污染防治工作的实施意见苏环办（〔2019〕327号）》</w:t>
            </w:r>
            <w:r>
              <w:rPr>
                <w:color w:val="auto"/>
                <w:sz w:val="24"/>
                <w:szCs w:val="24"/>
              </w:rPr>
              <w:t>的规定设置警示标志；且盛装危险废物的容器上必须粘贴符合标准标签；</w:t>
            </w:r>
          </w:p>
          <w:p>
            <w:pPr>
              <w:autoSpaceDE w:val="0"/>
              <w:autoSpaceDN w:val="0"/>
              <w:adjustRightInd w:val="0"/>
              <w:spacing w:line="360" w:lineRule="auto"/>
              <w:ind w:firstLine="480" w:firstLineChars="200"/>
              <w:rPr>
                <w:color w:val="auto"/>
                <w:sz w:val="24"/>
                <w:szCs w:val="24"/>
              </w:rPr>
            </w:pPr>
            <w:r>
              <w:rPr>
                <w:rFonts w:hint="eastAsia"/>
                <w:color w:val="auto"/>
                <w:sz w:val="24"/>
                <w:szCs w:val="24"/>
              </w:rPr>
              <w:t>g用以存放装载液体、半固体危险废物容器的地方，必须有耐腐蚀的硬化地</w:t>
            </w:r>
          </w:p>
          <w:p>
            <w:pPr>
              <w:autoSpaceDE w:val="0"/>
              <w:autoSpaceDN w:val="0"/>
              <w:adjustRightInd w:val="0"/>
              <w:spacing w:line="360" w:lineRule="auto"/>
              <w:rPr>
                <w:color w:val="auto"/>
                <w:sz w:val="24"/>
                <w:szCs w:val="24"/>
              </w:rPr>
            </w:pPr>
            <w:r>
              <w:rPr>
                <w:rFonts w:hint="eastAsia"/>
                <w:color w:val="auto"/>
                <w:sz w:val="24"/>
                <w:szCs w:val="24"/>
              </w:rPr>
              <w:t>面，且表面无裂隙；必须设置用于收集废液溢出包装容器的接液盘。</w:t>
            </w:r>
          </w:p>
          <w:p>
            <w:pPr>
              <w:autoSpaceDE w:val="0"/>
              <w:autoSpaceDN w:val="0"/>
              <w:adjustRightInd w:val="0"/>
              <w:spacing w:line="360" w:lineRule="auto"/>
              <w:ind w:firstLine="480" w:firstLineChars="200"/>
              <w:rPr>
                <w:rFonts w:hint="eastAsia"/>
                <w:color w:val="auto"/>
                <w:sz w:val="24"/>
                <w:szCs w:val="24"/>
                <w:lang w:val="en-US" w:eastAsia="zh-CN"/>
              </w:rPr>
            </w:pPr>
            <w:r>
              <w:rPr>
                <w:rFonts w:hint="eastAsia"/>
                <w:color w:val="auto"/>
                <w:sz w:val="24"/>
                <w:szCs w:val="24"/>
                <w:lang w:val="en-US" w:eastAsia="zh-CN"/>
              </w:rPr>
              <w:t>h企业应根据危险废物的种类和特性进行分区、分类贮存，设置防雨、防火、</w:t>
            </w:r>
          </w:p>
          <w:p>
            <w:pPr>
              <w:autoSpaceDE w:val="0"/>
              <w:autoSpaceDN w:val="0"/>
              <w:adjustRightInd w:val="0"/>
              <w:spacing w:line="360" w:lineRule="auto"/>
              <w:rPr>
                <w:rFonts w:hint="eastAsia"/>
                <w:color w:val="auto"/>
                <w:sz w:val="24"/>
                <w:szCs w:val="24"/>
                <w:lang w:val="en-US" w:eastAsia="zh-CN"/>
              </w:rPr>
            </w:pPr>
            <w:r>
              <w:rPr>
                <w:rFonts w:hint="eastAsia"/>
                <w:color w:val="auto"/>
                <w:sz w:val="24"/>
                <w:szCs w:val="24"/>
                <w:lang w:val="en-US" w:eastAsia="zh-CN"/>
              </w:rPr>
              <w:t>防雷、防扬散、防渗漏装置及泄漏液体收集装置。对易爆、易燃及排出有毒气体</w:t>
            </w:r>
          </w:p>
          <w:p>
            <w:pPr>
              <w:autoSpaceDE w:val="0"/>
              <w:autoSpaceDN w:val="0"/>
              <w:adjustRightInd w:val="0"/>
              <w:spacing w:line="360" w:lineRule="auto"/>
              <w:rPr>
                <w:rFonts w:hint="eastAsia"/>
                <w:color w:val="auto"/>
                <w:sz w:val="24"/>
                <w:szCs w:val="24"/>
                <w:lang w:val="en-US" w:eastAsia="zh-CN"/>
              </w:rPr>
            </w:pPr>
            <w:r>
              <w:rPr>
                <w:rFonts w:hint="eastAsia"/>
                <w:color w:val="auto"/>
                <w:sz w:val="24"/>
                <w:szCs w:val="24"/>
                <w:lang w:val="en-US" w:eastAsia="zh-CN"/>
              </w:rPr>
              <w:t>的危险废物进行预处理，稳定后贮存，否则按易爆、易燃危险品贮存。贮存废弃</w:t>
            </w:r>
          </w:p>
          <w:p>
            <w:pPr>
              <w:autoSpaceDE w:val="0"/>
              <w:autoSpaceDN w:val="0"/>
              <w:adjustRightInd w:val="0"/>
              <w:spacing w:line="360" w:lineRule="auto"/>
              <w:rPr>
                <w:rFonts w:hint="eastAsia"/>
                <w:color w:val="auto"/>
                <w:sz w:val="24"/>
                <w:szCs w:val="24"/>
                <w:lang w:val="en-US" w:eastAsia="zh-CN"/>
              </w:rPr>
            </w:pPr>
            <w:r>
              <w:rPr>
                <w:rFonts w:hint="eastAsia"/>
                <w:color w:val="auto"/>
                <w:sz w:val="24"/>
                <w:szCs w:val="24"/>
                <w:lang w:val="en-US" w:eastAsia="zh-CN"/>
              </w:rPr>
              <w:t>剧毒化学品的，应按照公安机关要求落实治安防范措施。危险废物经营单位需制</w:t>
            </w:r>
          </w:p>
          <w:p>
            <w:pPr>
              <w:autoSpaceDE w:val="0"/>
              <w:autoSpaceDN w:val="0"/>
              <w:adjustRightInd w:val="0"/>
              <w:spacing w:line="360" w:lineRule="auto"/>
              <w:rPr>
                <w:rFonts w:hint="eastAsia"/>
                <w:color w:val="auto"/>
                <w:sz w:val="24"/>
                <w:szCs w:val="24"/>
                <w:lang w:val="en-US" w:eastAsia="zh-CN"/>
              </w:rPr>
            </w:pPr>
            <w:r>
              <w:rPr>
                <w:rFonts w:hint="eastAsia"/>
                <w:color w:val="auto"/>
                <w:sz w:val="24"/>
                <w:szCs w:val="24"/>
                <w:lang w:val="en-US" w:eastAsia="zh-CN"/>
              </w:rPr>
              <w:t>定废物入场控制措施，并不得接受核准经营许可以外的种类；贮存设施周转的累</w:t>
            </w:r>
          </w:p>
          <w:p>
            <w:pPr>
              <w:autoSpaceDE w:val="0"/>
              <w:autoSpaceDN w:val="0"/>
              <w:adjustRightInd w:val="0"/>
              <w:spacing w:line="360" w:lineRule="auto"/>
              <w:rPr>
                <w:rFonts w:hint="eastAsia"/>
                <w:color w:val="auto"/>
                <w:sz w:val="24"/>
                <w:szCs w:val="24"/>
                <w:lang w:val="en-US" w:eastAsia="zh-CN"/>
              </w:rPr>
            </w:pPr>
            <w:r>
              <w:rPr>
                <w:rFonts w:hint="eastAsia"/>
                <w:color w:val="auto"/>
                <w:sz w:val="24"/>
                <w:szCs w:val="24"/>
                <w:lang w:val="en-US" w:eastAsia="zh-CN"/>
              </w:rPr>
              <w:t>积贮存量不得超过年许可经营能力的六分之一，贮存期限原则上不得超过一年。</w:t>
            </w:r>
          </w:p>
          <w:p>
            <w:pPr>
              <w:autoSpaceDE w:val="0"/>
              <w:autoSpaceDN w:val="0"/>
              <w:adjustRightInd w:val="0"/>
              <w:spacing w:line="360" w:lineRule="auto"/>
              <w:ind w:firstLine="480" w:firstLineChars="200"/>
              <w:rPr>
                <w:color w:val="auto"/>
                <w:sz w:val="24"/>
                <w:szCs w:val="24"/>
              </w:rPr>
            </w:pPr>
            <w:r>
              <w:rPr>
                <w:rFonts w:hint="eastAsia"/>
                <w:color w:val="auto"/>
                <w:sz w:val="24"/>
                <w:szCs w:val="24"/>
                <w:lang w:val="en-US" w:eastAsia="zh-CN"/>
              </w:rPr>
              <w:t>I</w:t>
            </w:r>
            <w:r>
              <w:rPr>
                <w:color w:val="auto"/>
                <w:sz w:val="24"/>
                <w:szCs w:val="24"/>
              </w:rPr>
              <w:t>危险废物转移应遵从《危险废物转移联单管理办法》及其它有关规定，确保危险废物安全处置，防止二次污染。</w:t>
            </w:r>
          </w:p>
          <w:p>
            <w:pPr>
              <w:autoSpaceDE w:val="0"/>
              <w:autoSpaceDN w:val="0"/>
              <w:adjustRightInd w:val="0"/>
              <w:spacing w:line="360" w:lineRule="auto"/>
              <w:ind w:firstLine="480" w:firstLineChars="200"/>
              <w:rPr>
                <w:color w:val="auto"/>
                <w:sz w:val="24"/>
                <w:szCs w:val="24"/>
              </w:rPr>
            </w:pPr>
            <w:r>
              <w:rPr>
                <w:rFonts w:hint="eastAsia"/>
                <w:color w:val="auto"/>
                <w:sz w:val="24"/>
                <w:szCs w:val="24"/>
              </w:rPr>
              <w:t>4</w:t>
            </w:r>
            <w:r>
              <w:rPr>
                <w:color w:val="auto"/>
                <w:sz w:val="24"/>
                <w:szCs w:val="24"/>
              </w:rPr>
              <w:t>）运输过程的污染防治措施</w:t>
            </w:r>
          </w:p>
          <w:p>
            <w:pPr>
              <w:autoSpaceDE w:val="0"/>
              <w:autoSpaceDN w:val="0"/>
              <w:adjustRightInd w:val="0"/>
              <w:spacing w:line="360" w:lineRule="auto"/>
              <w:ind w:firstLine="480" w:firstLineChars="200"/>
              <w:rPr>
                <w:color w:val="auto"/>
                <w:sz w:val="24"/>
                <w:szCs w:val="24"/>
              </w:rPr>
            </w:pPr>
            <w:r>
              <w:rPr>
                <w:color w:val="auto"/>
                <w:sz w:val="24"/>
                <w:szCs w:val="24"/>
              </w:rPr>
              <w:t>危险废物运输必须按照《危险废物收集贮存运输技术规范》（HJ2025-2012）的要求并做到以下几点：</w:t>
            </w:r>
          </w:p>
          <w:p>
            <w:pPr>
              <w:autoSpaceDE w:val="0"/>
              <w:autoSpaceDN w:val="0"/>
              <w:adjustRightInd w:val="0"/>
              <w:spacing w:line="360" w:lineRule="auto"/>
              <w:ind w:firstLine="480" w:firstLineChars="200"/>
              <w:rPr>
                <w:color w:val="auto"/>
                <w:sz w:val="24"/>
                <w:szCs w:val="24"/>
              </w:rPr>
            </w:pPr>
            <w:r>
              <w:rPr>
                <w:color w:val="auto"/>
                <w:sz w:val="24"/>
                <w:szCs w:val="24"/>
              </w:rPr>
              <w:t>①危险废物运输应由持有危险废物经营许可证的单位按照其许可证的经营范围组织实施，承担危险废物运输的单位应获得交通运输部门颁发的危险货物运输资质。</w:t>
            </w:r>
          </w:p>
          <w:p>
            <w:pPr>
              <w:autoSpaceDE w:val="0"/>
              <w:autoSpaceDN w:val="0"/>
              <w:adjustRightInd w:val="0"/>
              <w:spacing w:line="360" w:lineRule="auto"/>
              <w:ind w:firstLine="480" w:firstLineChars="200"/>
              <w:rPr>
                <w:color w:val="auto"/>
                <w:sz w:val="24"/>
                <w:szCs w:val="24"/>
              </w:rPr>
            </w:pPr>
            <w:r>
              <w:rPr>
                <w:color w:val="auto"/>
                <w:sz w:val="24"/>
                <w:szCs w:val="24"/>
              </w:rPr>
              <w:t>②危险废物公路运输应按照《道路危险货物运输管理规定》（交通部令[2015年]第9号）、JT617以及JT618执行。</w:t>
            </w:r>
          </w:p>
          <w:p>
            <w:pPr>
              <w:autoSpaceDE w:val="0"/>
              <w:autoSpaceDN w:val="0"/>
              <w:adjustRightInd w:val="0"/>
              <w:spacing w:line="360" w:lineRule="auto"/>
              <w:ind w:firstLine="480" w:firstLineChars="200"/>
              <w:rPr>
                <w:color w:val="auto"/>
                <w:sz w:val="24"/>
                <w:szCs w:val="24"/>
              </w:rPr>
            </w:pPr>
            <w:r>
              <w:rPr>
                <w:color w:val="auto"/>
                <w:sz w:val="24"/>
                <w:szCs w:val="24"/>
              </w:rPr>
              <w:t>③运输单位在承运危险废物时，应在危险废物包装上按照GB18597附录A设置标志。</w:t>
            </w:r>
          </w:p>
          <w:p>
            <w:pPr>
              <w:autoSpaceDE w:val="0"/>
              <w:autoSpaceDN w:val="0"/>
              <w:adjustRightInd w:val="0"/>
              <w:spacing w:line="360" w:lineRule="auto"/>
              <w:ind w:firstLine="480" w:firstLineChars="200"/>
              <w:rPr>
                <w:color w:val="auto"/>
                <w:sz w:val="24"/>
                <w:szCs w:val="24"/>
              </w:rPr>
            </w:pPr>
            <w:r>
              <w:rPr>
                <w:color w:val="auto"/>
                <w:sz w:val="24"/>
                <w:szCs w:val="24"/>
              </w:rPr>
              <w:t>④危险废物公路运输时，运输车辆按GB13392设置车辆标志。铁路运输和水路运输危险废物时应在集装箱外按GB190规定悬挂标志。</w:t>
            </w:r>
          </w:p>
          <w:p>
            <w:pPr>
              <w:autoSpaceDE w:val="0"/>
              <w:autoSpaceDN w:val="0"/>
              <w:adjustRightInd w:val="0"/>
              <w:spacing w:line="360" w:lineRule="auto"/>
              <w:ind w:firstLine="480" w:firstLineChars="200"/>
              <w:rPr>
                <w:color w:val="auto"/>
                <w:sz w:val="24"/>
                <w:szCs w:val="24"/>
              </w:rPr>
            </w:pPr>
            <w:r>
              <w:rPr>
                <w:color w:val="auto"/>
                <w:sz w:val="24"/>
                <w:szCs w:val="24"/>
              </w:rPr>
              <w:t>⑤危险废物运输时的中转、装卸过程应遵守如下技术要求：装卸区的工作人员应熟悉废物的危险特性，并配备适当的个人防护装备；</w:t>
            </w:r>
          </w:p>
          <w:p>
            <w:pPr>
              <w:autoSpaceDE w:val="0"/>
              <w:autoSpaceDN w:val="0"/>
              <w:adjustRightInd w:val="0"/>
              <w:spacing w:line="360" w:lineRule="auto"/>
              <w:ind w:firstLine="480" w:firstLineChars="200"/>
              <w:rPr>
                <w:color w:val="auto"/>
                <w:sz w:val="24"/>
                <w:szCs w:val="24"/>
              </w:rPr>
            </w:pPr>
            <w:r>
              <w:rPr>
                <w:color w:val="auto"/>
                <w:sz w:val="24"/>
                <w:szCs w:val="24"/>
              </w:rPr>
              <w:t>装卸区应配备必要的消防设备和设施，并设置明显的指示标志；</w:t>
            </w:r>
          </w:p>
          <w:p>
            <w:pPr>
              <w:autoSpaceDE w:val="0"/>
              <w:autoSpaceDN w:val="0"/>
              <w:adjustRightInd w:val="0"/>
              <w:spacing w:line="360" w:lineRule="auto"/>
              <w:rPr>
                <w:color w:val="auto"/>
                <w:sz w:val="24"/>
                <w:szCs w:val="24"/>
              </w:rPr>
            </w:pPr>
            <w:r>
              <w:rPr>
                <w:color w:val="auto"/>
                <w:sz w:val="24"/>
                <w:szCs w:val="24"/>
              </w:rPr>
              <w:t>危险废物装卸区应设置隔离设施</w:t>
            </w:r>
            <w:r>
              <w:rPr>
                <w:rFonts w:hint="eastAsia"/>
                <w:color w:val="auto"/>
                <w:sz w:val="24"/>
                <w:szCs w:val="24"/>
              </w:rPr>
              <w:t>。</w:t>
            </w:r>
          </w:p>
          <w:p>
            <w:pPr>
              <w:autoSpaceDE w:val="0"/>
              <w:autoSpaceDN w:val="0"/>
              <w:adjustRightInd w:val="0"/>
              <w:spacing w:line="360" w:lineRule="auto"/>
              <w:ind w:firstLine="480" w:firstLineChars="200"/>
              <w:rPr>
                <w:color w:val="auto"/>
                <w:sz w:val="24"/>
                <w:szCs w:val="24"/>
              </w:rPr>
            </w:pPr>
            <w:r>
              <w:rPr>
                <w:rFonts w:hint="eastAsia"/>
                <w:color w:val="auto"/>
                <w:sz w:val="24"/>
                <w:szCs w:val="24"/>
              </w:rPr>
              <w:t>5）危废管理要求</w:t>
            </w:r>
          </w:p>
          <w:p>
            <w:pPr>
              <w:autoSpaceDE w:val="0"/>
              <w:autoSpaceDN w:val="0"/>
              <w:adjustRightInd w:val="0"/>
              <w:spacing w:line="360" w:lineRule="auto"/>
              <w:ind w:firstLine="480" w:firstLineChars="200"/>
              <w:rPr>
                <w:color w:val="auto"/>
                <w:sz w:val="24"/>
                <w:szCs w:val="24"/>
              </w:rPr>
            </w:pPr>
            <w:r>
              <w:rPr>
                <w:color w:val="auto"/>
                <w:sz w:val="24"/>
                <w:szCs w:val="24"/>
              </w:rPr>
              <w:t>①</w:t>
            </w:r>
            <w:r>
              <w:rPr>
                <w:rFonts w:hint="eastAsia"/>
                <w:color w:val="auto"/>
                <w:sz w:val="24"/>
                <w:szCs w:val="24"/>
              </w:rPr>
              <w:t>建立危险废物污染防洽责任制度、内部管理制度和应对危险废物污染的防洽措施；建立危废管理图表，有危废管理领导小组及分工；建立岗位责任制度，企业主要领导、主管领导、主管部门、主管人员、各生产单位主管人员及各生产班组（员工）在危废管理工作方面的岗位职责和责任；建立安全操作规程，企业产生危险废物工艺环节安全操作的有关规定及要求；建立了责任制，负责人明确、责任清晰，负责人熟悉危险废物管理相关法规、制度、标准、规范。</w:t>
            </w:r>
          </w:p>
          <w:p>
            <w:pPr>
              <w:autoSpaceDE w:val="0"/>
              <w:autoSpaceDN w:val="0"/>
              <w:adjustRightInd w:val="0"/>
              <w:spacing w:line="360" w:lineRule="auto"/>
              <w:ind w:firstLine="480" w:firstLineChars="200"/>
              <w:rPr>
                <w:color w:val="auto"/>
                <w:sz w:val="24"/>
                <w:szCs w:val="24"/>
              </w:rPr>
            </w:pPr>
            <w:r>
              <w:rPr>
                <w:color w:val="auto"/>
                <w:sz w:val="24"/>
                <w:szCs w:val="24"/>
              </w:rPr>
              <w:t>②</w:t>
            </w:r>
            <w:r>
              <w:rPr>
                <w:rFonts w:hint="eastAsia"/>
                <w:color w:val="auto"/>
                <w:sz w:val="24"/>
                <w:szCs w:val="24"/>
              </w:rPr>
              <w:t>在生产装置区装设监控系统，对进出危险货物的储存、处置设施进行持续检测和控制。</w:t>
            </w:r>
          </w:p>
          <w:p>
            <w:pPr>
              <w:autoSpaceDE w:val="0"/>
              <w:autoSpaceDN w:val="0"/>
              <w:adjustRightInd w:val="0"/>
              <w:spacing w:line="360" w:lineRule="auto"/>
              <w:ind w:firstLine="480" w:firstLineChars="200"/>
              <w:rPr>
                <w:color w:val="auto"/>
                <w:sz w:val="24"/>
                <w:szCs w:val="24"/>
              </w:rPr>
            </w:pPr>
            <w:r>
              <w:rPr>
                <w:color w:val="auto"/>
                <w:sz w:val="24"/>
                <w:szCs w:val="24"/>
              </w:rPr>
              <w:t>③</w:t>
            </w:r>
            <w:r>
              <w:rPr>
                <w:rFonts w:hint="eastAsia"/>
                <w:color w:val="auto"/>
                <w:sz w:val="24"/>
                <w:szCs w:val="24"/>
              </w:rPr>
              <w:t>制定危险废物管理计划，危险废物的产生环节、种类、危害特性、产生量、利用处置方式描述清晰；报环保部门备案；及时申报了重大改变。</w:t>
            </w:r>
          </w:p>
          <w:p>
            <w:pPr>
              <w:autoSpaceDE w:val="0"/>
              <w:autoSpaceDN w:val="0"/>
              <w:adjustRightInd w:val="0"/>
              <w:spacing w:line="360" w:lineRule="auto"/>
              <w:ind w:firstLine="480" w:firstLineChars="200"/>
              <w:rPr>
                <w:b/>
                <w:bCs/>
                <w:color w:val="auto"/>
                <w:sz w:val="24"/>
                <w:szCs w:val="24"/>
              </w:rPr>
            </w:pPr>
            <w:r>
              <w:rPr>
                <w:color w:val="auto"/>
                <w:sz w:val="24"/>
                <w:szCs w:val="24"/>
              </w:rPr>
              <w:t>④</w:t>
            </w:r>
            <w:r>
              <w:rPr>
                <w:rFonts w:hint="eastAsia"/>
                <w:color w:val="auto"/>
                <w:sz w:val="24"/>
                <w:szCs w:val="24"/>
              </w:rPr>
              <w:t>对可能存在挥发性废气的危险废物进行密封处置（废包装桶盖紧桶盖密封保存），定期对危废仓库进行通风。</w:t>
            </w:r>
          </w:p>
          <w:p>
            <w:pPr>
              <w:autoSpaceDE w:val="0"/>
              <w:autoSpaceDN w:val="0"/>
              <w:adjustRightInd w:val="0"/>
              <w:spacing w:line="360" w:lineRule="auto"/>
              <w:ind w:firstLine="480" w:firstLineChars="200"/>
              <w:rPr>
                <w:b/>
                <w:bCs/>
                <w:color w:val="auto"/>
                <w:sz w:val="24"/>
                <w:szCs w:val="24"/>
              </w:rPr>
            </w:pPr>
            <w:r>
              <w:rPr>
                <w:b/>
                <w:bCs/>
                <w:color w:val="auto"/>
                <w:sz w:val="24"/>
                <w:szCs w:val="24"/>
              </w:rPr>
              <w:t>（</w:t>
            </w:r>
            <w:r>
              <w:rPr>
                <w:rFonts w:hint="eastAsia"/>
                <w:b/>
                <w:bCs/>
                <w:color w:val="auto"/>
                <w:sz w:val="24"/>
                <w:szCs w:val="24"/>
              </w:rPr>
              <w:t>2</w:t>
            </w:r>
            <w:r>
              <w:rPr>
                <w:b/>
                <w:bCs/>
                <w:color w:val="auto"/>
                <w:sz w:val="24"/>
                <w:szCs w:val="24"/>
              </w:rPr>
              <w:t>）一般固体废物</w:t>
            </w:r>
          </w:p>
          <w:p>
            <w:pPr>
              <w:adjustRightInd w:val="0"/>
              <w:snapToGrid w:val="0"/>
              <w:spacing w:line="360" w:lineRule="auto"/>
              <w:ind w:firstLine="480" w:firstLineChars="200"/>
              <w:rPr>
                <w:bCs/>
                <w:color w:val="auto"/>
                <w:sz w:val="24"/>
                <w:szCs w:val="22"/>
              </w:rPr>
            </w:pPr>
            <w:r>
              <w:rPr>
                <w:color w:val="auto"/>
                <w:sz w:val="24"/>
                <w:szCs w:val="24"/>
              </w:rPr>
              <w:t>本项目一般固废为</w:t>
            </w:r>
            <w:r>
              <w:rPr>
                <w:rFonts w:hint="eastAsia"/>
                <w:color w:val="auto"/>
                <w:sz w:val="24"/>
                <w:szCs w:val="24"/>
              </w:rPr>
              <w:t>废边角料</w:t>
            </w:r>
            <w:r>
              <w:rPr>
                <w:rFonts w:hint="eastAsia"/>
                <w:color w:val="auto"/>
                <w:sz w:val="24"/>
                <w:szCs w:val="24"/>
                <w:lang w:eastAsia="zh-CN"/>
              </w:rPr>
              <w:t>、</w:t>
            </w:r>
            <w:r>
              <w:rPr>
                <w:rFonts w:hint="eastAsia"/>
                <w:color w:val="auto"/>
                <w:sz w:val="24"/>
                <w:szCs w:val="24"/>
                <w:lang w:val="en-US" w:eastAsia="zh-CN"/>
              </w:rPr>
              <w:t>废渣、废砂、废铁丸、加工粉尘、废塑粉、锌颗粒物和废锌丝、废包装材料</w:t>
            </w:r>
            <w:r>
              <w:rPr>
                <w:rFonts w:hint="eastAsia"/>
                <w:color w:val="auto"/>
                <w:sz w:val="24"/>
              </w:rPr>
              <w:t>，</w:t>
            </w:r>
            <w:r>
              <w:rPr>
                <w:bCs/>
                <w:color w:val="auto"/>
                <w:sz w:val="24"/>
              </w:rPr>
              <w:t>本项</w:t>
            </w:r>
            <w:r>
              <w:rPr>
                <w:bCs/>
                <w:color w:val="auto"/>
                <w:sz w:val="24"/>
                <w:szCs w:val="22"/>
              </w:rPr>
              <w:t>目</w:t>
            </w:r>
            <w:r>
              <w:rPr>
                <w:rFonts w:hint="eastAsia"/>
                <w:bCs/>
                <w:color w:val="auto"/>
                <w:sz w:val="24"/>
                <w:szCs w:val="22"/>
              </w:rPr>
              <w:t>车间内设置一般固废仓库1个</w:t>
            </w:r>
            <w:r>
              <w:rPr>
                <w:bCs/>
                <w:color w:val="auto"/>
                <w:sz w:val="24"/>
                <w:szCs w:val="22"/>
              </w:rPr>
              <w:t>，</w:t>
            </w:r>
            <w:r>
              <w:rPr>
                <w:rFonts w:hint="eastAsia"/>
                <w:bCs/>
                <w:color w:val="auto"/>
                <w:sz w:val="24"/>
                <w:szCs w:val="22"/>
              </w:rPr>
              <w:t>总</w:t>
            </w:r>
            <w:r>
              <w:rPr>
                <w:bCs/>
                <w:color w:val="auto"/>
                <w:sz w:val="24"/>
                <w:szCs w:val="22"/>
              </w:rPr>
              <w:t>建筑面积</w:t>
            </w:r>
            <w:r>
              <w:rPr>
                <w:rFonts w:hint="eastAsia"/>
                <w:bCs/>
                <w:color w:val="auto"/>
                <w:sz w:val="24"/>
                <w:szCs w:val="22"/>
                <w:lang w:val="en-US" w:eastAsia="zh-CN"/>
              </w:rPr>
              <w:t>15</w:t>
            </w:r>
            <w:r>
              <w:rPr>
                <w:bCs/>
                <w:color w:val="auto"/>
                <w:sz w:val="24"/>
                <w:szCs w:val="22"/>
              </w:rPr>
              <w:t>m</w:t>
            </w:r>
            <w:r>
              <w:rPr>
                <w:bCs/>
                <w:color w:val="auto"/>
                <w:sz w:val="24"/>
                <w:szCs w:val="22"/>
                <w:vertAlign w:val="superscript"/>
              </w:rPr>
              <w:t>2</w:t>
            </w:r>
            <w:r>
              <w:rPr>
                <w:bCs/>
                <w:color w:val="auto"/>
                <w:sz w:val="24"/>
                <w:szCs w:val="22"/>
              </w:rPr>
              <w:t>，一般固废暂存需满足《一般工业固体废物贮存、处置场污染控制标准》（GB 18599-2001）及2013年修改单要求。具体要求如下：</w:t>
            </w:r>
          </w:p>
          <w:p>
            <w:pPr>
              <w:adjustRightInd w:val="0"/>
              <w:snapToGrid w:val="0"/>
              <w:spacing w:line="360" w:lineRule="auto"/>
              <w:ind w:firstLine="480" w:firstLineChars="200"/>
              <w:rPr>
                <w:bCs/>
                <w:color w:val="auto"/>
                <w:sz w:val="24"/>
                <w:szCs w:val="22"/>
              </w:rPr>
            </w:pPr>
            <w:r>
              <w:rPr>
                <w:bCs/>
                <w:color w:val="auto"/>
                <w:sz w:val="24"/>
                <w:szCs w:val="22"/>
              </w:rPr>
              <w:t>①贮存、处置场的建设类型，必须与将要堆放的一般工业固体废物的类别相一致。</w:t>
            </w:r>
          </w:p>
          <w:p>
            <w:pPr>
              <w:adjustRightInd w:val="0"/>
              <w:snapToGrid w:val="0"/>
              <w:spacing w:line="360" w:lineRule="auto"/>
              <w:ind w:firstLine="480" w:firstLineChars="200"/>
              <w:rPr>
                <w:bCs/>
                <w:color w:val="auto"/>
                <w:sz w:val="24"/>
                <w:szCs w:val="22"/>
              </w:rPr>
            </w:pPr>
            <w:r>
              <w:rPr>
                <w:bCs/>
                <w:color w:val="auto"/>
                <w:sz w:val="24"/>
                <w:szCs w:val="22"/>
              </w:rPr>
              <w:t>②为保障设施、设备正常运营，必要时应采取措施防止地基下沉，尤其是防止不均匀或局部下沉。</w:t>
            </w:r>
          </w:p>
          <w:p>
            <w:pPr>
              <w:autoSpaceDE w:val="0"/>
              <w:autoSpaceDN w:val="0"/>
              <w:adjustRightInd w:val="0"/>
              <w:spacing w:line="360" w:lineRule="auto"/>
              <w:ind w:firstLine="480" w:firstLineChars="200"/>
              <w:rPr>
                <w:color w:val="auto"/>
                <w:sz w:val="24"/>
                <w:szCs w:val="24"/>
              </w:rPr>
            </w:pPr>
            <w:r>
              <w:rPr>
                <w:rFonts w:hint="eastAsia"/>
                <w:color w:val="auto"/>
                <w:sz w:val="24"/>
                <w:szCs w:val="24"/>
              </w:rPr>
              <w:t>综上，本项目固体废物综合利用和处置技术满足相关要求。</w:t>
            </w:r>
          </w:p>
          <w:p>
            <w:pPr>
              <w:autoSpaceDE w:val="0"/>
              <w:autoSpaceDN w:val="0"/>
              <w:adjustRightInd w:val="0"/>
              <w:spacing w:line="360" w:lineRule="auto"/>
              <w:ind w:firstLine="480" w:firstLineChars="200"/>
              <w:rPr>
                <w:b/>
                <w:bCs/>
                <w:color w:val="auto"/>
                <w:sz w:val="24"/>
                <w:szCs w:val="24"/>
              </w:rPr>
            </w:pPr>
            <w:r>
              <w:rPr>
                <w:b/>
                <w:bCs/>
                <w:color w:val="auto"/>
                <w:sz w:val="24"/>
                <w:szCs w:val="24"/>
              </w:rPr>
              <w:t>（</w:t>
            </w:r>
            <w:r>
              <w:rPr>
                <w:rFonts w:hint="eastAsia"/>
                <w:b/>
                <w:bCs/>
                <w:color w:val="auto"/>
                <w:sz w:val="24"/>
                <w:szCs w:val="24"/>
              </w:rPr>
              <w:t>3</w:t>
            </w:r>
            <w:r>
              <w:rPr>
                <w:b/>
                <w:bCs/>
                <w:color w:val="auto"/>
                <w:sz w:val="24"/>
                <w:szCs w:val="24"/>
              </w:rPr>
              <w:t>）生活垃圾</w:t>
            </w:r>
          </w:p>
          <w:p>
            <w:pPr>
              <w:autoSpaceDE w:val="0"/>
              <w:autoSpaceDN w:val="0"/>
              <w:adjustRightInd w:val="0"/>
              <w:spacing w:line="360" w:lineRule="auto"/>
              <w:ind w:firstLine="480" w:firstLineChars="200"/>
              <w:rPr>
                <w:color w:val="auto"/>
                <w:sz w:val="24"/>
                <w:szCs w:val="24"/>
              </w:rPr>
            </w:pPr>
            <w:r>
              <w:rPr>
                <w:color w:val="auto"/>
                <w:sz w:val="24"/>
                <w:szCs w:val="24"/>
              </w:rPr>
              <w:t>职工生活垃圾由环卫部门定期清运，可得到有效处置。</w:t>
            </w:r>
          </w:p>
          <w:p>
            <w:pPr>
              <w:autoSpaceDE w:val="0"/>
              <w:autoSpaceDN w:val="0"/>
              <w:adjustRightInd w:val="0"/>
              <w:spacing w:line="360" w:lineRule="auto"/>
              <w:ind w:firstLine="480" w:firstLineChars="200"/>
              <w:rPr>
                <w:b/>
                <w:color w:val="auto"/>
                <w:sz w:val="24"/>
                <w:szCs w:val="24"/>
              </w:rPr>
            </w:pPr>
            <w:r>
              <w:rPr>
                <w:b/>
                <w:color w:val="auto"/>
                <w:sz w:val="24"/>
                <w:szCs w:val="24"/>
              </w:rPr>
              <w:t>4、噪声</w:t>
            </w:r>
          </w:p>
          <w:p>
            <w:pPr>
              <w:autoSpaceDE w:val="0"/>
              <w:autoSpaceDN w:val="0"/>
              <w:adjustRightInd w:val="0"/>
              <w:spacing w:line="360" w:lineRule="auto"/>
              <w:ind w:firstLine="480" w:firstLineChars="200"/>
              <w:rPr>
                <w:color w:val="auto"/>
                <w:sz w:val="24"/>
                <w:szCs w:val="24"/>
              </w:rPr>
            </w:pPr>
            <w:r>
              <w:rPr>
                <w:color w:val="auto"/>
                <w:sz w:val="24"/>
                <w:szCs w:val="24"/>
              </w:rPr>
              <w:t>建设项目</w:t>
            </w:r>
            <w:r>
              <w:rPr>
                <w:rFonts w:hint="eastAsia"/>
                <w:color w:val="auto"/>
                <w:sz w:val="24"/>
                <w:szCs w:val="24"/>
              </w:rPr>
              <w:t>主要</w:t>
            </w:r>
            <w:r>
              <w:rPr>
                <w:color w:val="auto"/>
                <w:sz w:val="24"/>
                <w:szCs w:val="24"/>
              </w:rPr>
              <w:t>高噪声设备为</w:t>
            </w:r>
            <w:r>
              <w:rPr>
                <w:rFonts w:hint="eastAsia"/>
                <w:color w:val="auto"/>
                <w:sz w:val="24"/>
                <w:szCs w:val="24"/>
              </w:rPr>
              <w:t>镗铣床、摇臂钻、喷砂室、抛丸室、喷漆房、风机、空压机组、水泵等设备</w:t>
            </w:r>
            <w:r>
              <w:rPr>
                <w:color w:val="auto"/>
                <w:sz w:val="24"/>
                <w:szCs w:val="24"/>
              </w:rPr>
              <w:t>，单台设备噪声源强约</w:t>
            </w:r>
            <w:r>
              <w:rPr>
                <w:rFonts w:hint="eastAsia"/>
                <w:color w:val="auto"/>
                <w:sz w:val="24"/>
                <w:szCs w:val="24"/>
                <w:lang w:val="en-US" w:eastAsia="zh-CN"/>
              </w:rPr>
              <w:t>85-90</w:t>
            </w:r>
            <w:r>
              <w:rPr>
                <w:color w:val="auto"/>
                <w:sz w:val="24"/>
                <w:szCs w:val="24"/>
              </w:rPr>
              <w:t>dB（A）。建设单位拟采取以下降噪措施：</w:t>
            </w:r>
          </w:p>
          <w:p>
            <w:pPr>
              <w:autoSpaceDE w:val="0"/>
              <w:autoSpaceDN w:val="0"/>
              <w:adjustRightInd w:val="0"/>
              <w:spacing w:line="360" w:lineRule="auto"/>
              <w:ind w:firstLine="480" w:firstLineChars="200"/>
              <w:rPr>
                <w:color w:val="auto"/>
                <w:sz w:val="24"/>
                <w:szCs w:val="24"/>
              </w:rPr>
            </w:pPr>
            <w:r>
              <w:rPr>
                <w:color w:val="auto"/>
                <w:sz w:val="24"/>
                <w:szCs w:val="24"/>
              </w:rPr>
              <w:t>①合理布局</w:t>
            </w:r>
          </w:p>
          <w:p>
            <w:pPr>
              <w:autoSpaceDE w:val="0"/>
              <w:autoSpaceDN w:val="0"/>
              <w:adjustRightInd w:val="0"/>
              <w:spacing w:line="360" w:lineRule="auto"/>
              <w:ind w:firstLine="480" w:firstLineChars="200"/>
              <w:rPr>
                <w:color w:val="auto"/>
                <w:sz w:val="24"/>
                <w:szCs w:val="24"/>
              </w:rPr>
            </w:pPr>
            <w:r>
              <w:rPr>
                <w:color w:val="auto"/>
                <w:sz w:val="24"/>
                <w:szCs w:val="24"/>
              </w:rPr>
              <w:t>在</w:t>
            </w:r>
            <w:r>
              <w:rPr>
                <w:rFonts w:hint="eastAsia"/>
                <w:color w:val="auto"/>
                <w:sz w:val="24"/>
                <w:szCs w:val="24"/>
              </w:rPr>
              <w:t>厂房</w:t>
            </w:r>
            <w:r>
              <w:rPr>
                <w:color w:val="auto"/>
                <w:sz w:val="24"/>
                <w:szCs w:val="24"/>
              </w:rPr>
              <w:t>总图布置中尽可能使噪声源远离厂界</w:t>
            </w:r>
            <w:r>
              <w:rPr>
                <w:rFonts w:hint="eastAsia"/>
                <w:color w:val="auto"/>
                <w:sz w:val="24"/>
                <w:szCs w:val="24"/>
              </w:rPr>
              <w:t>、远离环境保护目标</w:t>
            </w:r>
            <w:r>
              <w:rPr>
                <w:color w:val="auto"/>
                <w:sz w:val="24"/>
                <w:szCs w:val="24"/>
              </w:rPr>
              <w:t>，以减轻对外界环境的影响。</w:t>
            </w:r>
          </w:p>
          <w:p>
            <w:pPr>
              <w:autoSpaceDE w:val="0"/>
              <w:autoSpaceDN w:val="0"/>
              <w:adjustRightInd w:val="0"/>
              <w:spacing w:line="360" w:lineRule="auto"/>
              <w:ind w:firstLine="480" w:firstLineChars="200"/>
              <w:rPr>
                <w:color w:val="auto"/>
                <w:sz w:val="24"/>
                <w:szCs w:val="24"/>
              </w:rPr>
            </w:pPr>
            <w:r>
              <w:rPr>
                <w:color w:val="auto"/>
                <w:sz w:val="24"/>
                <w:szCs w:val="24"/>
              </w:rPr>
              <w:t>②加强建筑物隔声措施</w:t>
            </w:r>
          </w:p>
          <w:p>
            <w:pPr>
              <w:autoSpaceDE w:val="0"/>
              <w:autoSpaceDN w:val="0"/>
              <w:adjustRightInd w:val="0"/>
              <w:spacing w:line="360" w:lineRule="auto"/>
              <w:ind w:firstLine="480" w:firstLineChars="200"/>
              <w:rPr>
                <w:color w:val="auto"/>
                <w:sz w:val="24"/>
                <w:szCs w:val="24"/>
              </w:rPr>
            </w:pPr>
            <w:r>
              <w:rPr>
                <w:color w:val="auto"/>
                <w:sz w:val="24"/>
                <w:szCs w:val="24"/>
              </w:rPr>
              <w:t>有效利用建筑隔声，防止噪声的扩散和传播</w:t>
            </w:r>
            <w:r>
              <w:rPr>
                <w:rFonts w:hint="eastAsia"/>
                <w:color w:val="auto"/>
                <w:sz w:val="24"/>
                <w:szCs w:val="24"/>
              </w:rPr>
              <w:t>；</w:t>
            </w:r>
          </w:p>
          <w:p>
            <w:pPr>
              <w:autoSpaceDE w:val="0"/>
              <w:autoSpaceDN w:val="0"/>
              <w:adjustRightInd w:val="0"/>
              <w:spacing w:line="360" w:lineRule="auto"/>
              <w:ind w:firstLine="480" w:firstLineChars="200"/>
              <w:rPr>
                <w:color w:val="auto"/>
                <w:sz w:val="24"/>
                <w:szCs w:val="24"/>
              </w:rPr>
            </w:pPr>
            <w:r>
              <w:rPr>
                <w:color w:val="auto"/>
                <w:sz w:val="24"/>
                <w:szCs w:val="24"/>
              </w:rPr>
              <w:t>③设备减振、隔声</w:t>
            </w:r>
          </w:p>
          <w:p>
            <w:pPr>
              <w:autoSpaceDE w:val="0"/>
              <w:autoSpaceDN w:val="0"/>
              <w:adjustRightInd w:val="0"/>
              <w:spacing w:line="360" w:lineRule="auto"/>
              <w:ind w:firstLine="480" w:firstLineChars="200"/>
              <w:rPr>
                <w:color w:val="auto"/>
                <w:sz w:val="24"/>
                <w:szCs w:val="24"/>
              </w:rPr>
            </w:pPr>
            <w:r>
              <w:rPr>
                <w:color w:val="auto"/>
                <w:sz w:val="24"/>
                <w:szCs w:val="24"/>
              </w:rPr>
              <w:t>在高噪声设备与地基之间进行减振处理，安装减振底座</w:t>
            </w:r>
            <w:r>
              <w:rPr>
                <w:rFonts w:hint="eastAsia"/>
                <w:color w:val="auto"/>
                <w:sz w:val="24"/>
                <w:szCs w:val="24"/>
              </w:rPr>
              <w:t>；对高噪声设备（风机等）采取局部防噪隔音措施，增加隔声罩、安装消声器等措施</w:t>
            </w:r>
            <w:r>
              <w:rPr>
                <w:color w:val="auto"/>
                <w:sz w:val="24"/>
                <w:szCs w:val="24"/>
              </w:rPr>
              <w:t>。</w:t>
            </w:r>
          </w:p>
          <w:p>
            <w:pPr>
              <w:autoSpaceDE w:val="0"/>
              <w:autoSpaceDN w:val="0"/>
              <w:adjustRightInd w:val="0"/>
              <w:spacing w:line="360" w:lineRule="auto"/>
              <w:ind w:firstLine="480" w:firstLineChars="200"/>
              <w:rPr>
                <w:color w:val="auto"/>
                <w:sz w:val="24"/>
                <w:szCs w:val="24"/>
              </w:rPr>
            </w:pPr>
            <w:r>
              <w:rPr>
                <w:color w:val="auto"/>
                <w:sz w:val="24"/>
                <w:szCs w:val="24"/>
              </w:rPr>
              <w:t>④强化生产管理</w:t>
            </w:r>
          </w:p>
          <w:p>
            <w:pPr>
              <w:autoSpaceDE w:val="0"/>
              <w:autoSpaceDN w:val="0"/>
              <w:adjustRightInd w:val="0"/>
              <w:spacing w:line="360" w:lineRule="auto"/>
              <w:ind w:firstLine="480" w:firstLineChars="200"/>
              <w:rPr>
                <w:color w:val="auto"/>
                <w:sz w:val="24"/>
                <w:szCs w:val="24"/>
              </w:rPr>
            </w:pPr>
            <w:r>
              <w:rPr>
                <w:color w:val="auto"/>
                <w:sz w:val="24"/>
                <w:szCs w:val="24"/>
              </w:rPr>
              <w:t>提高员工环保意识，规范员工操作；确保各类噪声防治措施有效运行，各设备均保持良好运行状态，防止突发噪声。</w:t>
            </w:r>
          </w:p>
          <w:p>
            <w:pPr>
              <w:autoSpaceDE w:val="0"/>
              <w:autoSpaceDN w:val="0"/>
              <w:adjustRightInd w:val="0"/>
              <w:spacing w:line="360" w:lineRule="auto"/>
              <w:ind w:firstLine="480" w:firstLineChars="200"/>
              <w:rPr>
                <w:color w:val="auto"/>
                <w:sz w:val="24"/>
                <w:szCs w:val="24"/>
              </w:rPr>
            </w:pPr>
            <w:r>
              <w:rPr>
                <w:color w:val="auto"/>
                <w:sz w:val="24"/>
                <w:szCs w:val="24"/>
              </w:rPr>
              <w:t>从以上的分析可知：项目采取以上降噪措施后并经过距离衰减后，降噪效果可达到15-30dB（A）左右。</w:t>
            </w:r>
          </w:p>
          <w:p>
            <w:pPr>
              <w:spacing w:line="360" w:lineRule="auto"/>
              <w:ind w:firstLine="480" w:firstLineChars="200"/>
              <w:rPr>
                <w:b/>
                <w:bCs/>
                <w:color w:val="auto"/>
                <w:sz w:val="24"/>
              </w:rPr>
            </w:pPr>
            <w:r>
              <w:rPr>
                <w:rFonts w:hint="eastAsia"/>
                <w:b/>
                <w:bCs/>
                <w:color w:val="auto"/>
                <w:sz w:val="24"/>
              </w:rPr>
              <w:t>5、地下水及土壤污染防治措施</w:t>
            </w:r>
          </w:p>
          <w:p>
            <w:pPr>
              <w:spacing w:line="360" w:lineRule="auto"/>
              <w:ind w:firstLine="480" w:firstLineChars="200"/>
              <w:rPr>
                <w:color w:val="auto"/>
                <w:sz w:val="24"/>
              </w:rPr>
            </w:pPr>
            <w:r>
              <w:rPr>
                <w:rFonts w:hint="eastAsia"/>
                <w:color w:val="auto"/>
                <w:sz w:val="24"/>
              </w:rPr>
              <w:t>为避免本项目生产过程中对地下水及土壤的危害，采取以下措施：</w:t>
            </w:r>
          </w:p>
          <w:p>
            <w:pPr>
              <w:spacing w:line="360" w:lineRule="auto"/>
              <w:ind w:firstLine="480" w:firstLineChars="200"/>
              <w:rPr>
                <w:color w:val="auto"/>
                <w:sz w:val="24"/>
              </w:rPr>
            </w:pPr>
            <w:r>
              <w:rPr>
                <w:rFonts w:hint="eastAsia"/>
                <w:color w:val="auto"/>
                <w:sz w:val="24"/>
              </w:rPr>
              <w:t>(1)源头上控制</w:t>
            </w:r>
          </w:p>
          <w:p>
            <w:pPr>
              <w:spacing w:line="360" w:lineRule="auto"/>
              <w:ind w:firstLine="480" w:firstLineChars="200"/>
              <w:rPr>
                <w:color w:val="auto"/>
                <w:sz w:val="24"/>
              </w:rPr>
            </w:pPr>
            <w:r>
              <w:rPr>
                <w:rFonts w:hint="eastAsia"/>
                <w:color w:val="auto"/>
                <w:sz w:val="24"/>
              </w:rPr>
              <w:t>本项目生产过程中原料有可能由于跑冒滴漏、雨水的浸淋、溢流等，会污染土壤、地下水，进而流入周围的河流，同时也会影响到地下水，造成整个周围地区水环境的污染。因此企业应该实施清洁生产和循环经济，减少污染物的排放量。从设计、管理各种工艺设备和物料运输线路上，防止和减少污染物的跑冒滴漏；合理布局，减少污染物泄漏途径。</w:t>
            </w:r>
          </w:p>
          <w:p>
            <w:pPr>
              <w:spacing w:line="360" w:lineRule="auto"/>
              <w:ind w:firstLine="480" w:firstLineChars="200"/>
              <w:rPr>
                <w:color w:val="auto"/>
                <w:sz w:val="24"/>
              </w:rPr>
            </w:pPr>
            <w:r>
              <w:rPr>
                <w:rFonts w:hint="eastAsia"/>
                <w:color w:val="auto"/>
                <w:sz w:val="24"/>
              </w:rPr>
              <w:t>(2) 一般防渗区措施</w:t>
            </w:r>
          </w:p>
          <w:p>
            <w:pPr>
              <w:spacing w:line="360" w:lineRule="auto"/>
              <w:ind w:firstLine="480" w:firstLineChars="200"/>
              <w:jc w:val="left"/>
              <w:rPr>
                <w:color w:val="auto"/>
                <w:sz w:val="24"/>
                <w:szCs w:val="24"/>
              </w:rPr>
            </w:pPr>
            <w:r>
              <w:rPr>
                <w:color w:val="auto"/>
                <w:sz w:val="24"/>
                <w:szCs w:val="24"/>
              </w:rPr>
              <w:t>包括除重点防渗区外的其余部分地面，包括原料区、成品区，采用抗渗等级不低于P1级的抗渗混凝土（渗透系数约0.4×10-7cm/s，厚度不低于20cm）硬化地面。</w:t>
            </w:r>
          </w:p>
          <w:p>
            <w:pPr>
              <w:spacing w:line="360" w:lineRule="auto"/>
              <w:ind w:firstLine="480" w:firstLineChars="200"/>
              <w:jc w:val="left"/>
              <w:rPr>
                <w:color w:val="auto"/>
                <w:sz w:val="24"/>
                <w:szCs w:val="24"/>
              </w:rPr>
            </w:pPr>
            <w:r>
              <w:rPr>
                <w:color w:val="auto"/>
                <w:sz w:val="24"/>
                <w:szCs w:val="24"/>
              </w:rPr>
              <w:t>一般防渗区的防渗性能不低于1.5m厚渗透系数为1.0×10</w:t>
            </w:r>
            <w:r>
              <w:rPr>
                <w:color w:val="auto"/>
                <w:sz w:val="24"/>
                <w:szCs w:val="24"/>
                <w:vertAlign w:val="superscript"/>
              </w:rPr>
              <w:t>-7</w:t>
            </w:r>
            <w:r>
              <w:rPr>
                <w:color w:val="auto"/>
                <w:sz w:val="24"/>
                <w:szCs w:val="24"/>
              </w:rPr>
              <w:t>cm/s的黏土防渗层。</w:t>
            </w:r>
          </w:p>
          <w:p>
            <w:pPr>
              <w:spacing w:line="360" w:lineRule="auto"/>
              <w:ind w:firstLine="480" w:firstLineChars="200"/>
              <w:rPr>
                <w:rFonts w:hint="eastAsia"/>
                <w:color w:val="auto"/>
                <w:sz w:val="24"/>
              </w:rPr>
            </w:pPr>
            <w:r>
              <w:rPr>
                <w:color w:val="auto"/>
                <w:sz w:val="24"/>
                <w:szCs w:val="24"/>
              </w:rPr>
              <w:drawing>
                <wp:inline distT="0" distB="0" distL="114300" distR="114300">
                  <wp:extent cx="5269865" cy="1355725"/>
                  <wp:effectExtent l="0" t="0" r="6985" b="15875"/>
                  <wp:docPr id="21" name="图片 8" descr="图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descr="图6.5-1"/>
                          <pic:cNvPicPr>
                            <a:picLocks noChangeAspect="1"/>
                          </pic:cNvPicPr>
                        </pic:nvPicPr>
                        <pic:blipFill>
                          <a:blip r:embed="rId22"/>
                          <a:stretch>
                            <a:fillRect/>
                          </a:stretch>
                        </pic:blipFill>
                        <pic:spPr>
                          <a:xfrm>
                            <a:off x="0" y="0"/>
                            <a:ext cx="5269865" cy="13557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bCs/>
                <w:color w:val="auto"/>
                <w:sz w:val="21"/>
                <w:szCs w:val="21"/>
              </w:rPr>
            </w:pPr>
            <w:r>
              <w:rPr>
                <w:b/>
                <w:bCs/>
                <w:color w:val="auto"/>
                <w:sz w:val="21"/>
                <w:szCs w:val="21"/>
              </w:rPr>
              <w:t>图5-</w:t>
            </w:r>
            <w:r>
              <w:rPr>
                <w:rFonts w:hint="eastAsia"/>
                <w:b/>
                <w:bCs/>
                <w:color w:val="auto"/>
                <w:sz w:val="21"/>
                <w:szCs w:val="21"/>
                <w:lang w:val="en-US" w:eastAsia="zh-CN"/>
              </w:rPr>
              <w:t>10</w:t>
            </w:r>
            <w:r>
              <w:rPr>
                <w:b/>
                <w:bCs/>
                <w:color w:val="auto"/>
                <w:sz w:val="21"/>
                <w:szCs w:val="21"/>
              </w:rPr>
              <w:t xml:space="preserve">  一般防渗区域防渗剖面图</w:t>
            </w:r>
          </w:p>
          <w:p>
            <w:pPr>
              <w:spacing w:line="360" w:lineRule="auto"/>
              <w:ind w:firstLine="480" w:firstLineChars="200"/>
              <w:rPr>
                <w:color w:val="auto"/>
                <w:sz w:val="24"/>
              </w:rPr>
            </w:pPr>
            <w:r>
              <w:rPr>
                <w:rFonts w:hint="eastAsia"/>
                <w:color w:val="auto"/>
                <w:sz w:val="24"/>
              </w:rPr>
              <w:t>(3)重点防渗区措施</w:t>
            </w:r>
          </w:p>
          <w:p>
            <w:pPr>
              <w:spacing w:line="360" w:lineRule="auto"/>
              <w:ind w:firstLine="480" w:firstLineChars="200"/>
              <w:rPr>
                <w:color w:val="auto"/>
                <w:sz w:val="24"/>
              </w:rPr>
            </w:pPr>
            <w:r>
              <w:rPr>
                <w:rFonts w:hint="eastAsia"/>
                <w:color w:val="auto"/>
                <w:sz w:val="24"/>
              </w:rPr>
              <w:t>①</w:t>
            </w:r>
            <w:r>
              <w:rPr>
                <w:rFonts w:hint="eastAsia"/>
                <w:color w:val="auto"/>
                <w:sz w:val="24"/>
                <w:lang w:val="en-US" w:eastAsia="zh-CN"/>
              </w:rPr>
              <w:t>危化品仓库、生产区</w:t>
            </w:r>
            <w:r>
              <w:rPr>
                <w:rFonts w:hint="eastAsia"/>
                <w:color w:val="auto"/>
                <w:sz w:val="24"/>
              </w:rPr>
              <w:t>泄漏及防治措施</w:t>
            </w:r>
          </w:p>
          <w:p>
            <w:pPr>
              <w:spacing w:line="360" w:lineRule="auto"/>
              <w:ind w:firstLine="480" w:firstLineChars="200"/>
              <w:rPr>
                <w:color w:val="auto"/>
                <w:sz w:val="24"/>
              </w:rPr>
            </w:pPr>
            <w:r>
              <w:rPr>
                <w:rFonts w:hint="eastAsia"/>
                <w:color w:val="auto"/>
                <w:sz w:val="24"/>
              </w:rPr>
              <w:t>原料仓库门口设置墁坡，并对</w:t>
            </w:r>
            <w:r>
              <w:rPr>
                <w:rFonts w:hint="eastAsia"/>
                <w:color w:val="auto"/>
                <w:sz w:val="24"/>
                <w:lang w:val="en-US" w:eastAsia="zh-CN"/>
              </w:rPr>
              <w:t>危化品仓库、生产区</w:t>
            </w:r>
            <w:r>
              <w:rPr>
                <w:rFonts w:hint="eastAsia"/>
                <w:color w:val="auto"/>
                <w:sz w:val="24"/>
                <w:lang w:eastAsia="zh-CN"/>
              </w:rPr>
              <w:t>的</w:t>
            </w:r>
            <w:r>
              <w:rPr>
                <w:rFonts w:hint="eastAsia"/>
                <w:color w:val="auto"/>
                <w:sz w:val="24"/>
              </w:rPr>
              <w:t>墙体及地面做防腐、防渗措施(主要是地表采用25cm厚度的混凝土搅拌压实作为基础防渗措施，并在混凝土基础防渗表面上喷涂防腐、防渗油漆，加强基础防渗)；泄漏事故处理时会有地面清洗废水，引至废水事故池，则泄漏的原料及事故处理废水不会渗入地下而污染地下水。</w:t>
            </w:r>
          </w:p>
          <w:p>
            <w:pPr>
              <w:spacing w:line="360" w:lineRule="auto"/>
              <w:ind w:firstLine="480" w:firstLineChars="200"/>
              <w:rPr>
                <w:color w:val="auto"/>
                <w:sz w:val="24"/>
              </w:rPr>
            </w:pPr>
            <w:r>
              <w:rPr>
                <w:rFonts w:hint="eastAsia"/>
                <w:color w:val="auto"/>
                <w:sz w:val="24"/>
              </w:rPr>
              <w:t>②危废暂存场的渗漏及防治措施</w:t>
            </w:r>
          </w:p>
          <w:p>
            <w:pPr>
              <w:spacing w:line="360" w:lineRule="auto"/>
              <w:ind w:firstLine="480" w:firstLineChars="200"/>
              <w:rPr>
                <w:color w:val="auto"/>
                <w:sz w:val="24"/>
              </w:rPr>
            </w:pPr>
            <w:r>
              <w:rPr>
                <w:rFonts w:hint="eastAsia"/>
                <w:color w:val="auto"/>
                <w:sz w:val="24"/>
              </w:rPr>
              <w:t>项目拟设1个危废暂存场。危废暂存场按《危险废物贮存污染控制标准》(GB18597-2001)及2013年修改单</w:t>
            </w:r>
            <w:r>
              <w:rPr>
                <w:rFonts w:hint="eastAsia"/>
                <w:color w:val="auto"/>
                <w:sz w:val="24"/>
                <w:szCs w:val="24"/>
              </w:rPr>
              <w:t>和《省生态环境厅关于进一步加强危险废物污染防治工作的实施意见苏环办（〔2019〕327号）》</w:t>
            </w:r>
            <w:r>
              <w:rPr>
                <w:rFonts w:hint="eastAsia"/>
                <w:color w:val="auto"/>
                <w:sz w:val="24"/>
              </w:rPr>
              <w:t>相关要求进行建设，对危废暂存库，建设单位拟对堆放间进出口设置0.2m高的墁坡，并对墙体及地面做防腐、防渗措施，地面基础必须防渗，防渗层为2mm厚高密度聚乙烯，或至少2mm厚的其它人工材料，渗透系数≤10</w:t>
            </w:r>
            <w:r>
              <w:rPr>
                <w:rFonts w:hint="eastAsia"/>
                <w:color w:val="auto"/>
                <w:sz w:val="24"/>
                <w:vertAlign w:val="superscript"/>
              </w:rPr>
              <w:t>-10</w:t>
            </w:r>
            <w:r>
              <w:rPr>
                <w:rFonts w:hint="eastAsia"/>
                <w:color w:val="auto"/>
                <w:sz w:val="24"/>
              </w:rPr>
              <w:t>cm/s；衬里要能够覆盖废物或其溶出物可能涉及到的范围；衬里材料与堆放的废物相容，不会对地下水产生污染。</w:t>
            </w:r>
          </w:p>
          <w:p>
            <w:pPr>
              <w:spacing w:line="360" w:lineRule="auto"/>
              <w:ind w:firstLine="480" w:firstLineChars="200"/>
              <w:jc w:val="left"/>
              <w:rPr>
                <w:color w:val="auto"/>
                <w:sz w:val="24"/>
                <w:szCs w:val="24"/>
              </w:rPr>
            </w:pPr>
            <w:r>
              <w:rPr>
                <w:color w:val="auto"/>
                <w:sz w:val="24"/>
                <w:szCs w:val="24"/>
              </w:rPr>
              <w:t>参照《危险废物安全填埋处置工程建设技术要求》和《危险废物填埋污染控制标准》（GB18598-2001），防渗层设置情况如下：基础防渗层为1m厚黏土层（渗透系数≤10-7cm/s），并进行0.1m的混凝土浇筑，最上层为2.5mm的环氧树脂防腐防渗层，渗透系数≤10</w:t>
            </w:r>
            <w:r>
              <w:rPr>
                <w:color w:val="auto"/>
                <w:sz w:val="24"/>
                <w:szCs w:val="24"/>
                <w:vertAlign w:val="superscript"/>
              </w:rPr>
              <w:t>-10</w:t>
            </w:r>
            <w:r>
              <w:rPr>
                <w:color w:val="auto"/>
                <w:sz w:val="24"/>
                <w:szCs w:val="24"/>
              </w:rPr>
              <w:t>cm/s。</w:t>
            </w:r>
          </w:p>
          <w:p>
            <w:pPr>
              <w:spacing w:line="360" w:lineRule="auto"/>
              <w:ind w:firstLine="480" w:firstLineChars="200"/>
              <w:rPr>
                <w:rFonts w:hint="eastAsia"/>
                <w:color w:val="auto"/>
                <w:sz w:val="24"/>
              </w:rPr>
            </w:pPr>
            <w:r>
              <w:rPr>
                <w:color w:val="auto"/>
                <w:sz w:val="24"/>
                <w:szCs w:val="24"/>
              </w:rPr>
              <w:t>重点防渗区的防渗性能不低于6.0m厚渗透系数为1.0×10</w:t>
            </w:r>
            <w:r>
              <w:rPr>
                <w:color w:val="auto"/>
                <w:sz w:val="24"/>
                <w:szCs w:val="24"/>
                <w:vertAlign w:val="superscript"/>
              </w:rPr>
              <w:t>-7</w:t>
            </w:r>
            <w:r>
              <w:rPr>
                <w:color w:val="auto"/>
                <w:sz w:val="24"/>
                <w:szCs w:val="24"/>
              </w:rPr>
              <w:t>cm/s的黏土防渗层。</w:t>
            </w:r>
          </w:p>
          <w:p>
            <w:pPr>
              <w:spacing w:line="360" w:lineRule="auto"/>
              <w:ind w:firstLine="480" w:firstLineChars="200"/>
              <w:rPr>
                <w:rFonts w:hint="eastAsia"/>
                <w:color w:val="auto"/>
                <w:sz w:val="24"/>
              </w:rPr>
            </w:pPr>
            <w:r>
              <w:rPr>
                <w:color w:val="auto"/>
                <w:sz w:val="24"/>
                <w:szCs w:val="24"/>
              </w:rPr>
              <w:drawing>
                <wp:inline distT="0" distB="0" distL="114300" distR="114300">
                  <wp:extent cx="5269230" cy="1533525"/>
                  <wp:effectExtent l="0" t="0" r="7620" b="9525"/>
                  <wp:docPr id="22" name="图片 9" descr="图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图6.5-2"/>
                          <pic:cNvPicPr>
                            <a:picLocks noChangeAspect="1"/>
                          </pic:cNvPicPr>
                        </pic:nvPicPr>
                        <pic:blipFill>
                          <a:blip r:embed="rId23"/>
                          <a:stretch>
                            <a:fillRect/>
                          </a:stretch>
                        </pic:blipFill>
                        <pic:spPr>
                          <a:xfrm>
                            <a:off x="0" y="0"/>
                            <a:ext cx="5269230" cy="15335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bCs/>
                <w:color w:val="auto"/>
                <w:sz w:val="21"/>
                <w:szCs w:val="21"/>
              </w:rPr>
            </w:pPr>
            <w:r>
              <w:rPr>
                <w:b/>
                <w:bCs/>
                <w:color w:val="auto"/>
                <w:sz w:val="21"/>
                <w:szCs w:val="21"/>
              </w:rPr>
              <w:t>图5-</w:t>
            </w:r>
            <w:r>
              <w:rPr>
                <w:rFonts w:hint="eastAsia"/>
                <w:b/>
                <w:bCs/>
                <w:color w:val="auto"/>
                <w:sz w:val="21"/>
                <w:szCs w:val="21"/>
                <w:lang w:val="en-US" w:eastAsia="zh-CN"/>
              </w:rPr>
              <w:t>11</w:t>
            </w:r>
            <w:r>
              <w:rPr>
                <w:b/>
                <w:bCs/>
                <w:color w:val="auto"/>
                <w:sz w:val="21"/>
                <w:szCs w:val="21"/>
              </w:rPr>
              <w:t xml:space="preserve">  重点防渗区域剖面图</w:t>
            </w:r>
          </w:p>
          <w:p>
            <w:pPr>
              <w:spacing w:line="360" w:lineRule="auto"/>
              <w:ind w:firstLine="480" w:firstLineChars="200"/>
              <w:rPr>
                <w:color w:val="auto"/>
                <w:sz w:val="24"/>
              </w:rPr>
            </w:pPr>
            <w:r>
              <w:rPr>
                <w:rFonts w:hint="eastAsia"/>
                <w:color w:val="auto"/>
                <w:sz w:val="24"/>
              </w:rPr>
              <w:t>(4)生活垃圾堆放的渗漏及防治措施</w:t>
            </w:r>
          </w:p>
          <w:p>
            <w:pPr>
              <w:spacing w:line="360" w:lineRule="auto"/>
              <w:ind w:firstLine="480" w:firstLineChars="200"/>
              <w:rPr>
                <w:color w:val="auto"/>
                <w:sz w:val="24"/>
              </w:rPr>
            </w:pPr>
            <w:r>
              <w:rPr>
                <w:rFonts w:hint="eastAsia"/>
                <w:color w:val="auto"/>
                <w:sz w:val="24"/>
              </w:rPr>
              <w:t>对于生活垃圾，建设单位日产日清，一般不会产生垃圾渗滤液，同时对堆放点做防腐、防渗措施。</w:t>
            </w:r>
          </w:p>
          <w:p>
            <w:pPr>
              <w:spacing w:line="360" w:lineRule="auto"/>
              <w:ind w:firstLine="480" w:firstLineChars="200"/>
              <w:rPr>
                <w:rFonts w:hint="eastAsia"/>
                <w:color w:val="auto"/>
                <w:sz w:val="24"/>
              </w:rPr>
            </w:pPr>
            <w:r>
              <w:rPr>
                <w:rFonts w:hint="eastAsia"/>
                <w:color w:val="auto"/>
                <w:sz w:val="24"/>
              </w:rPr>
              <w:t>项目经采取以上措施，可有效防止废气沉降或废水泄漏或经雨水淋溶渗漏至土壤，避免对其产生污染。</w:t>
            </w:r>
          </w:p>
          <w:p>
            <w:pPr>
              <w:pStyle w:val="2"/>
              <w:rPr>
                <w:rFonts w:hint="eastAsia"/>
                <w:color w:val="auto"/>
                <w:sz w:val="24"/>
              </w:rPr>
            </w:pPr>
          </w:p>
          <w:p>
            <w:pPr>
              <w:spacing w:line="360" w:lineRule="auto"/>
              <w:ind w:firstLine="480" w:firstLineChars="200"/>
              <w:jc w:val="left"/>
              <w:rPr>
                <w:b/>
                <w:bCs/>
                <w:color w:val="auto"/>
                <w:sz w:val="24"/>
                <w:szCs w:val="24"/>
              </w:rPr>
            </w:pPr>
            <w:r>
              <w:rPr>
                <w:rFonts w:hint="eastAsia"/>
                <w:b/>
                <w:bCs/>
                <w:color w:val="auto"/>
                <w:sz w:val="24"/>
                <w:szCs w:val="24"/>
                <w:lang w:val="en-US" w:eastAsia="zh-CN"/>
              </w:rPr>
              <w:t>6</w:t>
            </w:r>
            <w:r>
              <w:rPr>
                <w:rFonts w:hint="eastAsia"/>
                <w:b/>
                <w:bCs/>
                <w:color w:val="auto"/>
                <w:sz w:val="24"/>
                <w:szCs w:val="24"/>
              </w:rPr>
              <w:t>、</w:t>
            </w:r>
            <w:r>
              <w:rPr>
                <w:b/>
                <w:bCs/>
                <w:color w:val="auto"/>
                <w:sz w:val="24"/>
                <w:szCs w:val="24"/>
              </w:rPr>
              <w:t>清洁生产</w:t>
            </w:r>
          </w:p>
          <w:p>
            <w:pPr>
              <w:spacing w:line="360" w:lineRule="auto"/>
              <w:ind w:firstLine="480" w:firstLineChars="200"/>
              <w:jc w:val="left"/>
              <w:rPr>
                <w:color w:val="auto"/>
                <w:sz w:val="24"/>
                <w:szCs w:val="24"/>
              </w:rPr>
            </w:pPr>
            <w:r>
              <w:rPr>
                <w:color w:val="auto"/>
                <w:sz w:val="24"/>
                <w:szCs w:val="24"/>
              </w:rPr>
              <w:t>①清洁生产概述</w:t>
            </w:r>
          </w:p>
          <w:p>
            <w:pPr>
              <w:spacing w:line="360" w:lineRule="auto"/>
              <w:ind w:firstLine="480" w:firstLineChars="200"/>
              <w:jc w:val="left"/>
              <w:rPr>
                <w:color w:val="auto"/>
                <w:sz w:val="24"/>
                <w:szCs w:val="24"/>
              </w:rPr>
            </w:pPr>
            <w:r>
              <w:rPr>
                <w:color w:val="auto"/>
                <w:sz w:val="24"/>
                <w:szCs w:val="24"/>
              </w:rPr>
              <w:t>凊洁生产是为了克服末端治理环境战略的弊端而提岀的新的污染预防战略。清洁生产是从设计开始、到能源与原材料选择、工艺技术与设备采用、废物利用及运行管理等各个环节，通过不断采取综合性的预防措施，提高资源利用率，减少或避免污染物的产生和排放，以减轻或消除对人类健康和环境的危害，其实质是污染预防。根据原国家环保总局（现环保部）《关于印发国家环保局关于推行清洁生产若干意见的通知》（环控（1997）232号）的要求，建设项目的环境评价应包括清洁生产的内容。《中华人民共和国清洁生产促进法》已于2003年1月1日实施。该法第十八条规定：</w:t>
            </w:r>
            <w:r>
              <w:rPr>
                <w:rFonts w:hint="eastAsia"/>
                <w:color w:val="auto"/>
                <w:sz w:val="24"/>
                <w:szCs w:val="24"/>
                <w:lang w:eastAsia="zh-CN"/>
              </w:rPr>
              <w:t>“</w:t>
            </w:r>
            <w:r>
              <w:rPr>
                <w:color w:val="auto"/>
                <w:sz w:val="24"/>
                <w:szCs w:val="24"/>
              </w:rPr>
              <w:t>新建、改建和拟建顼日应当进行环境影响评价，对原料使用、资源消耗、资源综合利用以及污染物产生与处置等进行分析论证，优先采用资源利用率高以及污染物产生量少的清洁生产技术、工艺和设</w:t>
            </w:r>
            <w:r>
              <w:rPr>
                <w:rFonts w:ascii="Times New Roman" w:hAnsi="Times New Roman" w:cs="Times New Roman"/>
                <w:color w:val="auto"/>
                <w:sz w:val="24"/>
                <w:szCs w:val="24"/>
              </w:rPr>
              <w:t>备。</w:t>
            </w:r>
            <w:r>
              <w:rPr>
                <w:rFonts w:hint="default" w:ascii="Times New Roman" w:hAnsi="Times New Roman" w:cs="Times New Roman"/>
                <w:color w:val="auto"/>
                <w:sz w:val="24"/>
                <w:szCs w:val="24"/>
                <w:lang w:val="en-US" w:eastAsia="zh-CN"/>
              </w:rPr>
              <w:t>””</w:t>
            </w:r>
            <w:r>
              <w:rPr>
                <w:color w:val="auto"/>
                <w:sz w:val="24"/>
                <w:szCs w:val="24"/>
              </w:rPr>
              <w:t>第十九条中规定：“企业在进行技术改造过程中应当采取以下清洁生产措施：I、采用无毒、无害或者低毒、低害的原料，替代毒性大危害严重的原料；2、采用资源利用率高、污染物产生量少的工艺和设备，替代资源利用率低、污染物产生量多的工艺和设备；3、对生产过程中产生的废物、废水和余热等进行综合利用或者循环使用；4、采用能够达到国家或者地方规定的污染物排放标准和污染物排放总量控制指标的污染防治技术。</w:t>
            </w:r>
          </w:p>
          <w:p>
            <w:pPr>
              <w:spacing w:line="360" w:lineRule="auto"/>
              <w:ind w:left="478" w:leftChars="228"/>
              <w:jc w:val="left"/>
              <w:rPr>
                <w:color w:val="auto"/>
                <w:sz w:val="24"/>
                <w:szCs w:val="24"/>
              </w:rPr>
            </w:pPr>
            <w:r>
              <w:rPr>
                <w:color w:val="auto"/>
                <w:sz w:val="24"/>
                <w:szCs w:val="24"/>
              </w:rPr>
              <w:t>可见，清洁生产已经是国家依法推行的控制污染、改善环境的有效措施之一。②清洁生产分析</w:t>
            </w:r>
          </w:p>
          <w:p>
            <w:pPr>
              <w:spacing w:line="360" w:lineRule="auto"/>
              <w:ind w:firstLine="480" w:firstLineChars="200"/>
              <w:jc w:val="left"/>
              <w:rPr>
                <w:color w:val="auto"/>
                <w:sz w:val="24"/>
                <w:szCs w:val="24"/>
              </w:rPr>
            </w:pPr>
            <w:r>
              <w:rPr>
                <w:color w:val="auto"/>
                <w:sz w:val="24"/>
                <w:szCs w:val="24"/>
              </w:rPr>
              <w:t>清洁生产不但要有技术上的可行性，而且要有经济上的可盈利性，能够体现经济效益、环境效益和社会效益的统一，这是在市场经济条件下清洁生产得以实现并能够不断发展的前提条件和生命线。</w:t>
            </w:r>
          </w:p>
          <w:p>
            <w:pPr>
              <w:spacing w:line="360" w:lineRule="auto"/>
              <w:ind w:firstLine="480" w:firstLineChars="200"/>
              <w:jc w:val="left"/>
              <w:rPr>
                <w:color w:val="auto"/>
                <w:sz w:val="24"/>
                <w:szCs w:val="24"/>
              </w:rPr>
            </w:pPr>
            <w:r>
              <w:rPr>
                <w:color w:val="auto"/>
                <w:sz w:val="24"/>
                <w:szCs w:val="24"/>
              </w:rPr>
              <w:t>清洁生产是将污染预防的战略持续应用于生产过程、产品和服务中，以减少人类的风险。因此，将清洁生产纳入环境影响评价制度后，环境影响评价制度更加完善，在预防和控制污染方面发挥更大的作用。清洁生产追求的目标是生产过程、产品的设计和开发以及服务过程中，充分提高效率，减少污染物的产生，从而达到环境效益和经济效益“双赢ˆ这一理想环保状况。那些技术工艺落后、设备陈旧、产污量大的项目因不符合清洁生产的要求而被否定。</w:t>
            </w:r>
          </w:p>
          <w:p>
            <w:pPr>
              <w:spacing w:line="360" w:lineRule="auto"/>
              <w:ind w:firstLine="480" w:firstLineChars="200"/>
              <w:jc w:val="left"/>
              <w:rPr>
                <w:color w:val="auto"/>
                <w:sz w:val="24"/>
                <w:szCs w:val="24"/>
              </w:rPr>
            </w:pPr>
            <w:r>
              <w:rPr>
                <w:color w:val="auto"/>
                <w:sz w:val="24"/>
                <w:szCs w:val="24"/>
              </w:rPr>
              <w:t>根据《涂装行业清洁生产评价指标体系》，本项目清洁生产水平见下表：</w:t>
            </w:r>
          </w:p>
          <w:p>
            <w:pPr>
              <w:keepNext w:val="0"/>
              <w:keepLines w:val="0"/>
              <w:pageBreakBefore w:val="0"/>
              <w:widowControl w:val="0"/>
              <w:kinsoku/>
              <w:wordWrap/>
              <w:overflowPunct/>
              <w:topLinePunct w:val="0"/>
              <w:autoSpaceDE/>
              <w:autoSpaceDN/>
              <w:bidi w:val="0"/>
              <w:adjustRightInd/>
              <w:snapToGrid/>
              <w:jc w:val="center"/>
              <w:textAlignment w:val="auto"/>
              <w:rPr>
                <w:b/>
                <w:bCs/>
                <w:color w:val="auto"/>
                <w:sz w:val="21"/>
                <w:szCs w:val="21"/>
              </w:rPr>
            </w:pPr>
            <w:r>
              <w:rPr>
                <w:b/>
                <w:bCs/>
                <w:color w:val="auto"/>
                <w:sz w:val="21"/>
                <w:szCs w:val="21"/>
              </w:rPr>
              <w:t>表5-</w:t>
            </w:r>
            <w:r>
              <w:rPr>
                <w:rFonts w:hint="eastAsia"/>
                <w:b/>
                <w:bCs/>
                <w:color w:val="auto"/>
                <w:sz w:val="21"/>
                <w:szCs w:val="21"/>
                <w:lang w:val="en-US" w:eastAsia="zh-CN"/>
              </w:rPr>
              <w:t>24</w:t>
            </w:r>
            <w:r>
              <w:rPr>
                <w:b/>
                <w:bCs/>
                <w:color w:val="auto"/>
                <w:sz w:val="21"/>
                <w:szCs w:val="21"/>
              </w:rPr>
              <w:t xml:space="preserve"> 本项目涂装工序清洁生产水平和清洁生产标准比较一览表</w:t>
            </w:r>
          </w:p>
          <w:tbl>
            <w:tblPr>
              <w:tblStyle w:val="56"/>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8"/>
              <w:gridCol w:w="429"/>
              <w:gridCol w:w="502"/>
              <w:gridCol w:w="449"/>
              <w:gridCol w:w="366"/>
              <w:gridCol w:w="354"/>
              <w:gridCol w:w="620"/>
              <w:gridCol w:w="658"/>
              <w:gridCol w:w="1140"/>
              <w:gridCol w:w="1307"/>
              <w:gridCol w:w="1081"/>
              <w:gridCol w:w="9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b/>
                      <w:bCs/>
                      <w:color w:val="auto"/>
                      <w:sz w:val="18"/>
                      <w:szCs w:val="18"/>
                    </w:rPr>
                  </w:pPr>
                  <w:r>
                    <w:rPr>
                      <w:b/>
                      <w:bCs/>
                      <w:color w:val="auto"/>
                      <w:sz w:val="18"/>
                      <w:szCs w:val="18"/>
                    </w:rPr>
                    <w:t>序号</w:t>
                  </w:r>
                </w:p>
              </w:tc>
              <w:tc>
                <w:tcPr>
                  <w:tcW w:w="258" w:type="pct"/>
                  <w:noWrap w:val="0"/>
                  <w:vAlign w:val="center"/>
                </w:tcPr>
                <w:p>
                  <w:pPr>
                    <w:jc w:val="center"/>
                    <w:rPr>
                      <w:b/>
                      <w:bCs/>
                      <w:color w:val="auto"/>
                      <w:sz w:val="18"/>
                      <w:szCs w:val="18"/>
                    </w:rPr>
                  </w:pPr>
                  <w:r>
                    <w:rPr>
                      <w:b/>
                      <w:bCs/>
                      <w:color w:val="auto"/>
                      <w:sz w:val="18"/>
                      <w:szCs w:val="18"/>
                    </w:rPr>
                    <w:t>一级标准</w:t>
                  </w:r>
                </w:p>
              </w:tc>
              <w:tc>
                <w:tcPr>
                  <w:tcW w:w="302" w:type="pct"/>
                  <w:noWrap w:val="0"/>
                  <w:vAlign w:val="center"/>
                </w:tcPr>
                <w:p>
                  <w:pPr>
                    <w:jc w:val="center"/>
                    <w:rPr>
                      <w:b/>
                      <w:bCs/>
                      <w:color w:val="auto"/>
                      <w:sz w:val="18"/>
                      <w:szCs w:val="18"/>
                    </w:rPr>
                  </w:pPr>
                  <w:r>
                    <w:rPr>
                      <w:b/>
                      <w:bCs/>
                      <w:color w:val="auto"/>
                      <w:sz w:val="18"/>
                      <w:szCs w:val="18"/>
                    </w:rPr>
                    <w:t>一级权重指标</w:t>
                  </w:r>
                </w:p>
              </w:tc>
              <w:tc>
                <w:tcPr>
                  <w:tcW w:w="703" w:type="pct"/>
                  <w:gridSpan w:val="3"/>
                  <w:noWrap w:val="0"/>
                  <w:vAlign w:val="center"/>
                </w:tcPr>
                <w:p>
                  <w:pPr>
                    <w:jc w:val="center"/>
                    <w:rPr>
                      <w:b/>
                      <w:bCs/>
                      <w:color w:val="auto"/>
                      <w:sz w:val="18"/>
                      <w:szCs w:val="18"/>
                    </w:rPr>
                  </w:pPr>
                  <w:r>
                    <w:rPr>
                      <w:b/>
                      <w:bCs/>
                      <w:color w:val="auto"/>
                      <w:sz w:val="18"/>
                      <w:szCs w:val="18"/>
                    </w:rPr>
                    <w:t>二级指标</w:t>
                  </w:r>
                </w:p>
              </w:tc>
              <w:tc>
                <w:tcPr>
                  <w:tcW w:w="373" w:type="pct"/>
                  <w:noWrap w:val="0"/>
                  <w:vAlign w:val="center"/>
                </w:tcPr>
                <w:p>
                  <w:pPr>
                    <w:jc w:val="center"/>
                    <w:rPr>
                      <w:b/>
                      <w:bCs/>
                      <w:color w:val="auto"/>
                      <w:sz w:val="18"/>
                      <w:szCs w:val="18"/>
                    </w:rPr>
                  </w:pPr>
                  <w:r>
                    <w:rPr>
                      <w:b/>
                      <w:bCs/>
                      <w:color w:val="auto"/>
                      <w:sz w:val="18"/>
                      <w:szCs w:val="18"/>
                    </w:rPr>
                    <w:t>单位</w:t>
                  </w:r>
                </w:p>
              </w:tc>
              <w:tc>
                <w:tcPr>
                  <w:tcW w:w="396" w:type="pct"/>
                  <w:noWrap w:val="0"/>
                  <w:vAlign w:val="center"/>
                </w:tcPr>
                <w:p>
                  <w:pPr>
                    <w:jc w:val="center"/>
                    <w:rPr>
                      <w:b/>
                      <w:bCs/>
                      <w:color w:val="auto"/>
                      <w:sz w:val="18"/>
                      <w:szCs w:val="18"/>
                    </w:rPr>
                  </w:pPr>
                  <w:r>
                    <w:rPr>
                      <w:b/>
                      <w:bCs/>
                      <w:color w:val="auto"/>
                      <w:sz w:val="18"/>
                      <w:szCs w:val="18"/>
                    </w:rPr>
                    <w:t>二级指标权重</w:t>
                  </w:r>
                </w:p>
              </w:tc>
              <w:tc>
                <w:tcPr>
                  <w:tcW w:w="686" w:type="pct"/>
                  <w:noWrap w:val="0"/>
                  <w:vAlign w:val="center"/>
                </w:tcPr>
                <w:p>
                  <w:pPr>
                    <w:jc w:val="center"/>
                    <w:rPr>
                      <w:b/>
                      <w:bCs/>
                      <w:color w:val="auto"/>
                      <w:sz w:val="18"/>
                      <w:szCs w:val="18"/>
                    </w:rPr>
                  </w:pPr>
                  <w:r>
                    <w:rPr>
                      <w:b/>
                      <w:bCs/>
                      <w:color w:val="auto"/>
                      <w:sz w:val="18"/>
                      <w:szCs w:val="18"/>
                    </w:rPr>
                    <w:t>I级基准值</w:t>
                  </w:r>
                </w:p>
              </w:tc>
              <w:tc>
                <w:tcPr>
                  <w:tcW w:w="786" w:type="pct"/>
                  <w:noWrap w:val="0"/>
                  <w:vAlign w:val="center"/>
                </w:tcPr>
                <w:p>
                  <w:pPr>
                    <w:jc w:val="center"/>
                    <w:rPr>
                      <w:b/>
                      <w:bCs/>
                      <w:color w:val="auto"/>
                      <w:sz w:val="18"/>
                      <w:szCs w:val="18"/>
                    </w:rPr>
                  </w:pPr>
                  <w:r>
                    <w:rPr>
                      <w:b/>
                      <w:bCs/>
                      <w:color w:val="auto"/>
                      <w:sz w:val="18"/>
                      <w:szCs w:val="18"/>
                    </w:rPr>
                    <w:t>II级基准值</w:t>
                  </w:r>
                </w:p>
              </w:tc>
              <w:tc>
                <w:tcPr>
                  <w:tcW w:w="649" w:type="pct"/>
                  <w:noWrap w:val="0"/>
                  <w:vAlign w:val="center"/>
                </w:tcPr>
                <w:p>
                  <w:pPr>
                    <w:jc w:val="center"/>
                    <w:rPr>
                      <w:b/>
                      <w:bCs/>
                      <w:color w:val="auto"/>
                      <w:sz w:val="18"/>
                      <w:szCs w:val="18"/>
                    </w:rPr>
                  </w:pPr>
                  <w:r>
                    <w:rPr>
                      <w:b/>
                      <w:bCs/>
                      <w:color w:val="auto"/>
                      <w:sz w:val="18"/>
                      <w:szCs w:val="18"/>
                    </w:rPr>
                    <w:t>III级基准值</w:t>
                  </w:r>
                </w:p>
              </w:tc>
              <w:tc>
                <w:tcPr>
                  <w:tcW w:w="584" w:type="pct"/>
                  <w:noWrap w:val="0"/>
                  <w:vAlign w:val="center"/>
                </w:tcPr>
                <w:p>
                  <w:pPr>
                    <w:jc w:val="center"/>
                    <w:rPr>
                      <w:b/>
                      <w:bCs/>
                      <w:color w:val="auto"/>
                      <w:sz w:val="18"/>
                      <w:szCs w:val="18"/>
                    </w:rPr>
                  </w:pPr>
                  <w:r>
                    <w:rPr>
                      <w:b/>
                      <w:bCs/>
                      <w:color w:val="auto"/>
                      <w:sz w:val="18"/>
                      <w:szCs w:val="18"/>
                    </w:rPr>
                    <w:t>本项目情况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8" w:type="pct"/>
                  <w:noWrap w:val="0"/>
                  <w:vAlign w:val="center"/>
                </w:tcPr>
                <w:p>
                  <w:pPr>
                    <w:jc w:val="center"/>
                    <w:rPr>
                      <w:color w:val="auto"/>
                      <w:sz w:val="18"/>
                      <w:szCs w:val="18"/>
                    </w:rPr>
                  </w:pPr>
                  <w:r>
                    <w:rPr>
                      <w:color w:val="auto"/>
                      <w:sz w:val="18"/>
                      <w:szCs w:val="18"/>
                    </w:rPr>
                    <w:t>1</w:t>
                  </w:r>
                </w:p>
              </w:tc>
              <w:tc>
                <w:tcPr>
                  <w:tcW w:w="258" w:type="pct"/>
                  <w:vMerge w:val="restart"/>
                  <w:noWrap w:val="0"/>
                  <w:vAlign w:val="center"/>
                </w:tcPr>
                <w:p>
                  <w:pPr>
                    <w:jc w:val="center"/>
                    <w:rPr>
                      <w:color w:val="auto"/>
                      <w:sz w:val="18"/>
                      <w:szCs w:val="18"/>
                    </w:rPr>
                  </w:pPr>
                  <w:r>
                    <w:rPr>
                      <w:color w:val="auto"/>
                      <w:sz w:val="18"/>
                      <w:szCs w:val="18"/>
                    </w:rPr>
                    <w:t>生产工艺及设备要求</w:t>
                  </w:r>
                </w:p>
              </w:tc>
              <w:tc>
                <w:tcPr>
                  <w:tcW w:w="302" w:type="pct"/>
                  <w:vMerge w:val="restart"/>
                  <w:noWrap w:val="0"/>
                  <w:vAlign w:val="center"/>
                </w:tcPr>
                <w:p>
                  <w:pPr>
                    <w:jc w:val="center"/>
                    <w:rPr>
                      <w:color w:val="auto"/>
                      <w:sz w:val="18"/>
                      <w:szCs w:val="18"/>
                    </w:rPr>
                  </w:pPr>
                  <w:r>
                    <w:rPr>
                      <w:color w:val="auto"/>
                      <w:sz w:val="18"/>
                      <w:szCs w:val="18"/>
                    </w:rPr>
                    <w:t>0.6</w:t>
                  </w:r>
                </w:p>
              </w:tc>
              <w:tc>
                <w:tcPr>
                  <w:tcW w:w="270" w:type="pct"/>
                  <w:vMerge w:val="restart"/>
                  <w:noWrap w:val="0"/>
                  <w:vAlign w:val="center"/>
                </w:tcPr>
                <w:p>
                  <w:pPr>
                    <w:jc w:val="center"/>
                    <w:rPr>
                      <w:color w:val="auto"/>
                      <w:sz w:val="18"/>
                      <w:szCs w:val="18"/>
                    </w:rPr>
                  </w:pPr>
                  <w:r>
                    <w:rPr>
                      <w:color w:val="auto"/>
                      <w:sz w:val="18"/>
                      <w:szCs w:val="18"/>
                    </w:rPr>
                    <w:t>底漆</w:t>
                  </w:r>
                </w:p>
              </w:tc>
              <w:tc>
                <w:tcPr>
                  <w:tcW w:w="432" w:type="pct"/>
                  <w:gridSpan w:val="2"/>
                  <w:vMerge w:val="restart"/>
                  <w:noWrap w:val="0"/>
                  <w:vAlign w:val="center"/>
                </w:tcPr>
                <w:p>
                  <w:pPr>
                    <w:jc w:val="center"/>
                    <w:rPr>
                      <w:color w:val="auto"/>
                      <w:sz w:val="18"/>
                      <w:szCs w:val="18"/>
                    </w:rPr>
                  </w:pPr>
                  <w:r>
                    <w:rPr>
                      <w:color w:val="auto"/>
                      <w:sz w:val="18"/>
                      <w:szCs w:val="18"/>
                    </w:rPr>
                    <w:t>喷漆（涂覆）</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0.12</w:t>
                  </w:r>
                </w:p>
              </w:tc>
              <w:tc>
                <w:tcPr>
                  <w:tcW w:w="686" w:type="pct"/>
                  <w:noWrap w:val="0"/>
                  <w:vAlign w:val="center"/>
                </w:tcPr>
                <w:p>
                  <w:pPr>
                    <w:jc w:val="center"/>
                    <w:rPr>
                      <w:color w:val="auto"/>
                      <w:sz w:val="18"/>
                      <w:szCs w:val="18"/>
                    </w:rPr>
                  </w:pPr>
                  <w:r>
                    <w:rPr>
                      <w:color w:val="auto"/>
                      <w:sz w:val="18"/>
                      <w:szCs w:val="18"/>
                    </w:rPr>
                    <w:t>使用水性漆喷涂</w:t>
                  </w:r>
                </w:p>
              </w:tc>
              <w:tc>
                <w:tcPr>
                  <w:tcW w:w="1436" w:type="pct"/>
                  <w:gridSpan w:val="2"/>
                  <w:noWrap w:val="0"/>
                  <w:vAlign w:val="center"/>
                </w:tcPr>
                <w:p>
                  <w:pPr>
                    <w:jc w:val="center"/>
                    <w:rPr>
                      <w:color w:val="auto"/>
                      <w:sz w:val="18"/>
                      <w:szCs w:val="18"/>
                    </w:rPr>
                  </w:pPr>
                  <w:r>
                    <w:rPr>
                      <w:color w:val="auto"/>
                      <w:sz w:val="18"/>
                      <w:szCs w:val="18"/>
                    </w:rPr>
                    <w:t>节水、技术应用</w:t>
                  </w:r>
                </w:p>
              </w:tc>
              <w:tc>
                <w:tcPr>
                  <w:tcW w:w="584" w:type="pct"/>
                  <w:noWrap w:val="0"/>
                  <w:vAlign w:val="center"/>
                </w:tcPr>
                <w:p>
                  <w:pPr>
                    <w:jc w:val="center"/>
                    <w:rPr>
                      <w:color w:val="auto"/>
                      <w:sz w:val="18"/>
                      <w:szCs w:val="18"/>
                    </w:rPr>
                  </w:pPr>
                  <w:r>
                    <w:rPr>
                      <w:color w:val="auto"/>
                      <w:sz w:val="18"/>
                      <w:szCs w:val="18"/>
                    </w:rPr>
                    <w:t>本项目使用水性漆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2</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vMerge w:val="continue"/>
                  <w:noWrap w:val="0"/>
                  <w:vAlign w:val="center"/>
                </w:tcPr>
                <w:p>
                  <w:pPr>
                    <w:jc w:val="center"/>
                    <w:rPr>
                      <w:color w:val="auto"/>
                      <w:sz w:val="18"/>
                      <w:szCs w:val="18"/>
                    </w:rPr>
                  </w:pP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0.11</w:t>
                  </w:r>
                </w:p>
              </w:tc>
              <w:tc>
                <w:tcPr>
                  <w:tcW w:w="686" w:type="pct"/>
                  <w:noWrap w:val="0"/>
                  <w:vAlign w:val="center"/>
                </w:tcPr>
                <w:p>
                  <w:pPr>
                    <w:jc w:val="center"/>
                    <w:rPr>
                      <w:color w:val="auto"/>
                      <w:sz w:val="18"/>
                      <w:szCs w:val="18"/>
                    </w:rPr>
                  </w:pPr>
                  <w:r>
                    <w:rPr>
                      <w:color w:val="auto"/>
                      <w:sz w:val="18"/>
                      <w:szCs w:val="18"/>
                    </w:rPr>
                    <w:t>节能技术应用：喷漆设置漆雾处理</w:t>
                  </w:r>
                </w:p>
              </w:tc>
              <w:tc>
                <w:tcPr>
                  <w:tcW w:w="1436" w:type="pct"/>
                  <w:gridSpan w:val="2"/>
                  <w:noWrap w:val="0"/>
                  <w:vAlign w:val="center"/>
                </w:tcPr>
                <w:p>
                  <w:pPr>
                    <w:jc w:val="center"/>
                    <w:rPr>
                      <w:color w:val="auto"/>
                      <w:sz w:val="18"/>
                      <w:szCs w:val="18"/>
                    </w:rPr>
                  </w:pPr>
                  <w:r>
                    <w:rPr>
                      <w:color w:val="auto"/>
                      <w:sz w:val="18"/>
                      <w:szCs w:val="18"/>
                    </w:rPr>
                    <w:t>节能技术应用；喷漆设置漆雾处理</w:t>
                  </w:r>
                </w:p>
              </w:tc>
              <w:tc>
                <w:tcPr>
                  <w:tcW w:w="584" w:type="pct"/>
                  <w:noWrap w:val="0"/>
                  <w:vAlign w:val="center"/>
                </w:tcPr>
                <w:p>
                  <w:pPr>
                    <w:jc w:val="center"/>
                    <w:rPr>
                      <w:color w:val="auto"/>
                      <w:sz w:val="18"/>
                      <w:szCs w:val="18"/>
                    </w:rPr>
                  </w:pPr>
                  <w:r>
                    <w:rPr>
                      <w:color w:val="auto"/>
                      <w:sz w:val="18"/>
                      <w:szCs w:val="18"/>
                    </w:rPr>
                    <w:t>本项目喷漆设置</w:t>
                  </w:r>
                  <w:r>
                    <w:rPr>
                      <w:rFonts w:hint="eastAsia"/>
                      <w:color w:val="auto"/>
                      <w:sz w:val="18"/>
                      <w:szCs w:val="18"/>
                    </w:rPr>
                    <w:t>过滤棉吸附装置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3</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烘干</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0.04</w:t>
                  </w:r>
                </w:p>
              </w:tc>
              <w:tc>
                <w:tcPr>
                  <w:tcW w:w="1472" w:type="pct"/>
                  <w:gridSpan w:val="2"/>
                  <w:noWrap w:val="0"/>
                  <w:vAlign w:val="center"/>
                </w:tcPr>
                <w:p>
                  <w:pPr>
                    <w:jc w:val="center"/>
                    <w:rPr>
                      <w:color w:val="auto"/>
                      <w:sz w:val="18"/>
                      <w:szCs w:val="18"/>
                    </w:rPr>
                  </w:pPr>
                  <w:r>
                    <w:rPr>
                      <w:color w:val="auto"/>
                      <w:sz w:val="18"/>
                      <w:szCs w:val="18"/>
                    </w:rPr>
                    <w:t>节能技术应用；加热装置多级调节；使用清洁能源</w:t>
                  </w:r>
                </w:p>
              </w:tc>
              <w:tc>
                <w:tcPr>
                  <w:tcW w:w="649" w:type="pct"/>
                  <w:noWrap w:val="0"/>
                  <w:vAlign w:val="center"/>
                </w:tcPr>
                <w:p>
                  <w:pPr>
                    <w:jc w:val="center"/>
                    <w:rPr>
                      <w:color w:val="auto"/>
                      <w:sz w:val="18"/>
                      <w:szCs w:val="18"/>
                    </w:rPr>
                  </w:pPr>
                  <w:r>
                    <w:rPr>
                      <w:color w:val="auto"/>
                      <w:sz w:val="18"/>
                      <w:szCs w:val="18"/>
                    </w:rPr>
                    <w:t>加热装置多级调节，使用清洁能源</w:t>
                  </w:r>
                </w:p>
              </w:tc>
              <w:tc>
                <w:tcPr>
                  <w:tcW w:w="584" w:type="pct"/>
                  <w:noWrap w:val="0"/>
                  <w:vAlign w:val="center"/>
                </w:tcPr>
                <w:p>
                  <w:pPr>
                    <w:jc w:val="center"/>
                    <w:rPr>
                      <w:color w:val="auto"/>
                      <w:sz w:val="18"/>
                      <w:szCs w:val="18"/>
                    </w:rPr>
                  </w:pPr>
                  <w:r>
                    <w:rPr>
                      <w:color w:val="auto"/>
                      <w:sz w:val="18"/>
                      <w:szCs w:val="18"/>
                    </w:rPr>
                    <w:t>本项目无烘干工艺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4</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restart"/>
                  <w:noWrap w:val="0"/>
                  <w:vAlign w:val="center"/>
                </w:tcPr>
                <w:p>
                  <w:pPr>
                    <w:jc w:val="center"/>
                    <w:rPr>
                      <w:color w:val="auto"/>
                      <w:sz w:val="18"/>
                      <w:szCs w:val="18"/>
                    </w:rPr>
                  </w:pPr>
                  <w:r>
                    <w:rPr>
                      <w:color w:val="auto"/>
                      <w:sz w:val="18"/>
                      <w:szCs w:val="18"/>
                    </w:rPr>
                    <w:t>面漆</w:t>
                  </w:r>
                </w:p>
              </w:tc>
              <w:tc>
                <w:tcPr>
                  <w:tcW w:w="432" w:type="pct"/>
                  <w:gridSpan w:val="2"/>
                  <w:noWrap w:val="0"/>
                  <w:vAlign w:val="center"/>
                </w:tcPr>
                <w:p>
                  <w:pPr>
                    <w:jc w:val="center"/>
                    <w:rPr>
                      <w:color w:val="auto"/>
                      <w:sz w:val="18"/>
                      <w:szCs w:val="18"/>
                    </w:rPr>
                  </w:pPr>
                  <w:r>
                    <w:rPr>
                      <w:color w:val="auto"/>
                      <w:sz w:val="18"/>
                      <w:szCs w:val="18"/>
                    </w:rPr>
                    <w:t>漆雾处理</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0.09</w:t>
                  </w:r>
                </w:p>
              </w:tc>
              <w:tc>
                <w:tcPr>
                  <w:tcW w:w="686" w:type="pct"/>
                  <w:noWrap w:val="0"/>
                  <w:vAlign w:val="center"/>
                </w:tcPr>
                <w:p>
                  <w:pPr>
                    <w:jc w:val="center"/>
                    <w:rPr>
                      <w:color w:val="auto"/>
                      <w:sz w:val="18"/>
                      <w:szCs w:val="18"/>
                    </w:rPr>
                  </w:pPr>
                  <w:r>
                    <w:rPr>
                      <w:color w:val="auto"/>
                      <w:sz w:val="18"/>
                      <w:szCs w:val="18"/>
                    </w:rPr>
                    <w:t>有自动漆雾处理系统，漆雾处理效率≥95%</w:t>
                  </w:r>
                </w:p>
              </w:tc>
              <w:tc>
                <w:tcPr>
                  <w:tcW w:w="786" w:type="pct"/>
                  <w:noWrap w:val="0"/>
                  <w:vAlign w:val="center"/>
                </w:tcPr>
                <w:p>
                  <w:pPr>
                    <w:jc w:val="center"/>
                    <w:rPr>
                      <w:color w:val="auto"/>
                      <w:sz w:val="18"/>
                      <w:szCs w:val="18"/>
                    </w:rPr>
                  </w:pPr>
                  <w:r>
                    <w:rPr>
                      <w:color w:val="auto"/>
                      <w:sz w:val="18"/>
                      <w:szCs w:val="18"/>
                    </w:rPr>
                    <w:t>有自动漆雾处理系统，漆雾处理效率≥85%</w:t>
                  </w:r>
                </w:p>
              </w:tc>
              <w:tc>
                <w:tcPr>
                  <w:tcW w:w="649" w:type="pct"/>
                  <w:noWrap w:val="0"/>
                  <w:vAlign w:val="center"/>
                </w:tcPr>
                <w:p>
                  <w:pPr>
                    <w:jc w:val="center"/>
                    <w:rPr>
                      <w:color w:val="auto"/>
                      <w:sz w:val="18"/>
                      <w:szCs w:val="18"/>
                    </w:rPr>
                  </w:pPr>
                  <w:r>
                    <w:rPr>
                      <w:color w:val="auto"/>
                      <w:sz w:val="18"/>
                      <w:szCs w:val="18"/>
                    </w:rPr>
                    <w:t>有自动漆雾处理系统，漆雾处理效率≥80%</w:t>
                  </w:r>
                </w:p>
              </w:tc>
              <w:tc>
                <w:tcPr>
                  <w:tcW w:w="584" w:type="pct"/>
                  <w:noWrap w:val="0"/>
                  <w:vAlign w:val="center"/>
                </w:tcPr>
                <w:p>
                  <w:pPr>
                    <w:jc w:val="center"/>
                    <w:rPr>
                      <w:color w:val="auto"/>
                      <w:sz w:val="18"/>
                      <w:szCs w:val="18"/>
                    </w:rPr>
                  </w:pPr>
                  <w:r>
                    <w:rPr>
                      <w:color w:val="auto"/>
                      <w:sz w:val="18"/>
                      <w:szCs w:val="18"/>
                    </w:rPr>
                    <w:t>本项目漆雾处理效率高于90%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58" w:type="pct"/>
                  <w:vMerge w:val="restart"/>
                  <w:noWrap w:val="0"/>
                  <w:vAlign w:val="center"/>
                </w:tcPr>
                <w:p>
                  <w:pPr>
                    <w:jc w:val="center"/>
                    <w:rPr>
                      <w:color w:val="auto"/>
                      <w:sz w:val="18"/>
                      <w:szCs w:val="18"/>
                    </w:rPr>
                  </w:pPr>
                  <w:r>
                    <w:rPr>
                      <w:color w:val="auto"/>
                      <w:sz w:val="18"/>
                      <w:szCs w:val="18"/>
                    </w:rPr>
                    <w:t>5</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vMerge w:val="restart"/>
                  <w:noWrap w:val="0"/>
                  <w:vAlign w:val="center"/>
                </w:tcPr>
                <w:p>
                  <w:pPr>
                    <w:jc w:val="center"/>
                    <w:rPr>
                      <w:color w:val="auto"/>
                      <w:sz w:val="18"/>
                      <w:szCs w:val="18"/>
                    </w:rPr>
                  </w:pPr>
                  <w:r>
                    <w:rPr>
                      <w:color w:val="auto"/>
                      <w:sz w:val="18"/>
                      <w:szCs w:val="18"/>
                    </w:rPr>
                    <w:t>喷漆（涂覆）（包括流平）</w:t>
                  </w:r>
                </w:p>
                <w:p>
                  <w:pPr>
                    <w:jc w:val="center"/>
                    <w:rPr>
                      <w:color w:val="auto"/>
                      <w:sz w:val="18"/>
                      <w:szCs w:val="18"/>
                    </w:rPr>
                  </w:pPr>
                </w:p>
              </w:tc>
              <w:tc>
                <w:tcPr>
                  <w:tcW w:w="373" w:type="pct"/>
                  <w:vMerge w:val="restar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0.15</w:t>
                  </w:r>
                </w:p>
              </w:tc>
              <w:tc>
                <w:tcPr>
                  <w:tcW w:w="686" w:type="pct"/>
                  <w:noWrap w:val="0"/>
                  <w:vAlign w:val="center"/>
                </w:tcPr>
                <w:p>
                  <w:pPr>
                    <w:jc w:val="center"/>
                    <w:rPr>
                      <w:color w:val="auto"/>
                      <w:sz w:val="18"/>
                      <w:szCs w:val="18"/>
                    </w:rPr>
                  </w:pPr>
                  <w:r>
                    <w:rPr>
                      <w:color w:val="auto"/>
                      <w:sz w:val="18"/>
                      <w:szCs w:val="18"/>
                    </w:rPr>
                    <w:t>使用水性漆</w:t>
                  </w:r>
                </w:p>
              </w:tc>
              <w:tc>
                <w:tcPr>
                  <w:tcW w:w="1436" w:type="pct"/>
                  <w:gridSpan w:val="2"/>
                  <w:noWrap w:val="0"/>
                  <w:vAlign w:val="center"/>
                </w:tcPr>
                <w:p>
                  <w:pPr>
                    <w:jc w:val="center"/>
                    <w:rPr>
                      <w:color w:val="auto"/>
                      <w:sz w:val="18"/>
                      <w:szCs w:val="18"/>
                    </w:rPr>
                  </w:pPr>
                  <w:r>
                    <w:rPr>
                      <w:color w:val="auto"/>
                      <w:sz w:val="18"/>
                      <w:szCs w:val="18"/>
                    </w:rPr>
                    <w:t>节水、节能技术应用</w:t>
                  </w:r>
                </w:p>
              </w:tc>
              <w:tc>
                <w:tcPr>
                  <w:tcW w:w="584" w:type="pct"/>
                  <w:noWrap w:val="0"/>
                  <w:vAlign w:val="center"/>
                </w:tcPr>
                <w:p>
                  <w:pPr>
                    <w:jc w:val="center"/>
                    <w:rPr>
                      <w:color w:val="auto"/>
                      <w:sz w:val="18"/>
                      <w:szCs w:val="18"/>
                    </w:rPr>
                  </w:pPr>
                  <w:r>
                    <w:rPr>
                      <w:color w:val="auto"/>
                      <w:sz w:val="18"/>
                      <w:szCs w:val="18"/>
                    </w:rPr>
                    <w:t>本项目使用水性漆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58" w:type="pct"/>
                  <w:vMerge w:val="continue"/>
                  <w:noWrap w:val="0"/>
                  <w:vAlign w:val="center"/>
                </w:tcPr>
                <w:p>
                  <w:pPr>
                    <w:jc w:val="center"/>
                    <w:rPr>
                      <w:color w:val="auto"/>
                      <w:sz w:val="18"/>
                      <w:szCs w:val="18"/>
                    </w:rPr>
                  </w:pP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vMerge w:val="continue"/>
                  <w:noWrap w:val="0"/>
                  <w:vAlign w:val="center"/>
                </w:tcPr>
                <w:p>
                  <w:pPr>
                    <w:jc w:val="center"/>
                    <w:rPr>
                      <w:color w:val="auto"/>
                      <w:sz w:val="18"/>
                      <w:szCs w:val="18"/>
                    </w:rPr>
                  </w:pPr>
                </w:p>
              </w:tc>
              <w:tc>
                <w:tcPr>
                  <w:tcW w:w="373" w:type="pct"/>
                  <w:vMerge w:val="continue"/>
                  <w:noWrap w:val="0"/>
                  <w:vAlign w:val="center"/>
                </w:tcPr>
                <w:p>
                  <w:pPr>
                    <w:jc w:val="center"/>
                    <w:rPr>
                      <w:color w:val="auto"/>
                      <w:sz w:val="18"/>
                      <w:szCs w:val="18"/>
                    </w:rPr>
                  </w:pPr>
                </w:p>
              </w:tc>
              <w:tc>
                <w:tcPr>
                  <w:tcW w:w="396" w:type="pct"/>
                  <w:noWrap w:val="0"/>
                  <w:vAlign w:val="center"/>
                </w:tcPr>
                <w:p>
                  <w:pPr>
                    <w:jc w:val="center"/>
                    <w:rPr>
                      <w:color w:val="auto"/>
                      <w:sz w:val="18"/>
                      <w:szCs w:val="18"/>
                    </w:rPr>
                  </w:pPr>
                  <w:r>
                    <w:rPr>
                      <w:color w:val="auto"/>
                      <w:sz w:val="18"/>
                      <w:szCs w:val="18"/>
                    </w:rPr>
                    <w:t>0.06</w:t>
                  </w:r>
                </w:p>
              </w:tc>
              <w:tc>
                <w:tcPr>
                  <w:tcW w:w="2122" w:type="pct"/>
                  <w:gridSpan w:val="3"/>
                  <w:noWrap w:val="0"/>
                  <w:vAlign w:val="center"/>
                </w:tcPr>
                <w:p>
                  <w:pPr>
                    <w:jc w:val="center"/>
                    <w:rPr>
                      <w:color w:val="auto"/>
                      <w:sz w:val="18"/>
                      <w:szCs w:val="18"/>
                    </w:rPr>
                  </w:pPr>
                  <w:r>
                    <w:rPr>
                      <w:color w:val="auto"/>
                      <w:sz w:val="18"/>
                      <w:szCs w:val="18"/>
                    </w:rPr>
                    <w:t>废溶剂收集处理</w:t>
                  </w:r>
                </w:p>
              </w:tc>
              <w:tc>
                <w:tcPr>
                  <w:tcW w:w="584" w:type="pct"/>
                  <w:noWrap w:val="0"/>
                  <w:vAlign w:val="center"/>
                </w:tcPr>
                <w:p>
                  <w:pPr>
                    <w:jc w:val="center"/>
                    <w:rPr>
                      <w:color w:val="auto"/>
                      <w:sz w:val="18"/>
                      <w:szCs w:val="18"/>
                    </w:rPr>
                  </w:pPr>
                  <w:r>
                    <w:rPr>
                      <w:color w:val="auto"/>
                      <w:sz w:val="18"/>
                      <w:szCs w:val="18"/>
                    </w:rPr>
                    <w:t>本项目废溶剂收集委托有资质单位处置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6</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烘干室</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0.04</w:t>
                  </w:r>
                </w:p>
              </w:tc>
              <w:tc>
                <w:tcPr>
                  <w:tcW w:w="1472" w:type="pct"/>
                  <w:gridSpan w:val="2"/>
                  <w:noWrap w:val="0"/>
                  <w:vAlign w:val="center"/>
                </w:tcPr>
                <w:p>
                  <w:pPr>
                    <w:jc w:val="center"/>
                    <w:rPr>
                      <w:color w:val="auto"/>
                      <w:sz w:val="18"/>
                      <w:szCs w:val="18"/>
                    </w:rPr>
                  </w:pPr>
                  <w:r>
                    <w:rPr>
                      <w:color w:val="auto"/>
                      <w:sz w:val="18"/>
                      <w:szCs w:val="18"/>
                    </w:rPr>
                    <w:t>节能技术应用；加热装置多级调节，使用清洁能源</w:t>
                  </w:r>
                </w:p>
              </w:tc>
              <w:tc>
                <w:tcPr>
                  <w:tcW w:w="649" w:type="pct"/>
                  <w:noWrap w:val="0"/>
                  <w:vAlign w:val="center"/>
                </w:tcPr>
                <w:p>
                  <w:pPr>
                    <w:jc w:val="center"/>
                    <w:rPr>
                      <w:color w:val="auto"/>
                      <w:sz w:val="18"/>
                      <w:szCs w:val="18"/>
                    </w:rPr>
                  </w:pPr>
                  <w:r>
                    <w:rPr>
                      <w:color w:val="auto"/>
                      <w:sz w:val="18"/>
                      <w:szCs w:val="18"/>
                    </w:rPr>
                    <w:t>加热装置多级调节，使用清洁能源</w:t>
                  </w:r>
                </w:p>
              </w:tc>
              <w:tc>
                <w:tcPr>
                  <w:tcW w:w="584" w:type="pct"/>
                  <w:noWrap w:val="0"/>
                  <w:vAlign w:val="center"/>
                </w:tcPr>
                <w:p>
                  <w:pPr>
                    <w:jc w:val="center"/>
                    <w:rPr>
                      <w:color w:val="auto"/>
                      <w:sz w:val="18"/>
                      <w:szCs w:val="18"/>
                    </w:rPr>
                  </w:pPr>
                  <w:r>
                    <w:rPr>
                      <w:color w:val="auto"/>
                      <w:sz w:val="18"/>
                      <w:szCs w:val="18"/>
                    </w:rPr>
                    <w:t>本项目不设烘干室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7</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restart"/>
                  <w:noWrap w:val="0"/>
                  <w:vAlign w:val="center"/>
                </w:tcPr>
                <w:p>
                  <w:pPr>
                    <w:jc w:val="center"/>
                    <w:rPr>
                      <w:color w:val="auto"/>
                      <w:sz w:val="18"/>
                      <w:szCs w:val="18"/>
                    </w:rPr>
                  </w:pPr>
                  <w:r>
                    <w:rPr>
                      <w:color w:val="auto"/>
                      <w:sz w:val="18"/>
                      <w:szCs w:val="18"/>
                    </w:rPr>
                    <w:t>废气处理设施</w:t>
                  </w:r>
                </w:p>
              </w:tc>
              <w:tc>
                <w:tcPr>
                  <w:tcW w:w="432" w:type="pct"/>
                  <w:gridSpan w:val="2"/>
                  <w:noWrap w:val="0"/>
                  <w:vAlign w:val="center"/>
                </w:tcPr>
                <w:p>
                  <w:pPr>
                    <w:jc w:val="center"/>
                    <w:rPr>
                      <w:color w:val="auto"/>
                      <w:sz w:val="18"/>
                      <w:szCs w:val="18"/>
                    </w:rPr>
                  </w:pPr>
                  <w:r>
                    <w:rPr>
                      <w:color w:val="auto"/>
                      <w:sz w:val="18"/>
                      <w:szCs w:val="18"/>
                    </w:rPr>
                    <w:t>喷漆废气</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0.11</w:t>
                  </w:r>
                </w:p>
              </w:tc>
              <w:tc>
                <w:tcPr>
                  <w:tcW w:w="1472" w:type="pct"/>
                  <w:gridSpan w:val="2"/>
                  <w:noWrap w:val="0"/>
                  <w:vAlign w:val="center"/>
                </w:tcPr>
                <w:p>
                  <w:pPr>
                    <w:jc w:val="center"/>
                    <w:rPr>
                      <w:color w:val="auto"/>
                      <w:sz w:val="18"/>
                      <w:szCs w:val="18"/>
                    </w:rPr>
                  </w:pPr>
                  <w:r>
                    <w:rPr>
                      <w:color w:val="auto"/>
                      <w:sz w:val="18"/>
                      <w:szCs w:val="18"/>
                    </w:rPr>
                    <w:t>溶剂工艺段有VOCs处理设施，处理效率≥85%；有VOCs处理设备运行监控装置</w:t>
                  </w:r>
                </w:p>
              </w:tc>
              <w:tc>
                <w:tcPr>
                  <w:tcW w:w="649" w:type="pct"/>
                  <w:noWrap w:val="0"/>
                  <w:vAlign w:val="center"/>
                </w:tcPr>
                <w:p>
                  <w:pPr>
                    <w:jc w:val="center"/>
                    <w:rPr>
                      <w:color w:val="auto"/>
                      <w:sz w:val="18"/>
                      <w:szCs w:val="18"/>
                    </w:rPr>
                  </w:pPr>
                  <w:r>
                    <w:rPr>
                      <w:color w:val="auto"/>
                      <w:sz w:val="18"/>
                      <w:szCs w:val="18"/>
                    </w:rPr>
                    <w:t>溶剂工艺段有VOCs处理设施，处理效率≥75%；有VOCs处理设备运行监控装置</w:t>
                  </w:r>
                </w:p>
              </w:tc>
              <w:tc>
                <w:tcPr>
                  <w:tcW w:w="584" w:type="pct"/>
                  <w:noWrap w:val="0"/>
                  <w:vAlign w:val="center"/>
                </w:tcPr>
                <w:p>
                  <w:pPr>
                    <w:jc w:val="center"/>
                    <w:rPr>
                      <w:color w:val="auto"/>
                      <w:sz w:val="18"/>
                      <w:szCs w:val="18"/>
                    </w:rPr>
                  </w:pPr>
                  <w:r>
                    <w:rPr>
                      <w:color w:val="auto"/>
                      <w:sz w:val="18"/>
                      <w:szCs w:val="18"/>
                    </w:rPr>
                    <w:t>二级活性炭，处理效率≥80%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8</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涂层烘干废气</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0.11</w:t>
                  </w:r>
                </w:p>
              </w:tc>
              <w:tc>
                <w:tcPr>
                  <w:tcW w:w="686" w:type="pct"/>
                  <w:noWrap w:val="0"/>
                  <w:vAlign w:val="center"/>
                </w:tcPr>
                <w:p>
                  <w:pPr>
                    <w:jc w:val="center"/>
                    <w:rPr>
                      <w:color w:val="auto"/>
                      <w:sz w:val="18"/>
                      <w:szCs w:val="18"/>
                    </w:rPr>
                  </w:pPr>
                  <w:r>
                    <w:rPr>
                      <w:color w:val="auto"/>
                      <w:sz w:val="18"/>
                      <w:szCs w:val="18"/>
                    </w:rPr>
                    <w:t>有 VOCs 处理设施，效率 ≥98%；有 VOCs  处理设备运行监 控装置</w:t>
                  </w:r>
                </w:p>
              </w:tc>
              <w:tc>
                <w:tcPr>
                  <w:tcW w:w="786" w:type="pct"/>
                  <w:noWrap w:val="0"/>
                  <w:vAlign w:val="center"/>
                </w:tcPr>
                <w:p>
                  <w:pPr>
                    <w:jc w:val="center"/>
                    <w:rPr>
                      <w:color w:val="auto"/>
                      <w:sz w:val="18"/>
                      <w:szCs w:val="18"/>
                    </w:rPr>
                  </w:pPr>
                  <w:r>
                    <w:rPr>
                      <w:color w:val="auto"/>
                      <w:sz w:val="18"/>
                      <w:szCs w:val="18"/>
                    </w:rPr>
                    <w:t>有 VOCs 处理设施，效率 ≥95% ；有 VOCs  处理设备运行监 控装置</w:t>
                  </w:r>
                </w:p>
              </w:tc>
              <w:tc>
                <w:tcPr>
                  <w:tcW w:w="649" w:type="pct"/>
                  <w:noWrap w:val="0"/>
                  <w:vAlign w:val="center"/>
                </w:tcPr>
                <w:p>
                  <w:pPr>
                    <w:jc w:val="center"/>
                    <w:rPr>
                      <w:color w:val="auto"/>
                      <w:sz w:val="18"/>
                      <w:szCs w:val="18"/>
                    </w:rPr>
                  </w:pPr>
                  <w:r>
                    <w:rPr>
                      <w:color w:val="auto"/>
                      <w:sz w:val="18"/>
                      <w:szCs w:val="18"/>
                    </w:rPr>
                    <w:t>有 VOCs 处理设施，效率 ≥90% ；有 VOCs  处理设备运行监 控装置</w:t>
                  </w:r>
                </w:p>
              </w:tc>
              <w:tc>
                <w:tcPr>
                  <w:tcW w:w="584" w:type="pct"/>
                  <w:noWrap w:val="0"/>
                  <w:vAlign w:val="center"/>
                </w:tcPr>
                <w:p>
                  <w:pPr>
                    <w:jc w:val="center"/>
                    <w:rPr>
                      <w:color w:val="auto"/>
                      <w:sz w:val="18"/>
                      <w:szCs w:val="18"/>
                    </w:rPr>
                  </w:pPr>
                  <w:r>
                    <w:rPr>
                      <w:color w:val="auto"/>
                      <w:sz w:val="18"/>
                      <w:szCs w:val="18"/>
                    </w:rPr>
                    <w:t>本项目无烘干工艺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9</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restart"/>
                  <w:noWrap w:val="0"/>
                  <w:vAlign w:val="center"/>
                </w:tcPr>
                <w:p>
                  <w:pPr>
                    <w:jc w:val="center"/>
                    <w:rPr>
                      <w:color w:val="auto"/>
                      <w:sz w:val="18"/>
                      <w:szCs w:val="18"/>
                    </w:rPr>
                  </w:pPr>
                  <w:r>
                    <w:rPr>
                      <w:color w:val="auto"/>
                      <w:sz w:val="18"/>
                      <w:szCs w:val="18"/>
                    </w:rPr>
                    <w:t>原辅材料</w:t>
                  </w:r>
                </w:p>
              </w:tc>
              <w:tc>
                <w:tcPr>
                  <w:tcW w:w="432" w:type="pct"/>
                  <w:gridSpan w:val="2"/>
                  <w:noWrap w:val="0"/>
                  <w:vAlign w:val="center"/>
                </w:tcPr>
                <w:p>
                  <w:pPr>
                    <w:jc w:val="center"/>
                    <w:rPr>
                      <w:color w:val="auto"/>
                      <w:sz w:val="18"/>
                      <w:szCs w:val="18"/>
                    </w:rPr>
                  </w:pPr>
                  <w:r>
                    <w:rPr>
                      <w:color w:val="auto"/>
                      <w:sz w:val="18"/>
                      <w:szCs w:val="18"/>
                    </w:rPr>
                    <w:t>底漆</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0.05</w:t>
                  </w:r>
                </w:p>
              </w:tc>
              <w:tc>
                <w:tcPr>
                  <w:tcW w:w="686" w:type="pct"/>
                  <w:noWrap w:val="0"/>
                  <w:vAlign w:val="center"/>
                </w:tcPr>
                <w:p>
                  <w:pPr>
                    <w:jc w:val="center"/>
                    <w:rPr>
                      <w:color w:val="auto"/>
                      <w:sz w:val="18"/>
                      <w:szCs w:val="18"/>
                    </w:rPr>
                  </w:pPr>
                  <w:r>
                    <w:rPr>
                      <w:color w:val="auto"/>
                      <w:sz w:val="18"/>
                      <w:szCs w:val="18"/>
                    </w:rPr>
                    <w:t>VOCs≤30%</w:t>
                  </w:r>
                </w:p>
              </w:tc>
              <w:tc>
                <w:tcPr>
                  <w:tcW w:w="786" w:type="pct"/>
                  <w:noWrap w:val="0"/>
                  <w:vAlign w:val="center"/>
                </w:tcPr>
                <w:p>
                  <w:pPr>
                    <w:jc w:val="center"/>
                    <w:rPr>
                      <w:color w:val="auto"/>
                      <w:sz w:val="18"/>
                      <w:szCs w:val="18"/>
                    </w:rPr>
                  </w:pPr>
                  <w:r>
                    <w:rPr>
                      <w:color w:val="auto"/>
                      <w:sz w:val="18"/>
                      <w:szCs w:val="18"/>
                    </w:rPr>
                    <w:t>VOCs≤35%</w:t>
                  </w:r>
                </w:p>
              </w:tc>
              <w:tc>
                <w:tcPr>
                  <w:tcW w:w="649" w:type="pct"/>
                  <w:noWrap w:val="0"/>
                  <w:vAlign w:val="center"/>
                </w:tcPr>
                <w:p>
                  <w:pPr>
                    <w:jc w:val="center"/>
                    <w:rPr>
                      <w:color w:val="auto"/>
                      <w:sz w:val="18"/>
                      <w:szCs w:val="18"/>
                    </w:rPr>
                  </w:pPr>
                  <w:r>
                    <w:rPr>
                      <w:color w:val="auto"/>
                      <w:sz w:val="18"/>
                      <w:szCs w:val="18"/>
                    </w:rPr>
                    <w:t>VOCs≤45%</w:t>
                  </w:r>
                </w:p>
              </w:tc>
              <w:tc>
                <w:tcPr>
                  <w:tcW w:w="584" w:type="pct"/>
                  <w:noWrap w:val="0"/>
                  <w:vAlign w:val="center"/>
                </w:tcPr>
                <w:p>
                  <w:pPr>
                    <w:jc w:val="center"/>
                    <w:rPr>
                      <w:color w:val="auto"/>
                      <w:sz w:val="18"/>
                      <w:szCs w:val="18"/>
                    </w:rPr>
                  </w:pPr>
                  <w:r>
                    <w:rPr>
                      <w:color w:val="auto"/>
                      <w:sz w:val="18"/>
                      <w:szCs w:val="18"/>
                    </w:rPr>
                    <w:t>VOCs≤30%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10</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中涂</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0.05</w:t>
                  </w:r>
                </w:p>
              </w:tc>
              <w:tc>
                <w:tcPr>
                  <w:tcW w:w="686" w:type="pct"/>
                  <w:noWrap w:val="0"/>
                  <w:vAlign w:val="center"/>
                </w:tcPr>
                <w:p>
                  <w:pPr>
                    <w:jc w:val="center"/>
                    <w:rPr>
                      <w:color w:val="auto"/>
                      <w:sz w:val="18"/>
                      <w:szCs w:val="18"/>
                    </w:rPr>
                  </w:pPr>
                  <w:r>
                    <w:rPr>
                      <w:color w:val="auto"/>
                      <w:sz w:val="18"/>
                      <w:szCs w:val="18"/>
                    </w:rPr>
                    <w:t>VOCs≤30%</w:t>
                  </w:r>
                </w:p>
              </w:tc>
              <w:tc>
                <w:tcPr>
                  <w:tcW w:w="786" w:type="pct"/>
                  <w:noWrap w:val="0"/>
                  <w:vAlign w:val="center"/>
                </w:tcPr>
                <w:p>
                  <w:pPr>
                    <w:jc w:val="center"/>
                    <w:rPr>
                      <w:color w:val="auto"/>
                      <w:sz w:val="18"/>
                      <w:szCs w:val="18"/>
                    </w:rPr>
                  </w:pPr>
                  <w:r>
                    <w:rPr>
                      <w:color w:val="auto"/>
                      <w:sz w:val="18"/>
                      <w:szCs w:val="18"/>
                    </w:rPr>
                    <w:t>VOCs≤40%</w:t>
                  </w:r>
                </w:p>
              </w:tc>
              <w:tc>
                <w:tcPr>
                  <w:tcW w:w="649" w:type="pct"/>
                  <w:noWrap w:val="0"/>
                  <w:vAlign w:val="center"/>
                </w:tcPr>
                <w:p>
                  <w:pPr>
                    <w:jc w:val="center"/>
                    <w:rPr>
                      <w:color w:val="auto"/>
                      <w:sz w:val="18"/>
                      <w:szCs w:val="18"/>
                    </w:rPr>
                  </w:pPr>
                  <w:r>
                    <w:rPr>
                      <w:color w:val="auto"/>
                      <w:sz w:val="18"/>
                      <w:szCs w:val="18"/>
                    </w:rPr>
                    <w:t>VOCs≤55%</w:t>
                  </w:r>
                </w:p>
              </w:tc>
              <w:tc>
                <w:tcPr>
                  <w:tcW w:w="584" w:type="pct"/>
                  <w:noWrap w:val="0"/>
                  <w:vAlign w:val="center"/>
                </w:tcPr>
                <w:p>
                  <w:pPr>
                    <w:jc w:val="center"/>
                    <w:rPr>
                      <w:color w:val="auto"/>
                      <w:sz w:val="18"/>
                      <w:szCs w:val="18"/>
                    </w:rPr>
                  </w:pPr>
                  <w:r>
                    <w:rPr>
                      <w:color w:val="auto"/>
                      <w:sz w:val="18"/>
                      <w:szCs w:val="18"/>
                    </w:rPr>
                    <w:t>VOCs≤30%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11</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面漆</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0.05</w:t>
                  </w:r>
                </w:p>
              </w:tc>
              <w:tc>
                <w:tcPr>
                  <w:tcW w:w="686" w:type="pct"/>
                  <w:noWrap w:val="0"/>
                  <w:vAlign w:val="center"/>
                </w:tcPr>
                <w:p>
                  <w:pPr>
                    <w:jc w:val="center"/>
                    <w:rPr>
                      <w:color w:val="auto"/>
                      <w:sz w:val="18"/>
                      <w:szCs w:val="18"/>
                    </w:rPr>
                  </w:pPr>
                  <w:r>
                    <w:rPr>
                      <w:color w:val="auto"/>
                      <w:sz w:val="18"/>
                      <w:szCs w:val="18"/>
                    </w:rPr>
                    <w:t>VOCs≤50%</w:t>
                  </w:r>
                </w:p>
              </w:tc>
              <w:tc>
                <w:tcPr>
                  <w:tcW w:w="786" w:type="pct"/>
                  <w:noWrap w:val="0"/>
                  <w:vAlign w:val="center"/>
                </w:tcPr>
                <w:p>
                  <w:pPr>
                    <w:jc w:val="center"/>
                    <w:rPr>
                      <w:color w:val="auto"/>
                      <w:sz w:val="18"/>
                      <w:szCs w:val="18"/>
                    </w:rPr>
                  </w:pPr>
                  <w:r>
                    <w:rPr>
                      <w:color w:val="auto"/>
                      <w:sz w:val="18"/>
                      <w:szCs w:val="18"/>
                    </w:rPr>
                    <w:t>VOCs≤60%</w:t>
                  </w:r>
                </w:p>
              </w:tc>
              <w:tc>
                <w:tcPr>
                  <w:tcW w:w="649" w:type="pct"/>
                  <w:noWrap w:val="0"/>
                  <w:vAlign w:val="center"/>
                </w:tcPr>
                <w:p>
                  <w:pPr>
                    <w:jc w:val="center"/>
                    <w:rPr>
                      <w:color w:val="auto"/>
                      <w:sz w:val="18"/>
                      <w:szCs w:val="18"/>
                    </w:rPr>
                  </w:pPr>
                  <w:r>
                    <w:rPr>
                      <w:color w:val="auto"/>
                      <w:sz w:val="18"/>
                      <w:szCs w:val="18"/>
                    </w:rPr>
                    <w:t>VOCs≤70%</w:t>
                  </w:r>
                </w:p>
              </w:tc>
              <w:tc>
                <w:tcPr>
                  <w:tcW w:w="584" w:type="pct"/>
                  <w:noWrap w:val="0"/>
                  <w:vAlign w:val="center"/>
                </w:tcPr>
                <w:p>
                  <w:pPr>
                    <w:jc w:val="center"/>
                    <w:rPr>
                      <w:color w:val="auto"/>
                      <w:sz w:val="18"/>
                      <w:szCs w:val="18"/>
                    </w:rPr>
                  </w:pPr>
                  <w:r>
                    <w:rPr>
                      <w:color w:val="auto"/>
                      <w:sz w:val="18"/>
                      <w:szCs w:val="18"/>
                    </w:rPr>
                    <w:t>VOCs≤50%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12</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220" w:type="pct"/>
                  <w:noWrap w:val="0"/>
                  <w:vAlign w:val="center"/>
                </w:tcPr>
                <w:p>
                  <w:pPr>
                    <w:jc w:val="center"/>
                    <w:rPr>
                      <w:color w:val="auto"/>
                      <w:sz w:val="18"/>
                      <w:szCs w:val="18"/>
                    </w:rPr>
                  </w:pPr>
                  <w:r>
                    <w:rPr>
                      <w:color w:val="auto"/>
                      <w:sz w:val="18"/>
                      <w:szCs w:val="18"/>
                    </w:rPr>
                    <w:t>喷枪清洗液</w:t>
                  </w:r>
                </w:p>
              </w:tc>
              <w:tc>
                <w:tcPr>
                  <w:tcW w:w="212" w:type="pct"/>
                  <w:noWrap w:val="0"/>
                  <w:vAlign w:val="center"/>
                </w:tcPr>
                <w:p>
                  <w:pPr>
                    <w:jc w:val="center"/>
                    <w:rPr>
                      <w:color w:val="auto"/>
                      <w:sz w:val="18"/>
                      <w:szCs w:val="18"/>
                    </w:rPr>
                  </w:pPr>
                  <w:r>
                    <w:rPr>
                      <w:color w:val="auto"/>
                      <w:sz w:val="18"/>
                      <w:szCs w:val="18"/>
                    </w:rPr>
                    <w:t>水性漆</w:t>
                  </w:r>
                </w:p>
              </w:tc>
              <w:tc>
                <w:tcPr>
                  <w:tcW w:w="373" w:type="pct"/>
                  <w:noWrap w:val="0"/>
                  <w:vAlign w:val="center"/>
                </w:tcPr>
                <w:p>
                  <w:pPr>
                    <w:jc w:val="center"/>
                    <w:rPr>
                      <w:color w:val="auto"/>
                      <w:sz w:val="18"/>
                      <w:szCs w:val="18"/>
                    </w:rPr>
                  </w:pPr>
                  <w:r>
                    <w:rPr>
                      <w:color w:val="auto"/>
                      <w:sz w:val="18"/>
                      <w:szCs w:val="18"/>
                    </w:rPr>
                    <w:t>-</w:t>
                  </w:r>
                </w:p>
              </w:tc>
              <w:tc>
                <w:tcPr>
                  <w:tcW w:w="396" w:type="pct"/>
                  <w:noWrap w:val="0"/>
                  <w:vAlign w:val="center"/>
                </w:tcPr>
                <w:p>
                  <w:pPr>
                    <w:jc w:val="center"/>
                    <w:rPr>
                      <w:color w:val="auto"/>
                      <w:sz w:val="18"/>
                      <w:szCs w:val="18"/>
                    </w:rPr>
                  </w:pPr>
                  <w:r>
                    <w:rPr>
                      <w:color w:val="auto"/>
                      <w:sz w:val="18"/>
                      <w:szCs w:val="18"/>
                    </w:rPr>
                    <w:t>0.02</w:t>
                  </w:r>
                </w:p>
              </w:tc>
              <w:tc>
                <w:tcPr>
                  <w:tcW w:w="686" w:type="pct"/>
                  <w:noWrap w:val="0"/>
                  <w:vAlign w:val="center"/>
                </w:tcPr>
                <w:p>
                  <w:pPr>
                    <w:jc w:val="center"/>
                    <w:rPr>
                      <w:color w:val="auto"/>
                      <w:sz w:val="18"/>
                      <w:szCs w:val="18"/>
                    </w:rPr>
                  </w:pPr>
                  <w:r>
                    <w:rPr>
                      <w:color w:val="auto"/>
                      <w:sz w:val="18"/>
                      <w:szCs w:val="18"/>
                    </w:rPr>
                    <w:t>VOCs≤5%</w:t>
                  </w:r>
                </w:p>
              </w:tc>
              <w:tc>
                <w:tcPr>
                  <w:tcW w:w="786" w:type="pct"/>
                  <w:noWrap w:val="0"/>
                  <w:vAlign w:val="center"/>
                </w:tcPr>
                <w:p>
                  <w:pPr>
                    <w:jc w:val="center"/>
                    <w:rPr>
                      <w:color w:val="auto"/>
                      <w:sz w:val="18"/>
                      <w:szCs w:val="18"/>
                    </w:rPr>
                  </w:pPr>
                  <w:r>
                    <w:rPr>
                      <w:color w:val="auto"/>
                      <w:sz w:val="18"/>
                      <w:szCs w:val="18"/>
                    </w:rPr>
                    <w:t>VOCs≤20%</w:t>
                  </w:r>
                </w:p>
              </w:tc>
              <w:tc>
                <w:tcPr>
                  <w:tcW w:w="649" w:type="pct"/>
                  <w:noWrap w:val="0"/>
                  <w:vAlign w:val="center"/>
                </w:tcPr>
                <w:p>
                  <w:pPr>
                    <w:jc w:val="center"/>
                    <w:rPr>
                      <w:color w:val="auto"/>
                      <w:sz w:val="18"/>
                      <w:szCs w:val="18"/>
                    </w:rPr>
                  </w:pPr>
                  <w:r>
                    <w:rPr>
                      <w:color w:val="auto"/>
                      <w:sz w:val="18"/>
                      <w:szCs w:val="18"/>
                    </w:rPr>
                    <w:t>VOCs≤30%</w:t>
                  </w:r>
                </w:p>
              </w:tc>
              <w:tc>
                <w:tcPr>
                  <w:tcW w:w="584" w:type="pct"/>
                  <w:noWrap w:val="0"/>
                  <w:vAlign w:val="center"/>
                </w:tcPr>
                <w:p>
                  <w:pPr>
                    <w:jc w:val="center"/>
                    <w:rPr>
                      <w:color w:val="auto"/>
                      <w:sz w:val="18"/>
                      <w:szCs w:val="18"/>
                    </w:rPr>
                  </w:pPr>
                  <w:r>
                    <w:rPr>
                      <w:color w:val="auto"/>
                      <w:sz w:val="18"/>
                      <w:szCs w:val="18"/>
                    </w:rPr>
                    <w:t>VOCs≤5%</w:t>
                  </w:r>
                </w:p>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258" w:type="pct"/>
                  <w:vMerge w:val="restart"/>
                  <w:noWrap w:val="0"/>
                  <w:vAlign w:val="center"/>
                </w:tcPr>
                <w:p>
                  <w:pPr>
                    <w:jc w:val="center"/>
                    <w:rPr>
                      <w:color w:val="auto"/>
                      <w:sz w:val="18"/>
                      <w:szCs w:val="18"/>
                    </w:rPr>
                  </w:pPr>
                  <w:r>
                    <w:rPr>
                      <w:color w:val="auto"/>
                      <w:sz w:val="18"/>
                      <w:szCs w:val="18"/>
                    </w:rPr>
                    <w:t>13</w:t>
                  </w:r>
                </w:p>
              </w:tc>
              <w:tc>
                <w:tcPr>
                  <w:tcW w:w="258" w:type="pct"/>
                  <w:vMerge w:val="restart"/>
                  <w:noWrap w:val="0"/>
                  <w:vAlign w:val="center"/>
                </w:tcPr>
                <w:p>
                  <w:pPr>
                    <w:jc w:val="center"/>
                    <w:rPr>
                      <w:color w:val="auto"/>
                      <w:sz w:val="18"/>
                      <w:szCs w:val="18"/>
                    </w:rPr>
                  </w:pPr>
                  <w:r>
                    <w:rPr>
                      <w:color w:val="auto"/>
                      <w:sz w:val="18"/>
                      <w:szCs w:val="18"/>
                    </w:rPr>
                    <w:t>资源和能耗指标</w:t>
                  </w:r>
                </w:p>
              </w:tc>
              <w:tc>
                <w:tcPr>
                  <w:tcW w:w="302" w:type="pct"/>
                  <w:vMerge w:val="restart"/>
                  <w:noWrap w:val="0"/>
                  <w:vAlign w:val="center"/>
                </w:tcPr>
                <w:p>
                  <w:pPr>
                    <w:jc w:val="center"/>
                    <w:rPr>
                      <w:color w:val="auto"/>
                      <w:sz w:val="18"/>
                      <w:szCs w:val="18"/>
                    </w:rPr>
                  </w:pPr>
                  <w:r>
                    <w:rPr>
                      <w:color w:val="auto"/>
                      <w:sz w:val="18"/>
                      <w:szCs w:val="18"/>
                    </w:rPr>
                    <w:t>0.1</w:t>
                  </w:r>
                </w:p>
              </w:tc>
              <w:tc>
                <w:tcPr>
                  <w:tcW w:w="703" w:type="pct"/>
                  <w:gridSpan w:val="3"/>
                  <w:noWrap w:val="0"/>
                  <w:vAlign w:val="center"/>
                </w:tcPr>
                <w:p>
                  <w:pPr>
                    <w:jc w:val="center"/>
                    <w:rPr>
                      <w:color w:val="auto"/>
                      <w:sz w:val="18"/>
                      <w:szCs w:val="18"/>
                    </w:rPr>
                  </w:pPr>
                  <w:r>
                    <w:rPr>
                      <w:color w:val="auto"/>
                      <w:sz w:val="18"/>
                      <w:szCs w:val="18"/>
                    </w:rPr>
                    <w:t>单位面积取水量</w:t>
                  </w:r>
                </w:p>
              </w:tc>
              <w:tc>
                <w:tcPr>
                  <w:tcW w:w="373" w:type="pct"/>
                  <w:noWrap w:val="0"/>
                  <w:vAlign w:val="center"/>
                </w:tcPr>
                <w:p>
                  <w:pPr>
                    <w:jc w:val="center"/>
                    <w:rPr>
                      <w:color w:val="auto"/>
                      <w:sz w:val="18"/>
                      <w:szCs w:val="18"/>
                    </w:rPr>
                  </w:pPr>
                  <w:r>
                    <w:rPr>
                      <w:color w:val="auto"/>
                      <w:sz w:val="18"/>
                      <w:szCs w:val="18"/>
                    </w:rPr>
                    <w:t>l/m</w:t>
                  </w:r>
                  <w:r>
                    <w:rPr>
                      <w:color w:val="auto"/>
                      <w:sz w:val="18"/>
                      <w:szCs w:val="18"/>
                      <w:vertAlign w:val="superscript"/>
                    </w:rPr>
                    <w:t>2</w:t>
                  </w:r>
                </w:p>
              </w:tc>
              <w:tc>
                <w:tcPr>
                  <w:tcW w:w="396" w:type="pct"/>
                  <w:noWrap w:val="0"/>
                  <w:vAlign w:val="center"/>
                </w:tcPr>
                <w:p>
                  <w:pPr>
                    <w:jc w:val="center"/>
                    <w:rPr>
                      <w:color w:val="auto"/>
                      <w:sz w:val="18"/>
                      <w:szCs w:val="18"/>
                    </w:rPr>
                  </w:pPr>
                  <w:r>
                    <w:rPr>
                      <w:color w:val="auto"/>
                      <w:sz w:val="18"/>
                      <w:szCs w:val="18"/>
                    </w:rPr>
                    <w:t>0.3</w:t>
                  </w:r>
                </w:p>
              </w:tc>
              <w:tc>
                <w:tcPr>
                  <w:tcW w:w="686" w:type="pct"/>
                  <w:noWrap w:val="0"/>
                  <w:vAlign w:val="center"/>
                </w:tcPr>
                <w:p>
                  <w:pPr>
                    <w:jc w:val="center"/>
                    <w:rPr>
                      <w:color w:val="auto"/>
                      <w:sz w:val="18"/>
                      <w:szCs w:val="18"/>
                    </w:rPr>
                  </w:pPr>
                  <w:r>
                    <w:rPr>
                      <w:color w:val="auto"/>
                      <w:sz w:val="18"/>
                      <w:szCs w:val="18"/>
                    </w:rPr>
                    <w:t>≤2.5</w:t>
                  </w:r>
                </w:p>
              </w:tc>
              <w:tc>
                <w:tcPr>
                  <w:tcW w:w="786" w:type="pct"/>
                  <w:noWrap w:val="0"/>
                  <w:vAlign w:val="center"/>
                </w:tcPr>
                <w:p>
                  <w:pPr>
                    <w:jc w:val="center"/>
                    <w:rPr>
                      <w:color w:val="auto"/>
                      <w:sz w:val="18"/>
                      <w:szCs w:val="18"/>
                    </w:rPr>
                  </w:pPr>
                  <w:r>
                    <w:rPr>
                      <w:color w:val="auto"/>
                      <w:sz w:val="18"/>
                      <w:szCs w:val="18"/>
                    </w:rPr>
                    <w:t>≤3.2</w:t>
                  </w:r>
                </w:p>
              </w:tc>
              <w:tc>
                <w:tcPr>
                  <w:tcW w:w="649" w:type="pct"/>
                  <w:noWrap w:val="0"/>
                  <w:vAlign w:val="center"/>
                </w:tcPr>
                <w:p>
                  <w:pPr>
                    <w:jc w:val="center"/>
                    <w:rPr>
                      <w:color w:val="auto"/>
                      <w:sz w:val="18"/>
                      <w:szCs w:val="18"/>
                    </w:rPr>
                  </w:pPr>
                  <w:r>
                    <w:rPr>
                      <w:color w:val="auto"/>
                      <w:sz w:val="18"/>
                      <w:szCs w:val="18"/>
                    </w:rPr>
                    <w:t>≤5</w:t>
                  </w:r>
                </w:p>
              </w:tc>
              <w:tc>
                <w:tcPr>
                  <w:tcW w:w="584" w:type="pct"/>
                  <w:noWrap w:val="0"/>
                  <w:vAlign w:val="center"/>
                </w:tcPr>
                <w:p>
                  <w:pPr>
                    <w:jc w:val="center"/>
                    <w:rPr>
                      <w:color w:val="auto"/>
                      <w:sz w:val="18"/>
                      <w:szCs w:val="18"/>
                    </w:rPr>
                  </w:pPr>
                  <w:r>
                    <w:rPr>
                      <w:color w:val="auto"/>
                      <w:sz w:val="18"/>
                      <w:szCs w:val="18"/>
                    </w:rPr>
                    <w:t>≤2.5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258" w:type="pct"/>
                  <w:vMerge w:val="continue"/>
                  <w:noWrap w:val="0"/>
                  <w:vAlign w:val="center"/>
                </w:tcPr>
                <w:p>
                  <w:pPr>
                    <w:jc w:val="center"/>
                    <w:rPr>
                      <w:color w:val="auto"/>
                      <w:sz w:val="18"/>
                      <w:szCs w:val="18"/>
                    </w:rPr>
                  </w:pP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703" w:type="pct"/>
                  <w:gridSpan w:val="3"/>
                  <w:noWrap w:val="0"/>
                  <w:vAlign w:val="center"/>
                </w:tcPr>
                <w:p>
                  <w:pPr>
                    <w:jc w:val="center"/>
                    <w:rPr>
                      <w:color w:val="auto"/>
                      <w:sz w:val="18"/>
                      <w:szCs w:val="18"/>
                    </w:rPr>
                  </w:pPr>
                  <w:r>
                    <w:rPr>
                      <w:color w:val="auto"/>
                      <w:sz w:val="18"/>
                      <w:szCs w:val="18"/>
                    </w:rPr>
                    <w:t>单位面积综合耗能</w:t>
                  </w:r>
                </w:p>
              </w:tc>
              <w:tc>
                <w:tcPr>
                  <w:tcW w:w="373" w:type="pct"/>
                  <w:noWrap w:val="0"/>
                  <w:vAlign w:val="center"/>
                </w:tcPr>
                <w:p>
                  <w:pPr>
                    <w:jc w:val="center"/>
                    <w:rPr>
                      <w:color w:val="auto"/>
                      <w:sz w:val="18"/>
                      <w:szCs w:val="18"/>
                    </w:rPr>
                  </w:pPr>
                </w:p>
                <w:p>
                  <w:pPr>
                    <w:jc w:val="center"/>
                    <w:rPr>
                      <w:color w:val="auto"/>
                      <w:sz w:val="18"/>
                      <w:szCs w:val="18"/>
                    </w:rPr>
                  </w:pPr>
                  <w:r>
                    <w:rPr>
                      <w:color w:val="auto"/>
                      <w:sz w:val="18"/>
                      <w:szCs w:val="18"/>
                    </w:rPr>
                    <w:t>kgce/m</w:t>
                  </w:r>
                  <w:r>
                    <w:rPr>
                      <w:color w:val="auto"/>
                      <w:sz w:val="18"/>
                      <w:szCs w:val="18"/>
                      <w:vertAlign w:val="superscript"/>
                    </w:rPr>
                    <w:t>2</w:t>
                  </w:r>
                </w:p>
              </w:tc>
              <w:tc>
                <w:tcPr>
                  <w:tcW w:w="396" w:type="pct"/>
                  <w:vMerge w:val="restart"/>
                  <w:noWrap w:val="0"/>
                  <w:vAlign w:val="center"/>
                </w:tcPr>
                <w:p>
                  <w:pPr>
                    <w:jc w:val="center"/>
                    <w:rPr>
                      <w:color w:val="auto"/>
                      <w:sz w:val="18"/>
                      <w:szCs w:val="18"/>
                    </w:rPr>
                  </w:pPr>
                  <w:r>
                    <w:rPr>
                      <w:color w:val="auto"/>
                      <w:sz w:val="18"/>
                      <w:szCs w:val="18"/>
                    </w:rPr>
                    <w:t>0.7</w:t>
                  </w:r>
                </w:p>
              </w:tc>
              <w:tc>
                <w:tcPr>
                  <w:tcW w:w="686" w:type="pct"/>
                  <w:noWrap w:val="0"/>
                  <w:vAlign w:val="center"/>
                </w:tcPr>
                <w:p>
                  <w:pPr>
                    <w:jc w:val="center"/>
                    <w:rPr>
                      <w:color w:val="auto"/>
                      <w:sz w:val="18"/>
                      <w:szCs w:val="18"/>
                    </w:rPr>
                  </w:pPr>
                  <w:r>
                    <w:rPr>
                      <w:color w:val="auto"/>
                      <w:sz w:val="18"/>
                      <w:szCs w:val="18"/>
                    </w:rPr>
                    <w:t>≤1.26</w:t>
                  </w:r>
                </w:p>
              </w:tc>
              <w:tc>
                <w:tcPr>
                  <w:tcW w:w="786" w:type="pct"/>
                  <w:noWrap w:val="0"/>
                  <w:vAlign w:val="center"/>
                </w:tcPr>
                <w:p>
                  <w:pPr>
                    <w:jc w:val="center"/>
                    <w:rPr>
                      <w:color w:val="auto"/>
                      <w:sz w:val="18"/>
                      <w:szCs w:val="18"/>
                    </w:rPr>
                  </w:pPr>
                  <w:r>
                    <w:rPr>
                      <w:color w:val="auto"/>
                      <w:sz w:val="18"/>
                      <w:szCs w:val="18"/>
                    </w:rPr>
                    <w:t>≤1.32</w:t>
                  </w:r>
                </w:p>
              </w:tc>
              <w:tc>
                <w:tcPr>
                  <w:tcW w:w="649" w:type="pct"/>
                  <w:noWrap w:val="0"/>
                  <w:vAlign w:val="center"/>
                </w:tcPr>
                <w:p>
                  <w:pPr>
                    <w:jc w:val="center"/>
                    <w:rPr>
                      <w:color w:val="auto"/>
                      <w:sz w:val="18"/>
                      <w:szCs w:val="18"/>
                    </w:rPr>
                  </w:pPr>
                  <w:r>
                    <w:rPr>
                      <w:color w:val="auto"/>
                      <w:sz w:val="18"/>
                      <w:szCs w:val="18"/>
                    </w:rPr>
                    <w:t>≤1.43</w:t>
                  </w:r>
                </w:p>
              </w:tc>
              <w:tc>
                <w:tcPr>
                  <w:tcW w:w="584" w:type="pct"/>
                  <w:noWrap w:val="0"/>
                  <w:vAlign w:val="center"/>
                </w:tcPr>
                <w:p>
                  <w:pPr>
                    <w:jc w:val="center"/>
                    <w:rPr>
                      <w:color w:val="auto"/>
                      <w:sz w:val="18"/>
                      <w:szCs w:val="18"/>
                    </w:rPr>
                  </w:pPr>
                  <w:r>
                    <w:rPr>
                      <w:color w:val="auto"/>
                      <w:sz w:val="18"/>
                      <w:szCs w:val="18"/>
                    </w:rPr>
                    <w:t>≤1.26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258" w:type="pct"/>
                  <w:vMerge w:val="continue"/>
                  <w:noWrap w:val="0"/>
                  <w:vAlign w:val="center"/>
                </w:tcPr>
                <w:p>
                  <w:pPr>
                    <w:jc w:val="center"/>
                    <w:rPr>
                      <w:color w:val="auto"/>
                      <w:sz w:val="18"/>
                      <w:szCs w:val="18"/>
                    </w:rPr>
                  </w:pP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703" w:type="pct"/>
                  <w:gridSpan w:val="3"/>
                  <w:noWrap w:val="0"/>
                  <w:vAlign w:val="center"/>
                </w:tcPr>
                <w:p>
                  <w:pPr>
                    <w:jc w:val="center"/>
                    <w:rPr>
                      <w:color w:val="auto"/>
                      <w:sz w:val="18"/>
                      <w:szCs w:val="18"/>
                    </w:rPr>
                  </w:pPr>
                  <w:r>
                    <w:rPr>
                      <w:color w:val="auto"/>
                      <w:sz w:val="18"/>
                      <w:szCs w:val="18"/>
                    </w:rPr>
                    <w:t>单位重量综合耗能</w:t>
                  </w:r>
                </w:p>
              </w:tc>
              <w:tc>
                <w:tcPr>
                  <w:tcW w:w="373" w:type="pct"/>
                  <w:noWrap w:val="0"/>
                  <w:vAlign w:val="center"/>
                </w:tcPr>
                <w:p>
                  <w:pPr>
                    <w:jc w:val="center"/>
                    <w:rPr>
                      <w:color w:val="auto"/>
                      <w:sz w:val="18"/>
                      <w:szCs w:val="18"/>
                    </w:rPr>
                  </w:pPr>
                  <w:r>
                    <w:rPr>
                      <w:color w:val="auto"/>
                      <w:sz w:val="18"/>
                      <w:szCs w:val="18"/>
                    </w:rPr>
                    <w:t>kgce/kg</w:t>
                  </w:r>
                </w:p>
              </w:tc>
              <w:tc>
                <w:tcPr>
                  <w:tcW w:w="396" w:type="pct"/>
                  <w:vMerge w:val="continue"/>
                  <w:noWrap w:val="0"/>
                  <w:vAlign w:val="center"/>
                </w:tcPr>
                <w:p>
                  <w:pPr>
                    <w:jc w:val="center"/>
                    <w:rPr>
                      <w:color w:val="auto"/>
                      <w:sz w:val="18"/>
                      <w:szCs w:val="18"/>
                    </w:rPr>
                  </w:pPr>
                </w:p>
              </w:tc>
              <w:tc>
                <w:tcPr>
                  <w:tcW w:w="686" w:type="pct"/>
                  <w:noWrap w:val="0"/>
                  <w:vAlign w:val="center"/>
                </w:tcPr>
                <w:p>
                  <w:pPr>
                    <w:jc w:val="center"/>
                    <w:rPr>
                      <w:color w:val="auto"/>
                      <w:sz w:val="18"/>
                      <w:szCs w:val="18"/>
                    </w:rPr>
                  </w:pPr>
                  <w:r>
                    <w:rPr>
                      <w:color w:val="auto"/>
                      <w:sz w:val="18"/>
                      <w:szCs w:val="18"/>
                    </w:rPr>
                    <w:t>≤0.23</w:t>
                  </w:r>
                </w:p>
              </w:tc>
              <w:tc>
                <w:tcPr>
                  <w:tcW w:w="786" w:type="pct"/>
                  <w:noWrap w:val="0"/>
                  <w:vAlign w:val="center"/>
                </w:tcPr>
                <w:p>
                  <w:pPr>
                    <w:jc w:val="center"/>
                    <w:rPr>
                      <w:color w:val="auto"/>
                      <w:sz w:val="18"/>
                      <w:szCs w:val="18"/>
                    </w:rPr>
                  </w:pPr>
                  <w:r>
                    <w:rPr>
                      <w:color w:val="auto"/>
                      <w:sz w:val="18"/>
                      <w:szCs w:val="18"/>
                    </w:rPr>
                    <w:t>≤0.26</w:t>
                  </w:r>
                </w:p>
              </w:tc>
              <w:tc>
                <w:tcPr>
                  <w:tcW w:w="649" w:type="pct"/>
                  <w:noWrap w:val="0"/>
                  <w:vAlign w:val="center"/>
                </w:tcPr>
                <w:p>
                  <w:pPr>
                    <w:jc w:val="center"/>
                    <w:rPr>
                      <w:color w:val="auto"/>
                      <w:sz w:val="18"/>
                      <w:szCs w:val="18"/>
                    </w:rPr>
                  </w:pPr>
                  <w:r>
                    <w:rPr>
                      <w:color w:val="auto"/>
                      <w:sz w:val="18"/>
                      <w:szCs w:val="18"/>
                    </w:rPr>
                    <w:t>≤0.31</w:t>
                  </w:r>
                </w:p>
              </w:tc>
              <w:tc>
                <w:tcPr>
                  <w:tcW w:w="584" w:type="pct"/>
                  <w:noWrap w:val="0"/>
                  <w:vAlign w:val="center"/>
                </w:tcPr>
                <w:p>
                  <w:pPr>
                    <w:jc w:val="center"/>
                    <w:rPr>
                      <w:color w:val="auto"/>
                      <w:sz w:val="18"/>
                      <w:szCs w:val="18"/>
                    </w:rPr>
                  </w:pPr>
                  <w:r>
                    <w:rPr>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58" w:type="pct"/>
                  <w:vMerge w:val="restart"/>
                  <w:noWrap w:val="0"/>
                  <w:vAlign w:val="center"/>
                </w:tcPr>
                <w:p>
                  <w:pPr>
                    <w:jc w:val="center"/>
                    <w:rPr>
                      <w:color w:val="auto"/>
                      <w:sz w:val="18"/>
                      <w:szCs w:val="18"/>
                    </w:rPr>
                  </w:pPr>
                  <w:r>
                    <w:rPr>
                      <w:color w:val="auto"/>
                      <w:sz w:val="18"/>
                      <w:szCs w:val="18"/>
                    </w:rPr>
                    <w:t>14</w:t>
                  </w:r>
                </w:p>
              </w:tc>
              <w:tc>
                <w:tcPr>
                  <w:tcW w:w="258" w:type="pct"/>
                  <w:vMerge w:val="restart"/>
                  <w:noWrap w:val="0"/>
                  <w:vAlign w:val="center"/>
                </w:tcPr>
                <w:p>
                  <w:pPr>
                    <w:jc w:val="center"/>
                    <w:rPr>
                      <w:color w:val="auto"/>
                      <w:sz w:val="18"/>
                      <w:szCs w:val="18"/>
                    </w:rPr>
                  </w:pPr>
                  <w:r>
                    <w:rPr>
                      <w:color w:val="auto"/>
                      <w:sz w:val="18"/>
                      <w:szCs w:val="18"/>
                    </w:rPr>
                    <w:t>污染物产生指标</w:t>
                  </w:r>
                </w:p>
              </w:tc>
              <w:tc>
                <w:tcPr>
                  <w:tcW w:w="302" w:type="pct"/>
                  <w:vMerge w:val="restart"/>
                  <w:noWrap w:val="0"/>
                  <w:vAlign w:val="center"/>
                </w:tcPr>
                <w:p>
                  <w:pPr>
                    <w:jc w:val="center"/>
                    <w:rPr>
                      <w:color w:val="auto"/>
                      <w:sz w:val="18"/>
                      <w:szCs w:val="18"/>
                    </w:rPr>
                  </w:pPr>
                  <w:r>
                    <w:rPr>
                      <w:color w:val="auto"/>
                      <w:sz w:val="18"/>
                      <w:szCs w:val="18"/>
                    </w:rPr>
                    <w:t>0.3</w:t>
                  </w:r>
                </w:p>
              </w:tc>
              <w:tc>
                <w:tcPr>
                  <w:tcW w:w="270" w:type="pct"/>
                  <w:vMerge w:val="restart"/>
                  <w:noWrap w:val="0"/>
                  <w:vAlign w:val="center"/>
                </w:tcPr>
                <w:p>
                  <w:pPr>
                    <w:jc w:val="center"/>
                    <w:rPr>
                      <w:color w:val="auto"/>
                      <w:sz w:val="18"/>
                      <w:szCs w:val="18"/>
                    </w:rPr>
                  </w:pPr>
                  <w:r>
                    <w:rPr>
                      <w:color w:val="auto"/>
                      <w:sz w:val="18"/>
                      <w:szCs w:val="18"/>
                    </w:rPr>
                    <w:t>单位面积VOCs产生量</w:t>
                  </w:r>
                </w:p>
              </w:tc>
              <w:tc>
                <w:tcPr>
                  <w:tcW w:w="432" w:type="pct"/>
                  <w:gridSpan w:val="2"/>
                  <w:noWrap w:val="0"/>
                  <w:vAlign w:val="center"/>
                </w:tcPr>
                <w:p>
                  <w:pPr>
                    <w:jc w:val="center"/>
                    <w:rPr>
                      <w:color w:val="auto"/>
                      <w:sz w:val="18"/>
                      <w:szCs w:val="18"/>
                    </w:rPr>
                  </w:pPr>
                  <w:r>
                    <w:rPr>
                      <w:color w:val="auto"/>
                      <w:sz w:val="18"/>
                      <w:szCs w:val="18"/>
                    </w:rPr>
                    <w:t>客车大型机械</w:t>
                  </w:r>
                </w:p>
              </w:tc>
              <w:tc>
                <w:tcPr>
                  <w:tcW w:w="373" w:type="pct"/>
                  <w:vMerge w:val="restart"/>
                  <w:noWrap w:val="0"/>
                  <w:vAlign w:val="center"/>
                </w:tcPr>
                <w:p>
                  <w:pPr>
                    <w:jc w:val="center"/>
                    <w:rPr>
                      <w:color w:val="auto"/>
                      <w:sz w:val="18"/>
                      <w:szCs w:val="18"/>
                    </w:rPr>
                  </w:pPr>
                  <w:r>
                    <w:rPr>
                      <w:color w:val="auto"/>
                      <w:sz w:val="18"/>
                      <w:szCs w:val="18"/>
                    </w:rPr>
                    <w:t>g/m</w:t>
                  </w:r>
                  <w:r>
                    <w:rPr>
                      <w:color w:val="auto"/>
                      <w:sz w:val="18"/>
                      <w:szCs w:val="18"/>
                      <w:vertAlign w:val="superscript"/>
                    </w:rPr>
                    <w:t>2</w:t>
                  </w:r>
                </w:p>
              </w:tc>
              <w:tc>
                <w:tcPr>
                  <w:tcW w:w="396" w:type="pct"/>
                  <w:vMerge w:val="restart"/>
                  <w:noWrap w:val="0"/>
                  <w:vAlign w:val="center"/>
                </w:tcPr>
                <w:p>
                  <w:pPr>
                    <w:jc w:val="center"/>
                    <w:rPr>
                      <w:color w:val="auto"/>
                      <w:sz w:val="18"/>
                      <w:szCs w:val="18"/>
                    </w:rPr>
                  </w:pPr>
                  <w:r>
                    <w:rPr>
                      <w:color w:val="auto"/>
                      <w:sz w:val="18"/>
                      <w:szCs w:val="18"/>
                    </w:rPr>
                    <w:t>0.35</w:t>
                  </w:r>
                </w:p>
              </w:tc>
              <w:tc>
                <w:tcPr>
                  <w:tcW w:w="686" w:type="pct"/>
                  <w:noWrap w:val="0"/>
                  <w:vAlign w:val="center"/>
                </w:tcPr>
                <w:p>
                  <w:pPr>
                    <w:jc w:val="center"/>
                    <w:rPr>
                      <w:color w:val="auto"/>
                      <w:sz w:val="18"/>
                      <w:szCs w:val="18"/>
                    </w:rPr>
                  </w:pPr>
                  <w:r>
                    <w:rPr>
                      <w:color w:val="auto"/>
                      <w:sz w:val="18"/>
                      <w:szCs w:val="18"/>
                    </w:rPr>
                    <w:t>≤150</w:t>
                  </w:r>
                </w:p>
              </w:tc>
              <w:tc>
                <w:tcPr>
                  <w:tcW w:w="786" w:type="pct"/>
                  <w:noWrap w:val="0"/>
                  <w:vAlign w:val="center"/>
                </w:tcPr>
                <w:p>
                  <w:pPr>
                    <w:jc w:val="center"/>
                    <w:rPr>
                      <w:color w:val="auto"/>
                      <w:sz w:val="18"/>
                      <w:szCs w:val="18"/>
                    </w:rPr>
                  </w:pPr>
                  <w:r>
                    <w:rPr>
                      <w:color w:val="auto"/>
                      <w:sz w:val="18"/>
                      <w:szCs w:val="18"/>
                    </w:rPr>
                    <w:t>≤210</w:t>
                  </w:r>
                </w:p>
              </w:tc>
              <w:tc>
                <w:tcPr>
                  <w:tcW w:w="649" w:type="pct"/>
                  <w:noWrap w:val="0"/>
                  <w:vAlign w:val="center"/>
                </w:tcPr>
                <w:p>
                  <w:pPr>
                    <w:jc w:val="center"/>
                    <w:rPr>
                      <w:color w:val="auto"/>
                      <w:sz w:val="18"/>
                      <w:szCs w:val="18"/>
                    </w:rPr>
                  </w:pPr>
                  <w:r>
                    <w:rPr>
                      <w:color w:val="auto"/>
                      <w:sz w:val="18"/>
                      <w:szCs w:val="18"/>
                    </w:rPr>
                    <w:t>≤280</w:t>
                  </w:r>
                </w:p>
              </w:tc>
              <w:tc>
                <w:tcPr>
                  <w:tcW w:w="584" w:type="pct"/>
                  <w:noWrap w:val="0"/>
                  <w:vAlign w:val="center"/>
                </w:tcPr>
                <w:p>
                  <w:pPr>
                    <w:jc w:val="center"/>
                    <w:rPr>
                      <w:color w:val="auto"/>
                      <w:sz w:val="18"/>
                      <w:szCs w:val="18"/>
                    </w:rPr>
                  </w:pPr>
                  <w:r>
                    <w:rPr>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58" w:type="pct"/>
                  <w:vMerge w:val="continue"/>
                  <w:noWrap w:val="0"/>
                  <w:vAlign w:val="center"/>
                </w:tcPr>
                <w:p>
                  <w:pPr>
                    <w:jc w:val="center"/>
                    <w:rPr>
                      <w:color w:val="auto"/>
                      <w:sz w:val="18"/>
                      <w:szCs w:val="18"/>
                    </w:rPr>
                  </w:pP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270" w:type="pct"/>
                  <w:vMerge w:val="continue"/>
                  <w:noWrap w:val="0"/>
                  <w:vAlign w:val="center"/>
                </w:tcPr>
                <w:p>
                  <w:pPr>
                    <w:jc w:val="center"/>
                    <w:rPr>
                      <w:color w:val="auto"/>
                      <w:sz w:val="18"/>
                      <w:szCs w:val="18"/>
                    </w:rPr>
                  </w:pPr>
                </w:p>
              </w:tc>
              <w:tc>
                <w:tcPr>
                  <w:tcW w:w="432" w:type="pct"/>
                  <w:gridSpan w:val="2"/>
                  <w:noWrap w:val="0"/>
                  <w:vAlign w:val="center"/>
                </w:tcPr>
                <w:p>
                  <w:pPr>
                    <w:jc w:val="center"/>
                    <w:rPr>
                      <w:color w:val="auto"/>
                      <w:sz w:val="18"/>
                      <w:szCs w:val="18"/>
                    </w:rPr>
                  </w:pPr>
                  <w:r>
                    <w:rPr>
                      <w:color w:val="auto"/>
                      <w:sz w:val="18"/>
                      <w:szCs w:val="18"/>
                    </w:rPr>
                    <w:t>其他</w:t>
                  </w:r>
                </w:p>
              </w:tc>
              <w:tc>
                <w:tcPr>
                  <w:tcW w:w="373" w:type="pct"/>
                  <w:vMerge w:val="continue"/>
                  <w:noWrap w:val="0"/>
                  <w:vAlign w:val="center"/>
                </w:tcPr>
                <w:p>
                  <w:pPr>
                    <w:jc w:val="center"/>
                    <w:rPr>
                      <w:color w:val="auto"/>
                      <w:sz w:val="18"/>
                      <w:szCs w:val="18"/>
                    </w:rPr>
                  </w:pPr>
                </w:p>
              </w:tc>
              <w:tc>
                <w:tcPr>
                  <w:tcW w:w="396" w:type="pct"/>
                  <w:vMerge w:val="continue"/>
                  <w:noWrap w:val="0"/>
                  <w:vAlign w:val="center"/>
                </w:tcPr>
                <w:p>
                  <w:pPr>
                    <w:jc w:val="center"/>
                    <w:rPr>
                      <w:color w:val="auto"/>
                      <w:sz w:val="18"/>
                      <w:szCs w:val="18"/>
                    </w:rPr>
                  </w:pPr>
                </w:p>
              </w:tc>
              <w:tc>
                <w:tcPr>
                  <w:tcW w:w="686" w:type="pct"/>
                  <w:noWrap w:val="0"/>
                  <w:vAlign w:val="center"/>
                </w:tcPr>
                <w:p>
                  <w:pPr>
                    <w:jc w:val="center"/>
                    <w:rPr>
                      <w:color w:val="auto"/>
                      <w:sz w:val="18"/>
                      <w:szCs w:val="18"/>
                    </w:rPr>
                  </w:pPr>
                  <w:r>
                    <w:rPr>
                      <w:color w:val="auto"/>
                      <w:sz w:val="18"/>
                      <w:szCs w:val="18"/>
                    </w:rPr>
                    <w:t>≤60</w:t>
                  </w:r>
                </w:p>
              </w:tc>
              <w:tc>
                <w:tcPr>
                  <w:tcW w:w="786" w:type="pct"/>
                  <w:noWrap w:val="0"/>
                  <w:vAlign w:val="center"/>
                </w:tcPr>
                <w:p>
                  <w:pPr>
                    <w:spacing w:line="240" w:lineRule="auto"/>
                    <w:jc w:val="center"/>
                    <w:rPr>
                      <w:color w:val="auto"/>
                      <w:sz w:val="18"/>
                      <w:szCs w:val="18"/>
                    </w:rPr>
                  </w:pPr>
                  <w:r>
                    <w:rPr>
                      <w:color w:val="auto"/>
                      <w:sz w:val="18"/>
                      <w:szCs w:val="18"/>
                    </w:rPr>
                    <w:t>≤80</w:t>
                  </w:r>
                </w:p>
              </w:tc>
              <w:tc>
                <w:tcPr>
                  <w:tcW w:w="649" w:type="pct"/>
                  <w:noWrap w:val="0"/>
                  <w:vAlign w:val="center"/>
                </w:tcPr>
                <w:p>
                  <w:pPr>
                    <w:jc w:val="center"/>
                    <w:rPr>
                      <w:color w:val="auto"/>
                      <w:sz w:val="18"/>
                      <w:szCs w:val="18"/>
                    </w:rPr>
                  </w:pPr>
                  <w:r>
                    <w:rPr>
                      <w:color w:val="auto"/>
                      <w:sz w:val="18"/>
                      <w:szCs w:val="18"/>
                    </w:rPr>
                    <w:t>≤100</w:t>
                  </w:r>
                </w:p>
              </w:tc>
              <w:tc>
                <w:tcPr>
                  <w:tcW w:w="584" w:type="pct"/>
                  <w:noWrap w:val="0"/>
                  <w:vAlign w:val="center"/>
                </w:tcPr>
                <w:p>
                  <w:pPr>
                    <w:jc w:val="center"/>
                    <w:rPr>
                      <w:color w:val="auto"/>
                      <w:sz w:val="18"/>
                      <w:szCs w:val="18"/>
                    </w:rPr>
                  </w:pPr>
                  <w:r>
                    <w:rPr>
                      <w:color w:val="auto"/>
                      <w:sz w:val="18"/>
                      <w:szCs w:val="18"/>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15</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703" w:type="pct"/>
                  <w:gridSpan w:val="3"/>
                  <w:noWrap w:val="0"/>
                  <w:vAlign w:val="center"/>
                </w:tcPr>
                <w:p>
                  <w:pPr>
                    <w:jc w:val="center"/>
                    <w:rPr>
                      <w:color w:val="auto"/>
                      <w:sz w:val="18"/>
                      <w:szCs w:val="18"/>
                    </w:rPr>
                  </w:pPr>
                  <w:r>
                    <w:rPr>
                      <w:color w:val="auto"/>
                      <w:sz w:val="18"/>
                      <w:szCs w:val="18"/>
                    </w:rPr>
                    <w:t>单位面积CODcr产生量</w:t>
                  </w:r>
                </w:p>
              </w:tc>
              <w:tc>
                <w:tcPr>
                  <w:tcW w:w="373" w:type="pct"/>
                  <w:noWrap w:val="0"/>
                  <w:vAlign w:val="center"/>
                </w:tcPr>
                <w:p>
                  <w:pPr>
                    <w:jc w:val="center"/>
                    <w:rPr>
                      <w:color w:val="auto"/>
                      <w:sz w:val="18"/>
                      <w:szCs w:val="18"/>
                    </w:rPr>
                  </w:pPr>
                  <w:r>
                    <w:rPr>
                      <w:color w:val="auto"/>
                      <w:sz w:val="18"/>
                      <w:szCs w:val="18"/>
                    </w:rPr>
                    <w:t>g/m</w:t>
                  </w:r>
                  <w:r>
                    <w:rPr>
                      <w:color w:val="auto"/>
                      <w:sz w:val="18"/>
                      <w:szCs w:val="18"/>
                      <w:vertAlign w:val="superscript"/>
                    </w:rPr>
                    <w:t>2</w:t>
                  </w:r>
                </w:p>
              </w:tc>
              <w:tc>
                <w:tcPr>
                  <w:tcW w:w="396" w:type="pct"/>
                  <w:noWrap w:val="0"/>
                  <w:vAlign w:val="center"/>
                </w:tcPr>
                <w:p>
                  <w:pPr>
                    <w:jc w:val="center"/>
                    <w:rPr>
                      <w:color w:val="auto"/>
                      <w:sz w:val="18"/>
                      <w:szCs w:val="18"/>
                    </w:rPr>
                  </w:pPr>
                  <w:r>
                    <w:rPr>
                      <w:color w:val="auto"/>
                      <w:sz w:val="18"/>
                      <w:szCs w:val="18"/>
                    </w:rPr>
                    <w:t>0.35</w:t>
                  </w:r>
                </w:p>
              </w:tc>
              <w:tc>
                <w:tcPr>
                  <w:tcW w:w="686" w:type="pct"/>
                  <w:noWrap w:val="0"/>
                  <w:vAlign w:val="center"/>
                </w:tcPr>
                <w:p>
                  <w:pPr>
                    <w:jc w:val="center"/>
                    <w:rPr>
                      <w:color w:val="auto"/>
                      <w:sz w:val="18"/>
                      <w:szCs w:val="18"/>
                    </w:rPr>
                  </w:pPr>
                  <w:r>
                    <w:rPr>
                      <w:color w:val="auto"/>
                      <w:sz w:val="18"/>
                      <w:szCs w:val="18"/>
                    </w:rPr>
                    <w:t>≤2</w:t>
                  </w:r>
                </w:p>
              </w:tc>
              <w:tc>
                <w:tcPr>
                  <w:tcW w:w="786" w:type="pct"/>
                  <w:noWrap w:val="0"/>
                  <w:vAlign w:val="center"/>
                </w:tcPr>
                <w:p>
                  <w:pPr>
                    <w:jc w:val="center"/>
                    <w:rPr>
                      <w:color w:val="auto"/>
                      <w:sz w:val="18"/>
                      <w:szCs w:val="18"/>
                    </w:rPr>
                  </w:pPr>
                  <w:r>
                    <w:rPr>
                      <w:color w:val="auto"/>
                      <w:sz w:val="18"/>
                      <w:szCs w:val="18"/>
                    </w:rPr>
                    <w:t>≤2.5</w:t>
                  </w:r>
                </w:p>
              </w:tc>
              <w:tc>
                <w:tcPr>
                  <w:tcW w:w="649" w:type="pct"/>
                  <w:noWrap w:val="0"/>
                  <w:vAlign w:val="center"/>
                </w:tcPr>
                <w:p>
                  <w:pPr>
                    <w:jc w:val="center"/>
                    <w:rPr>
                      <w:color w:val="auto"/>
                      <w:sz w:val="18"/>
                      <w:szCs w:val="18"/>
                    </w:rPr>
                  </w:pPr>
                  <w:r>
                    <w:rPr>
                      <w:color w:val="auto"/>
                      <w:sz w:val="18"/>
                      <w:szCs w:val="18"/>
                    </w:rPr>
                    <w:t>≤3.5</w:t>
                  </w:r>
                </w:p>
              </w:tc>
              <w:tc>
                <w:tcPr>
                  <w:tcW w:w="584" w:type="pct"/>
                  <w:noWrap w:val="0"/>
                  <w:vAlign w:val="center"/>
                </w:tcPr>
                <w:p>
                  <w:pPr>
                    <w:jc w:val="center"/>
                    <w:rPr>
                      <w:color w:val="auto"/>
                      <w:sz w:val="18"/>
                      <w:szCs w:val="18"/>
                    </w:rPr>
                  </w:pPr>
                  <w:r>
                    <w:rPr>
                      <w:color w:val="auto"/>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 w:type="pct"/>
                  <w:noWrap w:val="0"/>
                  <w:vAlign w:val="center"/>
                </w:tcPr>
                <w:p>
                  <w:pPr>
                    <w:jc w:val="center"/>
                    <w:rPr>
                      <w:color w:val="auto"/>
                      <w:sz w:val="18"/>
                      <w:szCs w:val="18"/>
                    </w:rPr>
                  </w:pPr>
                  <w:r>
                    <w:rPr>
                      <w:color w:val="auto"/>
                      <w:sz w:val="18"/>
                      <w:szCs w:val="18"/>
                    </w:rPr>
                    <w:t>16</w:t>
                  </w:r>
                </w:p>
              </w:tc>
              <w:tc>
                <w:tcPr>
                  <w:tcW w:w="258" w:type="pct"/>
                  <w:vMerge w:val="continue"/>
                  <w:noWrap w:val="0"/>
                  <w:vAlign w:val="center"/>
                </w:tcPr>
                <w:p>
                  <w:pPr>
                    <w:jc w:val="center"/>
                    <w:rPr>
                      <w:color w:val="auto"/>
                      <w:sz w:val="18"/>
                      <w:szCs w:val="18"/>
                    </w:rPr>
                  </w:pPr>
                </w:p>
              </w:tc>
              <w:tc>
                <w:tcPr>
                  <w:tcW w:w="302" w:type="pct"/>
                  <w:vMerge w:val="continue"/>
                  <w:noWrap w:val="0"/>
                  <w:vAlign w:val="center"/>
                </w:tcPr>
                <w:p>
                  <w:pPr>
                    <w:jc w:val="center"/>
                    <w:rPr>
                      <w:color w:val="auto"/>
                      <w:sz w:val="18"/>
                      <w:szCs w:val="18"/>
                    </w:rPr>
                  </w:pPr>
                </w:p>
              </w:tc>
              <w:tc>
                <w:tcPr>
                  <w:tcW w:w="703" w:type="pct"/>
                  <w:gridSpan w:val="3"/>
                  <w:noWrap w:val="0"/>
                  <w:vAlign w:val="center"/>
                </w:tcPr>
                <w:p>
                  <w:pPr>
                    <w:jc w:val="center"/>
                    <w:rPr>
                      <w:color w:val="auto"/>
                      <w:sz w:val="18"/>
                      <w:szCs w:val="18"/>
                    </w:rPr>
                  </w:pPr>
                  <w:r>
                    <w:rPr>
                      <w:color w:val="auto"/>
                      <w:sz w:val="18"/>
                      <w:szCs w:val="18"/>
                    </w:rPr>
                    <w:t>单位面积的危险废物产生量</w:t>
                  </w:r>
                </w:p>
              </w:tc>
              <w:tc>
                <w:tcPr>
                  <w:tcW w:w="373" w:type="pct"/>
                  <w:noWrap w:val="0"/>
                  <w:vAlign w:val="center"/>
                </w:tcPr>
                <w:p>
                  <w:pPr>
                    <w:jc w:val="center"/>
                    <w:rPr>
                      <w:color w:val="auto"/>
                      <w:sz w:val="18"/>
                      <w:szCs w:val="18"/>
                    </w:rPr>
                  </w:pPr>
                  <w:r>
                    <w:rPr>
                      <w:color w:val="auto"/>
                      <w:sz w:val="18"/>
                      <w:szCs w:val="18"/>
                    </w:rPr>
                    <w:t>g/m2</w:t>
                  </w:r>
                </w:p>
              </w:tc>
              <w:tc>
                <w:tcPr>
                  <w:tcW w:w="396" w:type="pct"/>
                  <w:noWrap w:val="0"/>
                  <w:vAlign w:val="center"/>
                </w:tcPr>
                <w:p>
                  <w:pPr>
                    <w:jc w:val="center"/>
                    <w:rPr>
                      <w:color w:val="auto"/>
                      <w:sz w:val="18"/>
                      <w:szCs w:val="18"/>
                    </w:rPr>
                  </w:pPr>
                  <w:r>
                    <w:rPr>
                      <w:color w:val="auto"/>
                      <w:sz w:val="18"/>
                      <w:szCs w:val="18"/>
                    </w:rPr>
                    <w:t>0.30</w:t>
                  </w:r>
                </w:p>
              </w:tc>
              <w:tc>
                <w:tcPr>
                  <w:tcW w:w="686" w:type="pct"/>
                  <w:noWrap w:val="0"/>
                  <w:vAlign w:val="center"/>
                </w:tcPr>
                <w:p>
                  <w:pPr>
                    <w:jc w:val="center"/>
                    <w:rPr>
                      <w:color w:val="auto"/>
                      <w:sz w:val="18"/>
                      <w:szCs w:val="18"/>
                    </w:rPr>
                  </w:pPr>
                  <w:r>
                    <w:rPr>
                      <w:color w:val="auto"/>
                      <w:sz w:val="18"/>
                      <w:szCs w:val="18"/>
                    </w:rPr>
                    <w:t>≤90</w:t>
                  </w:r>
                </w:p>
              </w:tc>
              <w:tc>
                <w:tcPr>
                  <w:tcW w:w="786" w:type="pct"/>
                  <w:noWrap w:val="0"/>
                  <w:vAlign w:val="center"/>
                </w:tcPr>
                <w:p>
                  <w:pPr>
                    <w:jc w:val="center"/>
                    <w:rPr>
                      <w:color w:val="auto"/>
                      <w:sz w:val="18"/>
                      <w:szCs w:val="18"/>
                    </w:rPr>
                  </w:pPr>
                  <w:r>
                    <w:rPr>
                      <w:color w:val="auto"/>
                      <w:sz w:val="18"/>
                      <w:szCs w:val="18"/>
                    </w:rPr>
                    <w:t>≤110</w:t>
                  </w:r>
                </w:p>
              </w:tc>
              <w:tc>
                <w:tcPr>
                  <w:tcW w:w="649" w:type="pct"/>
                  <w:noWrap w:val="0"/>
                  <w:vAlign w:val="center"/>
                </w:tcPr>
                <w:p>
                  <w:pPr>
                    <w:jc w:val="center"/>
                    <w:rPr>
                      <w:color w:val="auto"/>
                      <w:sz w:val="18"/>
                      <w:szCs w:val="18"/>
                    </w:rPr>
                  </w:pPr>
                  <w:r>
                    <w:rPr>
                      <w:color w:val="auto"/>
                      <w:sz w:val="18"/>
                      <w:szCs w:val="18"/>
                    </w:rPr>
                    <w:t>≤160</w:t>
                  </w:r>
                </w:p>
              </w:tc>
              <w:tc>
                <w:tcPr>
                  <w:tcW w:w="584" w:type="pct"/>
                  <w:noWrap w:val="0"/>
                  <w:vAlign w:val="center"/>
                </w:tcPr>
                <w:p>
                  <w:pPr>
                    <w:jc w:val="center"/>
                    <w:rPr>
                      <w:color w:val="auto"/>
                      <w:sz w:val="18"/>
                      <w:szCs w:val="18"/>
                    </w:rPr>
                  </w:pPr>
                  <w:r>
                    <w:rPr>
                      <w:color w:val="auto"/>
                      <w:sz w:val="18"/>
                      <w:szCs w:val="18"/>
                    </w:rPr>
                    <w:t>≤90</w:t>
                  </w:r>
                </w:p>
              </w:tc>
            </w:tr>
          </w:tbl>
          <w:p>
            <w:pPr>
              <w:spacing w:line="360" w:lineRule="auto"/>
              <w:ind w:firstLine="480" w:firstLineChars="200"/>
              <w:jc w:val="left"/>
              <w:rPr>
                <w:color w:val="auto"/>
                <w:sz w:val="24"/>
                <w:szCs w:val="24"/>
              </w:rPr>
            </w:pPr>
            <w:r>
              <w:rPr>
                <w:color w:val="auto"/>
                <w:sz w:val="24"/>
                <w:szCs w:val="24"/>
              </w:rPr>
              <w:t>根据该项目生产工艺及设备要求、资源能源利用指标、污染物产生（末端处理前）指标和环境管理指标的情况，经综合评价，该项目基本达到二级国内清洁生产先进水平。</w:t>
            </w:r>
          </w:p>
          <w:p>
            <w:pPr>
              <w:spacing w:line="360" w:lineRule="auto"/>
              <w:ind w:firstLine="480" w:firstLineChars="200"/>
              <w:jc w:val="left"/>
              <w:rPr>
                <w:color w:val="auto"/>
                <w:sz w:val="24"/>
                <w:szCs w:val="24"/>
              </w:rPr>
            </w:pPr>
            <w:r>
              <w:rPr>
                <w:color w:val="auto"/>
                <w:sz w:val="24"/>
                <w:szCs w:val="24"/>
              </w:rPr>
              <w:t>③清洁生产建议</w:t>
            </w:r>
          </w:p>
          <w:p>
            <w:pPr>
              <w:spacing w:line="360" w:lineRule="auto"/>
              <w:ind w:firstLine="480" w:firstLineChars="200"/>
              <w:jc w:val="left"/>
              <w:rPr>
                <w:color w:val="auto"/>
                <w:sz w:val="24"/>
                <w:szCs w:val="24"/>
              </w:rPr>
            </w:pPr>
            <w:r>
              <w:rPr>
                <w:color w:val="auto"/>
                <w:sz w:val="24"/>
                <w:szCs w:val="24"/>
              </w:rPr>
              <w:t>本项目对企业清洁生产建议如下：</w:t>
            </w:r>
          </w:p>
          <w:p>
            <w:pPr>
              <w:spacing w:line="360" w:lineRule="auto"/>
              <w:ind w:firstLine="480" w:firstLineChars="200"/>
              <w:jc w:val="left"/>
              <w:rPr>
                <w:rFonts w:hint="eastAsia" w:eastAsia="宋体"/>
                <w:color w:val="auto"/>
                <w:sz w:val="24"/>
                <w:szCs w:val="24"/>
                <w:lang w:val="en-US" w:eastAsia="zh-CN"/>
              </w:rPr>
            </w:pPr>
            <w:r>
              <w:rPr>
                <w:rFonts w:hint="eastAsia"/>
                <w:color w:val="auto"/>
                <w:sz w:val="24"/>
                <w:szCs w:val="24"/>
                <w:lang w:val="en-US" w:eastAsia="zh-CN"/>
              </w:rPr>
              <w:t>a</w:t>
            </w:r>
            <w:r>
              <w:rPr>
                <w:color w:val="auto"/>
                <w:sz w:val="24"/>
                <w:szCs w:val="24"/>
              </w:rPr>
              <w:t>完善清洁生产制度</w:t>
            </w:r>
            <w:r>
              <w:rPr>
                <w:rFonts w:hint="eastAsia"/>
                <w:color w:val="auto"/>
                <w:sz w:val="24"/>
                <w:szCs w:val="24"/>
                <w:lang w:eastAsia="zh-CN"/>
              </w:rPr>
              <w:t>；</w:t>
            </w:r>
          </w:p>
          <w:p>
            <w:pPr>
              <w:spacing w:line="360" w:lineRule="auto"/>
              <w:ind w:firstLine="480" w:firstLineChars="200"/>
              <w:jc w:val="left"/>
              <w:rPr>
                <w:rFonts w:hint="eastAsia" w:eastAsia="宋体"/>
                <w:color w:val="auto"/>
                <w:sz w:val="24"/>
                <w:szCs w:val="24"/>
                <w:lang w:eastAsia="zh-CN"/>
              </w:rPr>
            </w:pPr>
            <w:r>
              <w:rPr>
                <w:rFonts w:hint="eastAsia"/>
                <w:color w:val="auto"/>
                <w:sz w:val="24"/>
                <w:szCs w:val="24"/>
                <w:lang w:val="en-US" w:eastAsia="zh-CN"/>
              </w:rPr>
              <w:t>b</w:t>
            </w:r>
            <w:r>
              <w:rPr>
                <w:color w:val="auto"/>
                <w:sz w:val="24"/>
                <w:szCs w:val="24"/>
              </w:rPr>
              <w:t>建立设备管理网格体系</w:t>
            </w:r>
            <w:r>
              <w:rPr>
                <w:rFonts w:hint="eastAsia"/>
                <w:color w:val="auto"/>
                <w:sz w:val="24"/>
                <w:szCs w:val="24"/>
                <w:lang w:eastAsia="zh-CN"/>
              </w:rPr>
              <w:t>；</w:t>
            </w:r>
          </w:p>
          <w:p>
            <w:pPr>
              <w:spacing w:line="360" w:lineRule="auto"/>
              <w:ind w:firstLine="480" w:firstLineChars="200"/>
              <w:jc w:val="left"/>
              <w:rPr>
                <w:rFonts w:hint="eastAsia" w:eastAsia="宋体"/>
                <w:color w:val="auto"/>
                <w:sz w:val="24"/>
                <w:szCs w:val="24"/>
                <w:lang w:eastAsia="zh-CN"/>
              </w:rPr>
            </w:pPr>
            <w:r>
              <w:rPr>
                <w:rFonts w:hint="eastAsia"/>
                <w:color w:val="auto"/>
                <w:sz w:val="24"/>
                <w:szCs w:val="24"/>
                <w:lang w:val="en-US" w:eastAsia="zh-CN"/>
              </w:rPr>
              <w:t>c</w:t>
            </w:r>
            <w:r>
              <w:rPr>
                <w:color w:val="auto"/>
                <w:sz w:val="24"/>
                <w:szCs w:val="24"/>
              </w:rPr>
              <w:t>降低原辅材料消耗，提高原料清洁性</w:t>
            </w:r>
            <w:r>
              <w:rPr>
                <w:rFonts w:hint="eastAsia"/>
                <w:color w:val="auto"/>
                <w:sz w:val="24"/>
                <w:szCs w:val="24"/>
                <w:lang w:eastAsia="zh-CN"/>
              </w:rPr>
              <w:t>；</w:t>
            </w:r>
          </w:p>
          <w:p>
            <w:pPr>
              <w:pStyle w:val="2"/>
              <w:rPr>
                <w:rFonts w:hint="eastAsia" w:eastAsia="宋体"/>
                <w:color w:val="auto"/>
                <w:sz w:val="24"/>
                <w:lang w:val="en-US" w:eastAsia="zh-CN"/>
              </w:rPr>
            </w:pPr>
            <w:r>
              <w:rPr>
                <w:rFonts w:hint="eastAsia"/>
                <w:color w:val="auto"/>
                <w:sz w:val="24"/>
                <w:szCs w:val="24"/>
                <w:lang w:val="en-US" w:eastAsia="zh-CN"/>
              </w:rPr>
              <w:t>d</w:t>
            </w:r>
            <w:r>
              <w:rPr>
                <w:color w:val="auto"/>
                <w:sz w:val="24"/>
                <w:szCs w:val="24"/>
              </w:rPr>
              <w:t>进一步改进工艺，提高技术装备水平和自动化水平</w:t>
            </w:r>
            <w:r>
              <w:rPr>
                <w:rFonts w:hint="eastAsia"/>
                <w:color w:val="auto"/>
                <w:sz w:val="24"/>
                <w:szCs w:val="24"/>
                <w:lang w:eastAsia="zh-CN"/>
              </w:rPr>
              <w:t>。</w:t>
            </w:r>
          </w:p>
          <w:p>
            <w:pPr>
              <w:spacing w:line="360" w:lineRule="auto"/>
              <w:ind w:firstLine="480" w:firstLineChars="200"/>
              <w:rPr>
                <w:b/>
                <w:bCs/>
                <w:color w:val="auto"/>
                <w:sz w:val="24"/>
              </w:rPr>
            </w:pPr>
            <w:r>
              <w:rPr>
                <w:rFonts w:hint="eastAsia"/>
                <w:b/>
                <w:bCs/>
                <w:color w:val="auto"/>
                <w:sz w:val="24"/>
              </w:rPr>
              <w:t>五、</w:t>
            </w:r>
            <w:r>
              <w:rPr>
                <w:b/>
                <w:bCs/>
                <w:color w:val="auto"/>
                <w:sz w:val="24"/>
              </w:rPr>
              <w:t>项目污染物汇总表</w:t>
            </w:r>
          </w:p>
          <w:p>
            <w:pPr>
              <w:ind w:firstLine="420" w:firstLineChars="200"/>
              <w:jc w:val="center"/>
              <w:rPr>
                <w:color w:val="auto"/>
              </w:rPr>
            </w:pPr>
            <w:r>
              <w:rPr>
                <w:b/>
                <w:color w:val="auto"/>
              </w:rPr>
              <w:t>表5-</w:t>
            </w:r>
            <w:r>
              <w:rPr>
                <w:rFonts w:hint="eastAsia"/>
                <w:b/>
                <w:color w:val="auto"/>
                <w:lang w:val="en-US" w:eastAsia="zh-CN"/>
              </w:rPr>
              <w:t>25</w:t>
            </w:r>
            <w:r>
              <w:rPr>
                <w:b/>
                <w:color w:val="auto"/>
              </w:rPr>
              <w:t xml:space="preserve"> 项目污染物汇总表 单位(t/a)</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463"/>
              <w:gridCol w:w="1810"/>
              <w:gridCol w:w="1431"/>
              <w:gridCol w:w="1418"/>
              <w:gridCol w:w="14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Align w:val="center"/>
                </w:tcPr>
                <w:p>
                  <w:pPr>
                    <w:jc w:val="center"/>
                    <w:rPr>
                      <w:b/>
                      <w:color w:val="auto"/>
                      <w:szCs w:val="21"/>
                    </w:rPr>
                  </w:pPr>
                  <w:r>
                    <w:rPr>
                      <w:b/>
                      <w:color w:val="auto"/>
                      <w:szCs w:val="21"/>
                    </w:rPr>
                    <w:t>分类</w:t>
                  </w:r>
                </w:p>
              </w:tc>
              <w:tc>
                <w:tcPr>
                  <w:tcW w:w="1969" w:type="pct"/>
                  <w:gridSpan w:val="2"/>
                  <w:vAlign w:val="center"/>
                </w:tcPr>
                <w:p>
                  <w:pPr>
                    <w:jc w:val="center"/>
                    <w:rPr>
                      <w:b/>
                      <w:color w:val="auto"/>
                      <w:szCs w:val="21"/>
                    </w:rPr>
                  </w:pPr>
                  <w:r>
                    <w:rPr>
                      <w:b/>
                      <w:color w:val="auto"/>
                      <w:szCs w:val="21"/>
                    </w:rPr>
                    <w:t>污染物</w:t>
                  </w:r>
                </w:p>
              </w:tc>
              <w:tc>
                <w:tcPr>
                  <w:tcW w:w="861" w:type="pct"/>
                  <w:vAlign w:val="center"/>
                </w:tcPr>
                <w:p>
                  <w:pPr>
                    <w:jc w:val="center"/>
                    <w:rPr>
                      <w:b/>
                      <w:color w:val="auto"/>
                      <w:szCs w:val="21"/>
                    </w:rPr>
                  </w:pPr>
                  <w:r>
                    <w:rPr>
                      <w:b/>
                      <w:color w:val="auto"/>
                      <w:szCs w:val="21"/>
                    </w:rPr>
                    <w:t>产生量</w:t>
                  </w:r>
                </w:p>
              </w:tc>
              <w:tc>
                <w:tcPr>
                  <w:tcW w:w="853" w:type="pct"/>
                  <w:vAlign w:val="center"/>
                </w:tcPr>
                <w:p>
                  <w:pPr>
                    <w:jc w:val="center"/>
                    <w:rPr>
                      <w:b/>
                      <w:color w:val="auto"/>
                      <w:szCs w:val="21"/>
                    </w:rPr>
                  </w:pPr>
                  <w:r>
                    <w:rPr>
                      <w:b/>
                      <w:color w:val="auto"/>
                      <w:szCs w:val="21"/>
                    </w:rPr>
                    <w:t>削减量</w:t>
                  </w:r>
                </w:p>
              </w:tc>
              <w:tc>
                <w:tcPr>
                  <w:tcW w:w="873" w:type="pct"/>
                  <w:vAlign w:val="center"/>
                </w:tcPr>
                <w:p>
                  <w:pPr>
                    <w:jc w:val="center"/>
                    <w:rPr>
                      <w:b/>
                      <w:color w:val="auto"/>
                      <w:szCs w:val="21"/>
                    </w:rPr>
                  </w:pPr>
                  <w:r>
                    <w:rPr>
                      <w:b/>
                      <w:color w:val="auto"/>
                      <w:szCs w:val="21"/>
                    </w:rPr>
                    <w:t>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blHeader/>
                <w:jc w:val="center"/>
              </w:trPr>
              <w:tc>
                <w:tcPr>
                  <w:tcW w:w="442" w:type="pct"/>
                  <w:vMerge w:val="restart"/>
                  <w:vAlign w:val="center"/>
                </w:tcPr>
                <w:p>
                  <w:pPr>
                    <w:jc w:val="center"/>
                    <w:rPr>
                      <w:color w:val="auto"/>
                      <w:szCs w:val="21"/>
                    </w:rPr>
                  </w:pPr>
                  <w:r>
                    <w:rPr>
                      <w:bCs/>
                      <w:color w:val="auto"/>
                      <w:szCs w:val="21"/>
                    </w:rPr>
                    <w:t>废水</w:t>
                  </w:r>
                </w:p>
              </w:tc>
              <w:tc>
                <w:tcPr>
                  <w:tcW w:w="880" w:type="pct"/>
                  <w:vMerge w:val="restart"/>
                  <w:vAlign w:val="center"/>
                </w:tcPr>
                <w:p>
                  <w:pPr>
                    <w:jc w:val="center"/>
                    <w:rPr>
                      <w:color w:val="auto"/>
                      <w:szCs w:val="21"/>
                    </w:rPr>
                  </w:pPr>
                  <w:r>
                    <w:rPr>
                      <w:color w:val="auto"/>
                      <w:szCs w:val="21"/>
                    </w:rPr>
                    <w:t>生活污水</w:t>
                  </w:r>
                </w:p>
              </w:tc>
              <w:tc>
                <w:tcPr>
                  <w:tcW w:w="1089" w:type="pct"/>
                  <w:vAlign w:val="center"/>
                </w:tcPr>
                <w:p>
                  <w:pPr>
                    <w:jc w:val="center"/>
                    <w:rPr>
                      <w:color w:val="auto"/>
                      <w:szCs w:val="21"/>
                    </w:rPr>
                  </w:pPr>
                  <w:r>
                    <w:rPr>
                      <w:color w:val="auto"/>
                      <w:szCs w:val="21"/>
                    </w:rPr>
                    <w:t>废水量</w:t>
                  </w:r>
                </w:p>
              </w:tc>
              <w:tc>
                <w:tcPr>
                  <w:tcW w:w="861" w:type="pct"/>
                  <w:vAlign w:val="center"/>
                </w:tcPr>
                <w:p>
                  <w:pPr>
                    <w:widowControl/>
                    <w:jc w:val="center"/>
                    <w:rPr>
                      <w:rFonts w:hint="default" w:eastAsia="宋体"/>
                      <w:color w:val="auto"/>
                      <w:szCs w:val="21"/>
                      <w:lang w:val="en-US" w:eastAsia="zh-CN"/>
                    </w:rPr>
                  </w:pPr>
                  <w:r>
                    <w:rPr>
                      <w:rFonts w:hint="eastAsia"/>
                      <w:color w:val="auto"/>
                      <w:szCs w:val="21"/>
                      <w:lang w:val="en-US" w:eastAsia="zh-CN"/>
                    </w:rPr>
                    <w:t>120</w:t>
                  </w:r>
                </w:p>
              </w:tc>
              <w:tc>
                <w:tcPr>
                  <w:tcW w:w="853" w:type="pct"/>
                  <w:vAlign w:val="center"/>
                </w:tcPr>
                <w:p>
                  <w:pPr>
                    <w:widowControl/>
                    <w:jc w:val="center"/>
                    <w:textAlignment w:val="center"/>
                    <w:rPr>
                      <w:color w:val="auto"/>
                      <w:szCs w:val="21"/>
                    </w:rPr>
                  </w:pPr>
                  <w:r>
                    <w:rPr>
                      <w:color w:val="auto"/>
                      <w:kern w:val="0"/>
                      <w:szCs w:val="21"/>
                      <w:lang w:bidi="ar"/>
                    </w:rPr>
                    <w:t>0</w:t>
                  </w:r>
                </w:p>
              </w:tc>
              <w:tc>
                <w:tcPr>
                  <w:tcW w:w="873" w:type="pct"/>
                  <w:vAlign w:val="center"/>
                </w:tcPr>
                <w:p>
                  <w:pPr>
                    <w:jc w:val="center"/>
                    <w:rPr>
                      <w:rFonts w:hint="default" w:eastAsia="宋体"/>
                      <w:color w:val="auto"/>
                      <w:szCs w:val="21"/>
                      <w:lang w:val="en-US" w:eastAsia="zh-CN"/>
                    </w:rPr>
                  </w:pPr>
                  <w:r>
                    <w:rPr>
                      <w:rFonts w:hint="eastAsia"/>
                      <w:color w:val="auto"/>
                      <w:szCs w:val="21"/>
                      <w:lang w:val="en-US" w:eastAsia="zh-CN"/>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089" w:type="pct"/>
                  <w:vAlign w:val="center"/>
                </w:tcPr>
                <w:p>
                  <w:pPr>
                    <w:widowControl/>
                    <w:jc w:val="center"/>
                    <w:rPr>
                      <w:color w:val="auto"/>
                      <w:kern w:val="0"/>
                      <w:szCs w:val="21"/>
                    </w:rPr>
                  </w:pPr>
                  <w:r>
                    <w:rPr>
                      <w:color w:val="auto"/>
                      <w:szCs w:val="21"/>
                    </w:rPr>
                    <w:t>COD</w:t>
                  </w:r>
                </w:p>
              </w:tc>
              <w:tc>
                <w:tcPr>
                  <w:tcW w:w="861" w:type="pct"/>
                  <w:vAlign w:val="center"/>
                </w:tcPr>
                <w:p>
                  <w:pPr>
                    <w:jc w:val="center"/>
                    <w:rPr>
                      <w:color w:val="auto"/>
                      <w:szCs w:val="21"/>
                    </w:rPr>
                  </w:pPr>
                  <w:r>
                    <w:rPr>
                      <w:rFonts w:hint="eastAsia"/>
                      <w:color w:val="auto"/>
                      <w:szCs w:val="21"/>
                      <w:lang w:val="en-US" w:eastAsia="zh-CN"/>
                    </w:rPr>
                    <w:t>0.048</w:t>
                  </w:r>
                </w:p>
              </w:tc>
              <w:tc>
                <w:tcPr>
                  <w:tcW w:w="853" w:type="pct"/>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0.007</w:t>
                  </w:r>
                </w:p>
              </w:tc>
              <w:tc>
                <w:tcPr>
                  <w:tcW w:w="873" w:type="pct"/>
                  <w:vAlign w:val="center"/>
                </w:tcPr>
                <w:p>
                  <w:pPr>
                    <w:jc w:val="center"/>
                    <w:rPr>
                      <w:color w:val="auto"/>
                      <w:szCs w:val="21"/>
                    </w:rPr>
                  </w:pPr>
                  <w:r>
                    <w:rPr>
                      <w:rFonts w:hint="eastAsia"/>
                      <w:color w:val="auto"/>
                      <w:szCs w:val="21"/>
                      <w:lang w:val="en-US" w:eastAsia="zh-CN"/>
                    </w:rPr>
                    <w:t>0.041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089" w:type="pct"/>
                  <w:vAlign w:val="center"/>
                </w:tcPr>
                <w:p>
                  <w:pPr>
                    <w:jc w:val="center"/>
                    <w:rPr>
                      <w:color w:val="auto"/>
                      <w:szCs w:val="21"/>
                    </w:rPr>
                  </w:pPr>
                  <w:r>
                    <w:rPr>
                      <w:color w:val="auto"/>
                      <w:szCs w:val="21"/>
                    </w:rPr>
                    <w:t>SS</w:t>
                  </w:r>
                </w:p>
              </w:tc>
              <w:tc>
                <w:tcPr>
                  <w:tcW w:w="861" w:type="pct"/>
                  <w:vAlign w:val="center"/>
                </w:tcPr>
                <w:p>
                  <w:pPr>
                    <w:jc w:val="center"/>
                    <w:rPr>
                      <w:color w:val="auto"/>
                      <w:szCs w:val="21"/>
                    </w:rPr>
                  </w:pPr>
                  <w:r>
                    <w:rPr>
                      <w:rFonts w:hint="eastAsia"/>
                      <w:color w:val="auto"/>
                      <w:szCs w:val="21"/>
                      <w:lang w:val="en-US" w:eastAsia="zh-CN"/>
                    </w:rPr>
                    <w:t>0.024</w:t>
                  </w:r>
                </w:p>
              </w:tc>
              <w:tc>
                <w:tcPr>
                  <w:tcW w:w="853" w:type="pct"/>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0.005</w:t>
                  </w:r>
                </w:p>
              </w:tc>
              <w:tc>
                <w:tcPr>
                  <w:tcW w:w="873" w:type="pct"/>
                  <w:vAlign w:val="center"/>
                </w:tcPr>
                <w:p>
                  <w:pPr>
                    <w:jc w:val="center"/>
                    <w:rPr>
                      <w:color w:val="auto"/>
                      <w:szCs w:val="21"/>
                    </w:rPr>
                  </w:pPr>
                  <w:r>
                    <w:rPr>
                      <w:rFonts w:hint="eastAsia"/>
                      <w:color w:val="auto"/>
                      <w:szCs w:val="21"/>
                      <w:lang w:val="en-US" w:eastAsia="zh-CN"/>
                    </w:rPr>
                    <w:t>0.019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089" w:type="pct"/>
                  <w:vAlign w:val="center"/>
                </w:tcPr>
                <w:p>
                  <w:pPr>
                    <w:jc w:val="center"/>
                    <w:rPr>
                      <w:color w:val="auto"/>
                      <w:szCs w:val="21"/>
                    </w:rPr>
                  </w:pPr>
                  <w:r>
                    <w:rPr>
                      <w:color w:val="auto"/>
                      <w:szCs w:val="21"/>
                    </w:rPr>
                    <w:t>NH</w:t>
                  </w:r>
                  <w:r>
                    <w:rPr>
                      <w:color w:val="auto"/>
                      <w:szCs w:val="21"/>
                      <w:vertAlign w:val="subscript"/>
                    </w:rPr>
                    <w:t>3</w:t>
                  </w:r>
                  <w:r>
                    <w:rPr>
                      <w:color w:val="auto"/>
                      <w:szCs w:val="21"/>
                    </w:rPr>
                    <w:t>-N</w:t>
                  </w:r>
                </w:p>
              </w:tc>
              <w:tc>
                <w:tcPr>
                  <w:tcW w:w="861" w:type="pct"/>
                  <w:vAlign w:val="center"/>
                </w:tcPr>
                <w:p>
                  <w:pPr>
                    <w:jc w:val="center"/>
                    <w:rPr>
                      <w:color w:val="auto"/>
                      <w:szCs w:val="21"/>
                    </w:rPr>
                  </w:pPr>
                  <w:r>
                    <w:rPr>
                      <w:rFonts w:hint="eastAsia"/>
                      <w:color w:val="auto"/>
                      <w:szCs w:val="21"/>
                      <w:lang w:val="en-US" w:eastAsia="zh-CN"/>
                    </w:rPr>
                    <w:t>0.0042</w:t>
                  </w:r>
                </w:p>
              </w:tc>
              <w:tc>
                <w:tcPr>
                  <w:tcW w:w="853" w:type="pct"/>
                  <w:vAlign w:val="center"/>
                </w:tcPr>
                <w:p>
                  <w:pPr>
                    <w:widowControl/>
                    <w:jc w:val="center"/>
                    <w:textAlignment w:val="center"/>
                    <w:rPr>
                      <w:color w:val="auto"/>
                      <w:szCs w:val="21"/>
                    </w:rPr>
                  </w:pPr>
                  <w:r>
                    <w:rPr>
                      <w:color w:val="auto"/>
                      <w:kern w:val="0"/>
                      <w:szCs w:val="21"/>
                      <w:lang w:bidi="ar"/>
                    </w:rPr>
                    <w:t>0</w:t>
                  </w:r>
                </w:p>
              </w:tc>
              <w:tc>
                <w:tcPr>
                  <w:tcW w:w="873" w:type="pct"/>
                  <w:vAlign w:val="center"/>
                </w:tcPr>
                <w:p>
                  <w:pPr>
                    <w:jc w:val="center"/>
                    <w:rPr>
                      <w:color w:val="auto"/>
                      <w:szCs w:val="21"/>
                    </w:rPr>
                  </w:pPr>
                  <w:r>
                    <w:rPr>
                      <w:rFonts w:hint="eastAsia"/>
                      <w:color w:val="auto"/>
                      <w:szCs w:val="21"/>
                      <w:lang w:val="en-US" w:eastAsia="zh-CN"/>
                    </w:rPr>
                    <w:t>0.0042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7"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089" w:type="pct"/>
                  <w:vAlign w:val="center"/>
                </w:tcPr>
                <w:p>
                  <w:pPr>
                    <w:jc w:val="center"/>
                    <w:rPr>
                      <w:color w:val="auto"/>
                      <w:szCs w:val="21"/>
                    </w:rPr>
                  </w:pPr>
                  <w:r>
                    <w:rPr>
                      <w:color w:val="auto"/>
                      <w:szCs w:val="21"/>
                    </w:rPr>
                    <w:t>TP</w:t>
                  </w:r>
                </w:p>
              </w:tc>
              <w:tc>
                <w:tcPr>
                  <w:tcW w:w="861" w:type="pct"/>
                  <w:vAlign w:val="center"/>
                </w:tcPr>
                <w:p>
                  <w:pPr>
                    <w:jc w:val="center"/>
                    <w:rPr>
                      <w:color w:val="auto"/>
                      <w:szCs w:val="21"/>
                    </w:rPr>
                  </w:pPr>
                  <w:r>
                    <w:rPr>
                      <w:rFonts w:hint="eastAsia"/>
                      <w:color w:val="auto"/>
                      <w:szCs w:val="21"/>
                      <w:lang w:val="en-US" w:eastAsia="zh-CN"/>
                    </w:rPr>
                    <w:t>0.0006</w:t>
                  </w:r>
                </w:p>
              </w:tc>
              <w:tc>
                <w:tcPr>
                  <w:tcW w:w="853" w:type="pct"/>
                  <w:vAlign w:val="center"/>
                </w:tcPr>
                <w:p>
                  <w:pPr>
                    <w:widowControl/>
                    <w:jc w:val="center"/>
                    <w:textAlignment w:val="center"/>
                    <w:rPr>
                      <w:color w:val="auto"/>
                      <w:szCs w:val="21"/>
                    </w:rPr>
                  </w:pPr>
                  <w:r>
                    <w:rPr>
                      <w:color w:val="auto"/>
                      <w:kern w:val="0"/>
                      <w:szCs w:val="21"/>
                      <w:lang w:bidi="ar"/>
                    </w:rPr>
                    <w:t>0</w:t>
                  </w:r>
                </w:p>
              </w:tc>
              <w:tc>
                <w:tcPr>
                  <w:tcW w:w="873" w:type="pct"/>
                  <w:vAlign w:val="center"/>
                </w:tcPr>
                <w:p>
                  <w:pPr>
                    <w:jc w:val="center"/>
                    <w:rPr>
                      <w:color w:val="auto"/>
                      <w:szCs w:val="21"/>
                    </w:rPr>
                  </w:pPr>
                  <w:r>
                    <w:rPr>
                      <w:rFonts w:hint="eastAsia"/>
                      <w:color w:val="auto"/>
                      <w:szCs w:val="21"/>
                      <w:lang w:val="en-US" w:eastAsia="zh-CN"/>
                    </w:rPr>
                    <w:t>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089" w:type="pct"/>
                  <w:vAlign w:val="center"/>
                </w:tcPr>
                <w:p>
                  <w:pPr>
                    <w:widowControl/>
                    <w:jc w:val="center"/>
                    <w:rPr>
                      <w:color w:val="auto"/>
                      <w:kern w:val="0"/>
                      <w:szCs w:val="21"/>
                    </w:rPr>
                  </w:pPr>
                  <w:r>
                    <w:rPr>
                      <w:color w:val="auto"/>
                      <w:szCs w:val="21"/>
                    </w:rPr>
                    <w:t>TN</w:t>
                  </w:r>
                </w:p>
              </w:tc>
              <w:tc>
                <w:tcPr>
                  <w:tcW w:w="861" w:type="pct"/>
                  <w:vAlign w:val="center"/>
                </w:tcPr>
                <w:p>
                  <w:pPr>
                    <w:jc w:val="center"/>
                    <w:rPr>
                      <w:color w:val="auto"/>
                      <w:szCs w:val="21"/>
                    </w:rPr>
                  </w:pPr>
                  <w:r>
                    <w:rPr>
                      <w:rFonts w:hint="eastAsia"/>
                      <w:color w:val="auto"/>
                      <w:szCs w:val="21"/>
                      <w:lang w:val="en-US" w:eastAsia="zh-CN"/>
                    </w:rPr>
                    <w:t>0.006</w:t>
                  </w:r>
                </w:p>
              </w:tc>
              <w:tc>
                <w:tcPr>
                  <w:tcW w:w="853" w:type="pct"/>
                  <w:vAlign w:val="center"/>
                </w:tcPr>
                <w:p>
                  <w:pPr>
                    <w:widowControl/>
                    <w:jc w:val="center"/>
                    <w:textAlignment w:val="center"/>
                    <w:rPr>
                      <w:color w:val="auto"/>
                      <w:szCs w:val="21"/>
                    </w:rPr>
                  </w:pPr>
                  <w:r>
                    <w:rPr>
                      <w:color w:val="auto"/>
                      <w:kern w:val="0"/>
                      <w:szCs w:val="21"/>
                      <w:lang w:bidi="ar"/>
                    </w:rPr>
                    <w:t>0</w:t>
                  </w:r>
                </w:p>
              </w:tc>
              <w:tc>
                <w:tcPr>
                  <w:tcW w:w="873" w:type="pct"/>
                  <w:vAlign w:val="center"/>
                </w:tcPr>
                <w:p>
                  <w:pPr>
                    <w:jc w:val="center"/>
                    <w:rPr>
                      <w:color w:val="auto"/>
                      <w:szCs w:val="21"/>
                    </w:rPr>
                  </w:pPr>
                  <w:r>
                    <w:rPr>
                      <w:rFonts w:hint="eastAsia"/>
                      <w:color w:val="auto"/>
                      <w:szCs w:val="21"/>
                      <w:lang w:val="en-US" w:eastAsia="zh-CN"/>
                    </w:rPr>
                    <w:t>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restart"/>
                  <w:vAlign w:val="center"/>
                </w:tcPr>
                <w:p>
                  <w:pPr>
                    <w:jc w:val="center"/>
                    <w:rPr>
                      <w:color w:val="auto"/>
                      <w:szCs w:val="21"/>
                    </w:rPr>
                  </w:pPr>
                  <w:r>
                    <w:rPr>
                      <w:color w:val="auto"/>
                      <w:szCs w:val="21"/>
                    </w:rPr>
                    <w:t>废气</w:t>
                  </w:r>
                </w:p>
              </w:tc>
              <w:tc>
                <w:tcPr>
                  <w:tcW w:w="880" w:type="pct"/>
                  <w:vMerge w:val="restart"/>
                  <w:vAlign w:val="center"/>
                </w:tcPr>
                <w:p>
                  <w:pPr>
                    <w:jc w:val="center"/>
                    <w:rPr>
                      <w:color w:val="auto"/>
                      <w:szCs w:val="21"/>
                    </w:rPr>
                  </w:pPr>
                  <w:r>
                    <w:rPr>
                      <w:rFonts w:hint="eastAsia"/>
                      <w:color w:val="auto"/>
                      <w:szCs w:val="21"/>
                    </w:rPr>
                    <w:t>有组织废气</w:t>
                  </w:r>
                </w:p>
              </w:tc>
              <w:tc>
                <w:tcPr>
                  <w:tcW w:w="1089" w:type="pct"/>
                  <w:vAlign w:val="center"/>
                </w:tcPr>
                <w:p>
                  <w:pPr>
                    <w:widowControl/>
                    <w:jc w:val="center"/>
                    <w:rPr>
                      <w:rFonts w:hint="eastAsia" w:eastAsia="宋体"/>
                      <w:color w:val="auto"/>
                      <w:szCs w:val="21"/>
                      <w:lang w:val="en-US" w:eastAsia="zh-CN"/>
                    </w:rPr>
                  </w:pPr>
                  <w:r>
                    <w:rPr>
                      <w:rFonts w:hint="eastAsia"/>
                      <w:color w:val="auto"/>
                      <w:szCs w:val="21"/>
                      <w:lang w:val="en-US" w:eastAsia="zh-CN"/>
                    </w:rPr>
                    <w:t>颗粒物</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31.678</w:t>
                  </w:r>
                </w:p>
              </w:tc>
              <w:tc>
                <w:tcPr>
                  <w:tcW w:w="1418"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31.267</w:t>
                  </w:r>
                </w:p>
              </w:tc>
              <w:tc>
                <w:tcPr>
                  <w:tcW w:w="1452"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0.411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rFonts w:hint="eastAsia"/>
                      <w:color w:val="auto"/>
                      <w:szCs w:val="21"/>
                    </w:rPr>
                  </w:pPr>
                </w:p>
              </w:tc>
              <w:tc>
                <w:tcPr>
                  <w:tcW w:w="1089" w:type="pct"/>
                  <w:vAlign w:val="center"/>
                </w:tcPr>
                <w:p>
                  <w:pPr>
                    <w:widowControl/>
                    <w:jc w:val="center"/>
                    <w:rPr>
                      <w:rFonts w:hint="default" w:eastAsia="宋体"/>
                      <w:color w:val="auto"/>
                      <w:szCs w:val="21"/>
                      <w:lang w:val="en-US" w:eastAsia="zh-CN"/>
                    </w:rPr>
                  </w:pPr>
                  <w:r>
                    <w:rPr>
                      <w:rFonts w:hint="eastAsia"/>
                      <w:color w:val="auto"/>
                      <w:szCs w:val="21"/>
                      <w:lang w:val="en-US" w:eastAsia="zh-CN"/>
                    </w:rPr>
                    <w:t>非甲烷总烃</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0.066</w:t>
                  </w:r>
                </w:p>
              </w:tc>
              <w:tc>
                <w:tcPr>
                  <w:tcW w:w="1418"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0.053</w:t>
                  </w:r>
                </w:p>
              </w:tc>
              <w:tc>
                <w:tcPr>
                  <w:tcW w:w="1452"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rFonts w:hint="eastAsia"/>
                      <w:color w:val="auto"/>
                      <w:szCs w:val="21"/>
                    </w:rPr>
                  </w:pPr>
                </w:p>
              </w:tc>
              <w:tc>
                <w:tcPr>
                  <w:tcW w:w="1089" w:type="pct"/>
                  <w:vAlign w:val="center"/>
                </w:tcPr>
                <w:p>
                  <w:pPr>
                    <w:widowControl/>
                    <w:jc w:val="center"/>
                    <w:rPr>
                      <w:rFonts w:hint="eastAsia"/>
                      <w:color w:val="auto"/>
                      <w:szCs w:val="21"/>
                    </w:rPr>
                  </w:pPr>
                  <w:r>
                    <w:rPr>
                      <w:rFonts w:hint="eastAsia"/>
                      <w:color w:val="auto"/>
                      <w:szCs w:val="21"/>
                    </w:rPr>
                    <w:t>VOCs</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0.606</w:t>
                  </w:r>
                </w:p>
              </w:tc>
              <w:tc>
                <w:tcPr>
                  <w:tcW w:w="1418"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0.486</w:t>
                  </w:r>
                </w:p>
              </w:tc>
              <w:tc>
                <w:tcPr>
                  <w:tcW w:w="1452"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restart"/>
                  <w:vAlign w:val="center"/>
                </w:tcPr>
                <w:p>
                  <w:pPr>
                    <w:jc w:val="center"/>
                    <w:rPr>
                      <w:rFonts w:hint="eastAsia"/>
                      <w:color w:val="auto"/>
                      <w:szCs w:val="21"/>
                    </w:rPr>
                  </w:pPr>
                  <w:r>
                    <w:rPr>
                      <w:rFonts w:hint="eastAsia"/>
                      <w:color w:val="auto"/>
                      <w:szCs w:val="21"/>
                    </w:rPr>
                    <w:t>无组织废气</w:t>
                  </w:r>
                </w:p>
              </w:tc>
              <w:tc>
                <w:tcPr>
                  <w:tcW w:w="1810" w:type="dxa"/>
                  <w:vAlign w:val="center"/>
                </w:tcPr>
                <w:p>
                  <w:pPr>
                    <w:widowControl/>
                    <w:jc w:val="center"/>
                    <w:rPr>
                      <w:rFonts w:hint="eastAsia"/>
                      <w:color w:val="auto"/>
                      <w:szCs w:val="21"/>
                    </w:rPr>
                  </w:pPr>
                  <w:r>
                    <w:rPr>
                      <w:rFonts w:hint="eastAsia"/>
                      <w:color w:val="auto"/>
                      <w:szCs w:val="21"/>
                      <w:lang w:val="en-US" w:eastAsia="zh-CN"/>
                    </w:rPr>
                    <w:t>颗粒物</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0.235</w:t>
                  </w:r>
                </w:p>
              </w:tc>
              <w:tc>
                <w:tcPr>
                  <w:tcW w:w="853"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w:t>
                  </w:r>
                </w:p>
              </w:tc>
              <w:tc>
                <w:tcPr>
                  <w:tcW w:w="1452"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0.235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rFonts w:hint="eastAsia"/>
                      <w:color w:val="auto"/>
                      <w:szCs w:val="21"/>
                    </w:rPr>
                  </w:pPr>
                </w:p>
              </w:tc>
              <w:tc>
                <w:tcPr>
                  <w:tcW w:w="1810" w:type="dxa"/>
                  <w:vAlign w:val="center"/>
                </w:tcPr>
                <w:p>
                  <w:pPr>
                    <w:widowControl/>
                    <w:jc w:val="center"/>
                    <w:rPr>
                      <w:rFonts w:hint="eastAsia"/>
                      <w:color w:val="auto"/>
                      <w:szCs w:val="21"/>
                      <w:lang w:val="en-US" w:eastAsia="zh-CN"/>
                    </w:rPr>
                  </w:pPr>
                  <w:r>
                    <w:rPr>
                      <w:rFonts w:hint="eastAsia"/>
                      <w:color w:val="auto"/>
                      <w:szCs w:val="21"/>
                      <w:lang w:val="en-US" w:eastAsia="zh-CN"/>
                    </w:rPr>
                    <w:t>非甲烷总烃</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0.017</w:t>
                  </w:r>
                </w:p>
              </w:tc>
              <w:tc>
                <w:tcPr>
                  <w:tcW w:w="853"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w:t>
                  </w:r>
                </w:p>
              </w:tc>
              <w:tc>
                <w:tcPr>
                  <w:tcW w:w="1452"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880" w:type="pct"/>
                  <w:vMerge w:val="continue"/>
                  <w:vAlign w:val="center"/>
                </w:tcPr>
                <w:p>
                  <w:pPr>
                    <w:jc w:val="center"/>
                    <w:rPr>
                      <w:color w:val="auto"/>
                      <w:szCs w:val="21"/>
                    </w:rPr>
                  </w:pPr>
                </w:p>
              </w:tc>
              <w:tc>
                <w:tcPr>
                  <w:tcW w:w="1810" w:type="dxa"/>
                  <w:vAlign w:val="center"/>
                </w:tcPr>
                <w:p>
                  <w:pPr>
                    <w:widowControl/>
                    <w:jc w:val="center"/>
                    <w:rPr>
                      <w:color w:val="auto"/>
                      <w:szCs w:val="21"/>
                    </w:rPr>
                  </w:pPr>
                  <w:r>
                    <w:rPr>
                      <w:rFonts w:hint="eastAsia"/>
                      <w:color w:val="auto"/>
                      <w:szCs w:val="21"/>
                    </w:rPr>
                    <w:t>VOCs</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0.085</w:t>
                  </w:r>
                </w:p>
              </w:tc>
              <w:tc>
                <w:tcPr>
                  <w:tcW w:w="853" w:type="pct"/>
                  <w:vAlign w:val="center"/>
                </w:tcPr>
                <w:p>
                  <w:pPr>
                    <w:widowControl/>
                    <w:jc w:val="center"/>
                    <w:textAlignment w:val="center"/>
                    <w:rPr>
                      <w:rFonts w:hint="eastAsia"/>
                      <w:color w:val="auto"/>
                      <w:szCs w:val="21"/>
                      <w:lang w:val="en-US" w:eastAsia="zh-CN"/>
                    </w:rPr>
                  </w:pPr>
                  <w:r>
                    <w:rPr>
                      <w:rFonts w:hint="eastAsia"/>
                      <w:color w:val="auto"/>
                      <w:szCs w:val="21"/>
                      <w:lang w:val="en-US" w:eastAsia="zh-CN"/>
                    </w:rPr>
                    <w:t>0</w:t>
                  </w:r>
                </w:p>
              </w:tc>
              <w:tc>
                <w:tcPr>
                  <w:tcW w:w="1452"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0.085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restart"/>
                  <w:vAlign w:val="center"/>
                </w:tcPr>
                <w:p>
                  <w:pPr>
                    <w:jc w:val="center"/>
                    <w:rPr>
                      <w:color w:val="auto"/>
                      <w:szCs w:val="21"/>
                    </w:rPr>
                  </w:pPr>
                  <w:r>
                    <w:rPr>
                      <w:rFonts w:hint="eastAsia"/>
                      <w:color w:val="auto"/>
                      <w:szCs w:val="21"/>
                    </w:rPr>
                    <w:t>固废</w:t>
                  </w:r>
                </w:p>
              </w:tc>
              <w:tc>
                <w:tcPr>
                  <w:tcW w:w="1969" w:type="pct"/>
                  <w:gridSpan w:val="2"/>
                  <w:vAlign w:val="center"/>
                </w:tcPr>
                <w:p>
                  <w:pPr>
                    <w:widowControl/>
                    <w:jc w:val="center"/>
                    <w:rPr>
                      <w:color w:val="auto"/>
                      <w:szCs w:val="21"/>
                    </w:rPr>
                  </w:pPr>
                  <w:r>
                    <w:rPr>
                      <w:rFonts w:hint="eastAsia"/>
                      <w:color w:val="auto"/>
                      <w:szCs w:val="21"/>
                    </w:rPr>
                    <w:t>一般工业固废</w:t>
                  </w:r>
                </w:p>
              </w:tc>
              <w:tc>
                <w:tcPr>
                  <w:tcW w:w="1431"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67.279</w:t>
                  </w:r>
                </w:p>
              </w:tc>
              <w:tc>
                <w:tcPr>
                  <w:tcW w:w="1418"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67.279</w:t>
                  </w:r>
                </w:p>
              </w:tc>
              <w:tc>
                <w:tcPr>
                  <w:tcW w:w="873" w:type="pct"/>
                  <w:vAlign w:val="center"/>
                </w:tcPr>
                <w:p>
                  <w:pPr>
                    <w:jc w:val="center"/>
                    <w:rPr>
                      <w:color w:val="auto"/>
                      <w:szCs w:val="21"/>
                    </w:rPr>
                  </w:pPr>
                  <w:r>
                    <w:rPr>
                      <w:rFonts w:hint="eastAsia"/>
                      <w:color w:val="auto"/>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1969" w:type="pct"/>
                  <w:gridSpan w:val="2"/>
                  <w:vAlign w:val="center"/>
                </w:tcPr>
                <w:p>
                  <w:pPr>
                    <w:widowControl/>
                    <w:jc w:val="center"/>
                    <w:rPr>
                      <w:color w:val="auto"/>
                      <w:szCs w:val="21"/>
                    </w:rPr>
                  </w:pPr>
                  <w:r>
                    <w:rPr>
                      <w:rFonts w:hint="eastAsia"/>
                      <w:color w:val="auto"/>
                      <w:szCs w:val="21"/>
                    </w:rPr>
                    <w:t>危险废物</w:t>
                  </w:r>
                </w:p>
              </w:tc>
              <w:tc>
                <w:tcPr>
                  <w:tcW w:w="1431"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9.634</w:t>
                  </w:r>
                </w:p>
              </w:tc>
              <w:tc>
                <w:tcPr>
                  <w:tcW w:w="1418" w:type="dxa"/>
                  <w:vAlign w:val="center"/>
                </w:tcPr>
                <w:p>
                  <w:pPr>
                    <w:widowControl/>
                    <w:jc w:val="center"/>
                    <w:textAlignment w:val="center"/>
                    <w:rPr>
                      <w:rFonts w:hint="eastAsia"/>
                      <w:color w:val="auto"/>
                      <w:szCs w:val="21"/>
                      <w:lang w:val="en-US" w:eastAsia="zh-CN"/>
                    </w:rPr>
                  </w:pPr>
                  <w:r>
                    <w:rPr>
                      <w:rFonts w:hint="eastAsia"/>
                      <w:color w:val="auto"/>
                      <w:szCs w:val="21"/>
                      <w:lang w:val="en-US" w:eastAsia="zh-CN"/>
                    </w:rPr>
                    <w:t>9.634</w:t>
                  </w:r>
                </w:p>
              </w:tc>
              <w:tc>
                <w:tcPr>
                  <w:tcW w:w="873" w:type="pct"/>
                  <w:vAlign w:val="center"/>
                </w:tcPr>
                <w:p>
                  <w:pPr>
                    <w:jc w:val="center"/>
                    <w:rPr>
                      <w:color w:val="auto"/>
                      <w:szCs w:val="21"/>
                    </w:rPr>
                  </w:pPr>
                  <w:r>
                    <w:rPr>
                      <w:rFonts w:hint="eastAsia"/>
                      <w:color w:val="auto"/>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42" w:type="pct"/>
                  <w:vMerge w:val="continue"/>
                  <w:vAlign w:val="center"/>
                </w:tcPr>
                <w:p>
                  <w:pPr>
                    <w:jc w:val="center"/>
                    <w:rPr>
                      <w:color w:val="auto"/>
                      <w:szCs w:val="21"/>
                    </w:rPr>
                  </w:pPr>
                </w:p>
              </w:tc>
              <w:tc>
                <w:tcPr>
                  <w:tcW w:w="1969" w:type="pct"/>
                  <w:gridSpan w:val="2"/>
                  <w:vAlign w:val="center"/>
                </w:tcPr>
                <w:p>
                  <w:pPr>
                    <w:widowControl/>
                    <w:jc w:val="center"/>
                    <w:rPr>
                      <w:color w:val="auto"/>
                      <w:szCs w:val="21"/>
                    </w:rPr>
                  </w:pPr>
                  <w:r>
                    <w:rPr>
                      <w:rFonts w:hint="eastAsia"/>
                      <w:color w:val="auto"/>
                      <w:szCs w:val="21"/>
                    </w:rPr>
                    <w:t>生活垃圾</w:t>
                  </w:r>
                </w:p>
              </w:tc>
              <w:tc>
                <w:tcPr>
                  <w:tcW w:w="1431"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1.5</w:t>
                  </w:r>
                </w:p>
              </w:tc>
              <w:tc>
                <w:tcPr>
                  <w:tcW w:w="1418" w:type="dxa"/>
                  <w:vAlign w:val="center"/>
                </w:tcPr>
                <w:p>
                  <w:pPr>
                    <w:widowControl/>
                    <w:jc w:val="center"/>
                    <w:textAlignment w:val="center"/>
                    <w:rPr>
                      <w:rFonts w:hint="default"/>
                      <w:color w:val="auto"/>
                      <w:szCs w:val="21"/>
                      <w:lang w:val="en-US" w:eastAsia="zh-CN"/>
                    </w:rPr>
                  </w:pPr>
                  <w:r>
                    <w:rPr>
                      <w:rFonts w:hint="eastAsia"/>
                      <w:color w:val="auto"/>
                      <w:szCs w:val="21"/>
                      <w:lang w:val="en-US" w:eastAsia="zh-CN"/>
                    </w:rPr>
                    <w:t>1.5</w:t>
                  </w:r>
                </w:p>
              </w:tc>
              <w:tc>
                <w:tcPr>
                  <w:tcW w:w="873" w:type="pct"/>
                  <w:vAlign w:val="center"/>
                </w:tcPr>
                <w:p>
                  <w:pPr>
                    <w:jc w:val="center"/>
                    <w:rPr>
                      <w:color w:val="auto"/>
                      <w:szCs w:val="21"/>
                    </w:rPr>
                  </w:pPr>
                  <w:r>
                    <w:rPr>
                      <w:rFonts w:hint="eastAsia"/>
                      <w:color w:val="auto"/>
                      <w:szCs w:val="21"/>
                    </w:rPr>
                    <w:t>0</w:t>
                  </w:r>
                </w:p>
              </w:tc>
            </w:tr>
          </w:tbl>
          <w:p>
            <w:pPr>
              <w:spacing w:line="240" w:lineRule="auto"/>
              <w:rPr>
                <w:color w:val="auto"/>
                <w:sz w:val="24"/>
                <w:szCs w:val="24"/>
              </w:rPr>
            </w:pPr>
            <w:r>
              <w:rPr>
                <w:rFonts w:hint="eastAsia"/>
                <w:b/>
                <w:bCs/>
                <w:color w:val="auto"/>
                <w:sz w:val="21"/>
                <w:szCs w:val="21"/>
              </w:rPr>
              <w:t>注：本表中VOCs包含非甲烷总烃。</w:t>
            </w:r>
          </w:p>
        </w:tc>
      </w:tr>
    </w:tbl>
    <w:p>
      <w:pPr>
        <w:pStyle w:val="312"/>
        <w:rPr>
          <w:rFonts w:ascii="Times New Roman" w:hAnsi="Times New Roman"/>
          <w:color w:val="auto"/>
        </w:rPr>
      </w:pPr>
      <w:r>
        <w:rPr>
          <w:rFonts w:ascii="Times New Roman" w:hAnsi="Times New Roman"/>
          <w:color w:val="auto"/>
        </w:rPr>
        <w:t>项目主要污染物产生及预计排放情况</w:t>
      </w:r>
    </w:p>
    <w:tbl>
      <w:tblPr>
        <w:tblStyle w:val="56"/>
        <w:tblW w:w="8483"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011"/>
        <w:gridCol w:w="640"/>
        <w:gridCol w:w="975"/>
        <w:gridCol w:w="1185"/>
        <w:gridCol w:w="1220"/>
        <w:gridCol w:w="953"/>
        <w:gridCol w:w="1283"/>
        <w:gridCol w:w="121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tcBorders>
              <w:tl2br w:val="single" w:color="auto" w:sz="6" w:space="0"/>
            </w:tcBorders>
            <w:vAlign w:val="center"/>
          </w:tcPr>
          <w:p>
            <w:pPr>
              <w:snapToGrid w:val="0"/>
              <w:jc w:val="center"/>
              <w:rPr>
                <w:b/>
                <w:color w:val="auto"/>
                <w:szCs w:val="21"/>
              </w:rPr>
            </w:pPr>
            <w:r>
              <w:rPr>
                <w:b/>
                <w:color w:val="auto"/>
                <w:szCs w:val="21"/>
              </w:rPr>
              <w:t>内容</w:t>
            </w:r>
          </w:p>
          <w:p>
            <w:pPr>
              <w:snapToGrid w:val="0"/>
              <w:jc w:val="center"/>
              <w:rPr>
                <w:b/>
                <w:color w:val="auto"/>
                <w:szCs w:val="21"/>
              </w:rPr>
            </w:pPr>
            <w:r>
              <w:rPr>
                <w:b/>
                <w:color w:val="auto"/>
                <w:szCs w:val="21"/>
              </w:rPr>
              <w:t>类型</w:t>
            </w:r>
          </w:p>
        </w:tc>
        <w:tc>
          <w:tcPr>
            <w:tcW w:w="1615" w:type="dxa"/>
            <w:gridSpan w:val="2"/>
            <w:vAlign w:val="center"/>
          </w:tcPr>
          <w:p>
            <w:pPr>
              <w:snapToGrid w:val="0"/>
              <w:rPr>
                <w:b/>
                <w:color w:val="auto"/>
                <w:szCs w:val="21"/>
              </w:rPr>
            </w:pPr>
            <w:r>
              <w:rPr>
                <w:b/>
                <w:color w:val="auto"/>
                <w:szCs w:val="21"/>
              </w:rPr>
              <w:t>排放源(编号)</w:t>
            </w:r>
          </w:p>
        </w:tc>
        <w:tc>
          <w:tcPr>
            <w:tcW w:w="1185" w:type="dxa"/>
            <w:tcBorders>
              <w:bottom w:val="single" w:color="auto" w:sz="4" w:space="0"/>
            </w:tcBorders>
            <w:vAlign w:val="center"/>
          </w:tcPr>
          <w:p>
            <w:pPr>
              <w:snapToGrid w:val="0"/>
              <w:jc w:val="center"/>
              <w:rPr>
                <w:b/>
                <w:color w:val="auto"/>
                <w:spacing w:val="-4"/>
                <w:szCs w:val="21"/>
              </w:rPr>
            </w:pPr>
            <w:r>
              <w:rPr>
                <w:b/>
                <w:color w:val="auto"/>
                <w:spacing w:val="-4"/>
                <w:szCs w:val="21"/>
              </w:rPr>
              <w:t>污染物名称</w:t>
            </w:r>
          </w:p>
        </w:tc>
        <w:tc>
          <w:tcPr>
            <w:tcW w:w="1220" w:type="dxa"/>
            <w:tcBorders>
              <w:bottom w:val="single" w:color="auto" w:sz="4" w:space="0"/>
            </w:tcBorders>
            <w:vAlign w:val="center"/>
          </w:tcPr>
          <w:p>
            <w:pPr>
              <w:jc w:val="center"/>
              <w:rPr>
                <w:b/>
                <w:color w:val="auto"/>
              </w:rPr>
            </w:pPr>
            <w:r>
              <w:rPr>
                <w:b/>
                <w:color w:val="auto"/>
                <w:szCs w:val="21"/>
              </w:rPr>
              <w:t>产生浓度</w:t>
            </w:r>
            <w:r>
              <w:rPr>
                <w:b/>
                <w:bCs/>
                <w:snapToGrid w:val="0"/>
                <w:color w:val="auto"/>
                <w:szCs w:val="21"/>
              </w:rPr>
              <w:t>mg/m</w:t>
            </w:r>
            <w:r>
              <w:rPr>
                <w:b/>
                <w:bCs/>
                <w:snapToGrid w:val="0"/>
                <w:color w:val="auto"/>
                <w:szCs w:val="21"/>
                <w:vertAlign w:val="superscript"/>
              </w:rPr>
              <w:t>3</w:t>
            </w:r>
          </w:p>
        </w:tc>
        <w:tc>
          <w:tcPr>
            <w:tcW w:w="953" w:type="dxa"/>
            <w:tcBorders>
              <w:bottom w:val="single" w:color="auto" w:sz="4" w:space="0"/>
            </w:tcBorders>
            <w:vAlign w:val="center"/>
          </w:tcPr>
          <w:p>
            <w:pPr>
              <w:jc w:val="center"/>
              <w:rPr>
                <w:b/>
                <w:color w:val="auto"/>
              </w:rPr>
            </w:pPr>
            <w:r>
              <w:rPr>
                <w:b/>
                <w:color w:val="auto"/>
              </w:rPr>
              <w:t>产生量t/a</w:t>
            </w:r>
          </w:p>
        </w:tc>
        <w:tc>
          <w:tcPr>
            <w:tcW w:w="1283" w:type="dxa"/>
            <w:tcBorders>
              <w:bottom w:val="single" w:color="auto" w:sz="4" w:space="0"/>
            </w:tcBorders>
            <w:vAlign w:val="center"/>
          </w:tcPr>
          <w:p>
            <w:pPr>
              <w:jc w:val="center"/>
              <w:rPr>
                <w:b/>
                <w:color w:val="auto"/>
              </w:rPr>
            </w:pPr>
            <w:r>
              <w:rPr>
                <w:b/>
                <w:color w:val="auto"/>
                <w:szCs w:val="21"/>
              </w:rPr>
              <w:t>排放浓度</w:t>
            </w:r>
            <w:r>
              <w:rPr>
                <w:b/>
                <w:bCs/>
                <w:snapToGrid w:val="0"/>
                <w:color w:val="auto"/>
                <w:szCs w:val="21"/>
              </w:rPr>
              <w:t>mg/m</w:t>
            </w:r>
            <w:r>
              <w:rPr>
                <w:b/>
                <w:bCs/>
                <w:snapToGrid w:val="0"/>
                <w:color w:val="auto"/>
                <w:szCs w:val="21"/>
                <w:vertAlign w:val="superscript"/>
              </w:rPr>
              <w:t>3</w:t>
            </w:r>
          </w:p>
        </w:tc>
        <w:tc>
          <w:tcPr>
            <w:tcW w:w="1216" w:type="dxa"/>
            <w:tcBorders>
              <w:bottom w:val="single" w:color="auto" w:sz="4" w:space="0"/>
            </w:tcBorders>
            <w:vAlign w:val="center"/>
          </w:tcPr>
          <w:p>
            <w:pPr>
              <w:jc w:val="center"/>
              <w:rPr>
                <w:b/>
                <w:color w:val="auto"/>
              </w:rPr>
            </w:pPr>
            <w:r>
              <w:rPr>
                <w:b/>
                <w:color w:val="auto"/>
              </w:rPr>
              <w:t>排放量t/a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00" w:hRule="atLeast"/>
          <w:jc w:val="center"/>
        </w:trPr>
        <w:tc>
          <w:tcPr>
            <w:tcW w:w="1011" w:type="dxa"/>
            <w:vMerge w:val="restart"/>
            <w:vAlign w:val="center"/>
          </w:tcPr>
          <w:p>
            <w:pPr>
              <w:snapToGrid w:val="0"/>
              <w:spacing w:line="240" w:lineRule="auto"/>
              <w:jc w:val="center"/>
              <w:rPr>
                <w:rFonts w:hint="eastAsia"/>
                <w:color w:val="auto"/>
                <w:szCs w:val="21"/>
              </w:rPr>
            </w:pPr>
            <w:r>
              <w:rPr>
                <w:rFonts w:hint="eastAsia"/>
                <w:color w:val="auto"/>
                <w:szCs w:val="21"/>
              </w:rPr>
              <w:t>大气污染物</w:t>
            </w:r>
          </w:p>
        </w:tc>
        <w:tc>
          <w:tcPr>
            <w:tcW w:w="640" w:type="dxa"/>
            <w:vMerge w:val="restart"/>
            <w:tcBorders>
              <w:top w:val="single" w:color="auto" w:sz="4" w:space="0"/>
            </w:tcBorders>
            <w:vAlign w:val="center"/>
          </w:tcPr>
          <w:p>
            <w:pPr>
              <w:snapToGrid w:val="0"/>
              <w:spacing w:line="240" w:lineRule="auto"/>
              <w:jc w:val="center"/>
              <w:rPr>
                <w:rFonts w:hint="eastAsia"/>
                <w:color w:val="auto"/>
                <w:szCs w:val="21"/>
              </w:rPr>
            </w:pPr>
            <w:r>
              <w:rPr>
                <w:rFonts w:hint="eastAsia"/>
                <w:color w:val="auto"/>
                <w:szCs w:val="21"/>
              </w:rPr>
              <w:t>有组织</w:t>
            </w:r>
          </w:p>
        </w:tc>
        <w:tc>
          <w:tcPr>
            <w:tcW w:w="975" w:type="dxa"/>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排气筒DA001</w:t>
            </w:r>
          </w:p>
        </w:tc>
        <w:tc>
          <w:tcPr>
            <w:tcW w:w="1185" w:type="dxa"/>
            <w:tcBorders>
              <w:top w:val="single" w:color="auto" w:sz="4" w:space="0"/>
            </w:tcBorders>
            <w:vAlign w:val="center"/>
          </w:tcPr>
          <w:p>
            <w:pPr>
              <w:spacing w:line="320" w:lineRule="exact"/>
              <w:jc w:val="center"/>
              <w:rPr>
                <w:rFonts w:hint="eastAsia" w:eastAsia="宋体"/>
                <w:color w:val="auto"/>
                <w:szCs w:val="21"/>
                <w:lang w:eastAsia="zh-CN"/>
              </w:rPr>
            </w:pPr>
            <w:r>
              <w:rPr>
                <w:rFonts w:hint="eastAsia"/>
                <w:color w:val="auto"/>
                <w:szCs w:val="21"/>
                <w:lang w:val="en-US" w:eastAsia="zh-CN"/>
              </w:rPr>
              <w:t>颗粒物</w:t>
            </w:r>
          </w:p>
        </w:tc>
        <w:tc>
          <w:tcPr>
            <w:tcW w:w="1220"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253.25</w:t>
            </w:r>
          </w:p>
        </w:tc>
        <w:tc>
          <w:tcPr>
            <w:tcW w:w="95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30.69</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2.55</w:t>
            </w:r>
          </w:p>
        </w:tc>
        <w:tc>
          <w:tcPr>
            <w:tcW w:w="1216"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0.307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0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240" w:lineRule="auto"/>
              <w:jc w:val="center"/>
              <w:rPr>
                <w:rFonts w:hint="eastAsia"/>
                <w:color w:val="auto"/>
                <w:szCs w:val="21"/>
              </w:rPr>
            </w:pPr>
          </w:p>
        </w:tc>
        <w:tc>
          <w:tcPr>
            <w:tcW w:w="975" w:type="dxa"/>
            <w:vMerge w:val="restart"/>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排气筒DA002</w:t>
            </w:r>
          </w:p>
        </w:tc>
        <w:tc>
          <w:tcPr>
            <w:tcW w:w="1185" w:type="dxa"/>
            <w:tcBorders>
              <w:top w:val="single" w:color="auto" w:sz="4" w:space="0"/>
            </w:tcBorders>
            <w:vAlign w:val="center"/>
          </w:tcPr>
          <w:p>
            <w:pPr>
              <w:spacing w:line="320" w:lineRule="exact"/>
              <w:jc w:val="center"/>
              <w:rPr>
                <w:rFonts w:hint="eastAsia"/>
                <w:color w:val="auto"/>
                <w:szCs w:val="21"/>
              </w:rPr>
            </w:pPr>
            <w:r>
              <w:rPr>
                <w:rFonts w:hint="eastAsia"/>
                <w:color w:val="auto"/>
                <w:szCs w:val="21"/>
                <w:lang w:val="en-US" w:eastAsia="zh-CN"/>
              </w:rPr>
              <w:t>颗粒物</w:t>
            </w:r>
          </w:p>
        </w:tc>
        <w:tc>
          <w:tcPr>
            <w:tcW w:w="1220" w:type="dxa"/>
            <w:tcBorders>
              <w:top w:val="single" w:color="auto" w:sz="4" w:space="0"/>
            </w:tcBorders>
            <w:vAlign w:val="center"/>
          </w:tcPr>
          <w:p>
            <w:pPr>
              <w:pStyle w:val="21"/>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22.4</w:t>
            </w:r>
          </w:p>
        </w:tc>
        <w:tc>
          <w:tcPr>
            <w:tcW w:w="953" w:type="dxa"/>
            <w:tcBorders>
              <w:top w:val="single" w:color="auto" w:sz="4" w:space="0"/>
            </w:tcBorders>
            <w:vAlign w:val="center"/>
          </w:tcPr>
          <w:p>
            <w:pPr>
              <w:pStyle w:val="21"/>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0.168</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2.2</w:t>
            </w:r>
          </w:p>
        </w:tc>
        <w:tc>
          <w:tcPr>
            <w:tcW w:w="1216"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0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240" w:lineRule="auto"/>
              <w:jc w:val="center"/>
              <w:rPr>
                <w:rFonts w:hint="eastAsia"/>
                <w:color w:val="auto"/>
                <w:szCs w:val="21"/>
              </w:rPr>
            </w:pPr>
          </w:p>
        </w:tc>
        <w:tc>
          <w:tcPr>
            <w:tcW w:w="975" w:type="dxa"/>
            <w:vMerge w:val="continue"/>
            <w:vAlign w:val="center"/>
          </w:tcPr>
          <w:p>
            <w:pPr>
              <w:snapToGrid w:val="0"/>
              <w:spacing w:line="240" w:lineRule="auto"/>
              <w:jc w:val="center"/>
              <w:rPr>
                <w:rFonts w:hint="eastAsia"/>
                <w:color w:val="auto"/>
                <w:szCs w:val="21"/>
                <w:lang w:val="en-US" w:eastAsia="zh-CN"/>
              </w:rPr>
            </w:pPr>
          </w:p>
        </w:tc>
        <w:tc>
          <w:tcPr>
            <w:tcW w:w="1185" w:type="dxa"/>
            <w:tcBorders>
              <w:top w:val="single" w:color="auto" w:sz="4" w:space="0"/>
            </w:tcBorders>
            <w:vAlign w:val="center"/>
          </w:tcPr>
          <w:p>
            <w:pPr>
              <w:spacing w:line="320" w:lineRule="exact"/>
              <w:jc w:val="center"/>
              <w:rPr>
                <w:rFonts w:hint="default" w:eastAsia="宋体"/>
                <w:color w:val="auto"/>
                <w:szCs w:val="21"/>
                <w:lang w:val="en-US" w:eastAsia="zh-CN"/>
              </w:rPr>
            </w:pPr>
            <w:r>
              <w:rPr>
                <w:rFonts w:hint="eastAsia"/>
                <w:color w:val="auto"/>
                <w:szCs w:val="21"/>
                <w:lang w:val="en-US" w:eastAsia="zh-CN"/>
              </w:rPr>
              <w:t>非甲烷总烃</w:t>
            </w:r>
          </w:p>
        </w:tc>
        <w:tc>
          <w:tcPr>
            <w:tcW w:w="1220" w:type="dxa"/>
            <w:tcBorders>
              <w:top w:val="single" w:color="auto" w:sz="4" w:space="0"/>
            </w:tcBorders>
            <w:vAlign w:val="center"/>
          </w:tcPr>
          <w:p>
            <w:pPr>
              <w:pStyle w:val="21"/>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8.8</w:t>
            </w:r>
          </w:p>
        </w:tc>
        <w:tc>
          <w:tcPr>
            <w:tcW w:w="953" w:type="dxa"/>
            <w:tcBorders>
              <w:top w:val="single" w:color="auto" w:sz="4" w:space="0"/>
            </w:tcBorders>
            <w:vAlign w:val="center"/>
          </w:tcPr>
          <w:p>
            <w:pPr>
              <w:pStyle w:val="21"/>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0.066</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0.8</w:t>
            </w:r>
          </w:p>
        </w:tc>
        <w:tc>
          <w:tcPr>
            <w:tcW w:w="1216"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0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240" w:lineRule="auto"/>
              <w:jc w:val="center"/>
              <w:rPr>
                <w:rFonts w:hint="eastAsia"/>
                <w:color w:val="auto"/>
                <w:szCs w:val="21"/>
              </w:rPr>
            </w:pPr>
          </w:p>
        </w:tc>
        <w:tc>
          <w:tcPr>
            <w:tcW w:w="975" w:type="dxa"/>
            <w:vMerge w:val="restart"/>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排气筒DA003</w:t>
            </w:r>
          </w:p>
        </w:tc>
        <w:tc>
          <w:tcPr>
            <w:tcW w:w="1185" w:type="dxa"/>
            <w:tcBorders>
              <w:top w:val="single" w:color="auto" w:sz="4" w:space="0"/>
            </w:tcBorders>
            <w:vAlign w:val="center"/>
          </w:tcPr>
          <w:p>
            <w:pPr>
              <w:spacing w:line="320" w:lineRule="exact"/>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1220" w:type="dxa"/>
            <w:tcBorders>
              <w:top w:val="single" w:color="auto" w:sz="4" w:space="0"/>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12.34</w:t>
            </w:r>
          </w:p>
        </w:tc>
        <w:tc>
          <w:tcPr>
            <w:tcW w:w="95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0.82</w:t>
            </w:r>
          </w:p>
        </w:tc>
        <w:tc>
          <w:tcPr>
            <w:tcW w:w="1283"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1.1</w:t>
            </w:r>
          </w:p>
        </w:tc>
        <w:tc>
          <w:tcPr>
            <w:tcW w:w="1216"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0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320" w:lineRule="exact"/>
              <w:jc w:val="center"/>
              <w:rPr>
                <w:rFonts w:hint="eastAsia"/>
                <w:color w:val="auto"/>
                <w:szCs w:val="21"/>
              </w:rPr>
            </w:pPr>
          </w:p>
        </w:tc>
        <w:tc>
          <w:tcPr>
            <w:tcW w:w="975" w:type="dxa"/>
            <w:vMerge w:val="continue"/>
            <w:vAlign w:val="center"/>
          </w:tcPr>
          <w:p>
            <w:pPr>
              <w:snapToGrid w:val="0"/>
              <w:spacing w:line="320" w:lineRule="exact"/>
              <w:jc w:val="center"/>
              <w:rPr>
                <w:rFonts w:hint="eastAsia"/>
                <w:color w:val="auto"/>
                <w:szCs w:val="21"/>
              </w:rPr>
            </w:pPr>
          </w:p>
        </w:tc>
        <w:tc>
          <w:tcPr>
            <w:tcW w:w="1185" w:type="dxa"/>
            <w:tcBorders>
              <w:top w:val="single" w:color="auto" w:sz="4" w:space="0"/>
            </w:tcBorders>
            <w:vAlign w:val="center"/>
          </w:tcPr>
          <w:p>
            <w:pPr>
              <w:spacing w:line="320" w:lineRule="exact"/>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VOCs</w:t>
            </w:r>
          </w:p>
        </w:tc>
        <w:tc>
          <w:tcPr>
            <w:tcW w:w="1220" w:type="dxa"/>
            <w:tcBorders>
              <w:top w:val="single" w:color="auto" w:sz="4" w:space="0"/>
            </w:tcBorders>
            <w:vAlign w:val="center"/>
          </w:tcPr>
          <w:p>
            <w:pPr>
              <w:pStyle w:val="21"/>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15.08</w:t>
            </w:r>
          </w:p>
        </w:tc>
        <w:tc>
          <w:tcPr>
            <w:tcW w:w="95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0.606</w:t>
            </w:r>
          </w:p>
        </w:tc>
        <w:tc>
          <w:tcPr>
            <w:tcW w:w="1283"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216" w:type="dxa"/>
            <w:tcBorders>
              <w:top w:val="single" w:color="auto" w:sz="4" w:space="0"/>
            </w:tcBorders>
            <w:vAlign w:val="center"/>
          </w:tcPr>
          <w:p>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6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restart"/>
            <w:tcBorders>
              <w:top w:val="single" w:color="auto" w:sz="4" w:space="0"/>
            </w:tcBorders>
            <w:vAlign w:val="center"/>
          </w:tcPr>
          <w:p>
            <w:pPr>
              <w:snapToGrid w:val="0"/>
              <w:spacing w:line="240" w:lineRule="auto"/>
              <w:jc w:val="center"/>
              <w:rPr>
                <w:color w:val="auto"/>
                <w:szCs w:val="21"/>
              </w:rPr>
            </w:pPr>
            <w:r>
              <w:rPr>
                <w:rFonts w:hint="eastAsia"/>
                <w:color w:val="auto"/>
                <w:szCs w:val="21"/>
              </w:rPr>
              <w:t>无组织</w:t>
            </w:r>
          </w:p>
        </w:tc>
        <w:tc>
          <w:tcPr>
            <w:tcW w:w="975" w:type="dxa"/>
            <w:vMerge w:val="restart"/>
            <w:tcBorders>
              <w:top w:val="single" w:color="auto" w:sz="4" w:space="0"/>
            </w:tcBorders>
            <w:vAlign w:val="center"/>
          </w:tcPr>
          <w:p>
            <w:pPr>
              <w:snapToGrid w:val="0"/>
              <w:spacing w:line="240" w:lineRule="auto"/>
              <w:jc w:val="center"/>
              <w:rPr>
                <w:color w:val="auto"/>
                <w:szCs w:val="21"/>
              </w:rPr>
            </w:pPr>
            <w:r>
              <w:rPr>
                <w:rFonts w:hint="eastAsia"/>
                <w:color w:val="auto"/>
                <w:szCs w:val="21"/>
              </w:rPr>
              <w:t>生产车间</w:t>
            </w:r>
          </w:p>
        </w:tc>
        <w:tc>
          <w:tcPr>
            <w:tcW w:w="1185" w:type="dxa"/>
            <w:vMerge w:val="restart"/>
            <w:tcBorders>
              <w:top w:val="single" w:color="auto" w:sz="4" w:space="0"/>
            </w:tcBorders>
            <w:vAlign w:val="center"/>
          </w:tcPr>
          <w:p>
            <w:pPr>
              <w:spacing w:line="320" w:lineRule="exact"/>
              <w:jc w:val="center"/>
              <w:rPr>
                <w:color w:val="auto"/>
                <w:szCs w:val="21"/>
              </w:rPr>
            </w:pPr>
            <w:r>
              <w:rPr>
                <w:rFonts w:hint="eastAsia"/>
                <w:color w:val="auto"/>
                <w:szCs w:val="21"/>
                <w:lang w:val="en-US" w:eastAsia="zh-CN"/>
              </w:rPr>
              <w:t>颗粒物</w:t>
            </w:r>
          </w:p>
        </w:tc>
        <w:tc>
          <w:tcPr>
            <w:tcW w:w="1220" w:type="dxa"/>
            <w:tcBorders>
              <w:top w:val="single" w:color="auto" w:sz="4" w:space="0"/>
            </w:tcBorders>
            <w:vAlign w:val="center"/>
          </w:tcPr>
          <w:p>
            <w:pPr>
              <w:jc w:val="center"/>
              <w:rPr>
                <w:color w:val="auto"/>
                <w:szCs w:val="21"/>
              </w:rPr>
            </w:pPr>
            <w:r>
              <w:rPr>
                <w:b/>
                <w:color w:val="auto"/>
              </w:rPr>
              <w:t>产生</w:t>
            </w:r>
            <w:r>
              <w:rPr>
                <w:rFonts w:hint="eastAsia"/>
                <w:b/>
                <w:color w:val="auto"/>
              </w:rPr>
              <w:t>速率kg/h</w:t>
            </w:r>
          </w:p>
        </w:tc>
        <w:tc>
          <w:tcPr>
            <w:tcW w:w="953" w:type="dxa"/>
            <w:tcBorders>
              <w:top w:val="single" w:color="auto" w:sz="4" w:space="0"/>
            </w:tcBorders>
            <w:vAlign w:val="center"/>
          </w:tcPr>
          <w:p>
            <w:pPr>
              <w:jc w:val="center"/>
              <w:rPr>
                <w:color w:val="auto"/>
                <w:szCs w:val="21"/>
              </w:rPr>
            </w:pPr>
            <w:r>
              <w:rPr>
                <w:b/>
                <w:color w:val="auto"/>
              </w:rPr>
              <w:t>产生量t/a</w:t>
            </w:r>
          </w:p>
        </w:tc>
        <w:tc>
          <w:tcPr>
            <w:tcW w:w="1283" w:type="dxa"/>
            <w:tcBorders>
              <w:top w:val="single" w:color="auto" w:sz="4" w:space="0"/>
            </w:tcBorders>
            <w:vAlign w:val="center"/>
          </w:tcPr>
          <w:p>
            <w:pPr>
              <w:jc w:val="center"/>
              <w:rPr>
                <w:color w:val="auto"/>
                <w:szCs w:val="21"/>
              </w:rPr>
            </w:pPr>
            <w:r>
              <w:rPr>
                <w:b/>
                <w:color w:val="auto"/>
              </w:rPr>
              <w:t>排放</w:t>
            </w:r>
            <w:r>
              <w:rPr>
                <w:rFonts w:hint="eastAsia"/>
                <w:b/>
                <w:color w:val="auto"/>
              </w:rPr>
              <w:t>速率kg/h</w:t>
            </w:r>
          </w:p>
        </w:tc>
        <w:tc>
          <w:tcPr>
            <w:tcW w:w="1216" w:type="dxa"/>
            <w:tcBorders>
              <w:top w:val="single" w:color="auto" w:sz="4" w:space="0"/>
            </w:tcBorders>
            <w:vAlign w:val="center"/>
          </w:tcPr>
          <w:p>
            <w:pPr>
              <w:jc w:val="center"/>
              <w:rPr>
                <w:color w:val="auto"/>
                <w:szCs w:val="21"/>
              </w:rPr>
            </w:pPr>
            <w:r>
              <w:rPr>
                <w:b/>
                <w:color w:val="auto"/>
              </w:rPr>
              <w:t>排放量t/a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6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320" w:lineRule="exact"/>
              <w:jc w:val="center"/>
              <w:rPr>
                <w:color w:val="auto"/>
                <w:szCs w:val="21"/>
              </w:rPr>
            </w:pPr>
          </w:p>
        </w:tc>
        <w:tc>
          <w:tcPr>
            <w:tcW w:w="975" w:type="dxa"/>
            <w:vMerge w:val="continue"/>
            <w:vAlign w:val="center"/>
          </w:tcPr>
          <w:p>
            <w:pPr>
              <w:snapToGrid w:val="0"/>
              <w:spacing w:line="320" w:lineRule="exact"/>
              <w:jc w:val="center"/>
              <w:rPr>
                <w:color w:val="auto"/>
                <w:szCs w:val="21"/>
              </w:rPr>
            </w:pPr>
          </w:p>
        </w:tc>
        <w:tc>
          <w:tcPr>
            <w:tcW w:w="1185" w:type="dxa"/>
            <w:vMerge w:val="continue"/>
            <w:vAlign w:val="center"/>
          </w:tcPr>
          <w:p>
            <w:pPr>
              <w:spacing w:line="320" w:lineRule="exact"/>
              <w:jc w:val="center"/>
              <w:rPr>
                <w:color w:val="auto"/>
                <w:szCs w:val="21"/>
              </w:rPr>
            </w:pPr>
          </w:p>
        </w:tc>
        <w:tc>
          <w:tcPr>
            <w:tcW w:w="1220"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0.066</w:t>
            </w:r>
          </w:p>
        </w:tc>
        <w:tc>
          <w:tcPr>
            <w:tcW w:w="953" w:type="dxa"/>
            <w:tcBorders>
              <w:top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0.235</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0.066</w:t>
            </w:r>
          </w:p>
        </w:tc>
        <w:tc>
          <w:tcPr>
            <w:tcW w:w="1216" w:type="dxa"/>
            <w:tcBorders>
              <w:top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0.235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6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320" w:lineRule="exact"/>
              <w:jc w:val="center"/>
              <w:rPr>
                <w:color w:val="auto"/>
                <w:szCs w:val="21"/>
              </w:rPr>
            </w:pPr>
          </w:p>
        </w:tc>
        <w:tc>
          <w:tcPr>
            <w:tcW w:w="975" w:type="dxa"/>
            <w:vMerge w:val="continue"/>
            <w:vAlign w:val="center"/>
          </w:tcPr>
          <w:p>
            <w:pPr>
              <w:snapToGrid w:val="0"/>
              <w:spacing w:line="320" w:lineRule="exact"/>
              <w:jc w:val="center"/>
              <w:rPr>
                <w:color w:val="auto"/>
                <w:szCs w:val="21"/>
              </w:rPr>
            </w:pPr>
          </w:p>
        </w:tc>
        <w:tc>
          <w:tcPr>
            <w:tcW w:w="1185" w:type="dxa"/>
            <w:vAlign w:val="center"/>
          </w:tcPr>
          <w:p>
            <w:pPr>
              <w:spacing w:line="320" w:lineRule="exact"/>
              <w:jc w:val="center"/>
              <w:rPr>
                <w:color w:val="auto"/>
                <w:szCs w:val="21"/>
              </w:rPr>
            </w:pPr>
            <w:r>
              <w:rPr>
                <w:rFonts w:hint="eastAsia"/>
                <w:color w:val="auto"/>
                <w:szCs w:val="21"/>
                <w:lang w:val="en-US" w:eastAsia="zh-CN"/>
              </w:rPr>
              <w:t>非甲烷总烃</w:t>
            </w:r>
          </w:p>
        </w:tc>
        <w:tc>
          <w:tcPr>
            <w:tcW w:w="1220"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0.006</w:t>
            </w:r>
          </w:p>
        </w:tc>
        <w:tc>
          <w:tcPr>
            <w:tcW w:w="95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0.017</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0.006</w:t>
            </w:r>
          </w:p>
        </w:tc>
        <w:tc>
          <w:tcPr>
            <w:tcW w:w="1216"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60" w:hRule="atLeast"/>
          <w:jc w:val="center"/>
        </w:trPr>
        <w:tc>
          <w:tcPr>
            <w:tcW w:w="1011" w:type="dxa"/>
            <w:vMerge w:val="continue"/>
            <w:vAlign w:val="center"/>
          </w:tcPr>
          <w:p>
            <w:pPr>
              <w:snapToGrid w:val="0"/>
              <w:spacing w:line="240" w:lineRule="auto"/>
              <w:jc w:val="center"/>
              <w:rPr>
                <w:rFonts w:hint="eastAsia"/>
                <w:color w:val="auto"/>
                <w:szCs w:val="21"/>
              </w:rPr>
            </w:pPr>
          </w:p>
        </w:tc>
        <w:tc>
          <w:tcPr>
            <w:tcW w:w="640" w:type="dxa"/>
            <w:vMerge w:val="continue"/>
            <w:vAlign w:val="center"/>
          </w:tcPr>
          <w:p>
            <w:pPr>
              <w:snapToGrid w:val="0"/>
              <w:spacing w:line="320" w:lineRule="exact"/>
              <w:jc w:val="center"/>
              <w:rPr>
                <w:color w:val="auto"/>
                <w:szCs w:val="21"/>
              </w:rPr>
            </w:pPr>
          </w:p>
        </w:tc>
        <w:tc>
          <w:tcPr>
            <w:tcW w:w="975" w:type="dxa"/>
            <w:vMerge w:val="continue"/>
            <w:vAlign w:val="center"/>
          </w:tcPr>
          <w:p>
            <w:pPr>
              <w:snapToGrid w:val="0"/>
              <w:spacing w:line="320" w:lineRule="exact"/>
              <w:jc w:val="center"/>
              <w:rPr>
                <w:color w:val="auto"/>
                <w:szCs w:val="21"/>
              </w:rPr>
            </w:pPr>
          </w:p>
        </w:tc>
        <w:tc>
          <w:tcPr>
            <w:tcW w:w="1185" w:type="dxa"/>
            <w:vAlign w:val="center"/>
          </w:tcPr>
          <w:p>
            <w:pPr>
              <w:spacing w:line="320" w:lineRule="exact"/>
              <w:jc w:val="center"/>
              <w:rPr>
                <w:color w:val="auto"/>
                <w:szCs w:val="21"/>
              </w:rPr>
            </w:pPr>
            <w:r>
              <w:rPr>
                <w:rFonts w:hint="eastAsia"/>
                <w:color w:val="auto"/>
                <w:szCs w:val="21"/>
                <w:lang w:val="en-US" w:eastAsia="zh-CN"/>
              </w:rPr>
              <w:t>VOCs</w:t>
            </w:r>
          </w:p>
        </w:tc>
        <w:tc>
          <w:tcPr>
            <w:tcW w:w="1220"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0.098</w:t>
            </w:r>
          </w:p>
        </w:tc>
        <w:tc>
          <w:tcPr>
            <w:tcW w:w="95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0.085</w:t>
            </w:r>
          </w:p>
        </w:tc>
        <w:tc>
          <w:tcPr>
            <w:tcW w:w="1283"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0.098</w:t>
            </w:r>
          </w:p>
        </w:tc>
        <w:tc>
          <w:tcPr>
            <w:tcW w:w="1216" w:type="dxa"/>
            <w:tcBorders>
              <w:top w:val="single" w:color="auto" w:sz="4" w:space="0"/>
            </w:tcBorders>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restart"/>
            <w:shd w:val="clear" w:color="auto" w:fill="auto"/>
            <w:vAlign w:val="center"/>
          </w:tcPr>
          <w:p>
            <w:pPr>
              <w:snapToGrid w:val="0"/>
              <w:spacing w:line="240" w:lineRule="auto"/>
              <w:jc w:val="center"/>
              <w:rPr>
                <w:rFonts w:hint="eastAsia"/>
                <w:color w:val="auto"/>
                <w:szCs w:val="21"/>
              </w:rPr>
            </w:pPr>
            <w:r>
              <w:rPr>
                <w:rFonts w:hint="eastAsia"/>
                <w:color w:val="auto"/>
                <w:szCs w:val="21"/>
              </w:rPr>
              <w:t>水</w:t>
            </w:r>
          </w:p>
          <w:p>
            <w:pPr>
              <w:snapToGrid w:val="0"/>
              <w:spacing w:line="240" w:lineRule="auto"/>
              <w:jc w:val="center"/>
              <w:rPr>
                <w:rFonts w:hint="eastAsia"/>
                <w:color w:val="auto"/>
                <w:szCs w:val="21"/>
              </w:rPr>
            </w:pPr>
            <w:r>
              <w:rPr>
                <w:rFonts w:hint="eastAsia"/>
                <w:color w:val="auto"/>
                <w:szCs w:val="21"/>
              </w:rPr>
              <w:t>污</w:t>
            </w:r>
          </w:p>
          <w:p>
            <w:pPr>
              <w:snapToGrid w:val="0"/>
              <w:spacing w:line="240" w:lineRule="auto"/>
              <w:jc w:val="center"/>
              <w:rPr>
                <w:rFonts w:hint="eastAsia"/>
                <w:color w:val="auto"/>
                <w:szCs w:val="21"/>
              </w:rPr>
            </w:pPr>
            <w:r>
              <w:rPr>
                <w:rFonts w:hint="eastAsia"/>
                <w:color w:val="auto"/>
                <w:szCs w:val="21"/>
              </w:rPr>
              <w:t>染</w:t>
            </w:r>
          </w:p>
          <w:p>
            <w:pPr>
              <w:snapToGrid w:val="0"/>
              <w:spacing w:line="240" w:lineRule="auto"/>
              <w:jc w:val="center"/>
              <w:rPr>
                <w:rFonts w:hint="eastAsia"/>
                <w:color w:val="auto"/>
                <w:szCs w:val="21"/>
              </w:rPr>
            </w:pPr>
            <w:r>
              <w:rPr>
                <w:rFonts w:hint="eastAsia"/>
                <w:color w:val="auto"/>
                <w:szCs w:val="21"/>
              </w:rPr>
              <w:t>物</w:t>
            </w:r>
          </w:p>
        </w:tc>
        <w:tc>
          <w:tcPr>
            <w:tcW w:w="1615" w:type="dxa"/>
            <w:gridSpan w:val="2"/>
            <w:vMerge w:val="restart"/>
            <w:shd w:val="clear" w:color="auto" w:fill="FFFFFF"/>
            <w:vAlign w:val="center"/>
          </w:tcPr>
          <w:p>
            <w:pPr>
              <w:snapToGrid w:val="0"/>
              <w:spacing w:line="240" w:lineRule="auto"/>
              <w:jc w:val="center"/>
              <w:rPr>
                <w:color w:val="auto"/>
                <w:szCs w:val="21"/>
              </w:rPr>
            </w:pPr>
            <w:r>
              <w:rPr>
                <w:color w:val="auto"/>
                <w:szCs w:val="21"/>
              </w:rPr>
              <w:t>生活污水</w:t>
            </w:r>
          </w:p>
          <w:p>
            <w:pPr>
              <w:snapToGrid w:val="0"/>
              <w:spacing w:line="240" w:lineRule="auto"/>
              <w:jc w:val="center"/>
              <w:rPr>
                <w:color w:val="auto"/>
                <w:szCs w:val="21"/>
              </w:rPr>
            </w:pPr>
            <w:r>
              <w:rPr>
                <w:rFonts w:hint="eastAsia"/>
                <w:color w:val="auto"/>
                <w:szCs w:val="21"/>
                <w:lang w:val="en-US" w:eastAsia="zh-CN"/>
              </w:rPr>
              <w:t>120</w:t>
            </w:r>
            <w:r>
              <w:rPr>
                <w:color w:val="auto"/>
                <w:szCs w:val="21"/>
              </w:rPr>
              <w:t>m</w:t>
            </w:r>
            <w:r>
              <w:rPr>
                <w:color w:val="auto"/>
                <w:szCs w:val="21"/>
                <w:vertAlign w:val="superscript"/>
              </w:rPr>
              <w:t>3</w:t>
            </w:r>
            <w:r>
              <w:rPr>
                <w:color w:val="auto"/>
                <w:szCs w:val="21"/>
              </w:rPr>
              <w:t>/a</w:t>
            </w:r>
          </w:p>
        </w:tc>
        <w:tc>
          <w:tcPr>
            <w:tcW w:w="1185" w:type="dxa"/>
            <w:tcBorders>
              <w:bottom w:val="single" w:color="auto" w:sz="4" w:space="0"/>
            </w:tcBorders>
            <w:shd w:val="clear" w:color="auto" w:fill="FFFFFF"/>
            <w:vAlign w:val="center"/>
          </w:tcPr>
          <w:p>
            <w:pPr>
              <w:snapToGrid w:val="0"/>
              <w:jc w:val="center"/>
              <w:rPr>
                <w:b/>
                <w:color w:val="auto"/>
                <w:spacing w:val="-4"/>
                <w:szCs w:val="21"/>
              </w:rPr>
            </w:pPr>
            <w:r>
              <w:rPr>
                <w:b/>
                <w:color w:val="auto"/>
                <w:spacing w:val="-4"/>
                <w:szCs w:val="21"/>
              </w:rPr>
              <w:t>污染物名称</w:t>
            </w:r>
          </w:p>
        </w:tc>
        <w:tc>
          <w:tcPr>
            <w:tcW w:w="1220" w:type="dxa"/>
            <w:tcBorders>
              <w:bottom w:val="single" w:color="auto" w:sz="4" w:space="0"/>
            </w:tcBorders>
            <w:shd w:val="clear" w:color="auto" w:fill="FFFFFF"/>
            <w:vAlign w:val="center"/>
          </w:tcPr>
          <w:p>
            <w:pPr>
              <w:jc w:val="center"/>
              <w:rPr>
                <w:b/>
                <w:color w:val="auto"/>
                <w:szCs w:val="21"/>
              </w:rPr>
            </w:pPr>
            <w:r>
              <w:rPr>
                <w:b/>
                <w:color w:val="auto"/>
                <w:szCs w:val="21"/>
              </w:rPr>
              <w:t>产生浓度mg/L</w:t>
            </w:r>
          </w:p>
        </w:tc>
        <w:tc>
          <w:tcPr>
            <w:tcW w:w="953" w:type="dxa"/>
            <w:tcBorders>
              <w:bottom w:val="single" w:color="auto" w:sz="4" w:space="0"/>
            </w:tcBorders>
            <w:shd w:val="clear" w:color="auto" w:fill="FFFFFF"/>
            <w:vAlign w:val="center"/>
          </w:tcPr>
          <w:p>
            <w:pPr>
              <w:snapToGrid w:val="0"/>
              <w:jc w:val="center"/>
              <w:rPr>
                <w:b/>
                <w:color w:val="auto"/>
                <w:szCs w:val="21"/>
              </w:rPr>
            </w:pPr>
            <w:r>
              <w:rPr>
                <w:b/>
                <w:color w:val="auto"/>
                <w:szCs w:val="21"/>
              </w:rPr>
              <w:t>产生</w:t>
            </w:r>
            <w:r>
              <w:rPr>
                <w:b/>
                <w:color w:val="auto"/>
              </w:rPr>
              <w:t>t/a</w:t>
            </w:r>
          </w:p>
        </w:tc>
        <w:tc>
          <w:tcPr>
            <w:tcW w:w="1283" w:type="dxa"/>
            <w:tcBorders>
              <w:bottom w:val="single" w:color="auto" w:sz="4" w:space="0"/>
            </w:tcBorders>
            <w:shd w:val="clear" w:color="auto" w:fill="FFFFFF"/>
            <w:vAlign w:val="center"/>
          </w:tcPr>
          <w:p>
            <w:pPr>
              <w:snapToGrid w:val="0"/>
              <w:jc w:val="center"/>
              <w:rPr>
                <w:b/>
                <w:color w:val="auto"/>
                <w:szCs w:val="21"/>
              </w:rPr>
            </w:pPr>
            <w:r>
              <w:rPr>
                <w:b/>
                <w:color w:val="auto"/>
                <w:szCs w:val="21"/>
              </w:rPr>
              <w:t>排放浓度mg/L</w:t>
            </w:r>
          </w:p>
        </w:tc>
        <w:tc>
          <w:tcPr>
            <w:tcW w:w="1216" w:type="dxa"/>
            <w:tcBorders>
              <w:bottom w:val="single" w:color="auto" w:sz="4" w:space="0"/>
            </w:tcBorders>
            <w:shd w:val="clear" w:color="auto" w:fill="FFFFFF"/>
            <w:vAlign w:val="center"/>
          </w:tcPr>
          <w:p>
            <w:pPr>
              <w:snapToGrid w:val="0"/>
              <w:jc w:val="center"/>
              <w:rPr>
                <w:b/>
                <w:color w:val="auto"/>
                <w:szCs w:val="21"/>
              </w:rPr>
            </w:pPr>
            <w:r>
              <w:rPr>
                <w:rFonts w:hint="eastAsia"/>
                <w:b/>
                <w:color w:val="auto"/>
                <w:szCs w:val="21"/>
              </w:rPr>
              <w:t>排放量</w:t>
            </w:r>
            <w:r>
              <w:rPr>
                <w:b/>
                <w:color w:val="auto"/>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continue"/>
            <w:shd w:val="clear" w:color="auto" w:fill="auto"/>
            <w:vAlign w:val="center"/>
          </w:tcPr>
          <w:p>
            <w:pPr>
              <w:snapToGrid w:val="0"/>
              <w:jc w:val="center"/>
              <w:rPr>
                <w:color w:val="auto"/>
                <w:szCs w:val="21"/>
              </w:rPr>
            </w:pPr>
          </w:p>
        </w:tc>
        <w:tc>
          <w:tcPr>
            <w:tcW w:w="1615" w:type="dxa"/>
            <w:gridSpan w:val="2"/>
            <w:vMerge w:val="continue"/>
            <w:shd w:val="clear" w:color="auto" w:fill="FFFFFF"/>
            <w:vAlign w:val="center"/>
          </w:tcPr>
          <w:p>
            <w:pPr>
              <w:snapToGrid w:val="0"/>
              <w:spacing w:line="320" w:lineRule="exact"/>
              <w:jc w:val="center"/>
              <w:rPr>
                <w:color w:val="auto"/>
                <w:szCs w:val="21"/>
              </w:rPr>
            </w:pPr>
          </w:p>
        </w:tc>
        <w:tc>
          <w:tcPr>
            <w:tcW w:w="1185" w:type="dxa"/>
            <w:tcBorders>
              <w:bottom w:val="single" w:color="auto" w:sz="4" w:space="0"/>
            </w:tcBorders>
            <w:shd w:val="clear" w:color="auto" w:fill="FFFFFF"/>
            <w:vAlign w:val="center"/>
          </w:tcPr>
          <w:p>
            <w:pPr>
              <w:spacing w:line="320" w:lineRule="exact"/>
              <w:jc w:val="center"/>
              <w:rPr>
                <w:color w:val="auto"/>
                <w:szCs w:val="21"/>
              </w:rPr>
            </w:pPr>
            <w:r>
              <w:rPr>
                <w:color w:val="auto"/>
                <w:szCs w:val="21"/>
              </w:rPr>
              <w:t>COD</w:t>
            </w:r>
          </w:p>
        </w:tc>
        <w:tc>
          <w:tcPr>
            <w:tcW w:w="1220" w:type="dxa"/>
            <w:tcBorders>
              <w:bottom w:val="single" w:color="auto" w:sz="4" w:space="0"/>
            </w:tcBorders>
            <w:shd w:val="clear" w:color="auto" w:fill="FFFFFF"/>
            <w:vAlign w:val="center"/>
          </w:tcPr>
          <w:p>
            <w:pPr>
              <w:jc w:val="center"/>
              <w:rPr>
                <w:color w:val="auto"/>
                <w:szCs w:val="21"/>
              </w:rPr>
            </w:pPr>
            <w:r>
              <w:rPr>
                <w:rFonts w:hint="eastAsia"/>
                <w:color w:val="auto"/>
                <w:szCs w:val="21"/>
              </w:rPr>
              <w:t>400</w:t>
            </w:r>
          </w:p>
        </w:tc>
        <w:tc>
          <w:tcPr>
            <w:tcW w:w="953" w:type="dxa"/>
            <w:tcBorders>
              <w:bottom w:val="single" w:color="auto" w:sz="4" w:space="0"/>
            </w:tcBorders>
            <w:shd w:val="clear" w:color="auto" w:fill="FFFFFF"/>
            <w:vAlign w:val="center"/>
          </w:tcPr>
          <w:p>
            <w:pPr>
              <w:jc w:val="center"/>
              <w:rPr>
                <w:color w:val="auto"/>
                <w:szCs w:val="21"/>
              </w:rPr>
            </w:pPr>
            <w:r>
              <w:rPr>
                <w:rFonts w:hint="eastAsia"/>
                <w:color w:val="auto"/>
                <w:szCs w:val="21"/>
                <w:lang w:val="en-US" w:eastAsia="zh-CN"/>
              </w:rPr>
              <w:t>0.048</w:t>
            </w:r>
          </w:p>
        </w:tc>
        <w:tc>
          <w:tcPr>
            <w:tcW w:w="1283" w:type="dxa"/>
            <w:tcBorders>
              <w:bottom w:val="single" w:color="auto" w:sz="4" w:space="0"/>
            </w:tcBorders>
            <w:shd w:val="clear" w:color="auto" w:fill="FFFFFF"/>
            <w:vAlign w:val="center"/>
          </w:tcPr>
          <w:p>
            <w:pPr>
              <w:spacing w:line="320" w:lineRule="exact"/>
              <w:jc w:val="center"/>
              <w:rPr>
                <w:color w:val="auto"/>
                <w:szCs w:val="21"/>
              </w:rPr>
            </w:pPr>
            <w:r>
              <w:rPr>
                <w:rFonts w:hint="eastAsia"/>
                <w:color w:val="auto"/>
                <w:szCs w:val="21"/>
              </w:rPr>
              <w:t>340</w:t>
            </w:r>
          </w:p>
        </w:tc>
        <w:tc>
          <w:tcPr>
            <w:tcW w:w="1216" w:type="dxa"/>
            <w:tcBorders>
              <w:bottom w:val="single" w:color="auto" w:sz="4" w:space="0"/>
            </w:tcBorders>
            <w:shd w:val="clear" w:color="auto" w:fill="FFFFFF"/>
            <w:vAlign w:val="center"/>
          </w:tcPr>
          <w:p>
            <w:pPr>
              <w:jc w:val="center"/>
              <w:rPr>
                <w:color w:val="auto"/>
                <w:szCs w:val="21"/>
              </w:rPr>
            </w:pPr>
            <w:r>
              <w:rPr>
                <w:rFonts w:hint="eastAsia"/>
                <w:color w:val="auto"/>
                <w:szCs w:val="21"/>
                <w:lang w:val="en-US" w:eastAsia="zh-CN"/>
              </w:rPr>
              <w:t>0.041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continue"/>
            <w:shd w:val="clear" w:color="auto" w:fill="auto"/>
            <w:vAlign w:val="center"/>
          </w:tcPr>
          <w:p>
            <w:pPr>
              <w:snapToGrid w:val="0"/>
              <w:jc w:val="center"/>
              <w:rPr>
                <w:color w:val="auto"/>
                <w:szCs w:val="21"/>
              </w:rPr>
            </w:pPr>
          </w:p>
        </w:tc>
        <w:tc>
          <w:tcPr>
            <w:tcW w:w="1615" w:type="dxa"/>
            <w:gridSpan w:val="2"/>
            <w:vMerge w:val="continue"/>
            <w:shd w:val="clear" w:color="auto" w:fill="FFFFFF"/>
            <w:vAlign w:val="center"/>
          </w:tcPr>
          <w:p>
            <w:pPr>
              <w:snapToGrid w:val="0"/>
              <w:spacing w:line="320" w:lineRule="exact"/>
              <w:jc w:val="center"/>
              <w:rPr>
                <w:color w:val="auto"/>
                <w:szCs w:val="21"/>
              </w:rPr>
            </w:pPr>
          </w:p>
        </w:tc>
        <w:tc>
          <w:tcPr>
            <w:tcW w:w="1185" w:type="dxa"/>
            <w:tcBorders>
              <w:top w:val="single" w:color="auto" w:sz="4" w:space="0"/>
              <w:bottom w:val="single" w:color="auto" w:sz="4" w:space="0"/>
            </w:tcBorders>
            <w:shd w:val="clear" w:color="auto" w:fill="FFFFFF"/>
            <w:vAlign w:val="center"/>
          </w:tcPr>
          <w:p>
            <w:pPr>
              <w:spacing w:line="320" w:lineRule="exact"/>
              <w:jc w:val="center"/>
              <w:rPr>
                <w:color w:val="auto"/>
                <w:szCs w:val="21"/>
              </w:rPr>
            </w:pPr>
            <w:r>
              <w:rPr>
                <w:color w:val="auto"/>
                <w:szCs w:val="21"/>
              </w:rPr>
              <w:t>SS</w:t>
            </w:r>
          </w:p>
        </w:tc>
        <w:tc>
          <w:tcPr>
            <w:tcW w:w="1220" w:type="dxa"/>
            <w:tcBorders>
              <w:top w:val="single" w:color="auto" w:sz="4" w:space="0"/>
              <w:bottom w:val="single" w:color="auto" w:sz="4" w:space="0"/>
            </w:tcBorders>
            <w:shd w:val="clear" w:color="auto" w:fill="FFFFFF"/>
            <w:vAlign w:val="center"/>
          </w:tcPr>
          <w:p>
            <w:pPr>
              <w:jc w:val="center"/>
              <w:rPr>
                <w:color w:val="auto"/>
                <w:szCs w:val="21"/>
              </w:rPr>
            </w:pPr>
            <w:r>
              <w:rPr>
                <w:rFonts w:hint="eastAsia"/>
                <w:color w:val="auto"/>
                <w:szCs w:val="21"/>
              </w:rPr>
              <w:t>200</w:t>
            </w:r>
          </w:p>
        </w:tc>
        <w:tc>
          <w:tcPr>
            <w:tcW w:w="953" w:type="dxa"/>
            <w:tcBorders>
              <w:top w:val="single" w:color="auto" w:sz="4" w:space="0"/>
              <w:bottom w:val="single" w:color="auto" w:sz="4" w:space="0"/>
            </w:tcBorders>
            <w:shd w:val="clear" w:color="auto" w:fill="FFFFFF"/>
            <w:vAlign w:val="center"/>
          </w:tcPr>
          <w:p>
            <w:pPr>
              <w:jc w:val="center"/>
              <w:rPr>
                <w:color w:val="auto"/>
                <w:szCs w:val="21"/>
              </w:rPr>
            </w:pPr>
            <w:r>
              <w:rPr>
                <w:rFonts w:hint="eastAsia"/>
                <w:color w:val="auto"/>
                <w:szCs w:val="21"/>
                <w:lang w:val="en-US" w:eastAsia="zh-CN"/>
              </w:rPr>
              <w:t>0.024</w:t>
            </w:r>
          </w:p>
        </w:tc>
        <w:tc>
          <w:tcPr>
            <w:tcW w:w="1283" w:type="dxa"/>
            <w:tcBorders>
              <w:top w:val="single" w:color="auto" w:sz="4" w:space="0"/>
              <w:bottom w:val="single" w:color="auto" w:sz="4" w:space="0"/>
            </w:tcBorders>
            <w:shd w:val="clear" w:color="auto" w:fill="FFFFFF"/>
            <w:vAlign w:val="center"/>
          </w:tcPr>
          <w:p>
            <w:pPr>
              <w:spacing w:line="320" w:lineRule="exact"/>
              <w:jc w:val="center"/>
              <w:rPr>
                <w:color w:val="auto"/>
                <w:szCs w:val="21"/>
              </w:rPr>
            </w:pPr>
            <w:r>
              <w:rPr>
                <w:rFonts w:hint="eastAsia"/>
                <w:color w:val="auto"/>
                <w:szCs w:val="21"/>
              </w:rPr>
              <w:t>160</w:t>
            </w:r>
          </w:p>
        </w:tc>
        <w:tc>
          <w:tcPr>
            <w:tcW w:w="1216" w:type="dxa"/>
            <w:tcBorders>
              <w:top w:val="single" w:color="auto" w:sz="4" w:space="0"/>
              <w:bottom w:val="single" w:color="auto" w:sz="4" w:space="0"/>
            </w:tcBorders>
            <w:shd w:val="clear" w:color="auto" w:fill="FFFFFF"/>
            <w:vAlign w:val="center"/>
          </w:tcPr>
          <w:p>
            <w:pPr>
              <w:jc w:val="center"/>
              <w:rPr>
                <w:color w:val="auto"/>
                <w:szCs w:val="21"/>
              </w:rPr>
            </w:pPr>
            <w:r>
              <w:rPr>
                <w:rFonts w:hint="eastAsia"/>
                <w:color w:val="auto"/>
                <w:szCs w:val="21"/>
                <w:lang w:val="en-US" w:eastAsia="zh-CN"/>
              </w:rPr>
              <w:t>0.019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continue"/>
            <w:shd w:val="clear" w:color="auto" w:fill="auto"/>
            <w:vAlign w:val="center"/>
          </w:tcPr>
          <w:p>
            <w:pPr>
              <w:snapToGrid w:val="0"/>
              <w:jc w:val="center"/>
              <w:rPr>
                <w:color w:val="auto"/>
                <w:szCs w:val="21"/>
              </w:rPr>
            </w:pPr>
          </w:p>
        </w:tc>
        <w:tc>
          <w:tcPr>
            <w:tcW w:w="1615" w:type="dxa"/>
            <w:gridSpan w:val="2"/>
            <w:vMerge w:val="continue"/>
            <w:shd w:val="clear" w:color="auto" w:fill="FFFFFF"/>
            <w:vAlign w:val="center"/>
          </w:tcPr>
          <w:p>
            <w:pPr>
              <w:snapToGrid w:val="0"/>
              <w:spacing w:line="320" w:lineRule="exact"/>
              <w:jc w:val="center"/>
              <w:rPr>
                <w:color w:val="auto"/>
                <w:szCs w:val="21"/>
              </w:rPr>
            </w:pPr>
          </w:p>
        </w:tc>
        <w:tc>
          <w:tcPr>
            <w:tcW w:w="1185" w:type="dxa"/>
            <w:tcBorders>
              <w:top w:val="single" w:color="auto" w:sz="4" w:space="0"/>
            </w:tcBorders>
            <w:shd w:val="clear" w:color="auto" w:fill="FFFFFF"/>
            <w:vAlign w:val="center"/>
          </w:tcPr>
          <w:p>
            <w:pPr>
              <w:spacing w:line="320" w:lineRule="exact"/>
              <w:jc w:val="center"/>
              <w:rPr>
                <w:color w:val="auto"/>
                <w:szCs w:val="21"/>
              </w:rPr>
            </w:pPr>
            <w:r>
              <w:rPr>
                <w:color w:val="auto"/>
                <w:szCs w:val="21"/>
              </w:rPr>
              <w:t>氨氮</w:t>
            </w:r>
          </w:p>
        </w:tc>
        <w:tc>
          <w:tcPr>
            <w:tcW w:w="1220" w:type="dxa"/>
            <w:tcBorders>
              <w:top w:val="single" w:color="auto" w:sz="4" w:space="0"/>
            </w:tcBorders>
            <w:shd w:val="clear" w:color="auto" w:fill="FFFFFF"/>
            <w:vAlign w:val="center"/>
          </w:tcPr>
          <w:p>
            <w:pPr>
              <w:jc w:val="center"/>
              <w:rPr>
                <w:color w:val="auto"/>
                <w:szCs w:val="21"/>
              </w:rPr>
            </w:pPr>
            <w:r>
              <w:rPr>
                <w:color w:val="auto"/>
                <w:szCs w:val="21"/>
              </w:rPr>
              <w:t>3</w:t>
            </w:r>
            <w:r>
              <w:rPr>
                <w:rFonts w:hint="eastAsia"/>
                <w:color w:val="auto"/>
                <w:szCs w:val="21"/>
              </w:rPr>
              <w:t>5</w:t>
            </w:r>
          </w:p>
        </w:tc>
        <w:tc>
          <w:tcPr>
            <w:tcW w:w="953" w:type="dxa"/>
            <w:tcBorders>
              <w:top w:val="single" w:color="auto" w:sz="4" w:space="0"/>
            </w:tcBorders>
            <w:shd w:val="clear" w:color="auto" w:fill="FFFFFF"/>
            <w:vAlign w:val="center"/>
          </w:tcPr>
          <w:p>
            <w:pPr>
              <w:jc w:val="center"/>
              <w:rPr>
                <w:color w:val="auto"/>
                <w:szCs w:val="21"/>
              </w:rPr>
            </w:pPr>
            <w:r>
              <w:rPr>
                <w:rFonts w:hint="eastAsia"/>
                <w:color w:val="auto"/>
                <w:szCs w:val="21"/>
                <w:lang w:val="en-US" w:eastAsia="zh-CN"/>
              </w:rPr>
              <w:t>0.0042</w:t>
            </w:r>
          </w:p>
        </w:tc>
        <w:tc>
          <w:tcPr>
            <w:tcW w:w="1283" w:type="dxa"/>
            <w:tcBorders>
              <w:top w:val="single" w:color="auto" w:sz="4" w:space="0"/>
            </w:tcBorders>
            <w:shd w:val="clear" w:color="auto" w:fill="FFFFFF"/>
            <w:vAlign w:val="center"/>
          </w:tcPr>
          <w:p>
            <w:pPr>
              <w:spacing w:line="320" w:lineRule="exact"/>
              <w:jc w:val="center"/>
              <w:rPr>
                <w:color w:val="auto"/>
                <w:szCs w:val="21"/>
              </w:rPr>
            </w:pPr>
            <w:r>
              <w:rPr>
                <w:color w:val="auto"/>
                <w:szCs w:val="21"/>
              </w:rPr>
              <w:t>3</w:t>
            </w:r>
            <w:r>
              <w:rPr>
                <w:rFonts w:hint="eastAsia"/>
                <w:color w:val="auto"/>
                <w:szCs w:val="21"/>
              </w:rPr>
              <w:t>5</w:t>
            </w:r>
          </w:p>
        </w:tc>
        <w:tc>
          <w:tcPr>
            <w:tcW w:w="1216" w:type="dxa"/>
            <w:tcBorders>
              <w:top w:val="single" w:color="auto" w:sz="4" w:space="0"/>
            </w:tcBorders>
            <w:shd w:val="clear" w:color="auto" w:fill="FFFFFF"/>
            <w:vAlign w:val="center"/>
          </w:tcPr>
          <w:p>
            <w:pPr>
              <w:jc w:val="center"/>
              <w:rPr>
                <w:color w:val="auto"/>
                <w:szCs w:val="21"/>
              </w:rPr>
            </w:pPr>
            <w:r>
              <w:rPr>
                <w:rFonts w:hint="eastAsia"/>
                <w:color w:val="auto"/>
                <w:szCs w:val="21"/>
                <w:lang w:val="en-US" w:eastAsia="zh-CN"/>
              </w:rPr>
              <w:t>0.0042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continue"/>
            <w:shd w:val="clear" w:color="auto" w:fill="auto"/>
            <w:vAlign w:val="center"/>
          </w:tcPr>
          <w:p>
            <w:pPr>
              <w:snapToGrid w:val="0"/>
              <w:jc w:val="center"/>
              <w:rPr>
                <w:color w:val="auto"/>
                <w:szCs w:val="21"/>
              </w:rPr>
            </w:pPr>
          </w:p>
        </w:tc>
        <w:tc>
          <w:tcPr>
            <w:tcW w:w="1615" w:type="dxa"/>
            <w:gridSpan w:val="2"/>
            <w:vMerge w:val="continue"/>
            <w:shd w:val="clear" w:color="auto" w:fill="FFFFFF"/>
            <w:vAlign w:val="center"/>
          </w:tcPr>
          <w:p>
            <w:pPr>
              <w:snapToGrid w:val="0"/>
              <w:spacing w:line="320" w:lineRule="exact"/>
              <w:jc w:val="center"/>
              <w:rPr>
                <w:color w:val="auto"/>
                <w:szCs w:val="21"/>
              </w:rPr>
            </w:pPr>
          </w:p>
        </w:tc>
        <w:tc>
          <w:tcPr>
            <w:tcW w:w="1185" w:type="dxa"/>
            <w:tcBorders>
              <w:top w:val="single" w:color="auto" w:sz="4" w:space="0"/>
            </w:tcBorders>
            <w:shd w:val="clear" w:color="auto" w:fill="FFFFFF"/>
            <w:vAlign w:val="center"/>
          </w:tcPr>
          <w:p>
            <w:pPr>
              <w:spacing w:line="320" w:lineRule="exact"/>
              <w:jc w:val="center"/>
              <w:rPr>
                <w:color w:val="auto"/>
                <w:szCs w:val="21"/>
              </w:rPr>
            </w:pPr>
            <w:r>
              <w:rPr>
                <w:color w:val="auto"/>
                <w:szCs w:val="21"/>
              </w:rPr>
              <w:t>TP</w:t>
            </w:r>
          </w:p>
        </w:tc>
        <w:tc>
          <w:tcPr>
            <w:tcW w:w="1220" w:type="dxa"/>
            <w:shd w:val="clear" w:color="auto" w:fill="FFFFFF"/>
            <w:vAlign w:val="center"/>
          </w:tcPr>
          <w:p>
            <w:pPr>
              <w:jc w:val="center"/>
              <w:rPr>
                <w:color w:val="auto"/>
                <w:szCs w:val="21"/>
              </w:rPr>
            </w:pPr>
            <w:r>
              <w:rPr>
                <w:color w:val="auto"/>
                <w:szCs w:val="21"/>
              </w:rPr>
              <w:t>3</w:t>
            </w:r>
          </w:p>
        </w:tc>
        <w:tc>
          <w:tcPr>
            <w:tcW w:w="953" w:type="dxa"/>
            <w:shd w:val="clear" w:color="auto" w:fill="FFFFFF"/>
            <w:vAlign w:val="center"/>
          </w:tcPr>
          <w:p>
            <w:pPr>
              <w:jc w:val="center"/>
              <w:rPr>
                <w:color w:val="auto"/>
                <w:szCs w:val="21"/>
              </w:rPr>
            </w:pPr>
            <w:r>
              <w:rPr>
                <w:rFonts w:hint="eastAsia"/>
                <w:color w:val="auto"/>
                <w:szCs w:val="21"/>
                <w:lang w:val="en-US" w:eastAsia="zh-CN"/>
              </w:rPr>
              <w:t>0.0006</w:t>
            </w:r>
          </w:p>
        </w:tc>
        <w:tc>
          <w:tcPr>
            <w:tcW w:w="1283" w:type="dxa"/>
            <w:shd w:val="clear" w:color="auto" w:fill="FFFFFF"/>
            <w:vAlign w:val="center"/>
          </w:tcPr>
          <w:p>
            <w:pPr>
              <w:spacing w:line="320" w:lineRule="exact"/>
              <w:jc w:val="center"/>
              <w:rPr>
                <w:color w:val="auto"/>
                <w:szCs w:val="21"/>
              </w:rPr>
            </w:pPr>
            <w:r>
              <w:rPr>
                <w:color w:val="auto"/>
                <w:szCs w:val="21"/>
              </w:rPr>
              <w:t>3</w:t>
            </w:r>
          </w:p>
        </w:tc>
        <w:tc>
          <w:tcPr>
            <w:tcW w:w="1216" w:type="dxa"/>
            <w:shd w:val="clear" w:color="auto" w:fill="FFFFFF"/>
            <w:vAlign w:val="center"/>
          </w:tcPr>
          <w:p>
            <w:pPr>
              <w:jc w:val="center"/>
              <w:rPr>
                <w:color w:val="auto"/>
                <w:szCs w:val="21"/>
              </w:rPr>
            </w:pPr>
            <w:r>
              <w:rPr>
                <w:rFonts w:hint="eastAsia"/>
                <w:color w:val="auto"/>
                <w:szCs w:val="21"/>
                <w:lang w:val="en-US" w:eastAsia="zh-CN"/>
              </w:rPr>
              <w:t>0.0006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Merge w:val="continue"/>
            <w:shd w:val="clear" w:color="auto" w:fill="auto"/>
            <w:vAlign w:val="center"/>
          </w:tcPr>
          <w:p>
            <w:pPr>
              <w:snapToGrid w:val="0"/>
              <w:jc w:val="center"/>
              <w:rPr>
                <w:color w:val="auto"/>
                <w:szCs w:val="21"/>
              </w:rPr>
            </w:pPr>
          </w:p>
        </w:tc>
        <w:tc>
          <w:tcPr>
            <w:tcW w:w="1615" w:type="dxa"/>
            <w:gridSpan w:val="2"/>
            <w:vMerge w:val="continue"/>
            <w:shd w:val="clear" w:color="auto" w:fill="FFFFFF"/>
            <w:vAlign w:val="center"/>
          </w:tcPr>
          <w:p>
            <w:pPr>
              <w:snapToGrid w:val="0"/>
              <w:spacing w:line="320" w:lineRule="exact"/>
              <w:jc w:val="center"/>
              <w:rPr>
                <w:color w:val="auto"/>
                <w:szCs w:val="21"/>
              </w:rPr>
            </w:pPr>
          </w:p>
        </w:tc>
        <w:tc>
          <w:tcPr>
            <w:tcW w:w="1185" w:type="dxa"/>
            <w:tcBorders>
              <w:top w:val="single" w:color="auto" w:sz="4" w:space="0"/>
            </w:tcBorders>
            <w:shd w:val="clear" w:color="auto" w:fill="FFFFFF"/>
            <w:vAlign w:val="center"/>
          </w:tcPr>
          <w:p>
            <w:pPr>
              <w:spacing w:line="320" w:lineRule="exact"/>
              <w:jc w:val="center"/>
              <w:rPr>
                <w:color w:val="auto"/>
                <w:szCs w:val="21"/>
              </w:rPr>
            </w:pPr>
            <w:r>
              <w:rPr>
                <w:rFonts w:hint="eastAsia"/>
                <w:color w:val="auto"/>
                <w:szCs w:val="21"/>
              </w:rPr>
              <w:t>TN</w:t>
            </w:r>
          </w:p>
        </w:tc>
        <w:tc>
          <w:tcPr>
            <w:tcW w:w="1220" w:type="dxa"/>
            <w:shd w:val="clear" w:color="auto" w:fill="FFFFFF"/>
            <w:vAlign w:val="center"/>
          </w:tcPr>
          <w:p>
            <w:pPr>
              <w:jc w:val="center"/>
              <w:rPr>
                <w:color w:val="auto"/>
                <w:szCs w:val="21"/>
              </w:rPr>
            </w:pPr>
            <w:r>
              <w:rPr>
                <w:rFonts w:hint="eastAsia"/>
                <w:color w:val="auto"/>
                <w:szCs w:val="21"/>
              </w:rPr>
              <w:t>50</w:t>
            </w:r>
          </w:p>
        </w:tc>
        <w:tc>
          <w:tcPr>
            <w:tcW w:w="953" w:type="dxa"/>
            <w:shd w:val="clear" w:color="auto" w:fill="FFFFFF"/>
            <w:vAlign w:val="center"/>
          </w:tcPr>
          <w:p>
            <w:pPr>
              <w:jc w:val="center"/>
              <w:rPr>
                <w:color w:val="auto"/>
                <w:szCs w:val="21"/>
              </w:rPr>
            </w:pPr>
            <w:r>
              <w:rPr>
                <w:rFonts w:hint="eastAsia"/>
                <w:color w:val="auto"/>
                <w:szCs w:val="21"/>
                <w:lang w:val="en-US" w:eastAsia="zh-CN"/>
              </w:rPr>
              <w:t>0.006</w:t>
            </w:r>
          </w:p>
        </w:tc>
        <w:tc>
          <w:tcPr>
            <w:tcW w:w="1283" w:type="dxa"/>
            <w:shd w:val="clear" w:color="auto" w:fill="FFFFFF"/>
            <w:vAlign w:val="center"/>
          </w:tcPr>
          <w:p>
            <w:pPr>
              <w:spacing w:line="320" w:lineRule="exact"/>
              <w:jc w:val="center"/>
              <w:rPr>
                <w:color w:val="auto"/>
                <w:szCs w:val="21"/>
              </w:rPr>
            </w:pPr>
            <w:r>
              <w:rPr>
                <w:rFonts w:hint="eastAsia"/>
                <w:color w:val="auto"/>
                <w:szCs w:val="21"/>
              </w:rPr>
              <w:t>50</w:t>
            </w:r>
          </w:p>
        </w:tc>
        <w:tc>
          <w:tcPr>
            <w:tcW w:w="1216" w:type="dxa"/>
            <w:shd w:val="clear" w:color="auto" w:fill="FFFFFF"/>
            <w:vAlign w:val="center"/>
          </w:tcPr>
          <w:p>
            <w:pPr>
              <w:jc w:val="center"/>
              <w:rPr>
                <w:color w:val="auto"/>
                <w:szCs w:val="21"/>
              </w:rPr>
            </w:pPr>
            <w:r>
              <w:rPr>
                <w:rFonts w:hint="eastAsia"/>
                <w:color w:val="auto"/>
                <w:szCs w:val="21"/>
                <w:lang w:val="en-US" w:eastAsia="zh-CN"/>
              </w:rPr>
              <w:t>0.006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16" w:hRule="atLeast"/>
          <w:jc w:val="center"/>
        </w:trPr>
        <w:tc>
          <w:tcPr>
            <w:tcW w:w="1011" w:type="dxa"/>
            <w:vMerge w:val="restart"/>
            <w:vAlign w:val="center"/>
          </w:tcPr>
          <w:p>
            <w:pPr>
              <w:snapToGrid w:val="0"/>
              <w:spacing w:line="240" w:lineRule="auto"/>
              <w:jc w:val="center"/>
              <w:rPr>
                <w:rFonts w:hint="eastAsia"/>
                <w:color w:val="auto"/>
                <w:szCs w:val="21"/>
              </w:rPr>
            </w:pPr>
            <w:r>
              <w:rPr>
                <w:rFonts w:hint="eastAsia"/>
                <w:color w:val="auto"/>
                <w:szCs w:val="21"/>
              </w:rPr>
              <w:t>固废</w:t>
            </w:r>
          </w:p>
          <w:p>
            <w:pPr>
              <w:snapToGrid w:val="0"/>
              <w:spacing w:line="240" w:lineRule="auto"/>
              <w:jc w:val="center"/>
              <w:rPr>
                <w:rFonts w:hint="eastAsia"/>
                <w:color w:val="auto"/>
                <w:szCs w:val="21"/>
              </w:rPr>
            </w:pPr>
          </w:p>
        </w:tc>
        <w:tc>
          <w:tcPr>
            <w:tcW w:w="2800" w:type="dxa"/>
            <w:gridSpan w:val="3"/>
            <w:tcBorders>
              <w:top w:val="single" w:color="auto" w:sz="4" w:space="0"/>
            </w:tcBorders>
            <w:vAlign w:val="center"/>
          </w:tcPr>
          <w:p>
            <w:pPr>
              <w:snapToGrid w:val="0"/>
              <w:spacing w:line="240" w:lineRule="auto"/>
              <w:jc w:val="center"/>
              <w:rPr>
                <w:rFonts w:hint="eastAsia"/>
                <w:color w:val="auto"/>
                <w:szCs w:val="21"/>
              </w:rPr>
            </w:pPr>
            <w:r>
              <w:rPr>
                <w:rFonts w:hint="eastAsia"/>
                <w:b/>
                <w:bCs/>
                <w:color w:val="auto"/>
                <w:szCs w:val="21"/>
              </w:rPr>
              <w:t>污染物名称</w:t>
            </w:r>
          </w:p>
        </w:tc>
        <w:tc>
          <w:tcPr>
            <w:tcW w:w="2173" w:type="dxa"/>
            <w:gridSpan w:val="2"/>
            <w:tcBorders>
              <w:top w:val="single" w:color="auto" w:sz="4" w:space="0"/>
              <w:bottom w:val="single" w:color="auto" w:sz="4" w:space="0"/>
            </w:tcBorders>
            <w:vAlign w:val="center"/>
          </w:tcPr>
          <w:p>
            <w:pPr>
              <w:jc w:val="center"/>
              <w:rPr>
                <w:b/>
                <w:bCs/>
                <w:color w:val="auto"/>
              </w:rPr>
            </w:pPr>
            <w:r>
              <w:rPr>
                <w:rFonts w:hint="eastAsia"/>
                <w:b/>
                <w:bCs/>
                <w:color w:val="auto"/>
              </w:rPr>
              <w:t>产生量</w:t>
            </w:r>
            <w:r>
              <w:rPr>
                <w:b/>
                <w:bCs/>
                <w:color w:val="auto"/>
              </w:rPr>
              <w:t>t/a</w:t>
            </w:r>
          </w:p>
        </w:tc>
        <w:tc>
          <w:tcPr>
            <w:tcW w:w="2499" w:type="dxa"/>
            <w:gridSpan w:val="2"/>
            <w:tcBorders>
              <w:top w:val="single" w:color="auto" w:sz="4" w:space="0"/>
              <w:bottom w:val="single" w:color="auto" w:sz="4" w:space="0"/>
            </w:tcBorders>
            <w:vAlign w:val="center"/>
          </w:tcPr>
          <w:p>
            <w:pPr>
              <w:spacing w:line="320" w:lineRule="exact"/>
              <w:jc w:val="center"/>
              <w:rPr>
                <w:b/>
                <w:bCs/>
                <w:color w:val="auto"/>
                <w:szCs w:val="21"/>
              </w:rPr>
            </w:pPr>
            <w:r>
              <w:rPr>
                <w:rFonts w:hint="eastAsia"/>
                <w:b/>
                <w:bCs/>
                <w:color w:val="auto"/>
                <w:szCs w:val="21"/>
              </w:rPr>
              <w:t>排放量</w:t>
            </w:r>
            <w:r>
              <w:rPr>
                <w:b/>
                <w:bCs/>
                <w:color w:val="auto"/>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16"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tcBorders>
              <w:top w:val="single" w:color="auto" w:sz="4" w:space="0"/>
            </w:tcBorders>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废边角料</w:t>
            </w:r>
          </w:p>
        </w:tc>
        <w:tc>
          <w:tcPr>
            <w:tcW w:w="1185" w:type="dxa"/>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rPr>
              <w:t>镗铣粗加工、打孔</w:t>
            </w:r>
            <w:r>
              <w:rPr>
                <w:rFonts w:hint="eastAsia"/>
                <w:color w:val="auto"/>
                <w:szCs w:val="21"/>
                <w:lang w:eastAsia="zh-CN"/>
              </w:rPr>
              <w:t>、</w:t>
            </w:r>
            <w:r>
              <w:rPr>
                <w:rFonts w:hint="eastAsia"/>
                <w:color w:val="auto"/>
                <w:szCs w:val="21"/>
              </w:rPr>
              <w:t>精加工工序</w:t>
            </w:r>
          </w:p>
        </w:tc>
        <w:tc>
          <w:tcPr>
            <w:tcW w:w="2173" w:type="dxa"/>
            <w:gridSpan w:val="2"/>
            <w:tcBorders>
              <w:top w:val="single" w:color="auto" w:sz="4" w:space="0"/>
              <w:bottom w:val="single" w:color="auto" w:sz="4" w:space="0"/>
            </w:tcBorders>
            <w:vAlign w:val="center"/>
          </w:tcPr>
          <w:p>
            <w:pPr>
              <w:jc w:val="center"/>
              <w:rPr>
                <w:color w:val="auto"/>
                <w:szCs w:val="22"/>
              </w:rPr>
            </w:pPr>
            <w:r>
              <w:rPr>
                <w:rFonts w:hint="eastAsia"/>
                <w:color w:val="auto"/>
                <w:szCs w:val="21"/>
                <w:lang w:val="en-US" w:eastAsia="zh-CN"/>
              </w:rPr>
              <w:t>15</w:t>
            </w:r>
          </w:p>
        </w:tc>
        <w:tc>
          <w:tcPr>
            <w:tcW w:w="2499" w:type="dxa"/>
            <w:gridSpan w:val="2"/>
            <w:tcBorders>
              <w:top w:val="single" w:color="auto" w:sz="4" w:space="0"/>
              <w:bottom w:val="single" w:color="auto" w:sz="4" w:space="0"/>
            </w:tcBorders>
            <w:vAlign w:val="center"/>
          </w:tcPr>
          <w:p>
            <w:pPr>
              <w:jc w:val="center"/>
              <w:rPr>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16"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废渣</w:t>
            </w:r>
          </w:p>
        </w:tc>
        <w:tc>
          <w:tcPr>
            <w:tcW w:w="1185" w:type="dxa"/>
            <w:tcBorders>
              <w:top w:val="single" w:color="auto" w:sz="4" w:space="0"/>
            </w:tcBorders>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清洗工序</w:t>
            </w:r>
          </w:p>
        </w:tc>
        <w:tc>
          <w:tcPr>
            <w:tcW w:w="2173" w:type="dxa"/>
            <w:gridSpan w:val="2"/>
            <w:tcBorders>
              <w:top w:val="single" w:color="auto" w:sz="4" w:space="0"/>
              <w:bottom w:val="single" w:color="auto" w:sz="4" w:space="0"/>
            </w:tcBorders>
            <w:vAlign w:val="center"/>
          </w:tcPr>
          <w:p>
            <w:pPr>
              <w:jc w:val="center"/>
              <w:rPr>
                <w:color w:val="auto"/>
                <w:szCs w:val="22"/>
              </w:rPr>
            </w:pPr>
            <w:r>
              <w:rPr>
                <w:rFonts w:hint="eastAsia"/>
                <w:color w:val="auto"/>
                <w:szCs w:val="21"/>
                <w:lang w:val="en-US" w:eastAsia="zh-CN"/>
              </w:rPr>
              <w:t>10</w:t>
            </w:r>
          </w:p>
        </w:tc>
        <w:tc>
          <w:tcPr>
            <w:tcW w:w="2499" w:type="dxa"/>
            <w:gridSpan w:val="2"/>
            <w:tcBorders>
              <w:top w:val="single" w:color="auto" w:sz="4" w:space="0"/>
              <w:bottom w:val="single" w:color="auto" w:sz="4" w:space="0"/>
            </w:tcBorders>
            <w:vAlign w:val="center"/>
          </w:tcPr>
          <w:p>
            <w:pPr>
              <w:jc w:val="center"/>
              <w:rPr>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27"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tcBorders>
              <w:top w:val="single" w:color="auto" w:sz="4" w:space="0"/>
            </w:tcBorders>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废砂</w:t>
            </w:r>
          </w:p>
        </w:tc>
        <w:tc>
          <w:tcPr>
            <w:tcW w:w="1185" w:type="dxa"/>
            <w:tcBorders>
              <w:top w:val="single" w:color="auto" w:sz="4" w:space="0"/>
            </w:tcBorders>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喷砂工序</w:t>
            </w:r>
          </w:p>
        </w:tc>
        <w:tc>
          <w:tcPr>
            <w:tcW w:w="2173" w:type="dxa"/>
            <w:gridSpan w:val="2"/>
            <w:tcBorders>
              <w:top w:val="single" w:color="auto" w:sz="4" w:space="0"/>
              <w:bottom w:val="single" w:color="auto" w:sz="4" w:space="0"/>
            </w:tcBorders>
            <w:vAlign w:val="center"/>
          </w:tcPr>
          <w:p>
            <w:pPr>
              <w:jc w:val="center"/>
              <w:rPr>
                <w:color w:val="auto"/>
                <w:szCs w:val="22"/>
              </w:rPr>
            </w:pPr>
            <w:r>
              <w:rPr>
                <w:rFonts w:hint="eastAsia"/>
                <w:color w:val="auto"/>
                <w:szCs w:val="21"/>
                <w:lang w:val="en-US" w:eastAsia="zh-CN"/>
              </w:rPr>
              <w:t>5</w:t>
            </w:r>
          </w:p>
        </w:tc>
        <w:tc>
          <w:tcPr>
            <w:tcW w:w="2499" w:type="dxa"/>
            <w:gridSpan w:val="2"/>
            <w:tcBorders>
              <w:top w:val="single" w:color="auto" w:sz="4" w:space="0"/>
              <w:bottom w:val="single" w:color="auto" w:sz="4" w:space="0"/>
            </w:tcBorders>
            <w:vAlign w:val="center"/>
          </w:tcPr>
          <w:p>
            <w:pPr>
              <w:jc w:val="center"/>
              <w:rPr>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34"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废铁丸</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抛丸工序</w:t>
            </w:r>
          </w:p>
        </w:tc>
        <w:tc>
          <w:tcPr>
            <w:tcW w:w="2173" w:type="dxa"/>
            <w:gridSpan w:val="2"/>
            <w:tcBorders>
              <w:top w:val="single" w:color="auto" w:sz="4" w:space="0"/>
            </w:tcBorders>
            <w:vAlign w:val="center"/>
          </w:tcPr>
          <w:p>
            <w:pPr>
              <w:jc w:val="center"/>
              <w:rPr>
                <w:color w:val="auto"/>
                <w:szCs w:val="22"/>
              </w:rPr>
            </w:pPr>
            <w:r>
              <w:rPr>
                <w:rFonts w:hint="eastAsia"/>
                <w:color w:val="auto"/>
                <w:szCs w:val="21"/>
                <w:lang w:val="en-US" w:eastAsia="zh-CN"/>
              </w:rPr>
              <w:t>5</w:t>
            </w:r>
          </w:p>
        </w:tc>
        <w:tc>
          <w:tcPr>
            <w:tcW w:w="2499" w:type="dxa"/>
            <w:gridSpan w:val="2"/>
            <w:tcBorders>
              <w:top w:val="single" w:color="auto" w:sz="4" w:space="0"/>
            </w:tcBorders>
            <w:vAlign w:val="center"/>
          </w:tcPr>
          <w:p>
            <w:pPr>
              <w:jc w:val="center"/>
              <w:rPr>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54"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加工粉尘</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布袋收集</w:t>
            </w:r>
          </w:p>
        </w:tc>
        <w:tc>
          <w:tcPr>
            <w:tcW w:w="2173" w:type="dxa"/>
            <w:gridSpan w:val="2"/>
            <w:tcBorders>
              <w:top w:val="single" w:color="auto" w:sz="4" w:space="0"/>
            </w:tcBorders>
            <w:vAlign w:val="center"/>
          </w:tcPr>
          <w:p>
            <w:pPr>
              <w:jc w:val="center"/>
              <w:rPr>
                <w:color w:val="auto"/>
                <w:szCs w:val="22"/>
              </w:rPr>
            </w:pPr>
            <w:r>
              <w:rPr>
                <w:rFonts w:hint="eastAsia"/>
                <w:color w:val="auto"/>
                <w:szCs w:val="21"/>
                <w:lang w:val="en-US" w:eastAsia="zh-CN"/>
              </w:rPr>
              <w:t>31.84</w:t>
            </w:r>
          </w:p>
        </w:tc>
        <w:tc>
          <w:tcPr>
            <w:tcW w:w="2499" w:type="dxa"/>
            <w:gridSpan w:val="2"/>
            <w:tcBorders>
              <w:top w:val="single" w:color="auto" w:sz="4" w:space="0"/>
            </w:tcBorders>
            <w:vAlign w:val="center"/>
          </w:tcPr>
          <w:p>
            <w:pPr>
              <w:spacing w:line="320" w:lineRule="exact"/>
              <w:jc w:val="center"/>
              <w:rPr>
                <w:color w:val="auto"/>
                <w:szCs w:val="21"/>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2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废塑粉</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喷塑工序</w:t>
            </w:r>
          </w:p>
        </w:tc>
        <w:tc>
          <w:tcPr>
            <w:tcW w:w="2173" w:type="dxa"/>
            <w:gridSpan w:val="2"/>
            <w:tcBorders>
              <w:top w:val="single" w:color="auto" w:sz="4" w:space="0"/>
            </w:tcBorders>
            <w:vAlign w:val="center"/>
          </w:tcPr>
          <w:p>
            <w:pPr>
              <w:jc w:val="center"/>
              <w:rPr>
                <w:color w:val="auto"/>
                <w:szCs w:val="22"/>
              </w:rPr>
            </w:pPr>
            <w:r>
              <w:rPr>
                <w:rFonts w:hint="eastAsia"/>
                <w:color w:val="auto"/>
                <w:szCs w:val="21"/>
                <w:lang w:val="en-US" w:eastAsia="zh-CN"/>
              </w:rPr>
              <w:t>0.109</w:t>
            </w:r>
          </w:p>
        </w:tc>
        <w:tc>
          <w:tcPr>
            <w:tcW w:w="2499" w:type="dxa"/>
            <w:gridSpan w:val="2"/>
            <w:tcBorders>
              <w:top w:val="single" w:color="auto" w:sz="4" w:space="0"/>
            </w:tcBorders>
            <w:vAlign w:val="center"/>
          </w:tcPr>
          <w:p>
            <w:pPr>
              <w:spacing w:line="320" w:lineRule="exact"/>
              <w:jc w:val="center"/>
              <w:rPr>
                <w:color w:val="auto"/>
                <w:szCs w:val="21"/>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锌颗粒物、废锌丝</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喷锌工序</w:t>
            </w:r>
          </w:p>
        </w:tc>
        <w:tc>
          <w:tcPr>
            <w:tcW w:w="2173" w:type="dxa"/>
            <w:gridSpan w:val="2"/>
            <w:tcBorders>
              <w:top w:val="single" w:color="auto" w:sz="4" w:space="0"/>
            </w:tcBorders>
            <w:vAlign w:val="center"/>
          </w:tcPr>
          <w:p>
            <w:pPr>
              <w:jc w:val="center"/>
              <w:rPr>
                <w:color w:val="auto"/>
                <w:szCs w:val="22"/>
              </w:rPr>
            </w:pPr>
            <w:r>
              <w:rPr>
                <w:rFonts w:hint="eastAsia"/>
                <w:color w:val="auto"/>
                <w:szCs w:val="21"/>
                <w:lang w:val="en-US" w:eastAsia="zh-CN"/>
              </w:rPr>
              <w:t>0.31</w:t>
            </w:r>
          </w:p>
        </w:tc>
        <w:tc>
          <w:tcPr>
            <w:tcW w:w="2499" w:type="dxa"/>
            <w:gridSpan w:val="2"/>
            <w:tcBorders>
              <w:top w:val="single" w:color="auto" w:sz="4" w:space="0"/>
            </w:tcBorders>
            <w:vAlign w:val="center"/>
          </w:tcPr>
          <w:p>
            <w:pPr>
              <w:spacing w:line="320" w:lineRule="exact"/>
              <w:jc w:val="center"/>
              <w:rPr>
                <w:color w:val="auto"/>
                <w:szCs w:val="21"/>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eastAsia"/>
                <w:color w:val="auto"/>
                <w:szCs w:val="21"/>
                <w:lang w:val="en-US" w:eastAsia="zh-CN"/>
              </w:rPr>
            </w:pPr>
            <w:r>
              <w:rPr>
                <w:rFonts w:hint="eastAsia"/>
                <w:color w:val="auto"/>
                <w:szCs w:val="21"/>
                <w:lang w:val="en-US" w:eastAsia="zh-CN"/>
              </w:rPr>
              <w:t>废包装材料</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原料拆封</w:t>
            </w:r>
          </w:p>
        </w:tc>
        <w:tc>
          <w:tcPr>
            <w:tcW w:w="2173" w:type="dxa"/>
            <w:gridSpan w:val="2"/>
            <w:tcBorders>
              <w:top w:val="single" w:color="auto" w:sz="4" w:space="0"/>
            </w:tcBorders>
            <w:vAlign w:val="center"/>
          </w:tcPr>
          <w:p>
            <w:pPr>
              <w:jc w:val="center"/>
              <w:rPr>
                <w:color w:val="auto"/>
                <w:szCs w:val="21"/>
              </w:rPr>
            </w:pPr>
            <w:r>
              <w:rPr>
                <w:rFonts w:hint="eastAsia"/>
                <w:color w:val="auto"/>
                <w:szCs w:val="21"/>
                <w:lang w:val="en-US" w:eastAsia="zh-CN"/>
              </w:rPr>
              <w:t>0.02</w:t>
            </w:r>
          </w:p>
        </w:tc>
        <w:tc>
          <w:tcPr>
            <w:tcW w:w="2499" w:type="dxa"/>
            <w:gridSpan w:val="2"/>
            <w:tcBorders>
              <w:top w:val="single" w:color="auto" w:sz="4" w:space="0"/>
            </w:tcBorders>
            <w:vAlign w:val="center"/>
          </w:tcPr>
          <w:p>
            <w:pPr>
              <w:spacing w:line="320" w:lineRule="exact"/>
              <w:jc w:val="center"/>
              <w:rPr>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eastAsia"/>
                <w:color w:val="auto"/>
                <w:szCs w:val="21"/>
                <w:lang w:val="en-US" w:eastAsia="zh-CN"/>
              </w:rPr>
            </w:pPr>
            <w:r>
              <w:rPr>
                <w:rFonts w:hint="eastAsia"/>
                <w:color w:val="auto"/>
                <w:szCs w:val="21"/>
              </w:rPr>
              <w:t>废切削液</w:t>
            </w:r>
          </w:p>
        </w:tc>
        <w:tc>
          <w:tcPr>
            <w:tcW w:w="1185" w:type="dxa"/>
            <w:vAlign w:val="center"/>
          </w:tcPr>
          <w:p>
            <w:pPr>
              <w:snapToGrid w:val="0"/>
              <w:spacing w:line="240" w:lineRule="auto"/>
              <w:jc w:val="center"/>
              <w:rPr>
                <w:rFonts w:hint="eastAsia"/>
                <w:color w:val="auto"/>
                <w:szCs w:val="21"/>
                <w:lang w:val="en-US" w:eastAsia="zh-CN"/>
              </w:rPr>
            </w:pPr>
            <w:r>
              <w:rPr>
                <w:rFonts w:hint="eastAsia"/>
                <w:color w:val="auto"/>
                <w:szCs w:val="21"/>
              </w:rPr>
              <w:t>工、打孔</w:t>
            </w:r>
            <w:r>
              <w:rPr>
                <w:rFonts w:hint="eastAsia"/>
                <w:color w:val="auto"/>
                <w:szCs w:val="21"/>
                <w:lang w:eastAsia="zh-CN"/>
              </w:rPr>
              <w:t>、</w:t>
            </w:r>
            <w:r>
              <w:rPr>
                <w:rFonts w:hint="eastAsia"/>
                <w:color w:val="auto"/>
                <w:szCs w:val="21"/>
              </w:rPr>
              <w:t>精加工工序</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4.8</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eastAsia"/>
                <w:color w:val="auto"/>
                <w:szCs w:val="21"/>
                <w:lang w:val="en-US" w:eastAsia="zh-CN"/>
              </w:rPr>
            </w:pPr>
            <w:r>
              <w:rPr>
                <w:rFonts w:hint="eastAsia"/>
                <w:color w:val="auto"/>
                <w:szCs w:val="21"/>
              </w:rPr>
              <w:t>废润滑油</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设备维护</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0.25</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default"/>
                <w:color w:val="auto"/>
                <w:szCs w:val="21"/>
              </w:rPr>
              <w:t>漆渣</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喷漆工序、</w:t>
            </w:r>
            <w:r>
              <w:rPr>
                <w:rFonts w:hint="default"/>
                <w:color w:val="auto"/>
                <w:szCs w:val="21"/>
              </w:rPr>
              <w:t>废气处理</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0.295</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default"/>
                <w:color w:val="auto"/>
                <w:szCs w:val="21"/>
                <w:lang w:eastAsia="zh-CN"/>
              </w:rPr>
              <w:t>含漆废物</w:t>
            </w:r>
          </w:p>
        </w:tc>
        <w:tc>
          <w:tcPr>
            <w:tcW w:w="1185" w:type="dxa"/>
            <w:vAlign w:val="center"/>
          </w:tcPr>
          <w:p>
            <w:pPr>
              <w:snapToGrid w:val="0"/>
              <w:spacing w:line="240" w:lineRule="auto"/>
              <w:jc w:val="center"/>
              <w:rPr>
                <w:rFonts w:hint="default"/>
                <w:color w:val="auto"/>
                <w:szCs w:val="21"/>
                <w:lang w:val="en-US" w:eastAsia="zh-CN"/>
              </w:rPr>
            </w:pPr>
            <w:r>
              <w:rPr>
                <w:rFonts w:hint="default"/>
                <w:color w:val="auto"/>
                <w:szCs w:val="21"/>
                <w:lang w:eastAsia="zh-CN"/>
              </w:rPr>
              <w:t>喷漆工序、废气处理</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0.1</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default"/>
                <w:color w:val="auto"/>
                <w:szCs w:val="21"/>
                <w:lang w:eastAsia="zh-CN"/>
              </w:rPr>
              <w:t>含漆废液</w:t>
            </w:r>
          </w:p>
        </w:tc>
        <w:tc>
          <w:tcPr>
            <w:tcW w:w="1185" w:type="dxa"/>
            <w:vAlign w:val="center"/>
          </w:tcPr>
          <w:p>
            <w:pPr>
              <w:snapToGrid w:val="0"/>
              <w:spacing w:line="240" w:lineRule="auto"/>
              <w:jc w:val="center"/>
              <w:rPr>
                <w:rFonts w:hint="default"/>
                <w:color w:val="auto"/>
                <w:szCs w:val="21"/>
                <w:lang w:val="en-US" w:eastAsia="zh-CN"/>
              </w:rPr>
            </w:pPr>
            <w:r>
              <w:rPr>
                <w:rFonts w:hint="default"/>
                <w:color w:val="auto"/>
                <w:szCs w:val="21"/>
                <w:lang w:eastAsia="zh-CN"/>
              </w:rPr>
              <w:t>喷漆清洗</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0.48</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default"/>
                <w:color w:val="auto"/>
                <w:szCs w:val="21"/>
                <w:lang w:eastAsia="zh-CN"/>
              </w:rPr>
              <w:t>废过滤棉</w:t>
            </w:r>
          </w:p>
        </w:tc>
        <w:tc>
          <w:tcPr>
            <w:tcW w:w="1185" w:type="dxa"/>
            <w:vAlign w:val="center"/>
          </w:tcPr>
          <w:p>
            <w:pPr>
              <w:snapToGrid w:val="0"/>
              <w:spacing w:line="240" w:lineRule="auto"/>
              <w:jc w:val="center"/>
              <w:rPr>
                <w:rFonts w:hint="default"/>
                <w:color w:val="auto"/>
                <w:szCs w:val="21"/>
                <w:lang w:val="en-US" w:eastAsia="zh-CN"/>
              </w:rPr>
            </w:pPr>
            <w:r>
              <w:rPr>
                <w:rFonts w:hint="default"/>
                <w:color w:val="auto"/>
                <w:szCs w:val="21"/>
                <w:lang w:eastAsia="zh-CN"/>
              </w:rPr>
              <w:t>废气处理</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0.4</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default"/>
                <w:color w:val="auto"/>
                <w:szCs w:val="21"/>
              </w:rPr>
              <w:t>废活性炭</w:t>
            </w:r>
          </w:p>
        </w:tc>
        <w:tc>
          <w:tcPr>
            <w:tcW w:w="1185" w:type="dxa"/>
            <w:vAlign w:val="center"/>
          </w:tcPr>
          <w:p>
            <w:pPr>
              <w:snapToGrid w:val="0"/>
              <w:spacing w:line="240" w:lineRule="auto"/>
              <w:jc w:val="center"/>
              <w:rPr>
                <w:rFonts w:hint="default"/>
                <w:color w:val="auto"/>
                <w:szCs w:val="21"/>
                <w:lang w:val="en-US" w:eastAsia="zh-CN"/>
              </w:rPr>
            </w:pPr>
            <w:r>
              <w:rPr>
                <w:rFonts w:hint="default"/>
                <w:color w:val="auto"/>
                <w:szCs w:val="21"/>
              </w:rPr>
              <w:t>废气处理</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2.339</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废包装桶</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原料拆封</w:t>
            </w:r>
          </w:p>
        </w:tc>
        <w:tc>
          <w:tcPr>
            <w:tcW w:w="2173" w:type="dxa"/>
            <w:gridSpan w:val="2"/>
            <w:tcBorders>
              <w:top w:val="single" w:color="auto" w:sz="4" w:space="0"/>
            </w:tcBorders>
            <w:vAlign w:val="center"/>
          </w:tcPr>
          <w:p>
            <w:pPr>
              <w:jc w:val="center"/>
              <w:rPr>
                <w:rFonts w:hint="eastAsia"/>
                <w:color w:val="auto"/>
                <w:szCs w:val="21"/>
              </w:rPr>
            </w:pPr>
            <w:r>
              <w:rPr>
                <w:rFonts w:hint="eastAsia" w:cs="Times New Roman"/>
                <w:color w:val="auto"/>
                <w:kern w:val="2"/>
                <w:sz w:val="21"/>
                <w:szCs w:val="21"/>
                <w:lang w:val="en-US" w:eastAsia="zh-CN" w:bidi="ar-SA"/>
              </w:rPr>
              <w:t>0.95</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废劳保用品</w:t>
            </w:r>
          </w:p>
        </w:tc>
        <w:tc>
          <w:tcPr>
            <w:tcW w:w="1185" w:type="dxa"/>
            <w:vAlign w:val="center"/>
          </w:tcPr>
          <w:p>
            <w:pPr>
              <w:snapToGrid w:val="0"/>
              <w:spacing w:line="240" w:lineRule="auto"/>
              <w:jc w:val="center"/>
              <w:rPr>
                <w:rFonts w:hint="default"/>
                <w:color w:val="auto"/>
                <w:szCs w:val="21"/>
                <w:lang w:val="en-US" w:eastAsia="zh-CN"/>
              </w:rPr>
            </w:pPr>
            <w:r>
              <w:rPr>
                <w:rFonts w:hint="eastAsia"/>
                <w:color w:val="auto"/>
                <w:szCs w:val="21"/>
                <w:lang w:val="en-US" w:eastAsia="zh-CN"/>
              </w:rPr>
              <w:t>设备维护</w:t>
            </w:r>
          </w:p>
        </w:tc>
        <w:tc>
          <w:tcPr>
            <w:tcW w:w="2173" w:type="dxa"/>
            <w:gridSpan w:val="2"/>
            <w:tcBorders>
              <w:top w:val="single" w:color="auto" w:sz="4" w:space="0"/>
            </w:tcBorders>
            <w:vAlign w:val="center"/>
          </w:tcPr>
          <w:p>
            <w:pPr>
              <w:jc w:val="center"/>
              <w:rPr>
                <w:rFonts w:hint="eastAsia"/>
                <w:color w:val="auto"/>
                <w:szCs w:val="21"/>
              </w:rPr>
            </w:pPr>
            <w:r>
              <w:rPr>
                <w:rFonts w:hint="eastAsia" w:cs="Times New Roman"/>
                <w:color w:val="auto"/>
                <w:kern w:val="2"/>
                <w:sz w:val="21"/>
                <w:szCs w:val="21"/>
                <w:lang w:val="en-US" w:eastAsia="zh-CN" w:bidi="ar-SA"/>
              </w:rPr>
              <w:t>0.02</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399" w:hRule="atLeast"/>
          <w:jc w:val="center"/>
        </w:trPr>
        <w:tc>
          <w:tcPr>
            <w:tcW w:w="1011" w:type="dxa"/>
            <w:vMerge w:val="continue"/>
            <w:vAlign w:val="center"/>
          </w:tcPr>
          <w:p>
            <w:pPr>
              <w:snapToGrid w:val="0"/>
              <w:spacing w:line="240" w:lineRule="auto"/>
              <w:jc w:val="center"/>
              <w:rPr>
                <w:rFonts w:hint="eastAsia"/>
                <w:color w:val="auto"/>
                <w:szCs w:val="21"/>
              </w:rPr>
            </w:pPr>
          </w:p>
        </w:tc>
        <w:tc>
          <w:tcPr>
            <w:tcW w:w="1615" w:type="dxa"/>
            <w:gridSpan w:val="2"/>
            <w:vAlign w:val="center"/>
          </w:tcPr>
          <w:p>
            <w:pPr>
              <w:snapToGrid w:val="0"/>
              <w:spacing w:line="240" w:lineRule="auto"/>
              <w:jc w:val="center"/>
              <w:rPr>
                <w:rFonts w:hint="eastAsia"/>
                <w:color w:val="auto"/>
                <w:szCs w:val="21"/>
                <w:lang w:val="en-US" w:eastAsia="zh-CN"/>
              </w:rPr>
            </w:pPr>
            <w:r>
              <w:rPr>
                <w:rFonts w:hint="eastAsia"/>
                <w:color w:val="auto"/>
                <w:szCs w:val="21"/>
              </w:rPr>
              <w:t>生活垃圾</w:t>
            </w:r>
          </w:p>
        </w:tc>
        <w:tc>
          <w:tcPr>
            <w:tcW w:w="1185" w:type="dxa"/>
            <w:vAlign w:val="center"/>
          </w:tcPr>
          <w:p>
            <w:pPr>
              <w:snapToGrid w:val="0"/>
              <w:spacing w:line="240" w:lineRule="auto"/>
              <w:jc w:val="center"/>
              <w:rPr>
                <w:rFonts w:hint="eastAsia"/>
                <w:color w:val="auto"/>
                <w:szCs w:val="21"/>
                <w:lang w:val="en-US" w:eastAsia="zh-CN"/>
              </w:rPr>
            </w:pPr>
            <w:r>
              <w:rPr>
                <w:rFonts w:hint="eastAsia"/>
                <w:color w:val="auto"/>
                <w:szCs w:val="21"/>
              </w:rPr>
              <w:t>员工日常生活</w:t>
            </w:r>
          </w:p>
        </w:tc>
        <w:tc>
          <w:tcPr>
            <w:tcW w:w="2173" w:type="dxa"/>
            <w:gridSpan w:val="2"/>
            <w:tcBorders>
              <w:top w:val="single" w:color="auto" w:sz="4" w:space="0"/>
            </w:tcBorders>
            <w:vAlign w:val="center"/>
          </w:tcPr>
          <w:p>
            <w:pPr>
              <w:jc w:val="center"/>
              <w:rPr>
                <w:rFonts w:hint="eastAsia"/>
                <w:color w:val="auto"/>
                <w:szCs w:val="21"/>
              </w:rPr>
            </w:pPr>
            <w:r>
              <w:rPr>
                <w:rFonts w:hint="eastAsia"/>
                <w:color w:val="auto"/>
                <w:szCs w:val="21"/>
                <w:lang w:val="en-US" w:eastAsia="zh-CN"/>
              </w:rPr>
              <w:t>1.5</w:t>
            </w:r>
          </w:p>
        </w:tc>
        <w:tc>
          <w:tcPr>
            <w:tcW w:w="2499" w:type="dxa"/>
            <w:gridSpan w:val="2"/>
            <w:tcBorders>
              <w:top w:val="single" w:color="auto" w:sz="4" w:space="0"/>
            </w:tcBorders>
            <w:vAlign w:val="center"/>
          </w:tcPr>
          <w:p>
            <w:pPr>
              <w:spacing w:line="320" w:lineRule="exact"/>
              <w:jc w:val="center"/>
              <w:rPr>
                <w:rFonts w:hint="eastAsia"/>
                <w:color w:val="auto"/>
              </w:rPr>
            </w:pPr>
            <w:r>
              <w:rPr>
                <w:rFonts w:hint="eastAsia"/>
                <w:color w:val="auto"/>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tcBorders>
              <w:right w:val="single" w:color="auto" w:sz="4" w:space="0"/>
            </w:tcBorders>
            <w:vAlign w:val="center"/>
          </w:tcPr>
          <w:p>
            <w:pPr>
              <w:snapToGrid w:val="0"/>
              <w:spacing w:line="276" w:lineRule="auto"/>
              <w:jc w:val="center"/>
              <w:rPr>
                <w:color w:val="auto"/>
                <w:szCs w:val="21"/>
              </w:rPr>
            </w:pPr>
            <w:r>
              <w:rPr>
                <w:color w:val="auto"/>
                <w:szCs w:val="21"/>
              </w:rPr>
              <w:t>噪</w:t>
            </w:r>
          </w:p>
          <w:p>
            <w:pPr>
              <w:snapToGrid w:val="0"/>
              <w:spacing w:line="276" w:lineRule="auto"/>
              <w:jc w:val="center"/>
              <w:rPr>
                <w:color w:val="auto"/>
                <w:szCs w:val="21"/>
              </w:rPr>
            </w:pPr>
            <w:r>
              <w:rPr>
                <w:color w:val="auto"/>
                <w:szCs w:val="21"/>
              </w:rPr>
              <w:t>声</w:t>
            </w:r>
          </w:p>
        </w:tc>
        <w:tc>
          <w:tcPr>
            <w:tcW w:w="7472" w:type="dxa"/>
            <w:gridSpan w:val="7"/>
            <w:tcBorders>
              <w:left w:val="single" w:color="auto" w:sz="4" w:space="0"/>
            </w:tcBorders>
            <w:vAlign w:val="center"/>
          </w:tcPr>
          <w:p>
            <w:pPr>
              <w:ind w:firstLine="420" w:firstLineChars="200"/>
              <w:rPr>
                <w:bCs/>
                <w:color w:val="auto"/>
                <w:szCs w:val="21"/>
              </w:rPr>
            </w:pPr>
            <w:r>
              <w:rPr>
                <w:bCs/>
                <w:color w:val="auto"/>
                <w:szCs w:val="21"/>
              </w:rPr>
              <w:t>建设项目主要高噪声设备为</w:t>
            </w:r>
            <w:r>
              <w:rPr>
                <w:rFonts w:hint="eastAsia"/>
                <w:bCs/>
                <w:color w:val="auto"/>
                <w:szCs w:val="21"/>
              </w:rPr>
              <w:t>镗铣床、摇臂钻、喷砂室、抛丸室、喷漆房、风机、空压机组、水泵等</w:t>
            </w:r>
            <w:r>
              <w:rPr>
                <w:bCs/>
                <w:color w:val="auto"/>
                <w:szCs w:val="21"/>
              </w:rPr>
              <w:t>设备运行噪声，经减振、隔声与距离衰减后，在经过隔声减振等措施和距离衰减之后，项目</w:t>
            </w:r>
            <w:r>
              <w:rPr>
                <w:rFonts w:hint="eastAsia"/>
                <w:bCs/>
                <w:color w:val="auto"/>
                <w:szCs w:val="21"/>
              </w:rPr>
              <w:t>营运期厂界</w:t>
            </w:r>
            <w:r>
              <w:rPr>
                <w:bCs/>
                <w:color w:val="auto"/>
                <w:szCs w:val="21"/>
              </w:rPr>
              <w:t>噪声排放可满足《工业企业厂界环境噪声排放标准》（GB12348-2008）中的</w:t>
            </w:r>
            <w:r>
              <w:rPr>
                <w:rFonts w:hint="eastAsia"/>
                <w:bCs/>
                <w:color w:val="auto"/>
                <w:szCs w:val="21"/>
                <w:lang w:val="en-US" w:eastAsia="zh-CN"/>
              </w:rPr>
              <w:t>2</w:t>
            </w:r>
            <w:r>
              <w:rPr>
                <w:bCs/>
                <w:color w:val="auto"/>
                <w:szCs w:val="21"/>
              </w:rPr>
              <w:t>类</w:t>
            </w:r>
            <w:r>
              <w:rPr>
                <w:rFonts w:hint="eastAsia"/>
                <w:bCs/>
                <w:color w:val="auto"/>
                <w:szCs w:val="21"/>
              </w:rPr>
              <w:t>区限值</w:t>
            </w:r>
            <w:r>
              <w:rPr>
                <w:rFonts w:hint="eastAsia"/>
                <w:bCs/>
                <w:color w:val="auto"/>
                <w:szCs w:val="21"/>
                <w:lang w:eastAsia="zh-CN"/>
              </w:rPr>
              <w:t>，</w:t>
            </w:r>
            <w:r>
              <w:rPr>
                <w:bCs/>
                <w:color w:val="auto"/>
                <w:szCs w:val="21"/>
              </w:rPr>
              <w:t>对环境影响较小。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1011" w:type="dxa"/>
            <w:vAlign w:val="center"/>
          </w:tcPr>
          <w:p>
            <w:pPr>
              <w:snapToGrid w:val="0"/>
              <w:jc w:val="center"/>
              <w:rPr>
                <w:color w:val="auto"/>
                <w:szCs w:val="21"/>
              </w:rPr>
            </w:pPr>
            <w:r>
              <w:rPr>
                <w:color w:val="auto"/>
                <w:szCs w:val="21"/>
              </w:rPr>
              <w:t>其它</w:t>
            </w:r>
          </w:p>
        </w:tc>
        <w:tc>
          <w:tcPr>
            <w:tcW w:w="7472" w:type="dxa"/>
            <w:gridSpan w:val="7"/>
            <w:vAlign w:val="center"/>
          </w:tcPr>
          <w:p>
            <w:pPr>
              <w:snapToGrid w:val="0"/>
              <w:ind w:firstLine="630" w:firstLineChars="300"/>
              <w:jc w:val="center"/>
              <w:rPr>
                <w:color w:val="auto"/>
                <w:szCs w:val="21"/>
              </w:rPr>
            </w:pPr>
            <w:r>
              <w:rPr>
                <w:color w:val="auto"/>
                <w:szCs w:val="21"/>
              </w:rPr>
              <w:t>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681" w:hRule="atLeast"/>
          <w:jc w:val="center"/>
        </w:trPr>
        <w:tc>
          <w:tcPr>
            <w:tcW w:w="8483" w:type="dxa"/>
            <w:gridSpan w:val="8"/>
            <w:tcBorders>
              <w:bottom w:val="single" w:color="auto" w:sz="12" w:space="0"/>
            </w:tcBorders>
            <w:vAlign w:val="center"/>
          </w:tcPr>
          <w:p>
            <w:pPr>
              <w:spacing w:line="360" w:lineRule="auto"/>
              <w:rPr>
                <w:b/>
                <w:color w:val="auto"/>
                <w:szCs w:val="21"/>
              </w:rPr>
            </w:pPr>
            <w:r>
              <w:rPr>
                <w:b/>
                <w:color w:val="auto"/>
                <w:szCs w:val="21"/>
              </w:rPr>
              <w:t>主要生态影响</w:t>
            </w:r>
          </w:p>
          <w:p>
            <w:pPr>
              <w:spacing w:line="360" w:lineRule="auto"/>
              <w:ind w:firstLine="420" w:firstLineChars="200"/>
              <w:jc w:val="center"/>
              <w:rPr>
                <w:color w:val="auto"/>
                <w:szCs w:val="21"/>
              </w:rPr>
            </w:pPr>
            <w:r>
              <w:rPr>
                <w:color w:val="auto"/>
                <w:szCs w:val="21"/>
              </w:rPr>
              <w:t>无</w:t>
            </w:r>
          </w:p>
        </w:tc>
      </w:tr>
    </w:tbl>
    <w:p>
      <w:pPr>
        <w:pStyle w:val="312"/>
        <w:rPr>
          <w:rFonts w:ascii="Times New Roman" w:hAnsi="Times New Roman"/>
          <w:color w:val="auto"/>
        </w:rPr>
      </w:pPr>
      <w:r>
        <w:rPr>
          <w:rFonts w:ascii="Times New Roman" w:hAnsi="Times New Roman"/>
          <w:color w:val="auto"/>
        </w:rPr>
        <w:t>环境影响分析</w:t>
      </w:r>
    </w:p>
    <w:tbl>
      <w:tblPr>
        <w:tblStyle w:val="56"/>
        <w:tblW w:w="852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Layout w:type="autofit"/>
        <w:tblCellMar>
          <w:top w:w="0" w:type="dxa"/>
          <w:left w:w="108" w:type="dxa"/>
          <w:bottom w:w="0" w:type="dxa"/>
          <w:right w:w="108" w:type="dxa"/>
        </w:tblCellMar>
      </w:tblPr>
      <w:tblGrid>
        <w:gridCol w:w="888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12" w:space="0"/>
          </w:tblBorders>
          <w:tblCellMar>
            <w:top w:w="0" w:type="dxa"/>
            <w:left w:w="108" w:type="dxa"/>
            <w:bottom w:w="0" w:type="dxa"/>
            <w:right w:w="108" w:type="dxa"/>
          </w:tblCellMar>
        </w:tblPrEx>
        <w:trPr>
          <w:trHeight w:val="12042" w:hRule="atLeast"/>
          <w:jc w:val="center"/>
        </w:trPr>
        <w:tc>
          <w:tcPr>
            <w:tcW w:w="8528" w:type="dxa"/>
          </w:tcPr>
          <w:p>
            <w:pPr>
              <w:spacing w:line="360" w:lineRule="auto"/>
              <w:ind w:firstLine="480" w:firstLineChars="200"/>
              <w:rPr>
                <w:b/>
                <w:color w:val="auto"/>
                <w:sz w:val="24"/>
                <w:szCs w:val="24"/>
              </w:rPr>
            </w:pPr>
            <w:r>
              <w:rPr>
                <w:b/>
                <w:color w:val="auto"/>
                <w:sz w:val="24"/>
                <w:szCs w:val="24"/>
              </w:rPr>
              <w:t>施工期环境影响分析：</w:t>
            </w:r>
          </w:p>
          <w:p>
            <w:pPr>
              <w:spacing w:line="360" w:lineRule="auto"/>
              <w:ind w:firstLine="480" w:firstLineChars="200"/>
              <w:rPr>
                <w:color w:val="auto"/>
                <w:sz w:val="24"/>
                <w:szCs w:val="24"/>
              </w:rPr>
            </w:pPr>
            <w:r>
              <w:rPr>
                <w:color w:val="auto"/>
                <w:sz w:val="24"/>
              </w:rPr>
              <w:t>本项目</w:t>
            </w:r>
            <w:r>
              <w:rPr>
                <w:rFonts w:hint="eastAsia"/>
                <w:color w:val="auto"/>
                <w:sz w:val="24"/>
              </w:rPr>
              <w:t>利用</w:t>
            </w:r>
            <w:r>
              <w:rPr>
                <w:color w:val="auto"/>
                <w:sz w:val="24"/>
              </w:rPr>
              <w:t>现有空置厂房生产，施工期仅为生产设备的安装以及环保工程的建设，施工期无大型的土建工程，施工期影响较低，因此本次评价主要分析</w:t>
            </w:r>
            <w:r>
              <w:rPr>
                <w:rFonts w:hint="eastAsia"/>
                <w:color w:val="auto"/>
                <w:sz w:val="24"/>
              </w:rPr>
              <w:t>营运期</w:t>
            </w:r>
            <w:r>
              <w:rPr>
                <w:color w:val="auto"/>
                <w:sz w:val="24"/>
              </w:rPr>
              <w:t>影响分析。</w:t>
            </w:r>
          </w:p>
          <w:p>
            <w:pPr>
              <w:spacing w:line="360" w:lineRule="auto"/>
              <w:ind w:firstLine="480" w:firstLineChars="200"/>
              <w:rPr>
                <w:b/>
                <w:color w:val="auto"/>
                <w:sz w:val="24"/>
                <w:szCs w:val="24"/>
              </w:rPr>
            </w:pPr>
            <w:r>
              <w:rPr>
                <w:b/>
                <w:color w:val="auto"/>
                <w:sz w:val="24"/>
                <w:szCs w:val="24"/>
              </w:rPr>
              <w:t>营运期环境影响分析：</w:t>
            </w:r>
          </w:p>
          <w:p>
            <w:pPr>
              <w:spacing w:line="360" w:lineRule="auto"/>
              <w:ind w:firstLine="480" w:firstLineChars="200"/>
              <w:rPr>
                <w:b/>
                <w:color w:val="auto"/>
                <w:sz w:val="24"/>
                <w:szCs w:val="24"/>
              </w:rPr>
            </w:pPr>
            <w:r>
              <w:rPr>
                <w:b/>
                <w:color w:val="auto"/>
                <w:sz w:val="24"/>
                <w:szCs w:val="24"/>
              </w:rPr>
              <w:t>1、大气环境影响分析</w:t>
            </w:r>
          </w:p>
          <w:p>
            <w:pPr>
              <w:tabs>
                <w:tab w:val="left" w:pos="417"/>
              </w:tabs>
              <w:snapToGrid w:val="0"/>
              <w:spacing w:line="360" w:lineRule="auto"/>
              <w:ind w:firstLine="480" w:firstLineChars="200"/>
              <w:rPr>
                <w:b/>
                <w:color w:val="auto"/>
                <w:sz w:val="24"/>
              </w:rPr>
            </w:pPr>
            <w:r>
              <w:rPr>
                <w:b/>
                <w:color w:val="auto"/>
                <w:sz w:val="24"/>
              </w:rPr>
              <w:t>（1）项目废气达标排放情况：</w:t>
            </w:r>
          </w:p>
          <w:p>
            <w:pPr>
              <w:spacing w:line="360" w:lineRule="auto"/>
              <w:ind w:firstLine="480" w:firstLineChars="200"/>
              <w:rPr>
                <w:rFonts w:hint="eastAsia"/>
                <w:b w:val="0"/>
                <w:bCs w:val="0"/>
                <w:color w:val="auto"/>
                <w:sz w:val="24"/>
                <w:szCs w:val="22"/>
                <w:lang w:val="en-US" w:eastAsia="zh-CN"/>
              </w:rPr>
            </w:pPr>
            <w:r>
              <w:rPr>
                <w:rFonts w:hint="eastAsia"/>
                <w:b w:val="0"/>
                <w:bCs w:val="0"/>
                <w:color w:val="auto"/>
                <w:sz w:val="24"/>
                <w:szCs w:val="22"/>
                <w:lang w:val="en-US" w:eastAsia="zh-CN"/>
              </w:rPr>
              <w:t>营运期废气主要为喷砂和抛丸工序产生的加工粉尘（以颗粒物计），喷塑工序产生的喷塑废气（以颗粒物计）和固化废气（以非甲烷总烃），喷锌产生的喷锌废气</w:t>
            </w:r>
            <w:r>
              <w:rPr>
                <w:rFonts w:hint="eastAsia"/>
                <w:b w:val="0"/>
                <w:bCs w:val="0"/>
                <w:color w:val="auto"/>
                <w:sz w:val="24"/>
                <w:szCs w:val="22"/>
                <w:lang w:eastAsia="zh-CN"/>
              </w:rPr>
              <w:t>（</w:t>
            </w:r>
            <w:r>
              <w:rPr>
                <w:rFonts w:hint="eastAsia"/>
                <w:b w:val="0"/>
                <w:bCs w:val="0"/>
                <w:color w:val="auto"/>
                <w:sz w:val="24"/>
                <w:szCs w:val="22"/>
                <w:lang w:val="en-US" w:eastAsia="zh-CN"/>
              </w:rPr>
              <w:t>以颗粒物计</w:t>
            </w:r>
            <w:r>
              <w:rPr>
                <w:rFonts w:hint="eastAsia"/>
                <w:b w:val="0"/>
                <w:bCs w:val="0"/>
                <w:color w:val="auto"/>
                <w:sz w:val="24"/>
                <w:szCs w:val="22"/>
                <w:lang w:eastAsia="zh-CN"/>
              </w:rPr>
              <w:t>）</w:t>
            </w:r>
            <w:r>
              <w:rPr>
                <w:rFonts w:hint="eastAsia"/>
                <w:b w:val="0"/>
                <w:bCs w:val="0"/>
                <w:color w:val="auto"/>
                <w:sz w:val="24"/>
                <w:szCs w:val="22"/>
                <w:lang w:val="en-US" w:eastAsia="zh-CN"/>
              </w:rPr>
              <w:t>，喷漆工序产生的漆雾颗粒（以颗粒物计）和有机废气VOCs。</w:t>
            </w:r>
          </w:p>
          <w:p>
            <w:pPr>
              <w:autoSpaceDE w:val="0"/>
              <w:autoSpaceDN w:val="0"/>
              <w:adjustRightInd w:val="0"/>
              <w:spacing w:line="360" w:lineRule="auto"/>
              <w:ind w:firstLine="480" w:firstLineChars="200"/>
              <w:rPr>
                <w:rFonts w:hint="default" w:eastAsia="宋体"/>
                <w:b w:val="0"/>
                <w:bCs w:val="0"/>
                <w:color w:val="auto"/>
                <w:sz w:val="24"/>
                <w:szCs w:val="22"/>
                <w:lang w:val="en-US" w:eastAsia="zh-CN"/>
              </w:rPr>
            </w:pPr>
            <w:r>
              <w:rPr>
                <w:rFonts w:hint="eastAsia"/>
                <w:b w:val="0"/>
                <w:bCs w:val="0"/>
                <w:color w:val="auto"/>
                <w:sz w:val="24"/>
                <w:szCs w:val="22"/>
                <w:lang w:val="en-US" w:eastAsia="zh-CN"/>
              </w:rPr>
              <w:t>加工粉尘经各自带的引风装置和布袋除尘器处理后经15m排气筒DA001高空排放，排放速率为0.102kg/h&lt;3.5kg/h，排放浓度为2.55mg/m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&lt;120mg/m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，满足《大气污染物综合排放标准》（GB 16297-1996）表2中相应标准限值；喷塑工序产生的颗粒物经</w:t>
            </w:r>
            <w:r>
              <w:rPr>
                <w:rFonts w:hint="eastAsia"/>
                <w:color w:val="auto"/>
                <w:sz w:val="24"/>
                <w:szCs w:val="22"/>
              </w:rPr>
              <w:t>带滤简除尘设施处理后</w:t>
            </w:r>
            <w:r>
              <w:rPr>
                <w:rFonts w:hint="eastAsia"/>
                <w:color w:val="auto"/>
                <w:sz w:val="24"/>
                <w:szCs w:val="22"/>
                <w:lang w:eastAsia="zh-CN"/>
              </w:rPr>
              <w:t>，</w:t>
            </w:r>
            <w:r>
              <w:rPr>
                <w:rFonts w:hint="eastAsia"/>
                <w:color w:val="auto"/>
                <w:sz w:val="24"/>
                <w:szCs w:val="22"/>
                <w:lang w:val="en-US" w:eastAsia="zh-CN"/>
              </w:rPr>
              <w:t>与经二级活性炭吸附装置处理的固化废气非甲烷总烃经15m高排气筒DA002排放，颗粒物</w:t>
            </w:r>
            <w:r>
              <w:rPr>
                <w:rFonts w:hint="eastAsia"/>
                <w:b w:val="0"/>
                <w:bCs w:val="0"/>
                <w:color w:val="auto"/>
                <w:sz w:val="24"/>
                <w:szCs w:val="22"/>
                <w:lang w:val="en-US" w:eastAsia="zh-CN"/>
              </w:rPr>
              <w:t>排放速率为0.011kg/h，排放浓度为2.2mg/m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&lt;20mg/m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，非甲烷总烃排放速率为0.004kg/h，排放浓度为0.8mg/m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&lt;60mg/m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，满足《合成树脂工业污染物排放标准》（GB 31572-2015）表5中标准限值</w:t>
            </w:r>
            <w:r>
              <w:rPr>
                <w:rFonts w:hint="eastAsia"/>
                <w:color w:val="auto"/>
                <w:sz w:val="24"/>
                <w:szCs w:val="22"/>
                <w:lang w:val="en-US" w:eastAsia="zh-CN"/>
              </w:rPr>
              <w:t>；喷锌废气经布袋除尘器处理后，喷漆房废气经干式喷漆柜+二级活性炭吸附装置处理后，共同通过15m高排气筒DA003高空排放，颗粒物</w:t>
            </w:r>
            <w:r>
              <w:rPr>
                <w:rFonts w:hint="eastAsia"/>
                <w:b w:val="0"/>
                <w:bCs w:val="0"/>
                <w:color w:val="auto"/>
                <w:sz w:val="24"/>
                <w:szCs w:val="22"/>
                <w:lang w:val="en-US" w:eastAsia="zh-CN"/>
              </w:rPr>
              <w:t>排放速率为0.055kg/h&lt;3.5kg/h，排放浓度为1.1mg/m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&lt;120mg/m</w:t>
            </w:r>
            <w:r>
              <w:rPr>
                <w:rFonts w:hint="eastAsia"/>
                <w:b w:val="0"/>
                <w:bCs w:val="0"/>
                <w:color w:val="auto"/>
                <w:sz w:val="24"/>
                <w:szCs w:val="22"/>
                <w:vertAlign w:val="superscript"/>
                <w:lang w:val="en-US" w:eastAsia="zh-CN"/>
              </w:rPr>
              <w:t>3</w:t>
            </w:r>
            <w:r>
              <w:rPr>
                <w:rFonts w:hint="eastAsia"/>
                <w:color w:val="auto"/>
                <w:sz w:val="24"/>
                <w:szCs w:val="22"/>
                <w:lang w:val="en-US" w:eastAsia="zh-CN"/>
              </w:rPr>
              <w:t>，满足《大气污染物综合排放标准》（GB 16297-1996）表2中相应标准限值，非甲烷总烃排放速率为0.15kg/h&lt;1.5kg/h，排放浓度为3mg/</w:t>
            </w:r>
            <w:r>
              <w:rPr>
                <w:rFonts w:hint="eastAsia"/>
                <w:b w:val="0"/>
                <w:bCs w:val="0"/>
                <w:color w:val="auto"/>
                <w:sz w:val="24"/>
                <w:szCs w:val="22"/>
                <w:lang w:val="en-US" w:eastAsia="zh-CN"/>
              </w:rPr>
              <w:t>m</w:t>
            </w:r>
            <w:r>
              <w:rPr>
                <w:rFonts w:hint="eastAsia"/>
                <w:b w:val="0"/>
                <w:bCs w:val="0"/>
                <w:color w:val="auto"/>
                <w:sz w:val="24"/>
                <w:szCs w:val="22"/>
                <w:vertAlign w:val="superscript"/>
                <w:lang w:val="en-US" w:eastAsia="zh-CN"/>
              </w:rPr>
              <w:t>3</w:t>
            </w:r>
            <w:r>
              <w:rPr>
                <w:rFonts w:hint="eastAsia"/>
                <w:color w:val="auto"/>
                <w:sz w:val="24"/>
                <w:szCs w:val="22"/>
                <w:lang w:val="en-US" w:eastAsia="zh-CN"/>
              </w:rPr>
              <w:t>&lt;50mg/</w:t>
            </w:r>
            <w:r>
              <w:rPr>
                <w:rFonts w:hint="eastAsia"/>
                <w:b w:val="0"/>
                <w:bCs w:val="0"/>
                <w:color w:val="auto"/>
                <w:sz w:val="24"/>
                <w:szCs w:val="22"/>
                <w:lang w:val="en-US" w:eastAsia="zh-CN"/>
              </w:rPr>
              <w:t>m</w:t>
            </w:r>
            <w:r>
              <w:rPr>
                <w:rFonts w:hint="eastAsia"/>
                <w:b w:val="0"/>
                <w:bCs w:val="0"/>
                <w:color w:val="auto"/>
                <w:sz w:val="24"/>
                <w:szCs w:val="22"/>
                <w:vertAlign w:val="superscript"/>
                <w:lang w:val="en-US" w:eastAsia="zh-CN"/>
              </w:rPr>
              <w:t>3</w:t>
            </w:r>
            <w:r>
              <w:rPr>
                <w:rFonts w:hint="eastAsia"/>
                <w:color w:val="auto"/>
                <w:sz w:val="24"/>
                <w:szCs w:val="22"/>
                <w:lang w:val="en-US" w:eastAsia="zh-CN"/>
              </w:rPr>
              <w:t>，满足《工业企业挥发性有机物排放控制标准》（DB12/524-2020）表1中“表面涂装行业 TRVOC”标准限值。</w:t>
            </w:r>
          </w:p>
          <w:p>
            <w:pPr>
              <w:spacing w:line="360" w:lineRule="auto"/>
              <w:ind w:firstLine="480" w:firstLineChars="200"/>
              <w:rPr>
                <w:b/>
                <w:color w:val="auto"/>
                <w:sz w:val="24"/>
              </w:rPr>
            </w:pPr>
            <w:r>
              <w:rPr>
                <w:b/>
                <w:color w:val="auto"/>
                <w:sz w:val="24"/>
              </w:rPr>
              <w:t>（2）影响预测</w:t>
            </w:r>
          </w:p>
          <w:p>
            <w:pPr>
              <w:spacing w:line="360" w:lineRule="auto"/>
              <w:ind w:firstLine="480" w:firstLineChars="200"/>
              <w:rPr>
                <w:rFonts w:ascii="宋体" w:cs="宋体"/>
                <w:color w:val="auto"/>
                <w:sz w:val="24"/>
              </w:rPr>
            </w:pPr>
            <w:r>
              <w:rPr>
                <w:rFonts w:hint="eastAsia" w:ascii="宋体" w:cs="宋体"/>
                <w:color w:val="auto"/>
                <w:sz w:val="24"/>
              </w:rPr>
              <w:t>①评价因子和评价标准筛选</w:t>
            </w:r>
          </w:p>
          <w:p>
            <w:pPr>
              <w:spacing w:line="360" w:lineRule="auto"/>
              <w:ind w:firstLine="480" w:firstLineChars="200"/>
              <w:rPr>
                <w:color w:val="auto"/>
                <w:sz w:val="24"/>
                <w:szCs w:val="24"/>
              </w:rPr>
            </w:pPr>
            <w:r>
              <w:rPr>
                <w:color w:val="auto"/>
                <w:sz w:val="24"/>
              </w:rPr>
              <w:t>根据本项目特点以及工程分析内容，本项目评价因子为</w:t>
            </w:r>
            <w:r>
              <w:rPr>
                <w:rFonts w:hint="eastAsia"/>
                <w:color w:val="auto"/>
                <w:sz w:val="24"/>
                <w:lang w:val="en-US" w:eastAsia="zh-CN"/>
              </w:rPr>
              <w:t>颗粒物、非甲烷总烃、</w:t>
            </w:r>
            <w:r>
              <w:rPr>
                <w:color w:val="auto"/>
                <w:sz w:val="24"/>
                <w:szCs w:val="24"/>
              </w:rPr>
              <w:t>VOCs。本项目评价因子评</w:t>
            </w:r>
            <w:r>
              <w:rPr>
                <w:color w:val="auto"/>
                <w:sz w:val="24"/>
                <w:szCs w:val="22"/>
              </w:rPr>
              <w:t>价标准详见下表：</w:t>
            </w:r>
          </w:p>
          <w:p>
            <w:pPr>
              <w:ind w:firstLine="420" w:firstLineChars="200"/>
              <w:jc w:val="center"/>
              <w:rPr>
                <w:rFonts w:hint="eastAsia"/>
                <w:b/>
                <w:color w:val="auto"/>
                <w:szCs w:val="21"/>
              </w:rPr>
            </w:pPr>
          </w:p>
          <w:p>
            <w:pPr>
              <w:ind w:firstLine="420" w:firstLineChars="200"/>
              <w:jc w:val="center"/>
              <w:rPr>
                <w:rFonts w:hint="eastAsia"/>
                <w:b/>
                <w:color w:val="auto"/>
                <w:szCs w:val="21"/>
              </w:rPr>
            </w:pPr>
          </w:p>
          <w:p>
            <w:pPr>
              <w:ind w:firstLine="420" w:firstLineChars="200"/>
              <w:jc w:val="center"/>
              <w:rPr>
                <w:b/>
                <w:color w:val="auto"/>
                <w:szCs w:val="21"/>
              </w:rPr>
            </w:pPr>
            <w:r>
              <w:rPr>
                <w:rFonts w:hint="eastAsia"/>
                <w:b/>
                <w:color w:val="auto"/>
                <w:szCs w:val="21"/>
              </w:rPr>
              <w:t>表7</w:t>
            </w:r>
            <w:r>
              <w:rPr>
                <w:b/>
                <w:color w:val="auto"/>
                <w:szCs w:val="21"/>
              </w:rPr>
              <w:t xml:space="preserve">-1   </w:t>
            </w:r>
            <w:r>
              <w:rPr>
                <w:rFonts w:hint="eastAsia"/>
                <w:b/>
                <w:color w:val="auto"/>
                <w:szCs w:val="21"/>
              </w:rPr>
              <w:t>评价</w:t>
            </w:r>
            <w:r>
              <w:rPr>
                <w:b/>
                <w:color w:val="auto"/>
                <w:szCs w:val="21"/>
              </w:rPr>
              <w:t>因子和评价标准表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63"/>
              <w:gridCol w:w="1300"/>
              <w:gridCol w:w="1439"/>
              <w:gridCol w:w="2146"/>
              <w:gridCol w:w="26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1" w:type="pct"/>
                  <w:vAlign w:val="center"/>
                </w:tcPr>
                <w:p>
                  <w:pPr>
                    <w:jc w:val="center"/>
                    <w:rPr>
                      <w:b/>
                      <w:color w:val="auto"/>
                      <w:szCs w:val="21"/>
                    </w:rPr>
                  </w:pPr>
                  <w:r>
                    <w:rPr>
                      <w:b/>
                      <w:color w:val="auto"/>
                      <w:szCs w:val="21"/>
                    </w:rPr>
                    <w:t>评价因子</w:t>
                  </w:r>
                </w:p>
              </w:tc>
              <w:tc>
                <w:tcPr>
                  <w:tcW w:w="750" w:type="pct"/>
                  <w:vAlign w:val="center"/>
                </w:tcPr>
                <w:p>
                  <w:pPr>
                    <w:jc w:val="center"/>
                    <w:rPr>
                      <w:b/>
                      <w:color w:val="auto"/>
                      <w:szCs w:val="21"/>
                    </w:rPr>
                  </w:pPr>
                  <w:r>
                    <w:rPr>
                      <w:b/>
                      <w:color w:val="auto"/>
                      <w:szCs w:val="21"/>
                    </w:rPr>
                    <w:t>平均时段</w:t>
                  </w:r>
                </w:p>
              </w:tc>
              <w:tc>
                <w:tcPr>
                  <w:tcW w:w="830" w:type="pct"/>
                  <w:vAlign w:val="center"/>
                </w:tcPr>
                <w:p>
                  <w:pPr>
                    <w:jc w:val="center"/>
                    <w:rPr>
                      <w:b/>
                      <w:color w:val="auto"/>
                      <w:szCs w:val="21"/>
                    </w:rPr>
                  </w:pPr>
                  <w:r>
                    <w:rPr>
                      <w:b/>
                      <w:color w:val="auto"/>
                      <w:szCs w:val="21"/>
                    </w:rPr>
                    <w:t>标准值/μg/m</w:t>
                  </w:r>
                  <w:r>
                    <w:rPr>
                      <w:b/>
                      <w:color w:val="auto"/>
                      <w:szCs w:val="21"/>
                      <w:vertAlign w:val="superscript"/>
                    </w:rPr>
                    <w:t>3</w:t>
                  </w:r>
                </w:p>
              </w:tc>
              <w:tc>
                <w:tcPr>
                  <w:tcW w:w="1238" w:type="pct"/>
                  <w:vAlign w:val="center"/>
                </w:tcPr>
                <w:p>
                  <w:pPr>
                    <w:jc w:val="center"/>
                    <w:rPr>
                      <w:b/>
                      <w:color w:val="auto"/>
                      <w:szCs w:val="21"/>
                    </w:rPr>
                  </w:pPr>
                  <w:r>
                    <w:rPr>
                      <w:b/>
                      <w:color w:val="auto"/>
                      <w:szCs w:val="21"/>
                    </w:rPr>
                    <w:t>标准来源</w:t>
                  </w:r>
                </w:p>
              </w:tc>
              <w:tc>
                <w:tcPr>
                  <w:tcW w:w="1510" w:type="pct"/>
                  <w:vAlign w:val="center"/>
                </w:tcPr>
                <w:p>
                  <w:pPr>
                    <w:jc w:val="center"/>
                    <w:rPr>
                      <w:rFonts w:hint="eastAsia" w:eastAsia="宋体"/>
                      <w:b/>
                      <w:color w:val="auto"/>
                      <w:szCs w:val="21"/>
                      <w:lang w:val="en-US" w:eastAsia="zh-CN"/>
                    </w:rPr>
                  </w:pPr>
                  <w:r>
                    <w:rPr>
                      <w:rFonts w:hint="eastAsia"/>
                      <w:b/>
                      <w:color w:val="auto"/>
                      <w:szCs w:val="21"/>
                      <w:lang w:val="en-US" w:eastAsia="zh-CN"/>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1"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Cs w:val="21"/>
                    </w:rPr>
                    <w:t>颗粒物（PM</w:t>
                  </w:r>
                  <w:r>
                    <w:rPr>
                      <w:color w:val="auto"/>
                      <w:szCs w:val="21"/>
                      <w:vertAlign w:val="subscript"/>
                    </w:rPr>
                    <w:t>10</w:t>
                  </w:r>
                  <w:r>
                    <w:rPr>
                      <w:color w:val="auto"/>
                      <w:szCs w:val="21"/>
                    </w:rPr>
                    <w:t>）</w:t>
                  </w:r>
                </w:p>
              </w:tc>
              <w:tc>
                <w:tcPr>
                  <w:tcW w:w="750" w:type="pct"/>
                  <w:vAlign w:val="center"/>
                </w:tcPr>
                <w:p>
                  <w:pPr>
                    <w:jc w:val="center"/>
                    <w:rPr>
                      <w:rFonts w:ascii="Times New Roman" w:hAnsi="Times New Roman" w:eastAsia="宋体" w:cs="Times New Roman"/>
                      <w:color w:val="auto"/>
                      <w:kern w:val="2"/>
                      <w:sz w:val="21"/>
                      <w:szCs w:val="21"/>
                      <w:lang w:val="en-US" w:eastAsia="zh-CN" w:bidi="ar-SA"/>
                    </w:rPr>
                  </w:pPr>
                  <w:r>
                    <w:rPr>
                      <w:color w:val="auto"/>
                      <w:szCs w:val="21"/>
                    </w:rPr>
                    <w:t>1小时平均</w:t>
                  </w:r>
                </w:p>
              </w:tc>
              <w:tc>
                <w:tcPr>
                  <w:tcW w:w="830" w:type="pct"/>
                  <w:vAlign w:val="center"/>
                </w:tcPr>
                <w:p>
                  <w:pPr>
                    <w:jc w:val="center"/>
                    <w:rPr>
                      <w:rFonts w:hint="eastAsia" w:ascii="Times New Roman" w:hAnsi="Times New Roman" w:eastAsia="宋体" w:cs="Times New Roman"/>
                      <w:color w:val="auto"/>
                      <w:kern w:val="2"/>
                      <w:sz w:val="21"/>
                      <w:szCs w:val="21"/>
                      <w:lang w:val="en-US" w:eastAsia="zh-CN" w:bidi="ar-SA"/>
                    </w:rPr>
                  </w:pPr>
                  <w:r>
                    <w:rPr>
                      <w:color w:val="auto"/>
                      <w:szCs w:val="21"/>
                    </w:rPr>
                    <w:t>450</w:t>
                  </w:r>
                </w:p>
              </w:tc>
              <w:tc>
                <w:tcPr>
                  <w:tcW w:w="1238" w:type="pct"/>
                  <w:vAlign w:val="center"/>
                </w:tcPr>
                <w:p>
                  <w:pPr>
                    <w:jc w:val="center"/>
                    <w:rPr>
                      <w:rFonts w:ascii="Times New Roman" w:hAnsi="Times New Roman" w:eastAsia="宋体" w:cs="Times New Roman"/>
                      <w:color w:val="auto"/>
                      <w:kern w:val="2"/>
                      <w:sz w:val="21"/>
                      <w:szCs w:val="21"/>
                      <w:lang w:val="zh-CN" w:eastAsia="zh-CN" w:bidi="ar-SA"/>
                    </w:rPr>
                  </w:pPr>
                  <w:r>
                    <w:rPr>
                      <w:color w:val="auto"/>
                      <w:szCs w:val="21"/>
                    </w:rPr>
                    <w:t>《环境空气质量标准》（GB3095-2012）修改单中的二级标准</w:t>
                  </w:r>
                </w:p>
              </w:tc>
              <w:tc>
                <w:tcPr>
                  <w:tcW w:w="1510" w:type="pct"/>
                  <w:vAlign w:val="center"/>
                </w:tcPr>
                <w:p>
                  <w:pPr>
                    <w:jc w:val="center"/>
                    <w:rPr>
                      <w:rFonts w:hint="eastAsia" w:eastAsia="宋体"/>
                      <w:color w:val="auto"/>
                      <w:szCs w:val="21"/>
                      <w:lang w:val="en-US" w:eastAsia="zh-CN"/>
                    </w:rPr>
                  </w:pPr>
                  <w:r>
                    <w:rPr>
                      <w:rFonts w:hint="eastAsia"/>
                      <w:color w:val="auto"/>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1"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非甲烷总烃</w:t>
                  </w:r>
                </w:p>
              </w:tc>
              <w:tc>
                <w:tcPr>
                  <w:tcW w:w="750" w:type="pct"/>
                  <w:vAlign w:val="center"/>
                </w:tcPr>
                <w:p>
                  <w:pPr>
                    <w:jc w:val="center"/>
                    <w:rPr>
                      <w:rFonts w:ascii="Times New Roman" w:hAnsi="Times New Roman" w:eastAsia="宋体" w:cs="Times New Roman"/>
                      <w:color w:val="auto"/>
                      <w:kern w:val="2"/>
                      <w:sz w:val="21"/>
                      <w:szCs w:val="21"/>
                      <w:lang w:val="en-US" w:eastAsia="zh-CN" w:bidi="ar-SA"/>
                    </w:rPr>
                  </w:pPr>
                  <w:r>
                    <w:rPr>
                      <w:color w:val="auto"/>
                      <w:szCs w:val="21"/>
                    </w:rPr>
                    <w:t>1小时平均</w:t>
                  </w:r>
                </w:p>
              </w:tc>
              <w:tc>
                <w:tcPr>
                  <w:tcW w:w="830"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2000</w:t>
                  </w:r>
                </w:p>
              </w:tc>
              <w:tc>
                <w:tcPr>
                  <w:tcW w:w="1238" w:type="pct"/>
                  <w:vAlign w:val="center"/>
                </w:tcPr>
                <w:p>
                  <w:pPr>
                    <w:jc w:val="center"/>
                    <w:rPr>
                      <w:rFonts w:ascii="Times New Roman" w:hAnsi="Times New Roman" w:eastAsia="宋体" w:cs="Times New Roman"/>
                      <w:color w:val="auto"/>
                      <w:kern w:val="2"/>
                      <w:sz w:val="21"/>
                      <w:szCs w:val="21"/>
                      <w:lang w:val="zh-CN" w:eastAsia="zh-CN" w:bidi="ar-SA"/>
                    </w:rPr>
                  </w:pPr>
                  <w:r>
                    <w:rPr>
                      <w:color w:val="auto"/>
                      <w:szCs w:val="21"/>
                      <w:lang w:val="zh-CN"/>
                    </w:rPr>
                    <w:t>《大气污染物综合排放标准》（GBT16297-1996）详解</w:t>
                  </w:r>
                </w:p>
              </w:tc>
              <w:tc>
                <w:tcPr>
                  <w:tcW w:w="1510" w:type="pc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1" w:type="pct"/>
                  <w:vAlign w:val="center"/>
                </w:tcPr>
                <w:p>
                  <w:pPr>
                    <w:jc w:val="center"/>
                    <w:rPr>
                      <w:color w:val="auto"/>
                      <w:szCs w:val="21"/>
                    </w:rPr>
                  </w:pPr>
                  <w:r>
                    <w:rPr>
                      <w:color w:val="auto"/>
                      <w:szCs w:val="21"/>
                    </w:rPr>
                    <w:t>VOCs</w:t>
                  </w:r>
                </w:p>
              </w:tc>
              <w:tc>
                <w:tcPr>
                  <w:tcW w:w="750" w:type="pct"/>
                  <w:vAlign w:val="center"/>
                </w:tcPr>
                <w:p>
                  <w:pPr>
                    <w:jc w:val="center"/>
                    <w:rPr>
                      <w:color w:val="auto"/>
                      <w:szCs w:val="21"/>
                    </w:rPr>
                  </w:pPr>
                  <w:r>
                    <w:rPr>
                      <w:color w:val="auto"/>
                      <w:szCs w:val="21"/>
                    </w:rPr>
                    <w:t>1小时平均</w:t>
                  </w:r>
                </w:p>
              </w:tc>
              <w:tc>
                <w:tcPr>
                  <w:tcW w:w="830" w:type="pct"/>
                  <w:vAlign w:val="center"/>
                </w:tcPr>
                <w:p>
                  <w:pPr>
                    <w:jc w:val="center"/>
                    <w:rPr>
                      <w:color w:val="auto"/>
                      <w:szCs w:val="21"/>
                    </w:rPr>
                  </w:pPr>
                  <w:r>
                    <w:rPr>
                      <w:color w:val="auto"/>
                      <w:szCs w:val="21"/>
                    </w:rPr>
                    <w:t>1200</w:t>
                  </w:r>
                </w:p>
              </w:tc>
              <w:tc>
                <w:tcPr>
                  <w:tcW w:w="1238" w:type="pct"/>
                  <w:vAlign w:val="center"/>
                </w:tcPr>
                <w:p>
                  <w:pPr>
                    <w:jc w:val="center"/>
                    <w:rPr>
                      <w:color w:val="auto"/>
                      <w:szCs w:val="21"/>
                    </w:rPr>
                  </w:pPr>
                  <w:r>
                    <w:rPr>
                      <w:color w:val="auto"/>
                      <w:szCs w:val="21"/>
                    </w:rPr>
                    <w:t>《环境影响评价技术导则 大气环境》（HJ2.2-2018）附录D中TVOC标准值</w:t>
                  </w:r>
                </w:p>
              </w:tc>
              <w:tc>
                <w:tcPr>
                  <w:tcW w:w="1510" w:type="pct"/>
                  <w:vAlign w:val="center"/>
                </w:tcPr>
                <w:p>
                  <w:pPr>
                    <w:jc w:val="center"/>
                    <w:rPr>
                      <w:rFonts w:hint="eastAsia" w:eastAsia="宋体"/>
                      <w:color w:val="auto"/>
                      <w:szCs w:val="21"/>
                      <w:lang w:eastAsia="zh-CN"/>
                    </w:rPr>
                  </w:pPr>
                  <w:r>
                    <w:rPr>
                      <w:rFonts w:hint="eastAsia"/>
                      <w:color w:val="auto"/>
                      <w:szCs w:val="21"/>
                      <w:lang w:eastAsia="zh-CN"/>
                    </w:rPr>
                    <w:t>《环境影响评价技术导则 大气环境》（HJ2.2-2018）附录D中TVOC标准值为8小时平均值，</w:t>
                  </w:r>
                  <w:r>
                    <w:rPr>
                      <w:rFonts w:hint="eastAsia"/>
                      <w:color w:val="auto"/>
                      <w:szCs w:val="21"/>
                      <w:lang w:val="en-US" w:eastAsia="zh-CN"/>
                    </w:rPr>
                    <w:t>本</w:t>
                  </w:r>
                  <w:r>
                    <w:rPr>
                      <w:rFonts w:hint="eastAsia"/>
                      <w:color w:val="auto"/>
                      <w:szCs w:val="21"/>
                      <w:lang w:eastAsia="zh-CN"/>
                    </w:rPr>
                    <w:t>表中已经折算成1小时平均值。</w:t>
                  </w:r>
                </w:p>
              </w:tc>
            </w:tr>
          </w:tbl>
          <w:p>
            <w:pPr>
              <w:spacing w:line="360" w:lineRule="auto"/>
              <w:ind w:firstLine="480" w:firstLineChars="200"/>
              <w:rPr>
                <w:color w:val="auto"/>
                <w:sz w:val="24"/>
              </w:rPr>
            </w:pPr>
            <w:r>
              <w:rPr>
                <w:rFonts w:hint="eastAsia" w:ascii="宋体" w:cs="宋体"/>
                <w:color w:val="auto"/>
                <w:sz w:val="24"/>
              </w:rPr>
              <w:t>②</w:t>
            </w:r>
            <w:r>
              <w:rPr>
                <w:color w:val="auto"/>
                <w:sz w:val="24"/>
              </w:rPr>
              <w:t>源强</w:t>
            </w:r>
          </w:p>
          <w:p>
            <w:pPr>
              <w:spacing w:line="360" w:lineRule="auto"/>
              <w:ind w:firstLine="480" w:firstLineChars="200"/>
              <w:rPr>
                <w:color w:val="auto"/>
                <w:sz w:val="24"/>
              </w:rPr>
            </w:pPr>
            <w:r>
              <w:rPr>
                <w:color w:val="auto"/>
                <w:sz w:val="24"/>
              </w:rPr>
              <w:t>项目废气源强见下表7-2。</w:t>
            </w:r>
          </w:p>
          <w:p>
            <w:pPr>
              <w:ind w:firstLine="420" w:firstLineChars="200"/>
              <w:jc w:val="center"/>
              <w:rPr>
                <w:b/>
                <w:color w:val="auto"/>
                <w:szCs w:val="21"/>
              </w:rPr>
            </w:pPr>
            <w:r>
              <w:rPr>
                <w:rFonts w:hint="eastAsia"/>
                <w:b/>
                <w:color w:val="auto"/>
                <w:szCs w:val="21"/>
              </w:rPr>
              <w:t>表7-2  项目污染源参数（点源）</w:t>
            </w:r>
          </w:p>
          <w:tbl>
            <w:tblPr>
              <w:tblStyle w:val="56"/>
              <w:tblpPr w:leftFromText="180" w:rightFromText="180" w:vertAnchor="text" w:tblpXSpec="center" w:tblpY="1"/>
              <w:tblOverlap w:val="never"/>
              <w:tblW w:w="866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82"/>
              <w:gridCol w:w="1065"/>
              <w:gridCol w:w="981"/>
              <w:gridCol w:w="481"/>
              <w:gridCol w:w="453"/>
              <w:gridCol w:w="953"/>
              <w:gridCol w:w="500"/>
              <w:gridCol w:w="657"/>
              <w:gridCol w:w="571"/>
              <w:gridCol w:w="661"/>
              <w:gridCol w:w="765"/>
              <w:gridCol w:w="79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4" w:hRule="atLeast"/>
              </w:trPr>
              <w:tc>
                <w:tcPr>
                  <w:tcW w:w="835" w:type="dxa"/>
                  <w:vMerge w:val="restart"/>
                  <w:vAlign w:val="center"/>
                </w:tcPr>
                <w:p>
                  <w:pPr>
                    <w:jc w:val="center"/>
                    <w:rPr>
                      <w:b/>
                      <w:color w:val="auto"/>
                      <w:szCs w:val="21"/>
                    </w:rPr>
                  </w:pPr>
                  <w:r>
                    <w:rPr>
                      <w:b/>
                      <w:color w:val="auto"/>
                      <w:szCs w:val="21"/>
                    </w:rPr>
                    <w:t>名称</w:t>
                  </w:r>
                </w:p>
              </w:tc>
              <w:tc>
                <w:tcPr>
                  <w:tcW w:w="1276" w:type="dxa"/>
                  <w:gridSpan w:val="2"/>
                  <w:vAlign w:val="center"/>
                </w:tcPr>
                <w:p>
                  <w:pPr>
                    <w:jc w:val="center"/>
                    <w:rPr>
                      <w:b/>
                      <w:color w:val="auto"/>
                      <w:szCs w:val="21"/>
                    </w:rPr>
                  </w:pPr>
                  <w:r>
                    <w:rPr>
                      <w:b/>
                      <w:color w:val="auto"/>
                      <w:szCs w:val="21"/>
                    </w:rPr>
                    <w:t>排气筒底部中心坐标</w:t>
                  </w:r>
                </w:p>
              </w:tc>
              <w:tc>
                <w:tcPr>
                  <w:tcW w:w="525" w:type="dxa"/>
                  <w:vMerge w:val="restart"/>
                  <w:vAlign w:val="center"/>
                </w:tcPr>
                <w:p>
                  <w:pPr>
                    <w:jc w:val="center"/>
                    <w:rPr>
                      <w:b/>
                      <w:color w:val="auto"/>
                      <w:szCs w:val="21"/>
                    </w:rPr>
                  </w:pPr>
                  <w:r>
                    <w:rPr>
                      <w:b/>
                      <w:color w:val="auto"/>
                      <w:szCs w:val="21"/>
                    </w:rPr>
                    <w:t>高度/m</w:t>
                  </w:r>
                </w:p>
              </w:tc>
              <w:tc>
                <w:tcPr>
                  <w:tcW w:w="457" w:type="dxa"/>
                  <w:vMerge w:val="restart"/>
                  <w:vAlign w:val="center"/>
                </w:tcPr>
                <w:p>
                  <w:pPr>
                    <w:jc w:val="center"/>
                    <w:rPr>
                      <w:b/>
                      <w:color w:val="auto"/>
                      <w:szCs w:val="21"/>
                    </w:rPr>
                  </w:pPr>
                  <w:r>
                    <w:rPr>
                      <w:b/>
                      <w:color w:val="auto"/>
                      <w:szCs w:val="21"/>
                    </w:rPr>
                    <w:t>内径/m</w:t>
                  </w:r>
                </w:p>
              </w:tc>
              <w:tc>
                <w:tcPr>
                  <w:tcW w:w="953" w:type="dxa"/>
                  <w:vMerge w:val="restart"/>
                  <w:vAlign w:val="center"/>
                </w:tcPr>
                <w:p>
                  <w:pPr>
                    <w:jc w:val="center"/>
                    <w:rPr>
                      <w:b/>
                      <w:color w:val="auto"/>
                      <w:szCs w:val="21"/>
                    </w:rPr>
                  </w:pPr>
                  <w:r>
                    <w:rPr>
                      <w:b/>
                      <w:color w:val="auto"/>
                      <w:szCs w:val="21"/>
                    </w:rPr>
                    <w:t>烟气流速/（m/s）</w:t>
                  </w:r>
                </w:p>
              </w:tc>
              <w:tc>
                <w:tcPr>
                  <w:tcW w:w="521" w:type="dxa"/>
                  <w:vMerge w:val="restart"/>
                  <w:vAlign w:val="center"/>
                </w:tcPr>
                <w:p>
                  <w:pPr>
                    <w:jc w:val="center"/>
                    <w:rPr>
                      <w:b/>
                      <w:color w:val="auto"/>
                      <w:szCs w:val="21"/>
                    </w:rPr>
                  </w:pPr>
                  <w:r>
                    <w:rPr>
                      <w:b/>
                      <w:color w:val="auto"/>
                      <w:szCs w:val="21"/>
                    </w:rPr>
                    <w:t>烟气温度/</w:t>
                  </w:r>
                  <w:r>
                    <w:rPr>
                      <w:rFonts w:hint="eastAsia"/>
                      <w:b/>
                      <w:color w:val="auto"/>
                      <w:szCs w:val="21"/>
                    </w:rPr>
                    <w:t>℃</w:t>
                  </w:r>
                </w:p>
              </w:tc>
              <w:tc>
                <w:tcPr>
                  <w:tcW w:w="775" w:type="dxa"/>
                  <w:vMerge w:val="restart"/>
                  <w:vAlign w:val="center"/>
                </w:tcPr>
                <w:p>
                  <w:pPr>
                    <w:jc w:val="center"/>
                    <w:rPr>
                      <w:b/>
                      <w:color w:val="auto"/>
                      <w:szCs w:val="21"/>
                    </w:rPr>
                  </w:pPr>
                  <w:r>
                    <w:rPr>
                      <w:b/>
                      <w:color w:val="auto"/>
                      <w:szCs w:val="21"/>
                    </w:rPr>
                    <w:t>年排放小时数/h</w:t>
                  </w:r>
                </w:p>
              </w:tc>
              <w:tc>
                <w:tcPr>
                  <w:tcW w:w="780" w:type="dxa"/>
                  <w:vMerge w:val="restart"/>
                  <w:vAlign w:val="center"/>
                </w:tcPr>
                <w:p>
                  <w:pPr>
                    <w:jc w:val="center"/>
                    <w:rPr>
                      <w:b/>
                      <w:color w:val="auto"/>
                      <w:szCs w:val="21"/>
                    </w:rPr>
                  </w:pPr>
                  <w:r>
                    <w:rPr>
                      <w:b/>
                      <w:color w:val="auto"/>
                      <w:szCs w:val="21"/>
                    </w:rPr>
                    <w:t>排放工况</w:t>
                  </w:r>
                </w:p>
              </w:tc>
              <w:tc>
                <w:tcPr>
                  <w:tcW w:w="2543" w:type="dxa"/>
                  <w:gridSpan w:val="3"/>
                  <w:vAlign w:val="center"/>
                </w:tcPr>
                <w:p>
                  <w:pPr>
                    <w:jc w:val="center"/>
                    <w:rPr>
                      <w:b/>
                      <w:color w:val="auto"/>
                      <w:szCs w:val="21"/>
                    </w:rPr>
                  </w:pPr>
                  <w:r>
                    <w:rPr>
                      <w:b/>
                      <w:color w:val="auto"/>
                      <w:szCs w:val="21"/>
                    </w:rPr>
                    <w:t>污染物排放速率kg/h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35" w:type="dxa"/>
                  <w:vMerge w:val="continue"/>
                  <w:vAlign w:val="center"/>
                </w:tcPr>
                <w:p>
                  <w:pPr>
                    <w:jc w:val="center"/>
                    <w:rPr>
                      <w:color w:val="auto"/>
                    </w:rPr>
                  </w:pPr>
                </w:p>
              </w:tc>
              <w:tc>
                <w:tcPr>
                  <w:tcW w:w="662" w:type="dxa"/>
                  <w:vAlign w:val="center"/>
                </w:tcPr>
                <w:p>
                  <w:pPr>
                    <w:jc w:val="center"/>
                    <w:rPr>
                      <w:b/>
                      <w:color w:val="auto"/>
                      <w:sz w:val="18"/>
                      <w:szCs w:val="18"/>
                    </w:rPr>
                  </w:pPr>
                  <w:r>
                    <w:rPr>
                      <w:b/>
                      <w:color w:val="auto"/>
                      <w:sz w:val="18"/>
                      <w:szCs w:val="18"/>
                    </w:rPr>
                    <w:t>X</w:t>
                  </w:r>
                </w:p>
              </w:tc>
              <w:tc>
                <w:tcPr>
                  <w:tcW w:w="614" w:type="dxa"/>
                  <w:vAlign w:val="center"/>
                </w:tcPr>
                <w:p>
                  <w:pPr>
                    <w:jc w:val="center"/>
                    <w:rPr>
                      <w:b/>
                      <w:color w:val="auto"/>
                      <w:sz w:val="18"/>
                      <w:szCs w:val="18"/>
                    </w:rPr>
                  </w:pPr>
                  <w:r>
                    <w:rPr>
                      <w:b/>
                      <w:color w:val="auto"/>
                      <w:sz w:val="18"/>
                      <w:szCs w:val="18"/>
                    </w:rPr>
                    <w:t>Y</w:t>
                  </w:r>
                </w:p>
              </w:tc>
              <w:tc>
                <w:tcPr>
                  <w:tcW w:w="525" w:type="dxa"/>
                  <w:vMerge w:val="continue"/>
                  <w:vAlign w:val="center"/>
                </w:tcPr>
                <w:p>
                  <w:pPr>
                    <w:jc w:val="center"/>
                    <w:rPr>
                      <w:color w:val="auto"/>
                    </w:rPr>
                  </w:pPr>
                </w:p>
              </w:tc>
              <w:tc>
                <w:tcPr>
                  <w:tcW w:w="457" w:type="dxa"/>
                  <w:vMerge w:val="continue"/>
                  <w:vAlign w:val="center"/>
                </w:tcPr>
                <w:p>
                  <w:pPr>
                    <w:jc w:val="center"/>
                    <w:rPr>
                      <w:color w:val="auto"/>
                    </w:rPr>
                  </w:pPr>
                </w:p>
              </w:tc>
              <w:tc>
                <w:tcPr>
                  <w:tcW w:w="953" w:type="dxa"/>
                  <w:vMerge w:val="continue"/>
                  <w:vAlign w:val="center"/>
                </w:tcPr>
                <w:p>
                  <w:pPr>
                    <w:jc w:val="center"/>
                    <w:rPr>
                      <w:color w:val="auto"/>
                    </w:rPr>
                  </w:pPr>
                </w:p>
              </w:tc>
              <w:tc>
                <w:tcPr>
                  <w:tcW w:w="521" w:type="dxa"/>
                  <w:vMerge w:val="continue"/>
                  <w:vAlign w:val="center"/>
                </w:tcPr>
                <w:p>
                  <w:pPr>
                    <w:jc w:val="center"/>
                    <w:rPr>
                      <w:color w:val="auto"/>
                    </w:rPr>
                  </w:pPr>
                </w:p>
              </w:tc>
              <w:tc>
                <w:tcPr>
                  <w:tcW w:w="775" w:type="dxa"/>
                  <w:vMerge w:val="continue"/>
                  <w:vAlign w:val="center"/>
                </w:tcPr>
                <w:p>
                  <w:pPr>
                    <w:jc w:val="center"/>
                    <w:rPr>
                      <w:color w:val="auto"/>
                    </w:rPr>
                  </w:pPr>
                </w:p>
              </w:tc>
              <w:tc>
                <w:tcPr>
                  <w:tcW w:w="780" w:type="dxa"/>
                  <w:vMerge w:val="continue"/>
                  <w:vAlign w:val="center"/>
                </w:tcPr>
                <w:p>
                  <w:pPr>
                    <w:jc w:val="center"/>
                    <w:rPr>
                      <w:color w:val="auto"/>
                    </w:rPr>
                  </w:pPr>
                </w:p>
              </w:tc>
              <w:tc>
                <w:tcPr>
                  <w:tcW w:w="720" w:type="dxa"/>
                  <w:vAlign w:val="center"/>
                </w:tcPr>
                <w:p>
                  <w:pPr>
                    <w:pStyle w:val="21"/>
                    <w:jc w:val="center"/>
                    <w:rPr>
                      <w:rFonts w:hint="eastAsia" w:eastAsia="宋体"/>
                      <w:b/>
                      <w:bCs/>
                      <w:color w:val="auto"/>
                      <w:lang w:val="en-US" w:eastAsia="zh-CN"/>
                    </w:rPr>
                  </w:pPr>
                  <w:r>
                    <w:rPr>
                      <w:rFonts w:hint="eastAsia"/>
                      <w:b/>
                      <w:bCs/>
                      <w:color w:val="auto"/>
                      <w:lang w:val="en-US" w:eastAsia="zh-CN"/>
                    </w:rPr>
                    <w:t>颗粒物</w:t>
                  </w:r>
                </w:p>
              </w:tc>
              <w:tc>
                <w:tcPr>
                  <w:tcW w:w="975" w:type="dxa"/>
                  <w:vAlign w:val="center"/>
                </w:tcPr>
                <w:p>
                  <w:pPr>
                    <w:pStyle w:val="21"/>
                    <w:jc w:val="center"/>
                    <w:rPr>
                      <w:rFonts w:hint="default" w:eastAsia="宋体"/>
                      <w:b/>
                      <w:bCs/>
                      <w:color w:val="auto"/>
                      <w:lang w:val="en-US" w:eastAsia="zh-CN"/>
                    </w:rPr>
                  </w:pPr>
                  <w:r>
                    <w:rPr>
                      <w:rFonts w:hint="eastAsia"/>
                      <w:b/>
                      <w:bCs/>
                      <w:color w:val="auto"/>
                      <w:lang w:val="en-US" w:eastAsia="zh-CN"/>
                    </w:rPr>
                    <w:t>非甲烷总烃</w:t>
                  </w:r>
                </w:p>
              </w:tc>
              <w:tc>
                <w:tcPr>
                  <w:tcW w:w="848" w:type="dxa"/>
                  <w:vAlign w:val="center"/>
                </w:tcPr>
                <w:p>
                  <w:pPr>
                    <w:pStyle w:val="21"/>
                    <w:jc w:val="center"/>
                    <w:rPr>
                      <w:rFonts w:hint="eastAsia"/>
                      <w:b/>
                      <w:bCs/>
                      <w:color w:val="auto"/>
                    </w:rPr>
                  </w:pPr>
                  <w:r>
                    <w:rPr>
                      <w:rFonts w:hint="eastAsia"/>
                      <w:b/>
                      <w:bCs/>
                      <w:color w:val="auto"/>
                    </w:rPr>
                    <w:t>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83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DA001</w:t>
                  </w:r>
                </w:p>
              </w:tc>
              <w:tc>
                <w:tcPr>
                  <w:tcW w:w="662" w:type="dxa"/>
                  <w:vAlign w:val="center"/>
                </w:tcPr>
                <w:p>
                  <w:pPr>
                    <w:jc w:val="center"/>
                    <w:rPr>
                      <w:color w:val="auto"/>
                      <w:sz w:val="18"/>
                      <w:szCs w:val="18"/>
                    </w:rPr>
                  </w:pPr>
                </w:p>
                <w:p>
                  <w:pPr>
                    <w:pStyle w:val="21"/>
                    <w:rPr>
                      <w:rFonts w:hint="default" w:eastAsia="宋体"/>
                      <w:color w:val="auto"/>
                      <w:sz w:val="18"/>
                      <w:szCs w:val="18"/>
                      <w:lang w:val="en-US" w:eastAsia="zh-CN"/>
                    </w:rPr>
                  </w:pPr>
                  <w:r>
                    <w:rPr>
                      <w:rFonts w:hint="eastAsia"/>
                      <w:color w:val="auto"/>
                      <w:sz w:val="18"/>
                      <w:szCs w:val="18"/>
                      <w:lang w:val="en-US" w:eastAsia="zh-CN"/>
                    </w:rPr>
                    <w:t>119.650769</w:t>
                  </w:r>
                </w:p>
              </w:tc>
              <w:tc>
                <w:tcPr>
                  <w:tcW w:w="614"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31.758162</w:t>
                  </w:r>
                </w:p>
              </w:tc>
              <w:tc>
                <w:tcPr>
                  <w:tcW w:w="52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15</w:t>
                  </w:r>
                </w:p>
              </w:tc>
              <w:tc>
                <w:tcPr>
                  <w:tcW w:w="457"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0.5</w:t>
                  </w:r>
                </w:p>
              </w:tc>
              <w:tc>
                <w:tcPr>
                  <w:tcW w:w="953"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14.15</w:t>
                  </w:r>
                </w:p>
              </w:tc>
              <w:tc>
                <w:tcPr>
                  <w:tcW w:w="521" w:type="dxa"/>
                  <w:vAlign w:val="center"/>
                </w:tcPr>
                <w:p>
                  <w:pPr>
                    <w:jc w:val="center"/>
                    <w:rPr>
                      <w:color w:val="auto"/>
                      <w:sz w:val="18"/>
                      <w:szCs w:val="18"/>
                    </w:rPr>
                  </w:pPr>
                  <w:r>
                    <w:rPr>
                      <w:rFonts w:hint="eastAsia"/>
                      <w:color w:val="auto"/>
                      <w:sz w:val="18"/>
                      <w:szCs w:val="18"/>
                    </w:rPr>
                    <w:t>25</w:t>
                  </w:r>
                </w:p>
              </w:tc>
              <w:tc>
                <w:tcPr>
                  <w:tcW w:w="775" w:type="dxa"/>
                  <w:vAlign w:val="center"/>
                </w:tcPr>
                <w:p>
                  <w:pPr>
                    <w:jc w:val="center"/>
                    <w:rPr>
                      <w:color w:val="auto"/>
                      <w:sz w:val="18"/>
                      <w:szCs w:val="18"/>
                    </w:rPr>
                  </w:pPr>
                  <w:r>
                    <w:rPr>
                      <w:rFonts w:hint="eastAsia"/>
                      <w:color w:val="auto"/>
                      <w:sz w:val="18"/>
                      <w:szCs w:val="18"/>
                    </w:rPr>
                    <w:t>3000</w:t>
                  </w:r>
                </w:p>
              </w:tc>
              <w:tc>
                <w:tcPr>
                  <w:tcW w:w="780" w:type="dxa"/>
                  <w:vAlign w:val="center"/>
                </w:tcPr>
                <w:p>
                  <w:pPr>
                    <w:jc w:val="center"/>
                    <w:rPr>
                      <w:color w:val="auto"/>
                      <w:sz w:val="18"/>
                      <w:szCs w:val="18"/>
                    </w:rPr>
                  </w:pPr>
                  <w:r>
                    <w:rPr>
                      <w:rFonts w:hint="eastAsia"/>
                      <w:color w:val="auto"/>
                      <w:sz w:val="18"/>
                      <w:szCs w:val="18"/>
                    </w:rPr>
                    <w:t>连续</w:t>
                  </w:r>
                </w:p>
              </w:tc>
              <w:tc>
                <w:tcPr>
                  <w:tcW w:w="720"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0.102</w:t>
                  </w:r>
                </w:p>
              </w:tc>
              <w:tc>
                <w:tcPr>
                  <w:tcW w:w="975" w:type="dxa"/>
                  <w:vAlign w:val="center"/>
                </w:tcPr>
                <w:p>
                  <w:pPr>
                    <w:jc w:val="center"/>
                    <w:rPr>
                      <w:rFonts w:hint="eastAsia" w:eastAsia="宋体"/>
                      <w:color w:val="auto"/>
                      <w:sz w:val="18"/>
                      <w:szCs w:val="18"/>
                      <w:lang w:val="en-US" w:eastAsia="zh-CN"/>
                    </w:rPr>
                  </w:pPr>
                  <w:r>
                    <w:rPr>
                      <w:rFonts w:hint="eastAsia"/>
                      <w:color w:val="auto"/>
                      <w:sz w:val="18"/>
                      <w:szCs w:val="18"/>
                      <w:lang w:val="en-US" w:eastAsia="zh-CN"/>
                    </w:rPr>
                    <w:t>/</w:t>
                  </w:r>
                </w:p>
              </w:tc>
              <w:tc>
                <w:tcPr>
                  <w:tcW w:w="848" w:type="dxa"/>
                  <w:vAlign w:val="center"/>
                </w:tcPr>
                <w:p>
                  <w:pPr>
                    <w:jc w:val="center"/>
                    <w:rPr>
                      <w:rFonts w:hint="eastAsia" w:eastAsia="宋体"/>
                      <w:color w:val="auto"/>
                      <w:sz w:val="18"/>
                      <w:szCs w:val="18"/>
                      <w:lang w:val="en-US" w:eastAsia="zh-CN"/>
                    </w:rPr>
                  </w:pPr>
                  <w:r>
                    <w:rPr>
                      <w:rFonts w:hint="eastAsia"/>
                      <w:color w:val="auto"/>
                      <w:sz w:val="18"/>
                      <w:szCs w:val="18"/>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835" w:type="dxa"/>
                  <w:vAlign w:val="center"/>
                </w:tcPr>
                <w:p>
                  <w:pPr>
                    <w:jc w:val="center"/>
                    <w:rPr>
                      <w:rFonts w:hint="eastAsia"/>
                      <w:color w:val="auto"/>
                      <w:sz w:val="18"/>
                      <w:szCs w:val="18"/>
                    </w:rPr>
                  </w:pPr>
                  <w:r>
                    <w:rPr>
                      <w:rFonts w:hint="eastAsia"/>
                      <w:color w:val="auto"/>
                      <w:sz w:val="18"/>
                      <w:szCs w:val="18"/>
                      <w:lang w:val="en-US" w:eastAsia="zh-CN"/>
                    </w:rPr>
                    <w:t>DA002</w:t>
                  </w:r>
                </w:p>
              </w:tc>
              <w:tc>
                <w:tcPr>
                  <w:tcW w:w="662" w:type="dxa"/>
                  <w:vAlign w:val="center"/>
                </w:tcPr>
                <w:p>
                  <w:pPr>
                    <w:pStyle w:val="21"/>
                    <w:rPr>
                      <w:rFonts w:hint="default" w:eastAsia="宋体"/>
                      <w:color w:val="auto"/>
                      <w:sz w:val="18"/>
                      <w:szCs w:val="18"/>
                      <w:lang w:val="en-US" w:eastAsia="zh-CN"/>
                    </w:rPr>
                  </w:pPr>
                  <w:r>
                    <w:rPr>
                      <w:rFonts w:hint="eastAsia"/>
                      <w:color w:val="auto"/>
                      <w:sz w:val="18"/>
                      <w:szCs w:val="18"/>
                      <w:lang w:val="en-US" w:eastAsia="zh-CN"/>
                    </w:rPr>
                    <w:t>119.651290</w:t>
                  </w:r>
                </w:p>
              </w:tc>
              <w:tc>
                <w:tcPr>
                  <w:tcW w:w="614"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31.758568</w:t>
                  </w:r>
                </w:p>
              </w:tc>
              <w:tc>
                <w:tcPr>
                  <w:tcW w:w="525" w:type="dxa"/>
                  <w:vAlign w:val="center"/>
                </w:tcPr>
                <w:p>
                  <w:pPr>
                    <w:jc w:val="center"/>
                    <w:rPr>
                      <w:rFonts w:hint="default"/>
                      <w:color w:val="auto"/>
                      <w:sz w:val="18"/>
                      <w:szCs w:val="18"/>
                      <w:lang w:val="en-US" w:eastAsia="zh-CN"/>
                    </w:rPr>
                  </w:pPr>
                  <w:r>
                    <w:rPr>
                      <w:rFonts w:hint="eastAsia"/>
                      <w:color w:val="auto"/>
                      <w:sz w:val="18"/>
                      <w:szCs w:val="18"/>
                      <w:lang w:val="en-US" w:eastAsia="zh-CN"/>
                    </w:rPr>
                    <w:t>15</w:t>
                  </w:r>
                </w:p>
              </w:tc>
              <w:tc>
                <w:tcPr>
                  <w:tcW w:w="457"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0.2</w:t>
                  </w:r>
                </w:p>
              </w:tc>
              <w:tc>
                <w:tcPr>
                  <w:tcW w:w="953"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11.05</w:t>
                  </w:r>
                </w:p>
              </w:tc>
              <w:tc>
                <w:tcPr>
                  <w:tcW w:w="521" w:type="dxa"/>
                  <w:vAlign w:val="center"/>
                </w:tcPr>
                <w:p>
                  <w:pPr>
                    <w:jc w:val="center"/>
                    <w:rPr>
                      <w:rFonts w:hint="eastAsia"/>
                      <w:color w:val="auto"/>
                      <w:sz w:val="18"/>
                      <w:szCs w:val="18"/>
                    </w:rPr>
                  </w:pPr>
                  <w:r>
                    <w:rPr>
                      <w:rFonts w:hint="eastAsia"/>
                      <w:color w:val="auto"/>
                      <w:sz w:val="18"/>
                      <w:szCs w:val="18"/>
                    </w:rPr>
                    <w:t>25</w:t>
                  </w:r>
                </w:p>
              </w:tc>
              <w:tc>
                <w:tcPr>
                  <w:tcW w:w="77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3000</w:t>
                  </w:r>
                </w:p>
              </w:tc>
              <w:tc>
                <w:tcPr>
                  <w:tcW w:w="780" w:type="dxa"/>
                  <w:vAlign w:val="center"/>
                </w:tcPr>
                <w:p>
                  <w:pPr>
                    <w:jc w:val="center"/>
                    <w:rPr>
                      <w:rFonts w:hint="eastAsia"/>
                      <w:color w:val="auto"/>
                      <w:sz w:val="18"/>
                      <w:szCs w:val="18"/>
                    </w:rPr>
                  </w:pPr>
                  <w:r>
                    <w:rPr>
                      <w:rFonts w:hint="eastAsia"/>
                      <w:color w:val="auto"/>
                      <w:sz w:val="18"/>
                      <w:szCs w:val="18"/>
                    </w:rPr>
                    <w:t>连续</w:t>
                  </w:r>
                </w:p>
              </w:tc>
              <w:tc>
                <w:tcPr>
                  <w:tcW w:w="720"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0.011</w:t>
                  </w:r>
                </w:p>
              </w:tc>
              <w:tc>
                <w:tcPr>
                  <w:tcW w:w="97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0.004</w:t>
                  </w:r>
                </w:p>
              </w:tc>
              <w:tc>
                <w:tcPr>
                  <w:tcW w:w="848" w:type="dxa"/>
                  <w:vAlign w:val="center"/>
                </w:tcPr>
                <w:p>
                  <w:pPr>
                    <w:jc w:val="center"/>
                    <w:rPr>
                      <w:rFonts w:hint="eastAsia" w:eastAsia="宋体"/>
                      <w:color w:val="auto"/>
                      <w:sz w:val="18"/>
                      <w:szCs w:val="18"/>
                      <w:lang w:val="en-US" w:eastAsia="zh-CN"/>
                    </w:rPr>
                  </w:pPr>
                  <w:r>
                    <w:rPr>
                      <w:rFonts w:hint="eastAsia"/>
                      <w:color w:val="auto"/>
                      <w:sz w:val="18"/>
                      <w:szCs w:val="18"/>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835" w:type="dxa"/>
                  <w:vAlign w:val="center"/>
                </w:tcPr>
                <w:p>
                  <w:pPr>
                    <w:jc w:val="center"/>
                    <w:rPr>
                      <w:rFonts w:hint="eastAsia"/>
                      <w:color w:val="auto"/>
                      <w:sz w:val="18"/>
                      <w:szCs w:val="18"/>
                    </w:rPr>
                  </w:pPr>
                  <w:r>
                    <w:rPr>
                      <w:rFonts w:hint="eastAsia"/>
                      <w:color w:val="auto"/>
                      <w:sz w:val="18"/>
                      <w:szCs w:val="18"/>
                      <w:lang w:val="en-US" w:eastAsia="zh-CN"/>
                    </w:rPr>
                    <w:t>DA003</w:t>
                  </w:r>
                </w:p>
              </w:tc>
              <w:tc>
                <w:tcPr>
                  <w:tcW w:w="662" w:type="dxa"/>
                  <w:vAlign w:val="center"/>
                </w:tcPr>
                <w:p>
                  <w:pPr>
                    <w:pStyle w:val="21"/>
                    <w:rPr>
                      <w:rFonts w:hint="default" w:eastAsia="宋体"/>
                      <w:color w:val="auto"/>
                      <w:sz w:val="18"/>
                      <w:szCs w:val="18"/>
                      <w:lang w:val="en-US" w:eastAsia="zh-CN"/>
                    </w:rPr>
                  </w:pPr>
                  <w:r>
                    <w:rPr>
                      <w:rFonts w:hint="eastAsia"/>
                      <w:color w:val="auto"/>
                      <w:sz w:val="18"/>
                      <w:szCs w:val="18"/>
                      <w:lang w:val="en-US" w:eastAsia="zh-CN"/>
                    </w:rPr>
                    <w:t>119.651596</w:t>
                  </w:r>
                </w:p>
              </w:tc>
              <w:tc>
                <w:tcPr>
                  <w:tcW w:w="614"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31.758447</w:t>
                  </w:r>
                </w:p>
              </w:tc>
              <w:tc>
                <w:tcPr>
                  <w:tcW w:w="525" w:type="dxa"/>
                  <w:vAlign w:val="center"/>
                </w:tcPr>
                <w:p>
                  <w:pPr>
                    <w:jc w:val="center"/>
                    <w:rPr>
                      <w:rFonts w:hint="default"/>
                      <w:color w:val="auto"/>
                      <w:sz w:val="18"/>
                      <w:szCs w:val="18"/>
                      <w:lang w:val="en-US" w:eastAsia="zh-CN"/>
                    </w:rPr>
                  </w:pPr>
                  <w:r>
                    <w:rPr>
                      <w:rFonts w:hint="eastAsia"/>
                      <w:color w:val="auto"/>
                      <w:sz w:val="18"/>
                      <w:szCs w:val="18"/>
                      <w:lang w:val="en-US" w:eastAsia="zh-CN"/>
                    </w:rPr>
                    <w:t>15</w:t>
                  </w:r>
                </w:p>
              </w:tc>
              <w:tc>
                <w:tcPr>
                  <w:tcW w:w="457"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0.5</w:t>
                  </w:r>
                </w:p>
              </w:tc>
              <w:tc>
                <w:tcPr>
                  <w:tcW w:w="953"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17.68</w:t>
                  </w:r>
                </w:p>
              </w:tc>
              <w:tc>
                <w:tcPr>
                  <w:tcW w:w="521" w:type="dxa"/>
                  <w:vAlign w:val="center"/>
                </w:tcPr>
                <w:p>
                  <w:pPr>
                    <w:jc w:val="center"/>
                    <w:rPr>
                      <w:rFonts w:hint="eastAsia"/>
                      <w:color w:val="auto"/>
                      <w:sz w:val="18"/>
                      <w:szCs w:val="18"/>
                    </w:rPr>
                  </w:pPr>
                  <w:r>
                    <w:rPr>
                      <w:rFonts w:hint="eastAsia"/>
                      <w:color w:val="auto"/>
                      <w:sz w:val="18"/>
                      <w:szCs w:val="18"/>
                    </w:rPr>
                    <w:t>25</w:t>
                  </w:r>
                </w:p>
              </w:tc>
              <w:tc>
                <w:tcPr>
                  <w:tcW w:w="77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3000</w:t>
                  </w:r>
                </w:p>
              </w:tc>
              <w:tc>
                <w:tcPr>
                  <w:tcW w:w="780" w:type="dxa"/>
                  <w:vAlign w:val="center"/>
                </w:tcPr>
                <w:p>
                  <w:pPr>
                    <w:jc w:val="center"/>
                    <w:rPr>
                      <w:rFonts w:hint="eastAsia"/>
                      <w:color w:val="auto"/>
                      <w:sz w:val="18"/>
                      <w:szCs w:val="18"/>
                    </w:rPr>
                  </w:pPr>
                  <w:r>
                    <w:rPr>
                      <w:rFonts w:hint="eastAsia"/>
                      <w:color w:val="auto"/>
                      <w:sz w:val="18"/>
                      <w:szCs w:val="18"/>
                    </w:rPr>
                    <w:t>连续</w:t>
                  </w:r>
                </w:p>
              </w:tc>
              <w:tc>
                <w:tcPr>
                  <w:tcW w:w="720"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0.055</w:t>
                  </w:r>
                </w:p>
              </w:tc>
              <w:tc>
                <w:tcPr>
                  <w:tcW w:w="975" w:type="dxa"/>
                  <w:vAlign w:val="center"/>
                </w:tcPr>
                <w:p>
                  <w:pPr>
                    <w:jc w:val="center"/>
                    <w:rPr>
                      <w:rFonts w:hint="eastAsia" w:eastAsia="宋体"/>
                      <w:color w:val="auto"/>
                      <w:sz w:val="18"/>
                      <w:szCs w:val="18"/>
                      <w:lang w:val="en-US" w:eastAsia="zh-CN"/>
                    </w:rPr>
                  </w:pPr>
                  <w:r>
                    <w:rPr>
                      <w:rFonts w:hint="eastAsia"/>
                      <w:color w:val="auto"/>
                      <w:sz w:val="18"/>
                      <w:szCs w:val="18"/>
                      <w:lang w:val="en-US" w:eastAsia="zh-CN"/>
                    </w:rPr>
                    <w:t>/</w:t>
                  </w:r>
                </w:p>
              </w:tc>
              <w:tc>
                <w:tcPr>
                  <w:tcW w:w="848"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0.015</w:t>
                  </w:r>
                </w:p>
              </w:tc>
            </w:tr>
          </w:tbl>
          <w:p>
            <w:pPr>
              <w:ind w:firstLine="420" w:firstLineChars="200"/>
              <w:jc w:val="center"/>
              <w:rPr>
                <w:b/>
                <w:color w:val="auto"/>
                <w:szCs w:val="21"/>
              </w:rPr>
            </w:pPr>
          </w:p>
          <w:p>
            <w:pPr>
              <w:ind w:firstLine="420" w:firstLineChars="200"/>
              <w:jc w:val="center"/>
              <w:rPr>
                <w:b/>
                <w:color w:val="auto"/>
                <w:szCs w:val="21"/>
              </w:rPr>
            </w:pPr>
            <w:r>
              <w:rPr>
                <w:b/>
                <w:color w:val="auto"/>
                <w:szCs w:val="21"/>
              </w:rPr>
              <w:t>表7-3  项目污染源参数（面源）</w:t>
            </w:r>
          </w:p>
          <w:tbl>
            <w:tblPr>
              <w:tblStyle w:val="56"/>
              <w:tblW w:w="4994"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198"/>
              <w:gridCol w:w="1214"/>
              <w:gridCol w:w="561"/>
              <w:gridCol w:w="561"/>
              <w:gridCol w:w="427"/>
              <w:gridCol w:w="668"/>
              <w:gridCol w:w="636"/>
              <w:gridCol w:w="542"/>
              <w:gridCol w:w="689"/>
              <w:gridCol w:w="878"/>
              <w:gridCol w:w="85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 w:type="pct"/>
                  <w:vMerge w:val="restart"/>
                  <w:vAlign w:val="center"/>
                </w:tcPr>
                <w:p>
                  <w:pPr>
                    <w:jc w:val="center"/>
                    <w:rPr>
                      <w:b/>
                      <w:color w:val="auto"/>
                      <w:szCs w:val="21"/>
                    </w:rPr>
                  </w:pPr>
                  <w:r>
                    <w:rPr>
                      <w:b/>
                      <w:color w:val="auto"/>
                      <w:szCs w:val="21"/>
                    </w:rPr>
                    <w:t>名称</w:t>
                  </w:r>
                </w:p>
              </w:tc>
              <w:tc>
                <w:tcPr>
                  <w:tcW w:w="1329" w:type="pct"/>
                  <w:gridSpan w:val="2"/>
                  <w:vAlign w:val="center"/>
                </w:tcPr>
                <w:p>
                  <w:pPr>
                    <w:jc w:val="center"/>
                    <w:rPr>
                      <w:b/>
                      <w:color w:val="auto"/>
                      <w:szCs w:val="21"/>
                    </w:rPr>
                  </w:pPr>
                  <w:r>
                    <w:rPr>
                      <w:b/>
                      <w:color w:val="auto"/>
                      <w:szCs w:val="21"/>
                    </w:rPr>
                    <w:t>面源起点坐标</w:t>
                  </w:r>
                </w:p>
              </w:tc>
              <w:tc>
                <w:tcPr>
                  <w:tcW w:w="333" w:type="pct"/>
                  <w:vMerge w:val="restart"/>
                  <w:vAlign w:val="center"/>
                </w:tcPr>
                <w:p>
                  <w:pPr>
                    <w:jc w:val="center"/>
                    <w:rPr>
                      <w:b/>
                      <w:color w:val="auto"/>
                      <w:szCs w:val="21"/>
                    </w:rPr>
                  </w:pPr>
                  <w:r>
                    <w:rPr>
                      <w:b/>
                      <w:color w:val="auto"/>
                      <w:szCs w:val="21"/>
                    </w:rPr>
                    <w:t>面源长度/m</w:t>
                  </w:r>
                </w:p>
              </w:tc>
              <w:tc>
                <w:tcPr>
                  <w:tcW w:w="333" w:type="pct"/>
                  <w:vMerge w:val="restart"/>
                  <w:vAlign w:val="center"/>
                </w:tcPr>
                <w:p>
                  <w:pPr>
                    <w:jc w:val="center"/>
                    <w:rPr>
                      <w:b/>
                      <w:color w:val="auto"/>
                      <w:szCs w:val="21"/>
                    </w:rPr>
                  </w:pPr>
                  <w:r>
                    <w:rPr>
                      <w:b/>
                      <w:color w:val="auto"/>
                      <w:szCs w:val="21"/>
                    </w:rPr>
                    <w:t>面源宽度/m</w:t>
                  </w:r>
                </w:p>
              </w:tc>
              <w:tc>
                <w:tcPr>
                  <w:tcW w:w="246" w:type="pct"/>
                  <w:vMerge w:val="restart"/>
                  <w:vAlign w:val="center"/>
                </w:tcPr>
                <w:p>
                  <w:pPr>
                    <w:jc w:val="center"/>
                    <w:rPr>
                      <w:b/>
                      <w:color w:val="auto"/>
                      <w:szCs w:val="21"/>
                    </w:rPr>
                  </w:pPr>
                  <w:r>
                    <w:rPr>
                      <w:b/>
                      <w:color w:val="auto"/>
                      <w:szCs w:val="21"/>
                    </w:rPr>
                    <w:t>与正北向夹角/°</w:t>
                  </w:r>
                </w:p>
              </w:tc>
              <w:tc>
                <w:tcPr>
                  <w:tcW w:w="395" w:type="pct"/>
                  <w:vMerge w:val="restart"/>
                  <w:vAlign w:val="center"/>
                </w:tcPr>
                <w:p>
                  <w:pPr>
                    <w:jc w:val="center"/>
                    <w:rPr>
                      <w:b/>
                      <w:color w:val="auto"/>
                      <w:szCs w:val="21"/>
                    </w:rPr>
                  </w:pPr>
                  <w:r>
                    <w:rPr>
                      <w:b/>
                      <w:color w:val="auto"/>
                      <w:szCs w:val="21"/>
                    </w:rPr>
                    <w:t>面源有效排放高度/m</w:t>
                  </w:r>
                </w:p>
              </w:tc>
              <w:tc>
                <w:tcPr>
                  <w:tcW w:w="367" w:type="pct"/>
                  <w:vMerge w:val="restart"/>
                  <w:vAlign w:val="center"/>
                </w:tcPr>
                <w:p>
                  <w:pPr>
                    <w:jc w:val="center"/>
                    <w:rPr>
                      <w:b/>
                      <w:color w:val="auto"/>
                      <w:szCs w:val="21"/>
                    </w:rPr>
                  </w:pPr>
                  <w:r>
                    <w:rPr>
                      <w:b/>
                      <w:color w:val="auto"/>
                      <w:szCs w:val="21"/>
                    </w:rPr>
                    <w:t>年排放小时数/h</w:t>
                  </w:r>
                </w:p>
              </w:tc>
              <w:tc>
                <w:tcPr>
                  <w:tcW w:w="322" w:type="pct"/>
                  <w:vMerge w:val="restart"/>
                  <w:vAlign w:val="center"/>
                </w:tcPr>
                <w:p>
                  <w:pPr>
                    <w:jc w:val="center"/>
                    <w:rPr>
                      <w:b/>
                      <w:color w:val="auto"/>
                      <w:szCs w:val="21"/>
                    </w:rPr>
                  </w:pPr>
                  <w:r>
                    <w:rPr>
                      <w:b/>
                      <w:color w:val="auto"/>
                      <w:szCs w:val="21"/>
                    </w:rPr>
                    <w:t>排放工况</w:t>
                  </w:r>
                </w:p>
              </w:tc>
              <w:tc>
                <w:tcPr>
                  <w:tcW w:w="1426" w:type="pct"/>
                  <w:gridSpan w:val="3"/>
                  <w:vAlign w:val="center"/>
                </w:tcPr>
                <w:p>
                  <w:pPr>
                    <w:jc w:val="center"/>
                    <w:rPr>
                      <w:b/>
                      <w:color w:val="auto"/>
                      <w:szCs w:val="21"/>
                    </w:rPr>
                  </w:pPr>
                  <w:r>
                    <w:rPr>
                      <w:b/>
                      <w:color w:val="auto"/>
                      <w:szCs w:val="21"/>
                    </w:rPr>
                    <w:t>污染物排放速率/（kg/h)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 w:type="pct"/>
                  <w:vMerge w:val="continue"/>
                  <w:vAlign w:val="center"/>
                </w:tcPr>
                <w:p>
                  <w:pPr>
                    <w:jc w:val="center"/>
                    <w:rPr>
                      <w:color w:val="auto"/>
                    </w:rPr>
                  </w:pPr>
                </w:p>
              </w:tc>
              <w:tc>
                <w:tcPr>
                  <w:tcW w:w="691" w:type="pct"/>
                  <w:vAlign w:val="center"/>
                </w:tcPr>
                <w:p>
                  <w:pPr>
                    <w:jc w:val="center"/>
                    <w:rPr>
                      <w:b/>
                      <w:color w:val="auto"/>
                      <w:sz w:val="18"/>
                      <w:szCs w:val="18"/>
                    </w:rPr>
                  </w:pPr>
                  <w:r>
                    <w:rPr>
                      <w:b/>
                      <w:color w:val="auto"/>
                      <w:sz w:val="18"/>
                      <w:szCs w:val="18"/>
                    </w:rPr>
                    <w:t>X</w:t>
                  </w:r>
                </w:p>
              </w:tc>
              <w:tc>
                <w:tcPr>
                  <w:tcW w:w="638" w:type="pct"/>
                  <w:vAlign w:val="center"/>
                </w:tcPr>
                <w:p>
                  <w:pPr>
                    <w:jc w:val="center"/>
                    <w:rPr>
                      <w:b/>
                      <w:color w:val="auto"/>
                      <w:sz w:val="18"/>
                      <w:szCs w:val="18"/>
                    </w:rPr>
                  </w:pPr>
                  <w:r>
                    <w:rPr>
                      <w:b/>
                      <w:color w:val="auto"/>
                      <w:sz w:val="18"/>
                      <w:szCs w:val="18"/>
                    </w:rPr>
                    <w:t>Y</w:t>
                  </w:r>
                </w:p>
              </w:tc>
              <w:tc>
                <w:tcPr>
                  <w:tcW w:w="333" w:type="pct"/>
                  <w:vMerge w:val="continue"/>
                  <w:vAlign w:val="center"/>
                </w:tcPr>
                <w:p>
                  <w:pPr>
                    <w:jc w:val="center"/>
                    <w:rPr>
                      <w:color w:val="auto"/>
                    </w:rPr>
                  </w:pPr>
                </w:p>
              </w:tc>
              <w:tc>
                <w:tcPr>
                  <w:tcW w:w="333" w:type="pct"/>
                  <w:vMerge w:val="continue"/>
                  <w:vAlign w:val="center"/>
                </w:tcPr>
                <w:p>
                  <w:pPr>
                    <w:jc w:val="center"/>
                    <w:rPr>
                      <w:color w:val="auto"/>
                    </w:rPr>
                  </w:pPr>
                </w:p>
              </w:tc>
              <w:tc>
                <w:tcPr>
                  <w:tcW w:w="246" w:type="pct"/>
                  <w:vMerge w:val="continue"/>
                  <w:vAlign w:val="center"/>
                </w:tcPr>
                <w:p>
                  <w:pPr>
                    <w:jc w:val="center"/>
                    <w:rPr>
                      <w:color w:val="auto"/>
                    </w:rPr>
                  </w:pPr>
                </w:p>
              </w:tc>
              <w:tc>
                <w:tcPr>
                  <w:tcW w:w="395" w:type="pct"/>
                  <w:vMerge w:val="continue"/>
                  <w:vAlign w:val="center"/>
                </w:tcPr>
                <w:p>
                  <w:pPr>
                    <w:jc w:val="center"/>
                    <w:rPr>
                      <w:color w:val="auto"/>
                    </w:rPr>
                  </w:pPr>
                </w:p>
              </w:tc>
              <w:tc>
                <w:tcPr>
                  <w:tcW w:w="367" w:type="pct"/>
                  <w:vMerge w:val="continue"/>
                  <w:vAlign w:val="center"/>
                </w:tcPr>
                <w:p>
                  <w:pPr>
                    <w:jc w:val="center"/>
                    <w:rPr>
                      <w:color w:val="auto"/>
                    </w:rPr>
                  </w:pPr>
                </w:p>
              </w:tc>
              <w:tc>
                <w:tcPr>
                  <w:tcW w:w="322" w:type="pct"/>
                  <w:vMerge w:val="continue"/>
                  <w:vAlign w:val="center"/>
                </w:tcPr>
                <w:p>
                  <w:pPr>
                    <w:jc w:val="center"/>
                    <w:rPr>
                      <w:color w:val="auto"/>
                    </w:rPr>
                  </w:pPr>
                </w:p>
              </w:tc>
              <w:tc>
                <w:tcPr>
                  <w:tcW w:w="398" w:type="pct"/>
                  <w:vAlign w:val="center"/>
                </w:tcPr>
                <w:p>
                  <w:pPr>
                    <w:pStyle w:val="21"/>
                    <w:jc w:val="center"/>
                    <w:rPr>
                      <w:rFonts w:ascii="Times New Roman" w:hAnsi="Times New Roman" w:eastAsia="宋体" w:cs="Times New Roman"/>
                      <w:b/>
                      <w:color w:val="auto"/>
                      <w:kern w:val="2"/>
                      <w:sz w:val="21"/>
                      <w:szCs w:val="21"/>
                      <w:lang w:val="en-US" w:eastAsia="zh-CN" w:bidi="ar-SA"/>
                    </w:rPr>
                  </w:pPr>
                  <w:r>
                    <w:rPr>
                      <w:rFonts w:hint="eastAsia" w:ascii="Times New Roman" w:hAnsi="Times New Roman" w:eastAsia="宋体" w:cs="Times New Roman"/>
                      <w:b/>
                      <w:color w:val="auto"/>
                      <w:kern w:val="2"/>
                      <w:sz w:val="21"/>
                      <w:szCs w:val="21"/>
                      <w:lang w:val="en-US" w:eastAsia="zh-CN" w:bidi="ar-SA"/>
                    </w:rPr>
                    <w:t>颗粒物</w:t>
                  </w:r>
                </w:p>
              </w:tc>
              <w:tc>
                <w:tcPr>
                  <w:tcW w:w="524" w:type="pct"/>
                  <w:vAlign w:val="center"/>
                </w:tcPr>
                <w:p>
                  <w:pPr>
                    <w:pStyle w:val="21"/>
                    <w:jc w:val="center"/>
                    <w:rPr>
                      <w:rFonts w:hint="eastAsia" w:ascii="Times New Roman" w:hAnsi="Times New Roman" w:eastAsia="宋体" w:cs="Times New Roman"/>
                      <w:b/>
                      <w:color w:val="auto"/>
                      <w:kern w:val="2"/>
                      <w:sz w:val="21"/>
                      <w:szCs w:val="21"/>
                      <w:lang w:val="en-US" w:eastAsia="zh-CN" w:bidi="ar-SA"/>
                    </w:rPr>
                  </w:pPr>
                  <w:r>
                    <w:rPr>
                      <w:rFonts w:hint="eastAsia" w:ascii="Times New Roman" w:hAnsi="Times New Roman" w:eastAsia="宋体" w:cs="Times New Roman"/>
                      <w:b/>
                      <w:color w:val="auto"/>
                      <w:kern w:val="2"/>
                      <w:sz w:val="21"/>
                      <w:szCs w:val="21"/>
                      <w:lang w:val="en-US" w:eastAsia="zh-CN" w:bidi="ar-SA"/>
                    </w:rPr>
                    <w:t>非甲烷总烃</w:t>
                  </w:r>
                </w:p>
              </w:tc>
              <w:tc>
                <w:tcPr>
                  <w:tcW w:w="503" w:type="pct"/>
                  <w:vAlign w:val="center"/>
                </w:tcPr>
                <w:p>
                  <w:pPr>
                    <w:pStyle w:val="21"/>
                    <w:jc w:val="center"/>
                    <w:rPr>
                      <w:rFonts w:hint="eastAsia" w:ascii="Times New Roman" w:hAnsi="Times New Roman" w:eastAsia="宋体" w:cs="Times New Roman"/>
                      <w:b/>
                      <w:color w:val="auto"/>
                      <w:kern w:val="2"/>
                      <w:sz w:val="21"/>
                      <w:szCs w:val="21"/>
                      <w:lang w:val="en-US" w:eastAsia="zh-CN" w:bidi="ar-SA"/>
                    </w:rPr>
                  </w:pPr>
                  <w:r>
                    <w:rPr>
                      <w:rFonts w:hint="eastAsia" w:ascii="Times New Roman" w:hAnsi="Times New Roman" w:eastAsia="宋体" w:cs="Times New Roman"/>
                      <w:b/>
                      <w:color w:val="auto"/>
                      <w:kern w:val="2"/>
                      <w:sz w:val="21"/>
                      <w:szCs w:val="21"/>
                      <w:lang w:val="en-US" w:eastAsia="zh-CN" w:bidi="ar-SA"/>
                    </w:rPr>
                    <w:t>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246" w:type="pct"/>
                  <w:vAlign w:val="center"/>
                </w:tcPr>
                <w:p>
                  <w:pPr>
                    <w:jc w:val="center"/>
                    <w:rPr>
                      <w:color w:val="auto"/>
                    </w:rPr>
                  </w:pPr>
                  <w:r>
                    <w:rPr>
                      <w:rFonts w:hint="eastAsia"/>
                      <w:b/>
                      <w:color w:val="auto"/>
                      <w:spacing w:val="-20"/>
                      <w:sz w:val="18"/>
                      <w:szCs w:val="18"/>
                    </w:rPr>
                    <w:t>生产车间</w:t>
                  </w:r>
                </w:p>
              </w:tc>
              <w:tc>
                <w:tcPr>
                  <w:tcW w:w="691" w:type="pct"/>
                  <w:vAlign w:val="center"/>
                </w:tcPr>
                <w:p>
                  <w:pPr>
                    <w:jc w:val="center"/>
                    <w:rPr>
                      <w:rFonts w:hint="default" w:eastAsia="宋体"/>
                      <w:color w:val="auto"/>
                      <w:lang w:val="en-US" w:eastAsia="zh-CN"/>
                    </w:rPr>
                  </w:pPr>
                  <w:r>
                    <w:rPr>
                      <w:rFonts w:hint="eastAsia"/>
                      <w:color w:val="auto"/>
                      <w:lang w:val="en-US" w:eastAsia="zh-CN"/>
                    </w:rPr>
                    <w:t>119.651311</w:t>
                  </w:r>
                </w:p>
              </w:tc>
              <w:tc>
                <w:tcPr>
                  <w:tcW w:w="638" w:type="pct"/>
                  <w:vAlign w:val="center"/>
                </w:tcPr>
                <w:p>
                  <w:pPr>
                    <w:jc w:val="center"/>
                    <w:rPr>
                      <w:rFonts w:hint="default" w:eastAsia="宋体"/>
                      <w:color w:val="auto"/>
                      <w:lang w:val="en-US" w:eastAsia="zh-CN"/>
                    </w:rPr>
                  </w:pPr>
                  <w:r>
                    <w:rPr>
                      <w:rFonts w:hint="eastAsia"/>
                      <w:color w:val="auto"/>
                      <w:lang w:val="en-US" w:eastAsia="zh-CN"/>
                    </w:rPr>
                    <w:t>31.7583357</w:t>
                  </w:r>
                </w:p>
              </w:tc>
              <w:tc>
                <w:tcPr>
                  <w:tcW w:w="333" w:type="pct"/>
                  <w:vAlign w:val="center"/>
                </w:tcPr>
                <w:p>
                  <w:pPr>
                    <w:jc w:val="center"/>
                    <w:rPr>
                      <w:rFonts w:hint="default" w:eastAsia="宋体"/>
                      <w:color w:val="auto"/>
                      <w:szCs w:val="21"/>
                      <w:lang w:val="en-US" w:eastAsia="zh-CN"/>
                    </w:rPr>
                  </w:pPr>
                  <w:r>
                    <w:rPr>
                      <w:rFonts w:hint="eastAsia"/>
                      <w:color w:val="auto"/>
                      <w:szCs w:val="21"/>
                      <w:lang w:val="en-US" w:eastAsia="zh-CN"/>
                    </w:rPr>
                    <w:t>42</w:t>
                  </w:r>
                </w:p>
              </w:tc>
              <w:tc>
                <w:tcPr>
                  <w:tcW w:w="333" w:type="pct"/>
                  <w:vAlign w:val="center"/>
                </w:tcPr>
                <w:p>
                  <w:pPr>
                    <w:jc w:val="center"/>
                    <w:rPr>
                      <w:rFonts w:hint="default" w:eastAsia="宋体"/>
                      <w:color w:val="auto"/>
                      <w:szCs w:val="21"/>
                      <w:lang w:val="en-US" w:eastAsia="zh-CN"/>
                    </w:rPr>
                  </w:pPr>
                  <w:r>
                    <w:rPr>
                      <w:rFonts w:hint="eastAsia"/>
                      <w:color w:val="auto"/>
                      <w:szCs w:val="21"/>
                      <w:lang w:val="en-US" w:eastAsia="zh-CN"/>
                    </w:rPr>
                    <w:t>60</w:t>
                  </w:r>
                </w:p>
              </w:tc>
              <w:tc>
                <w:tcPr>
                  <w:tcW w:w="246" w:type="pct"/>
                  <w:vAlign w:val="center"/>
                </w:tcPr>
                <w:p>
                  <w:pPr>
                    <w:jc w:val="center"/>
                    <w:rPr>
                      <w:color w:val="auto"/>
                      <w:szCs w:val="21"/>
                    </w:rPr>
                  </w:pPr>
                  <w:r>
                    <w:rPr>
                      <w:rFonts w:hint="eastAsia"/>
                      <w:color w:val="auto"/>
                      <w:szCs w:val="21"/>
                    </w:rPr>
                    <w:t>0</w:t>
                  </w:r>
                </w:p>
              </w:tc>
              <w:tc>
                <w:tcPr>
                  <w:tcW w:w="395" w:type="pct"/>
                  <w:vAlign w:val="center"/>
                </w:tcPr>
                <w:p>
                  <w:pPr>
                    <w:jc w:val="center"/>
                    <w:rPr>
                      <w:rFonts w:hint="eastAsia" w:eastAsia="宋体"/>
                      <w:color w:val="auto"/>
                      <w:lang w:eastAsia="zh-CN"/>
                    </w:rPr>
                  </w:pPr>
                  <w:r>
                    <w:rPr>
                      <w:rFonts w:hint="eastAsia"/>
                      <w:color w:val="auto"/>
                      <w:lang w:val="en-US" w:eastAsia="zh-CN"/>
                    </w:rPr>
                    <w:t>8</w:t>
                  </w:r>
                </w:p>
              </w:tc>
              <w:tc>
                <w:tcPr>
                  <w:tcW w:w="367" w:type="pct"/>
                  <w:vAlign w:val="center"/>
                </w:tcPr>
                <w:p>
                  <w:pPr>
                    <w:jc w:val="center"/>
                    <w:rPr>
                      <w:color w:val="auto"/>
                    </w:rPr>
                  </w:pPr>
                  <w:r>
                    <w:rPr>
                      <w:rFonts w:hint="eastAsia"/>
                      <w:color w:val="auto"/>
                    </w:rPr>
                    <w:t>3000</w:t>
                  </w:r>
                </w:p>
              </w:tc>
              <w:tc>
                <w:tcPr>
                  <w:tcW w:w="322" w:type="pct"/>
                  <w:vAlign w:val="center"/>
                </w:tcPr>
                <w:p>
                  <w:pPr>
                    <w:jc w:val="center"/>
                    <w:rPr>
                      <w:color w:val="auto"/>
                    </w:rPr>
                  </w:pPr>
                  <w:r>
                    <w:rPr>
                      <w:rFonts w:hint="eastAsia"/>
                      <w:color w:val="auto"/>
                      <w:szCs w:val="21"/>
                    </w:rPr>
                    <w:t>连续</w:t>
                  </w:r>
                </w:p>
              </w:tc>
              <w:tc>
                <w:tcPr>
                  <w:tcW w:w="398" w:type="pct"/>
                  <w:vAlign w:val="center"/>
                </w:tcPr>
                <w:p>
                  <w:pPr>
                    <w:jc w:val="center"/>
                    <w:rPr>
                      <w:rFonts w:hint="default" w:eastAsia="宋体"/>
                      <w:color w:val="auto"/>
                      <w:szCs w:val="22"/>
                      <w:lang w:val="en-US" w:eastAsia="zh-CN"/>
                    </w:rPr>
                  </w:pPr>
                  <w:r>
                    <w:rPr>
                      <w:rFonts w:hint="eastAsia"/>
                      <w:color w:val="auto"/>
                      <w:szCs w:val="22"/>
                      <w:lang w:val="en-US" w:eastAsia="zh-CN"/>
                    </w:rPr>
                    <w:t>0.066</w:t>
                  </w:r>
                </w:p>
              </w:tc>
              <w:tc>
                <w:tcPr>
                  <w:tcW w:w="524" w:type="pct"/>
                  <w:vAlign w:val="center"/>
                </w:tcPr>
                <w:p>
                  <w:pPr>
                    <w:jc w:val="center"/>
                    <w:rPr>
                      <w:rFonts w:hint="default" w:eastAsia="宋体"/>
                      <w:color w:val="auto"/>
                      <w:szCs w:val="22"/>
                      <w:lang w:val="en-US" w:eastAsia="zh-CN"/>
                    </w:rPr>
                  </w:pPr>
                  <w:r>
                    <w:rPr>
                      <w:rFonts w:hint="eastAsia"/>
                      <w:color w:val="auto"/>
                      <w:szCs w:val="22"/>
                      <w:lang w:val="en-US" w:eastAsia="zh-CN"/>
                    </w:rPr>
                    <w:t>0.006</w:t>
                  </w:r>
                </w:p>
              </w:tc>
              <w:tc>
                <w:tcPr>
                  <w:tcW w:w="503" w:type="pct"/>
                  <w:vAlign w:val="center"/>
                </w:tcPr>
                <w:p>
                  <w:pPr>
                    <w:jc w:val="center"/>
                    <w:rPr>
                      <w:rFonts w:hint="default" w:eastAsia="宋体"/>
                      <w:color w:val="auto"/>
                      <w:szCs w:val="22"/>
                      <w:lang w:val="en-US" w:eastAsia="zh-CN"/>
                    </w:rPr>
                  </w:pPr>
                  <w:r>
                    <w:rPr>
                      <w:rFonts w:hint="eastAsia"/>
                      <w:color w:val="auto"/>
                      <w:szCs w:val="22"/>
                      <w:lang w:val="en-US" w:eastAsia="zh-CN"/>
                    </w:rPr>
                    <w:t>0.098</w:t>
                  </w:r>
                </w:p>
              </w:tc>
            </w:tr>
          </w:tbl>
          <w:p>
            <w:pPr>
              <w:tabs>
                <w:tab w:val="left" w:pos="1367"/>
              </w:tabs>
              <w:spacing w:line="240" w:lineRule="auto"/>
              <w:rPr>
                <w:rFonts w:hint="default" w:eastAsia="宋体"/>
                <w:b/>
                <w:bCs/>
                <w:color w:val="auto"/>
                <w:sz w:val="21"/>
                <w:szCs w:val="21"/>
                <w:lang w:val="en-US" w:eastAsia="zh-CN"/>
              </w:rPr>
            </w:pPr>
            <w:r>
              <w:rPr>
                <w:rFonts w:hint="eastAsia"/>
                <w:b/>
                <w:bCs/>
                <w:color w:val="auto"/>
                <w:sz w:val="21"/>
                <w:szCs w:val="21"/>
                <w:lang w:val="en-US" w:eastAsia="zh-CN"/>
              </w:rPr>
              <w:t>注：本表中VOCs包含非甲烷总烃。</w:t>
            </w:r>
          </w:p>
          <w:p>
            <w:pPr>
              <w:spacing w:line="360" w:lineRule="auto"/>
              <w:ind w:firstLine="480" w:firstLineChars="200"/>
              <w:rPr>
                <w:color w:val="auto"/>
                <w:sz w:val="24"/>
              </w:rPr>
            </w:pPr>
            <w:r>
              <w:rPr>
                <w:rFonts w:hint="eastAsia" w:ascii="宋体"/>
                <w:color w:val="auto"/>
                <w:sz w:val="24"/>
              </w:rPr>
              <w:t>③</w:t>
            </w:r>
            <w:r>
              <w:rPr>
                <w:color w:val="auto"/>
                <w:sz w:val="24"/>
              </w:rPr>
              <w:t>预测模式</w:t>
            </w:r>
          </w:p>
          <w:p>
            <w:pPr>
              <w:spacing w:line="360" w:lineRule="auto"/>
              <w:ind w:firstLine="480" w:firstLineChars="200"/>
              <w:rPr>
                <w:color w:val="auto"/>
                <w:sz w:val="24"/>
              </w:rPr>
            </w:pPr>
            <w:r>
              <w:rPr>
                <w:color w:val="auto"/>
                <w:sz w:val="24"/>
              </w:rPr>
              <w:t>根据《环境影响评价技术导则 大气环境》（HJ2.2-2018）中的相关规定及要求，采用</w:t>
            </w:r>
            <w:r>
              <w:rPr>
                <w:rFonts w:hint="eastAsia"/>
                <w:color w:val="auto"/>
                <w:sz w:val="24"/>
              </w:rPr>
              <w:t>AER</w:t>
            </w:r>
            <w:r>
              <w:rPr>
                <w:color w:val="auto"/>
                <w:sz w:val="24"/>
              </w:rPr>
              <w:t>SCREEN模型对项目废气进行预测。</w:t>
            </w:r>
          </w:p>
          <w:p>
            <w:pPr>
              <w:ind w:firstLine="420" w:firstLineChars="200"/>
              <w:jc w:val="center"/>
              <w:rPr>
                <w:b/>
                <w:color w:val="auto"/>
                <w:szCs w:val="21"/>
              </w:rPr>
            </w:pPr>
            <w:r>
              <w:rPr>
                <w:rFonts w:hint="eastAsia"/>
                <w:b/>
                <w:color w:val="auto"/>
                <w:szCs w:val="21"/>
              </w:rPr>
              <w:t>表 7-4 估算模型参数表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70"/>
              <w:gridCol w:w="2771"/>
              <w:gridCol w:w="27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41" w:type="dxa"/>
                  <w:gridSpan w:val="2"/>
                  <w:vAlign w:val="center"/>
                </w:tcPr>
                <w:p>
                  <w:pPr>
                    <w:pStyle w:val="210"/>
                    <w:rPr>
                      <w:b/>
                      <w:color w:val="auto"/>
                    </w:rPr>
                  </w:pPr>
                  <w:r>
                    <w:rPr>
                      <w:rFonts w:hint="eastAsia"/>
                      <w:b/>
                      <w:color w:val="auto"/>
                    </w:rPr>
                    <w:t>参数</w:t>
                  </w:r>
                </w:p>
              </w:tc>
              <w:tc>
                <w:tcPr>
                  <w:tcW w:w="2771" w:type="dxa"/>
                  <w:vAlign w:val="center"/>
                </w:tcPr>
                <w:p>
                  <w:pPr>
                    <w:pStyle w:val="210"/>
                    <w:rPr>
                      <w:b/>
                      <w:color w:val="auto"/>
                    </w:rPr>
                  </w:pPr>
                  <w:r>
                    <w:rPr>
                      <w:rFonts w:hint="eastAsia"/>
                      <w:b/>
                      <w:color w:val="auto"/>
                    </w:rPr>
                    <w:t>取值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restart"/>
                  <w:vAlign w:val="center"/>
                </w:tcPr>
                <w:p>
                  <w:pPr>
                    <w:pStyle w:val="210"/>
                    <w:rPr>
                      <w:color w:val="auto"/>
                    </w:rPr>
                  </w:pPr>
                  <w:r>
                    <w:rPr>
                      <w:rFonts w:hint="eastAsia"/>
                      <w:color w:val="auto"/>
                    </w:rPr>
                    <w:t>城市/农村选项</w:t>
                  </w:r>
                </w:p>
              </w:tc>
              <w:tc>
                <w:tcPr>
                  <w:tcW w:w="2771" w:type="dxa"/>
                  <w:vAlign w:val="center"/>
                </w:tcPr>
                <w:p>
                  <w:pPr>
                    <w:pStyle w:val="210"/>
                    <w:rPr>
                      <w:color w:val="auto"/>
                    </w:rPr>
                  </w:pPr>
                  <w:r>
                    <w:rPr>
                      <w:rFonts w:hint="eastAsia"/>
                      <w:color w:val="auto"/>
                    </w:rPr>
                    <w:t>城市/农村</w:t>
                  </w:r>
                </w:p>
              </w:tc>
              <w:tc>
                <w:tcPr>
                  <w:tcW w:w="2771" w:type="dxa"/>
                  <w:vAlign w:val="center"/>
                </w:tcPr>
                <w:p>
                  <w:pPr>
                    <w:pStyle w:val="210"/>
                    <w:rPr>
                      <w:color w:val="auto"/>
                    </w:rPr>
                  </w:pPr>
                  <w:r>
                    <w:rPr>
                      <w:rFonts w:hint="eastAsia"/>
                      <w:color w:val="auto"/>
                    </w:rPr>
                    <w:t>城市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continue"/>
                  <w:vAlign w:val="center"/>
                </w:tcPr>
                <w:p>
                  <w:pPr>
                    <w:rPr>
                      <w:color w:val="auto"/>
                    </w:rPr>
                  </w:pPr>
                </w:p>
              </w:tc>
              <w:tc>
                <w:tcPr>
                  <w:tcW w:w="2771" w:type="dxa"/>
                  <w:vAlign w:val="center"/>
                </w:tcPr>
                <w:p>
                  <w:pPr>
                    <w:pStyle w:val="210"/>
                    <w:rPr>
                      <w:color w:val="auto"/>
                    </w:rPr>
                  </w:pPr>
                  <w:r>
                    <w:rPr>
                      <w:rFonts w:hint="eastAsia"/>
                      <w:color w:val="auto"/>
                    </w:rPr>
                    <w:t>人口数（城市选项）</w:t>
                  </w:r>
                </w:p>
              </w:tc>
              <w:tc>
                <w:tcPr>
                  <w:tcW w:w="2771" w:type="dxa"/>
                  <w:vAlign w:val="center"/>
                </w:tcPr>
                <w:p>
                  <w:pPr>
                    <w:pStyle w:val="210"/>
                    <w:rPr>
                      <w:color w:val="auto"/>
                      <w:lang w:val="en-US"/>
                    </w:rPr>
                  </w:pPr>
                  <w:r>
                    <w:rPr>
                      <w:rFonts w:hint="eastAsia"/>
                      <w:color w:val="auto"/>
                      <w:lang w:val="en-US"/>
                    </w:rPr>
                    <w:t>56万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41" w:type="dxa"/>
                  <w:gridSpan w:val="2"/>
                  <w:vAlign w:val="center"/>
                </w:tcPr>
                <w:p>
                  <w:pPr>
                    <w:pStyle w:val="210"/>
                    <w:rPr>
                      <w:color w:val="auto"/>
                    </w:rPr>
                  </w:pPr>
                  <w:r>
                    <w:rPr>
                      <w:rFonts w:hint="eastAsia"/>
                      <w:color w:val="auto"/>
                    </w:rPr>
                    <w:t>最高环境温度/℃</w:t>
                  </w:r>
                </w:p>
              </w:tc>
              <w:tc>
                <w:tcPr>
                  <w:tcW w:w="2771" w:type="dxa"/>
                  <w:vAlign w:val="center"/>
                </w:tcPr>
                <w:p>
                  <w:pPr>
                    <w:pStyle w:val="210"/>
                    <w:rPr>
                      <w:color w:val="auto"/>
                    </w:rPr>
                  </w:pPr>
                  <w:r>
                    <w:rPr>
                      <w:color w:val="auto"/>
                    </w:rPr>
                    <w:t>38.9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41" w:type="dxa"/>
                  <w:gridSpan w:val="2"/>
                  <w:vAlign w:val="center"/>
                </w:tcPr>
                <w:p>
                  <w:pPr>
                    <w:pStyle w:val="210"/>
                    <w:rPr>
                      <w:color w:val="auto"/>
                    </w:rPr>
                  </w:pPr>
                  <w:r>
                    <w:rPr>
                      <w:rFonts w:hint="eastAsia"/>
                      <w:color w:val="auto"/>
                    </w:rPr>
                    <w:t>最低环境温度/℃</w:t>
                  </w:r>
                </w:p>
              </w:tc>
              <w:tc>
                <w:tcPr>
                  <w:tcW w:w="2771" w:type="dxa"/>
                  <w:vAlign w:val="center"/>
                </w:tcPr>
                <w:p>
                  <w:pPr>
                    <w:pStyle w:val="210"/>
                    <w:rPr>
                      <w:color w:val="auto"/>
                    </w:rPr>
                  </w:pPr>
                  <w:r>
                    <w:rPr>
                      <w:rFonts w:hint="eastAsia"/>
                      <w:color w:val="auto"/>
                    </w:rPr>
                    <w:t>-</w:t>
                  </w:r>
                  <w:r>
                    <w:rPr>
                      <w:color w:val="auto"/>
                    </w:rPr>
                    <w:t>12.5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41" w:type="dxa"/>
                  <w:gridSpan w:val="2"/>
                  <w:vAlign w:val="center"/>
                </w:tcPr>
                <w:p>
                  <w:pPr>
                    <w:pStyle w:val="210"/>
                    <w:rPr>
                      <w:color w:val="auto"/>
                    </w:rPr>
                  </w:pPr>
                  <w:r>
                    <w:rPr>
                      <w:rFonts w:hint="eastAsia"/>
                      <w:color w:val="auto"/>
                    </w:rPr>
                    <w:t>土地利用类型</w:t>
                  </w:r>
                </w:p>
              </w:tc>
              <w:tc>
                <w:tcPr>
                  <w:tcW w:w="2771" w:type="dxa"/>
                  <w:vAlign w:val="center"/>
                </w:tcPr>
                <w:p>
                  <w:pPr>
                    <w:pStyle w:val="210"/>
                    <w:rPr>
                      <w:color w:val="auto"/>
                    </w:rPr>
                  </w:pPr>
                  <w:r>
                    <w:rPr>
                      <w:rFonts w:hint="eastAsia"/>
                      <w:color w:val="auto"/>
                    </w:rPr>
                    <w:t>城市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41" w:type="dxa"/>
                  <w:gridSpan w:val="2"/>
                  <w:vAlign w:val="center"/>
                </w:tcPr>
                <w:p>
                  <w:pPr>
                    <w:pStyle w:val="210"/>
                    <w:rPr>
                      <w:color w:val="auto"/>
                    </w:rPr>
                  </w:pPr>
                  <w:r>
                    <w:rPr>
                      <w:rFonts w:hint="eastAsia"/>
                      <w:color w:val="auto"/>
                    </w:rPr>
                    <w:t>区域湿度条件</w:t>
                  </w:r>
                </w:p>
              </w:tc>
              <w:tc>
                <w:tcPr>
                  <w:tcW w:w="2771" w:type="dxa"/>
                  <w:vAlign w:val="center"/>
                </w:tcPr>
                <w:p>
                  <w:pPr>
                    <w:pStyle w:val="210"/>
                    <w:rPr>
                      <w:color w:val="auto"/>
                    </w:rPr>
                  </w:pPr>
                  <w:r>
                    <w:rPr>
                      <w:rFonts w:hint="eastAsia"/>
                      <w:color w:val="auto"/>
                    </w:rPr>
                    <w:t>平均湿度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restart"/>
                  <w:vAlign w:val="center"/>
                </w:tcPr>
                <w:p>
                  <w:pPr>
                    <w:pStyle w:val="210"/>
                    <w:rPr>
                      <w:color w:val="auto"/>
                    </w:rPr>
                  </w:pPr>
                  <w:r>
                    <w:rPr>
                      <w:rFonts w:hint="eastAsia"/>
                      <w:color w:val="auto"/>
                    </w:rPr>
                    <w:t>是否考虑地形</w:t>
                  </w:r>
                </w:p>
              </w:tc>
              <w:tc>
                <w:tcPr>
                  <w:tcW w:w="2771" w:type="dxa"/>
                  <w:vAlign w:val="center"/>
                </w:tcPr>
                <w:p>
                  <w:pPr>
                    <w:pStyle w:val="210"/>
                    <w:rPr>
                      <w:color w:val="auto"/>
                    </w:rPr>
                  </w:pPr>
                  <w:r>
                    <w:rPr>
                      <w:rFonts w:hint="eastAsia"/>
                      <w:color w:val="auto"/>
                    </w:rPr>
                    <w:t>考虑地形</w:t>
                  </w:r>
                </w:p>
              </w:tc>
              <w:tc>
                <w:tcPr>
                  <w:tcW w:w="2771" w:type="dxa"/>
                  <w:vAlign w:val="center"/>
                </w:tcPr>
                <w:p>
                  <w:pPr>
                    <w:pStyle w:val="210"/>
                    <w:rPr>
                      <w:color w:val="auto"/>
                    </w:rPr>
                  </w:pPr>
                  <w:r>
                    <w:rPr>
                      <w:rFonts w:hint="eastAsia"/>
                      <w:color w:val="auto"/>
                    </w:rPr>
                    <w:t>是□  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continue"/>
                  <w:vAlign w:val="center"/>
                </w:tcPr>
                <w:p>
                  <w:pPr>
                    <w:rPr>
                      <w:color w:val="auto"/>
                    </w:rPr>
                  </w:pPr>
                </w:p>
              </w:tc>
              <w:tc>
                <w:tcPr>
                  <w:tcW w:w="2771" w:type="dxa"/>
                  <w:vAlign w:val="center"/>
                </w:tcPr>
                <w:p>
                  <w:pPr>
                    <w:pStyle w:val="210"/>
                    <w:rPr>
                      <w:color w:val="auto"/>
                    </w:rPr>
                  </w:pPr>
                  <w:r>
                    <w:rPr>
                      <w:rFonts w:hint="eastAsia"/>
                      <w:color w:val="auto"/>
                    </w:rPr>
                    <w:t>地形数据分辨率/m</w:t>
                  </w:r>
                </w:p>
              </w:tc>
              <w:tc>
                <w:tcPr>
                  <w:tcW w:w="2771" w:type="dxa"/>
                  <w:vAlign w:val="center"/>
                </w:tcPr>
                <w:p>
                  <w:pPr>
                    <w:pStyle w:val="210"/>
                    <w:rPr>
                      <w:color w:val="auto"/>
                    </w:rPr>
                  </w:pPr>
                  <w:r>
                    <w:rPr>
                      <w:rFonts w:hint="eastAsia"/>
                      <w:color w:val="auto"/>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restart"/>
                  <w:vAlign w:val="center"/>
                </w:tcPr>
                <w:p>
                  <w:pPr>
                    <w:pStyle w:val="210"/>
                    <w:rPr>
                      <w:color w:val="auto"/>
                    </w:rPr>
                  </w:pPr>
                  <w:r>
                    <w:rPr>
                      <w:rFonts w:hint="eastAsia"/>
                      <w:color w:val="auto"/>
                    </w:rPr>
                    <w:t>是否考虑岸线熏烟</w:t>
                  </w:r>
                </w:p>
              </w:tc>
              <w:tc>
                <w:tcPr>
                  <w:tcW w:w="2771" w:type="dxa"/>
                  <w:vAlign w:val="center"/>
                </w:tcPr>
                <w:p>
                  <w:pPr>
                    <w:pStyle w:val="210"/>
                    <w:rPr>
                      <w:color w:val="auto"/>
                    </w:rPr>
                  </w:pPr>
                  <w:r>
                    <w:rPr>
                      <w:rFonts w:hint="eastAsia"/>
                      <w:color w:val="auto"/>
                    </w:rPr>
                    <w:t>考虑岸线熏烟</w:t>
                  </w:r>
                </w:p>
              </w:tc>
              <w:tc>
                <w:tcPr>
                  <w:tcW w:w="2771" w:type="dxa"/>
                  <w:vAlign w:val="center"/>
                </w:tcPr>
                <w:p>
                  <w:pPr>
                    <w:pStyle w:val="210"/>
                    <w:rPr>
                      <w:color w:val="auto"/>
                    </w:rPr>
                  </w:pPr>
                  <w:r>
                    <w:rPr>
                      <w:rFonts w:hint="eastAsia"/>
                      <w:color w:val="auto"/>
                    </w:rPr>
                    <w:t>是□  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continue"/>
                  <w:vAlign w:val="center"/>
                </w:tcPr>
                <w:p>
                  <w:pPr>
                    <w:rPr>
                      <w:color w:val="auto"/>
                    </w:rPr>
                  </w:pPr>
                </w:p>
              </w:tc>
              <w:tc>
                <w:tcPr>
                  <w:tcW w:w="2771" w:type="dxa"/>
                  <w:vAlign w:val="center"/>
                </w:tcPr>
                <w:p>
                  <w:pPr>
                    <w:pStyle w:val="210"/>
                    <w:rPr>
                      <w:color w:val="auto"/>
                    </w:rPr>
                  </w:pPr>
                  <w:r>
                    <w:rPr>
                      <w:rFonts w:hint="eastAsia"/>
                      <w:color w:val="auto"/>
                    </w:rPr>
                    <w:t>岸线距离/km</w:t>
                  </w:r>
                </w:p>
              </w:tc>
              <w:tc>
                <w:tcPr>
                  <w:tcW w:w="2771" w:type="dxa"/>
                  <w:vAlign w:val="center"/>
                </w:tcPr>
                <w:p>
                  <w:pPr>
                    <w:pStyle w:val="210"/>
                    <w:rPr>
                      <w:color w:val="auto"/>
                    </w:rPr>
                  </w:pPr>
                  <w:r>
                    <w:rPr>
                      <w:rFonts w:hint="eastAsia"/>
                      <w:color w:val="auto"/>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70" w:type="dxa"/>
                  <w:vMerge w:val="continue"/>
                  <w:vAlign w:val="center"/>
                </w:tcPr>
                <w:p>
                  <w:pPr>
                    <w:rPr>
                      <w:color w:val="auto"/>
                    </w:rPr>
                  </w:pPr>
                </w:p>
              </w:tc>
              <w:tc>
                <w:tcPr>
                  <w:tcW w:w="2771" w:type="dxa"/>
                  <w:vAlign w:val="center"/>
                </w:tcPr>
                <w:p>
                  <w:pPr>
                    <w:pStyle w:val="210"/>
                    <w:rPr>
                      <w:color w:val="auto"/>
                    </w:rPr>
                  </w:pPr>
                  <w:r>
                    <w:rPr>
                      <w:rFonts w:hint="eastAsia"/>
                      <w:color w:val="auto"/>
                    </w:rPr>
                    <w:t>岸线方向/°</w:t>
                  </w:r>
                </w:p>
              </w:tc>
              <w:tc>
                <w:tcPr>
                  <w:tcW w:w="2771" w:type="dxa"/>
                  <w:vAlign w:val="center"/>
                </w:tcPr>
                <w:p>
                  <w:pPr>
                    <w:pStyle w:val="210"/>
                    <w:rPr>
                      <w:color w:val="auto"/>
                    </w:rPr>
                  </w:pPr>
                  <w:r>
                    <w:rPr>
                      <w:rFonts w:hint="eastAsia"/>
                      <w:color w:val="auto"/>
                    </w:rPr>
                    <w:t>-</w:t>
                  </w:r>
                </w:p>
              </w:tc>
            </w:tr>
          </w:tbl>
          <w:p>
            <w:pPr>
              <w:widowControl/>
              <w:spacing w:line="360" w:lineRule="auto"/>
              <w:ind w:firstLine="480" w:firstLineChars="200"/>
              <w:rPr>
                <w:color w:val="auto"/>
                <w:sz w:val="24"/>
                <w:lang w:eastAsia="ja-JP"/>
              </w:rPr>
            </w:pPr>
            <w:r>
              <w:rPr>
                <w:rFonts w:hint="eastAsia" w:ascii="宋体"/>
                <w:color w:val="auto"/>
                <w:sz w:val="24"/>
              </w:rPr>
              <w:t>④</w:t>
            </w:r>
            <w:r>
              <w:rPr>
                <w:rFonts w:hint="eastAsia"/>
                <w:color w:val="auto"/>
                <w:sz w:val="24"/>
              </w:rPr>
              <w:t>评价等级判定</w:t>
            </w:r>
          </w:p>
          <w:p>
            <w:pPr>
              <w:pStyle w:val="747"/>
              <w:ind w:firstLine="480" w:firstLineChars="200"/>
              <w:rPr>
                <w:color w:val="auto"/>
              </w:rPr>
            </w:pPr>
            <w:r>
              <w:rPr>
                <w:color w:val="auto"/>
              </w:rPr>
              <w:t>根据《环境影响评价技术导则 大气环境》（HJ2.2-2018），采用推荐模式中的估算模型AERSCREEN对污染物的最大地面占标率Pi（第i个污染物）及第i个污染物的地面浓度达标准限值10%时所对应的最远距离D</w:t>
            </w:r>
            <w:r>
              <w:rPr>
                <w:color w:val="auto"/>
                <w:sz w:val="15"/>
                <w:szCs w:val="15"/>
              </w:rPr>
              <w:t>10%</w:t>
            </w:r>
            <w:r>
              <w:rPr>
                <w:color w:val="auto"/>
                <w:szCs w:val="24"/>
              </w:rPr>
              <w:t>进行计算。其中</w:t>
            </w:r>
            <w:r>
              <w:rPr>
                <w:color w:val="auto"/>
              </w:rPr>
              <w:t>Pi定义如下：</w:t>
            </w:r>
          </w:p>
          <w:p>
            <w:pPr>
              <w:pStyle w:val="747"/>
              <w:ind w:firstLine="480"/>
              <w:jc w:val="center"/>
              <w:rPr>
                <w:color w:val="auto"/>
              </w:rPr>
            </w:pPr>
            <w:r>
              <w:rPr>
                <w:i/>
                <w:iCs/>
                <w:color w:val="auto"/>
                <w:position w:val="-24"/>
              </w:rPr>
              <w:object>
                <v:shape id="_x0000_i1026" o:spt="75" type="#_x0000_t75" style="height:31.1pt;width:40.9pt;" o:ole="t" filled="f" o:preferrelative="t" stroked="f" coordsize="21600,21600">
                  <v:path/>
                  <v:fill on="f" focussize="0,0"/>
                  <v:stroke on="f" joinstyle="miter"/>
                  <v:imagedata r:id="rId25" o:title="203514921556505032489"/>
                  <o:lock v:ext="edit" aspectratio="t"/>
                  <w10:wrap type="none"/>
                  <w10:anchorlock/>
                </v:shape>
                <o:OLEObject Type="Embed" ProgID="Excel.Sheet.8" ShapeID="_x0000_i1026" DrawAspect="Content" ObjectID="_1468075726" r:id="rId24">
                  <o:LockedField>false</o:LockedField>
                </o:OLEObject>
              </w:object>
            </w:r>
            <w:r>
              <w:rPr>
                <w:iCs/>
                <w:color w:val="auto"/>
              </w:rPr>
              <w:t>×100%</w:t>
            </w:r>
          </w:p>
          <w:p>
            <w:pPr>
              <w:pStyle w:val="747"/>
              <w:ind w:firstLine="480" w:firstLineChars="200"/>
              <w:rPr>
                <w:color w:val="auto"/>
              </w:rPr>
            </w:pPr>
            <w:r>
              <w:rPr>
                <w:color w:val="auto"/>
              </w:rPr>
              <w:t>Pi—第i个污染物的最大地面浓度占标率，%；</w:t>
            </w:r>
          </w:p>
          <w:p>
            <w:pPr>
              <w:pStyle w:val="747"/>
              <w:ind w:firstLine="480" w:firstLineChars="200"/>
              <w:rPr>
                <w:color w:val="auto"/>
              </w:rPr>
            </w:pPr>
            <w:r>
              <w:rPr>
                <w:color w:val="auto"/>
              </w:rPr>
              <w:t>Ci—采用估算模式计算出的第i个污染物的最大地面浓度，mg/m</w:t>
            </w:r>
            <w:r>
              <w:rPr>
                <w:color w:val="auto"/>
                <w:vertAlign w:val="superscript"/>
              </w:rPr>
              <w:t>3</w:t>
            </w:r>
            <w:r>
              <w:rPr>
                <w:color w:val="auto"/>
              </w:rPr>
              <w:t>；</w:t>
            </w:r>
          </w:p>
          <w:p>
            <w:pPr>
              <w:pStyle w:val="747"/>
              <w:ind w:firstLine="480" w:firstLineChars="200"/>
              <w:rPr>
                <w:color w:val="auto"/>
              </w:rPr>
            </w:pPr>
            <w:r>
              <w:rPr>
                <w:color w:val="auto"/>
              </w:rPr>
              <w:t>C0i—第i个污染物的环境空气质量标准，mg/m</w:t>
            </w:r>
            <w:r>
              <w:rPr>
                <w:color w:val="auto"/>
                <w:vertAlign w:val="superscript"/>
              </w:rPr>
              <w:t>3</w:t>
            </w:r>
            <w:r>
              <w:rPr>
                <w:color w:val="auto"/>
              </w:rPr>
              <w:t>。</w:t>
            </w:r>
          </w:p>
          <w:p>
            <w:pPr>
              <w:ind w:firstLine="420" w:firstLineChars="200"/>
              <w:jc w:val="center"/>
              <w:rPr>
                <w:b/>
                <w:color w:val="auto"/>
                <w:szCs w:val="21"/>
              </w:rPr>
            </w:pPr>
            <w:r>
              <w:rPr>
                <w:rFonts w:hint="eastAsia"/>
                <w:b/>
                <w:color w:val="auto"/>
                <w:szCs w:val="21"/>
              </w:rPr>
              <w:t>表 7-5 大气环境评价工作等级分级判据</w:t>
            </w:r>
          </w:p>
          <w:tbl>
            <w:tblPr>
              <w:tblStyle w:val="56"/>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88"/>
              <w:gridCol w:w="647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2" w:type="pct"/>
                  <w:vAlign w:val="center"/>
                </w:tcPr>
                <w:p>
                  <w:pPr>
                    <w:pStyle w:val="210"/>
                    <w:rPr>
                      <w:b/>
                      <w:color w:val="auto"/>
                    </w:rPr>
                  </w:pPr>
                  <w:r>
                    <w:rPr>
                      <w:b/>
                      <w:color w:val="auto"/>
                    </w:rPr>
                    <w:t>评价工作等级</w:t>
                  </w:r>
                </w:p>
              </w:tc>
              <w:tc>
                <w:tcPr>
                  <w:tcW w:w="3737" w:type="pct"/>
                  <w:vAlign w:val="center"/>
                </w:tcPr>
                <w:p>
                  <w:pPr>
                    <w:pStyle w:val="210"/>
                    <w:rPr>
                      <w:b/>
                      <w:color w:val="auto"/>
                    </w:rPr>
                  </w:pPr>
                  <w:r>
                    <w:rPr>
                      <w:b/>
                      <w:color w:val="auto"/>
                    </w:rPr>
                    <w:t>评价工作分级判据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2" w:type="pct"/>
                  <w:vAlign w:val="center"/>
                </w:tcPr>
                <w:p>
                  <w:pPr>
                    <w:pStyle w:val="210"/>
                    <w:rPr>
                      <w:color w:val="auto"/>
                    </w:rPr>
                  </w:pPr>
                  <w:r>
                    <w:rPr>
                      <w:color w:val="auto"/>
                    </w:rPr>
                    <w:t>一级</w:t>
                  </w:r>
                </w:p>
              </w:tc>
              <w:tc>
                <w:tcPr>
                  <w:tcW w:w="3737" w:type="pct"/>
                  <w:vAlign w:val="center"/>
                </w:tcPr>
                <w:p>
                  <w:pPr>
                    <w:pStyle w:val="210"/>
                    <w:rPr>
                      <w:color w:val="auto"/>
                    </w:rPr>
                  </w:pPr>
                  <w:r>
                    <w:rPr>
                      <w:color w:val="auto"/>
                    </w:rPr>
                    <w:t>Pmax≥10%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2" w:type="pct"/>
                  <w:vAlign w:val="center"/>
                </w:tcPr>
                <w:p>
                  <w:pPr>
                    <w:pStyle w:val="210"/>
                    <w:rPr>
                      <w:color w:val="auto"/>
                    </w:rPr>
                  </w:pPr>
                  <w:r>
                    <w:rPr>
                      <w:color w:val="auto"/>
                    </w:rPr>
                    <w:t>二级</w:t>
                  </w:r>
                </w:p>
              </w:tc>
              <w:tc>
                <w:tcPr>
                  <w:tcW w:w="3737" w:type="pct"/>
                  <w:vAlign w:val="center"/>
                </w:tcPr>
                <w:p>
                  <w:pPr>
                    <w:pStyle w:val="210"/>
                    <w:rPr>
                      <w:color w:val="auto"/>
                    </w:rPr>
                  </w:pPr>
                  <w:r>
                    <w:rPr>
                      <w:color w:val="auto"/>
                    </w:rPr>
                    <w:t>1%≤Pmax＜10%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2" w:type="pct"/>
                  <w:vAlign w:val="center"/>
                </w:tcPr>
                <w:p>
                  <w:pPr>
                    <w:pStyle w:val="210"/>
                    <w:rPr>
                      <w:color w:val="auto"/>
                    </w:rPr>
                  </w:pPr>
                  <w:r>
                    <w:rPr>
                      <w:color w:val="auto"/>
                    </w:rPr>
                    <w:t>三级</w:t>
                  </w:r>
                </w:p>
              </w:tc>
              <w:tc>
                <w:tcPr>
                  <w:tcW w:w="3737" w:type="pct"/>
                  <w:vAlign w:val="center"/>
                </w:tcPr>
                <w:p>
                  <w:pPr>
                    <w:pStyle w:val="210"/>
                    <w:rPr>
                      <w:color w:val="auto"/>
                    </w:rPr>
                  </w:pPr>
                  <w:r>
                    <w:rPr>
                      <w:color w:val="auto"/>
                    </w:rPr>
                    <w:t>Pmax＜1%</w:t>
                  </w:r>
                </w:p>
              </w:tc>
            </w:tr>
          </w:tbl>
          <w:p>
            <w:pPr>
              <w:spacing w:line="360" w:lineRule="auto"/>
              <w:ind w:firstLine="480" w:firstLineChars="200"/>
              <w:rPr>
                <w:color w:val="auto"/>
                <w:sz w:val="24"/>
                <w:lang w:eastAsia="ja-JP"/>
              </w:rPr>
            </w:pPr>
            <w:r>
              <w:rPr>
                <w:rFonts w:hint="eastAsia" w:ascii="宋体"/>
                <w:color w:val="auto"/>
                <w:sz w:val="24"/>
              </w:rPr>
              <w:t>⑤</w:t>
            </w:r>
            <w:r>
              <w:rPr>
                <w:rFonts w:hint="eastAsia"/>
                <w:color w:val="auto"/>
                <w:sz w:val="24"/>
              </w:rPr>
              <w:t>预测结果</w:t>
            </w:r>
          </w:p>
          <w:p>
            <w:pPr>
              <w:adjustRightInd w:val="0"/>
              <w:snapToGrid w:val="0"/>
              <w:spacing w:line="360" w:lineRule="auto"/>
              <w:ind w:firstLine="480" w:firstLineChars="200"/>
              <w:rPr>
                <w:b/>
                <w:bCs/>
                <w:color w:val="auto"/>
              </w:rPr>
            </w:pPr>
            <w:r>
              <w:rPr>
                <w:bCs/>
                <w:color w:val="auto"/>
                <w:sz w:val="24"/>
              </w:rPr>
              <w:t>废气正常工况下排放废气预测结果详见表7-</w:t>
            </w:r>
            <w:r>
              <w:rPr>
                <w:rFonts w:hint="eastAsia"/>
                <w:bCs/>
                <w:color w:val="auto"/>
                <w:sz w:val="24"/>
              </w:rPr>
              <w:t>6~7-7</w:t>
            </w:r>
            <w:r>
              <w:rPr>
                <w:bCs/>
                <w:color w:val="auto"/>
                <w:sz w:val="24"/>
              </w:rPr>
              <w:t>。预测结果汇总表详见表</w:t>
            </w:r>
            <w:r>
              <w:rPr>
                <w:rFonts w:hint="eastAsia"/>
                <w:bCs/>
                <w:color w:val="auto"/>
                <w:sz w:val="24"/>
              </w:rPr>
              <w:t>7-8</w:t>
            </w:r>
            <w:r>
              <w:rPr>
                <w:bCs/>
                <w:color w:val="auto"/>
                <w:sz w:val="24"/>
              </w:rPr>
              <w:t>。</w:t>
            </w:r>
          </w:p>
          <w:p>
            <w:pPr>
              <w:adjustRightInd w:val="0"/>
              <w:snapToGrid w:val="0"/>
              <w:jc w:val="center"/>
              <w:rPr>
                <w:rFonts w:hint="eastAsia" w:eastAsia="宋体"/>
                <w:b/>
                <w:bCs/>
                <w:color w:val="auto"/>
                <w:szCs w:val="22"/>
                <w:lang w:eastAsia="zh-CN"/>
              </w:rPr>
            </w:pPr>
            <w:r>
              <w:rPr>
                <w:b/>
                <w:bCs/>
                <w:color w:val="auto"/>
                <w:szCs w:val="22"/>
              </w:rPr>
              <w:t>表7-</w:t>
            </w:r>
            <w:r>
              <w:rPr>
                <w:rFonts w:hint="eastAsia"/>
                <w:b/>
                <w:bCs/>
                <w:color w:val="auto"/>
                <w:szCs w:val="22"/>
              </w:rPr>
              <w:t>6</w:t>
            </w:r>
            <w:r>
              <w:rPr>
                <w:b/>
                <w:bCs/>
                <w:color w:val="auto"/>
                <w:szCs w:val="22"/>
              </w:rPr>
              <w:t xml:space="preserve">  本项目污染物有组织排放时最大地面浓度及占标率表</w:t>
            </w:r>
            <w:r>
              <w:rPr>
                <w:rFonts w:hint="eastAsia"/>
                <w:b/>
                <w:bCs/>
                <w:color w:val="auto"/>
                <w:szCs w:val="22"/>
                <w:lang w:eastAsia="zh-CN"/>
              </w:rPr>
              <w:t>（</w:t>
            </w:r>
            <w:r>
              <w:rPr>
                <w:rFonts w:hint="eastAsia"/>
                <w:b/>
                <w:bCs/>
                <w:color w:val="auto"/>
                <w:szCs w:val="22"/>
                <w:lang w:val="en-US" w:eastAsia="zh-CN"/>
              </w:rPr>
              <w:t>DA001</w:t>
            </w:r>
            <w:r>
              <w:rPr>
                <w:rFonts w:hint="eastAsia"/>
                <w:b/>
                <w:bCs/>
                <w:color w:val="auto"/>
                <w:szCs w:val="22"/>
                <w:lang w:eastAsia="zh-CN"/>
              </w:rPr>
              <w:t>）</w:t>
            </w:r>
          </w:p>
          <w:tbl>
            <w:tblPr>
              <w:tblStyle w:val="5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251"/>
              <w:gridCol w:w="2754"/>
              <w:gridCol w:w="266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vMerge w:val="restart"/>
                  <w:tcBorders>
                    <w:top w:val="single" w:color="auto" w:sz="12" w:space="0"/>
                    <w:left w:val="nil"/>
                    <w:bottom w:val="single" w:color="auto" w:sz="4" w:space="0"/>
                    <w:right w:val="single" w:color="auto" w:sz="4" w:space="0"/>
                  </w:tcBorders>
                  <w:vAlign w:val="center"/>
                </w:tcPr>
                <w:p>
                  <w:pPr>
                    <w:pStyle w:val="210"/>
                    <w:rPr>
                      <w:b/>
                      <w:color w:val="auto"/>
                      <w:szCs w:val="21"/>
                    </w:rPr>
                  </w:pPr>
                  <w:r>
                    <w:rPr>
                      <w:b/>
                      <w:color w:val="auto"/>
                      <w:szCs w:val="21"/>
                    </w:rPr>
                    <w:t>下风向距离D/m</w:t>
                  </w:r>
                </w:p>
              </w:tc>
              <w:tc>
                <w:tcPr>
                  <w:tcW w:w="3124" w:type="pct"/>
                  <w:gridSpan w:val="2"/>
                  <w:tcBorders>
                    <w:top w:val="single" w:color="auto" w:sz="12" w:space="0"/>
                    <w:left w:val="single" w:color="auto" w:sz="4" w:space="0"/>
                    <w:bottom w:val="single" w:color="auto" w:sz="4" w:space="0"/>
                    <w:right w:val="nil"/>
                  </w:tcBorders>
                  <w:vAlign w:val="center"/>
                </w:tcPr>
                <w:p>
                  <w:pPr>
                    <w:pStyle w:val="210"/>
                    <w:rPr>
                      <w:rFonts w:hint="eastAsia" w:eastAsia="宋体"/>
                      <w:b/>
                      <w:color w:val="auto"/>
                      <w:szCs w:val="21"/>
                      <w:lang w:eastAsia="zh-CN"/>
                    </w:rPr>
                  </w:pPr>
                  <w:r>
                    <w:rPr>
                      <w:rFonts w:hint="eastAsia"/>
                      <w:b/>
                      <w:color w:val="auto"/>
                      <w:szCs w:val="21"/>
                      <w:lang w:val="en-US" w:eastAsia="zh-CN"/>
                    </w:rPr>
                    <w:t>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vMerge w:val="continue"/>
                  <w:tcBorders>
                    <w:top w:val="single" w:color="auto" w:sz="12" w:space="0"/>
                    <w:left w:val="nil"/>
                    <w:bottom w:val="single" w:color="auto" w:sz="4" w:space="0"/>
                    <w:right w:val="single" w:color="auto" w:sz="4" w:space="0"/>
                  </w:tcBorders>
                  <w:vAlign w:val="center"/>
                </w:tcPr>
                <w:p>
                  <w:pPr>
                    <w:jc w:val="center"/>
                    <w:rPr>
                      <w:color w:val="auto"/>
                      <w:szCs w:val="21"/>
                    </w:rPr>
                  </w:pPr>
                </w:p>
              </w:tc>
              <w:tc>
                <w:tcPr>
                  <w:tcW w:w="1588" w:type="pct"/>
                  <w:tcBorders>
                    <w:top w:val="single" w:color="auto" w:sz="4" w:space="0"/>
                    <w:left w:val="single" w:color="auto" w:sz="4" w:space="0"/>
                    <w:bottom w:val="single" w:color="auto" w:sz="4" w:space="0"/>
                    <w:right w:val="single" w:color="auto" w:sz="4" w:space="0"/>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1536"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0.63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0.0103</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0.0174</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3.86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auto"/>
                  <w:vAlign w:val="center"/>
                </w:tcPr>
                <w:p>
                  <w:pPr>
                    <w:widowControl/>
                    <w:jc w:val="center"/>
                    <w:textAlignment w:val="center"/>
                    <w:rPr>
                      <w:color w:val="auto"/>
                      <w:kern w:val="0"/>
                      <w:szCs w:val="21"/>
                      <w:lang w:bidi="ar"/>
                    </w:rPr>
                  </w:pPr>
                  <w:r>
                    <w:rPr>
                      <w:rFonts w:hint="eastAsia"/>
                      <w:color w:val="auto"/>
                      <w:kern w:val="0"/>
                      <w:szCs w:val="21"/>
                      <w:lang w:bidi="ar"/>
                    </w:rPr>
                    <w:t>100</w:t>
                  </w:r>
                </w:p>
              </w:tc>
              <w:tc>
                <w:tcPr>
                  <w:tcW w:w="275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0.0193</w:t>
                  </w:r>
                </w:p>
              </w:tc>
              <w:tc>
                <w:tcPr>
                  <w:tcW w:w="2664" w:type="dxa"/>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125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0.0184</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0.0168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3.73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175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0.015</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3.34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0.0134</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225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0.012</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0.0108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275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0.0098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0.0089</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325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0.0081</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350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0.0075</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1.66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360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0.0072</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375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0.0069</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0.0064</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425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0.0059</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1.32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450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0.0055</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475</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0.0052</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0.0048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600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0.0031</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800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0.0026</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900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0.0023</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2500</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875" w:type="pct"/>
                  <w:tcBorders>
                    <w:top w:val="single" w:color="auto" w:sz="4" w:space="0"/>
                    <w:left w:val="nil"/>
                    <w:bottom w:val="single" w:color="auto" w:sz="4" w:space="0"/>
                    <w:right w:val="single" w:color="auto" w:sz="4" w:space="0"/>
                  </w:tcBorders>
                  <w:shd w:val="clear" w:color="auto" w:fill="CCE8CF"/>
                  <w:vAlign w:val="center"/>
                </w:tcPr>
                <w:p>
                  <w:pPr>
                    <w:pStyle w:val="210"/>
                    <w:rPr>
                      <w:color w:val="auto"/>
                      <w:kern w:val="0"/>
                      <w:szCs w:val="21"/>
                      <w:lang w:val="en-US" w:bidi="ar"/>
                    </w:rPr>
                  </w:pPr>
                  <w:r>
                    <w:rPr>
                      <w:color w:val="auto"/>
                      <w:kern w:val="0"/>
                      <w:szCs w:val="21"/>
                      <w:lang w:val="en-US" w:bidi="ar"/>
                    </w:rPr>
                    <w:t>最大地面浓度</w:t>
                  </w:r>
                  <w:r>
                    <w:rPr>
                      <w:rFonts w:hint="eastAsia"/>
                      <w:color w:val="auto"/>
                      <w:kern w:val="0"/>
                      <w:szCs w:val="21"/>
                      <w:lang w:val="en-US" w:bidi="ar"/>
                    </w:rPr>
                    <w:t>及占标率</w:t>
                  </w:r>
                </w:p>
              </w:tc>
              <w:tc>
                <w:tcPr>
                  <w:tcW w:w="2754" w:type="dxa"/>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0.0193</w:t>
                  </w:r>
                </w:p>
              </w:tc>
              <w:tc>
                <w:tcPr>
                  <w:tcW w:w="2664" w:type="dxa"/>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75" w:type="pct"/>
                  <w:tcBorders>
                    <w:top w:val="single" w:color="auto" w:sz="4" w:space="0"/>
                    <w:left w:val="nil"/>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D10%,m</w:t>
                  </w:r>
                </w:p>
              </w:tc>
              <w:tc>
                <w:tcPr>
                  <w:tcW w:w="1588" w:type="pct"/>
                  <w:tcBorders>
                    <w:top w:val="single" w:color="auto" w:sz="4" w:space="0"/>
                    <w:left w:val="single" w:color="auto" w:sz="4" w:space="0"/>
                    <w:bottom w:val="single" w:color="auto" w:sz="12" w:space="0"/>
                    <w:right w:val="single" w:color="auto" w:sz="4" w:space="0"/>
                  </w:tcBorders>
                  <w:shd w:val="clear" w:color="auto" w:fill="CCE8CF"/>
                  <w:vAlign w:val="center"/>
                </w:tcPr>
                <w:p>
                  <w:pPr>
                    <w:pStyle w:val="210"/>
                    <w:rPr>
                      <w:rFonts w:hint="eastAsia" w:eastAsia="宋体"/>
                      <w:color w:val="auto"/>
                      <w:szCs w:val="21"/>
                      <w:lang w:val="en-US" w:eastAsia="zh-CN"/>
                    </w:rPr>
                  </w:pPr>
                  <w:r>
                    <w:rPr>
                      <w:rFonts w:hint="eastAsia"/>
                      <w:color w:val="auto"/>
                      <w:szCs w:val="21"/>
                      <w:lang w:val="en-US" w:eastAsia="zh-CN"/>
                    </w:rPr>
                    <w:t>/</w:t>
                  </w:r>
                </w:p>
              </w:tc>
              <w:tc>
                <w:tcPr>
                  <w:tcW w:w="1536" w:type="pct"/>
                  <w:tcBorders>
                    <w:top w:val="single" w:color="auto" w:sz="4" w:space="0"/>
                    <w:left w:val="single" w:color="auto" w:sz="4" w:space="0"/>
                    <w:bottom w:val="single" w:color="auto" w:sz="12" w:space="0"/>
                    <w:right w:val="nil"/>
                  </w:tcBorders>
                  <w:shd w:val="clear" w:color="auto" w:fill="CCE8CF"/>
                  <w:vAlign w:val="center"/>
                </w:tcPr>
                <w:p>
                  <w:pPr>
                    <w:pStyle w:val="210"/>
                    <w:rPr>
                      <w:rFonts w:hint="eastAsia" w:eastAsia="宋体"/>
                      <w:color w:val="auto"/>
                      <w:szCs w:val="21"/>
                      <w:lang w:val="en-US" w:eastAsia="zh-CN"/>
                    </w:rPr>
                  </w:pPr>
                  <w:r>
                    <w:rPr>
                      <w:rFonts w:hint="eastAsia"/>
                      <w:color w:val="auto"/>
                      <w:szCs w:val="21"/>
                      <w:lang w:val="en-US" w:eastAsia="zh-CN"/>
                    </w:rPr>
                    <w:t>/</w:t>
                  </w:r>
                </w:p>
              </w:tc>
            </w:tr>
          </w:tbl>
          <w:p>
            <w:pPr>
              <w:adjustRightInd w:val="0"/>
              <w:snapToGrid w:val="0"/>
              <w:jc w:val="center"/>
              <w:rPr>
                <w:b/>
                <w:bCs/>
                <w:color w:val="auto"/>
                <w:szCs w:val="22"/>
              </w:rPr>
            </w:pPr>
          </w:p>
          <w:p>
            <w:pPr>
              <w:adjustRightInd w:val="0"/>
              <w:snapToGrid w:val="0"/>
              <w:jc w:val="center"/>
              <w:rPr>
                <w:rFonts w:hint="eastAsia" w:eastAsia="宋体"/>
                <w:b/>
                <w:bCs/>
                <w:color w:val="auto"/>
                <w:szCs w:val="22"/>
                <w:lang w:eastAsia="zh-CN"/>
              </w:rPr>
            </w:pPr>
            <w:r>
              <w:rPr>
                <w:b/>
                <w:bCs/>
                <w:color w:val="auto"/>
                <w:szCs w:val="22"/>
              </w:rPr>
              <w:t>表7-</w:t>
            </w:r>
            <w:r>
              <w:rPr>
                <w:rFonts w:hint="eastAsia"/>
                <w:b/>
                <w:bCs/>
                <w:color w:val="auto"/>
                <w:szCs w:val="22"/>
                <w:lang w:val="en-US" w:eastAsia="zh-CN"/>
              </w:rPr>
              <w:t>7</w:t>
            </w:r>
            <w:r>
              <w:rPr>
                <w:b/>
                <w:bCs/>
                <w:color w:val="auto"/>
                <w:szCs w:val="22"/>
              </w:rPr>
              <w:t xml:space="preserve">  本项目污染物有组织排放时最大地面浓度及占标率表</w:t>
            </w:r>
            <w:r>
              <w:rPr>
                <w:rFonts w:hint="eastAsia"/>
                <w:b/>
                <w:bCs/>
                <w:color w:val="auto"/>
                <w:szCs w:val="22"/>
                <w:lang w:eastAsia="zh-CN"/>
              </w:rPr>
              <w:t>（</w:t>
            </w:r>
            <w:r>
              <w:rPr>
                <w:rFonts w:hint="eastAsia"/>
                <w:b/>
                <w:bCs/>
                <w:color w:val="auto"/>
                <w:szCs w:val="22"/>
                <w:lang w:val="en-US" w:eastAsia="zh-CN"/>
              </w:rPr>
              <w:t>DA002</w:t>
            </w:r>
            <w:r>
              <w:rPr>
                <w:rFonts w:hint="eastAsia"/>
                <w:b/>
                <w:bCs/>
                <w:color w:val="auto"/>
                <w:szCs w:val="22"/>
                <w:lang w:eastAsia="zh-CN"/>
              </w:rPr>
              <w:t>）</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99"/>
              <w:gridCol w:w="1694"/>
              <w:gridCol w:w="1638"/>
              <w:gridCol w:w="1666"/>
              <w:gridCol w:w="16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vMerge w:val="restart"/>
                  <w:tcBorders>
                    <w:top w:val="single" w:color="auto" w:sz="12" w:space="0"/>
                    <w:left w:val="nil"/>
                    <w:bottom w:val="single" w:color="auto" w:sz="4" w:space="0"/>
                    <w:right w:val="single" w:color="auto" w:sz="4" w:space="0"/>
                  </w:tcBorders>
                  <w:vAlign w:val="center"/>
                </w:tcPr>
                <w:p>
                  <w:pPr>
                    <w:pStyle w:val="210"/>
                    <w:rPr>
                      <w:b/>
                      <w:color w:val="auto"/>
                      <w:szCs w:val="21"/>
                    </w:rPr>
                  </w:pPr>
                  <w:r>
                    <w:rPr>
                      <w:b/>
                      <w:color w:val="auto"/>
                      <w:szCs w:val="21"/>
                    </w:rPr>
                    <w:t>下风向距离D/m</w:t>
                  </w:r>
                </w:p>
              </w:tc>
              <w:tc>
                <w:tcPr>
                  <w:tcW w:w="1922" w:type="pct"/>
                  <w:gridSpan w:val="2"/>
                  <w:tcBorders>
                    <w:top w:val="single" w:color="auto" w:sz="12" w:space="0"/>
                    <w:left w:val="single" w:color="auto" w:sz="4" w:space="0"/>
                    <w:bottom w:val="single" w:color="auto" w:sz="4" w:space="0"/>
                    <w:right w:val="nil"/>
                  </w:tcBorders>
                  <w:vAlign w:val="center"/>
                </w:tcPr>
                <w:p>
                  <w:pPr>
                    <w:pStyle w:val="210"/>
                    <w:rPr>
                      <w:rFonts w:hint="eastAsia" w:eastAsia="宋体"/>
                      <w:b/>
                      <w:color w:val="auto"/>
                      <w:szCs w:val="21"/>
                      <w:lang w:eastAsia="zh-CN"/>
                    </w:rPr>
                  </w:pPr>
                  <w:r>
                    <w:rPr>
                      <w:rFonts w:hint="eastAsia"/>
                      <w:b/>
                      <w:color w:val="auto"/>
                      <w:szCs w:val="21"/>
                      <w:lang w:val="en-US" w:eastAsia="zh-CN"/>
                    </w:rPr>
                    <w:t>颗粒物</w:t>
                  </w:r>
                </w:p>
              </w:tc>
              <w:tc>
                <w:tcPr>
                  <w:tcW w:w="1924" w:type="pct"/>
                  <w:gridSpan w:val="2"/>
                  <w:tcBorders>
                    <w:top w:val="single" w:color="auto" w:sz="12" w:space="0"/>
                    <w:left w:val="single" w:color="auto" w:sz="4" w:space="0"/>
                    <w:bottom w:val="single" w:color="auto" w:sz="4" w:space="0"/>
                    <w:right w:val="nil"/>
                  </w:tcBorders>
                  <w:vAlign w:val="center"/>
                </w:tcPr>
                <w:p>
                  <w:pPr>
                    <w:pStyle w:val="210"/>
                    <w:rPr>
                      <w:rFonts w:hint="default"/>
                      <w:b/>
                      <w:color w:val="auto"/>
                      <w:szCs w:val="21"/>
                      <w:lang w:val="en-US" w:eastAsia="zh-CN"/>
                    </w:rPr>
                  </w:pPr>
                  <w:r>
                    <w:rPr>
                      <w:rFonts w:hint="eastAsia"/>
                      <w:b/>
                      <w:color w:val="auto"/>
                      <w:szCs w:val="21"/>
                      <w:lang w:val="en-US" w:eastAsia="zh-CN"/>
                    </w:rPr>
                    <w:t>非甲烷总烃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vMerge w:val="continue"/>
                  <w:tcBorders>
                    <w:top w:val="single" w:color="auto" w:sz="12" w:space="0"/>
                    <w:left w:val="nil"/>
                    <w:bottom w:val="single" w:color="auto" w:sz="4" w:space="0"/>
                    <w:right w:val="single" w:color="auto" w:sz="4" w:space="0"/>
                  </w:tcBorders>
                  <w:vAlign w:val="center"/>
                </w:tcPr>
                <w:p>
                  <w:pPr>
                    <w:jc w:val="center"/>
                    <w:rPr>
                      <w:color w:val="auto"/>
                      <w:szCs w:val="21"/>
                    </w:rPr>
                  </w:pPr>
                </w:p>
              </w:tc>
              <w:tc>
                <w:tcPr>
                  <w:tcW w:w="977" w:type="pct"/>
                  <w:tcBorders>
                    <w:top w:val="single" w:color="auto" w:sz="4" w:space="0"/>
                    <w:left w:val="single" w:color="auto" w:sz="4" w:space="0"/>
                    <w:bottom w:val="single" w:color="auto" w:sz="4" w:space="0"/>
                    <w:right w:val="single" w:color="auto" w:sz="4" w:space="0"/>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945"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c>
                <w:tcPr>
                  <w:tcW w:w="961" w:type="pct"/>
                  <w:tcBorders>
                    <w:top w:val="single" w:color="auto" w:sz="4" w:space="0"/>
                    <w:left w:val="single" w:color="auto" w:sz="4" w:space="0"/>
                    <w:bottom w:val="single" w:color="auto" w:sz="4" w:space="0"/>
                    <w:right w:val="nil"/>
                  </w:tcBorders>
                  <w:vAlign w:val="center"/>
                </w:tcPr>
                <w:p>
                  <w:pPr>
                    <w:pStyle w:val="210"/>
                    <w:rPr>
                      <w:rFonts w:ascii="Times New Roman" w:hAnsi="Times New Roman" w:eastAsia="宋体" w:cs="Times New Roman"/>
                      <w:b/>
                      <w:color w:val="auto"/>
                      <w:kern w:val="2"/>
                      <w:sz w:val="21"/>
                      <w:szCs w:val="21"/>
                      <w:lang w:val="en-US" w:eastAsia="zh-CN" w:bidi="ar-SA"/>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962" w:type="pct"/>
                  <w:tcBorders>
                    <w:top w:val="single" w:color="auto" w:sz="4" w:space="0"/>
                    <w:left w:val="single" w:color="auto" w:sz="4" w:space="0"/>
                    <w:bottom w:val="single" w:color="auto" w:sz="4" w:space="0"/>
                    <w:right w:val="nil"/>
                  </w:tcBorders>
                  <w:vAlign w:val="center"/>
                </w:tcPr>
                <w:p>
                  <w:pPr>
                    <w:pStyle w:val="210"/>
                    <w:rPr>
                      <w:rFonts w:ascii="Times New Roman" w:hAnsi="Times New Roman" w:eastAsia="宋体" w:cs="Times New Roman"/>
                      <w:b/>
                      <w:color w:val="auto"/>
                      <w:kern w:val="2"/>
                      <w:sz w:val="21"/>
                      <w:szCs w:val="21"/>
                      <w:lang w:val="en-US" w:eastAsia="zh-CN" w:bidi="ar-SA"/>
                    </w:rPr>
                  </w:pPr>
                  <w:r>
                    <w:rPr>
                      <w:b/>
                      <w:color w:val="auto"/>
                      <w:szCs w:val="21"/>
                      <w:lang w:val="en-US"/>
                    </w:rPr>
                    <w:t>Pi</w:t>
                  </w:r>
                  <w:r>
                    <w:rPr>
                      <w:b/>
                      <w:color w:val="auto"/>
                      <w:szCs w:val="21"/>
                    </w:rPr>
                    <w:t>占标率</w:t>
                  </w:r>
                  <w:r>
                    <w:rPr>
                      <w:b/>
                      <w:color w:val="auto"/>
                      <w:szCs w:val="21"/>
                      <w:lang w:val="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0.25</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0.0019</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auto"/>
                  <w:vAlign w:val="center"/>
                </w:tcPr>
                <w:p>
                  <w:pPr>
                    <w:widowControl/>
                    <w:jc w:val="center"/>
                    <w:textAlignment w:val="center"/>
                    <w:rPr>
                      <w:color w:val="auto"/>
                      <w:kern w:val="0"/>
                      <w:szCs w:val="21"/>
                      <w:lang w:bidi="ar"/>
                    </w:rPr>
                  </w:pPr>
                  <w:r>
                    <w:rPr>
                      <w:rFonts w:hint="eastAsia"/>
                      <w:color w:val="auto"/>
                      <w:kern w:val="0"/>
                      <w:szCs w:val="21"/>
                      <w:lang w:bidi="ar"/>
                    </w:rPr>
                    <w:t>100</w:t>
                  </w:r>
                </w:p>
              </w:tc>
              <w:tc>
                <w:tcPr>
                  <w:tcW w:w="97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0.0021</w:t>
                  </w:r>
                </w:p>
              </w:tc>
              <w:tc>
                <w:tcPr>
                  <w:tcW w:w="945"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0.46</w:t>
                  </w:r>
                </w:p>
              </w:tc>
              <w:tc>
                <w:tcPr>
                  <w:tcW w:w="961"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62"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0.36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0.32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0.0005</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0.29</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0.0005</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0.0009</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0.19</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360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0.15</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0.0005</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default"/>
                      <w:color w:val="auto"/>
                      <w:kern w:val="0"/>
                      <w:szCs w:val="21"/>
                      <w:lang w:val="en-US" w:bidi="ar"/>
                    </w:rPr>
                  </w:pPr>
                  <w:r>
                    <w:rPr>
                      <w:rFonts w:hint="eastAsia"/>
                      <w:color w:val="auto"/>
                      <w:kern w:val="0"/>
                      <w:szCs w:val="21"/>
                      <w:lang w:val="en-US" w:eastAsia="zh-CN" w:bidi="ar"/>
                    </w:rPr>
                    <w:t>0.12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600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0.09</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800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900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0.05</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0.05</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pStyle w:val="210"/>
                    <w:rPr>
                      <w:color w:val="auto"/>
                      <w:kern w:val="0"/>
                      <w:szCs w:val="21"/>
                      <w:lang w:val="en-US" w:bidi="ar"/>
                    </w:rPr>
                  </w:pPr>
                  <w:r>
                    <w:rPr>
                      <w:color w:val="auto"/>
                      <w:kern w:val="0"/>
                      <w:szCs w:val="21"/>
                      <w:lang w:val="en-US" w:bidi="ar"/>
                    </w:rPr>
                    <w:t>最大地面浓度</w:t>
                  </w:r>
                  <w:r>
                    <w:rPr>
                      <w:rFonts w:hint="eastAsia"/>
                      <w:color w:val="auto"/>
                      <w:kern w:val="0"/>
                      <w:szCs w:val="21"/>
                      <w:lang w:val="en-US" w:bidi="ar"/>
                    </w:rPr>
                    <w:t>及占标率</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0.46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0.0008</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153" w:type="pct"/>
                  <w:tcBorders>
                    <w:top w:val="single" w:color="auto" w:sz="4" w:space="0"/>
                    <w:left w:val="nil"/>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D10%,m</w:t>
                  </w:r>
                </w:p>
              </w:tc>
              <w:tc>
                <w:tcPr>
                  <w:tcW w:w="977" w:type="pct"/>
                  <w:tcBorders>
                    <w:top w:val="single" w:color="auto" w:sz="4" w:space="0"/>
                    <w:left w:val="single" w:color="auto" w:sz="4" w:space="0"/>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w:t>
                  </w:r>
                </w:p>
              </w:tc>
              <w:tc>
                <w:tcPr>
                  <w:tcW w:w="945" w:type="pct"/>
                  <w:tcBorders>
                    <w:top w:val="single" w:color="auto" w:sz="4" w:space="0"/>
                    <w:left w:val="single" w:color="auto" w:sz="4" w:space="0"/>
                    <w:bottom w:val="single" w:color="auto" w:sz="12" w:space="0"/>
                    <w:right w:val="nil"/>
                  </w:tcBorders>
                  <w:shd w:val="clear" w:color="auto" w:fill="CCE8CF"/>
                  <w:vAlign w:val="center"/>
                </w:tcPr>
                <w:p>
                  <w:pPr>
                    <w:pStyle w:val="210"/>
                    <w:jc w:val="center"/>
                    <w:rPr>
                      <w:color w:val="auto"/>
                      <w:szCs w:val="21"/>
                      <w:lang w:val="en-US"/>
                    </w:rPr>
                  </w:pPr>
                  <w:r>
                    <w:rPr>
                      <w:color w:val="auto"/>
                      <w:szCs w:val="21"/>
                      <w:lang w:val="en-US"/>
                    </w:rPr>
                    <w:t>/</w:t>
                  </w:r>
                </w:p>
              </w:tc>
              <w:tc>
                <w:tcPr>
                  <w:tcW w:w="961" w:type="pct"/>
                  <w:tcBorders>
                    <w:top w:val="single" w:color="auto" w:sz="4" w:space="0"/>
                    <w:left w:val="single" w:color="auto" w:sz="4" w:space="0"/>
                    <w:bottom w:val="single" w:color="auto" w:sz="12" w:space="0"/>
                    <w:right w:val="nil"/>
                  </w:tcBorders>
                  <w:shd w:val="clear" w:color="auto" w:fill="CCE8CF"/>
                  <w:vAlign w:val="center"/>
                </w:tcPr>
                <w:p>
                  <w:pPr>
                    <w:jc w:val="center"/>
                    <w:rPr>
                      <w:color w:val="auto"/>
                      <w:szCs w:val="21"/>
                      <w:lang w:val="en-US"/>
                    </w:rPr>
                  </w:pPr>
                  <w:r>
                    <w:rPr>
                      <w:color w:val="auto"/>
                      <w:szCs w:val="21"/>
                      <w:lang w:val="en-US"/>
                    </w:rPr>
                    <w:t>/</w:t>
                  </w:r>
                </w:p>
              </w:tc>
              <w:tc>
                <w:tcPr>
                  <w:tcW w:w="962" w:type="pct"/>
                  <w:tcBorders>
                    <w:top w:val="single" w:color="auto" w:sz="4" w:space="0"/>
                    <w:left w:val="single" w:color="auto" w:sz="4" w:space="0"/>
                    <w:bottom w:val="single" w:color="auto" w:sz="12" w:space="0"/>
                    <w:right w:val="nil"/>
                  </w:tcBorders>
                  <w:shd w:val="clear" w:color="auto" w:fill="CCE8CF"/>
                  <w:vAlign w:val="center"/>
                </w:tcPr>
                <w:p>
                  <w:pPr>
                    <w:jc w:val="center"/>
                    <w:rPr>
                      <w:color w:val="auto"/>
                      <w:szCs w:val="21"/>
                      <w:lang w:val="en-US"/>
                    </w:rPr>
                  </w:pPr>
                  <w:r>
                    <w:rPr>
                      <w:color w:val="auto"/>
                      <w:szCs w:val="21"/>
                      <w:lang w:val="en-US"/>
                    </w:rPr>
                    <w:t>/</w:t>
                  </w:r>
                </w:p>
              </w:tc>
            </w:tr>
          </w:tbl>
          <w:p>
            <w:pPr>
              <w:adjustRightInd w:val="0"/>
              <w:snapToGrid w:val="0"/>
              <w:jc w:val="center"/>
              <w:rPr>
                <w:b/>
                <w:bCs/>
                <w:color w:val="auto"/>
                <w:szCs w:val="22"/>
              </w:rPr>
            </w:pPr>
          </w:p>
          <w:p>
            <w:pPr>
              <w:adjustRightInd w:val="0"/>
              <w:snapToGrid w:val="0"/>
              <w:jc w:val="center"/>
              <w:rPr>
                <w:rFonts w:hint="eastAsia" w:eastAsia="宋体"/>
                <w:b/>
                <w:bCs/>
                <w:color w:val="auto"/>
                <w:szCs w:val="22"/>
                <w:lang w:eastAsia="zh-CN"/>
              </w:rPr>
            </w:pPr>
            <w:r>
              <w:rPr>
                <w:b/>
                <w:bCs/>
                <w:color w:val="auto"/>
                <w:szCs w:val="22"/>
              </w:rPr>
              <w:t>表7-</w:t>
            </w:r>
            <w:r>
              <w:rPr>
                <w:rFonts w:hint="eastAsia"/>
                <w:b/>
                <w:bCs/>
                <w:color w:val="auto"/>
                <w:szCs w:val="22"/>
                <w:lang w:val="en-US" w:eastAsia="zh-CN"/>
              </w:rPr>
              <w:t>8</w:t>
            </w:r>
            <w:r>
              <w:rPr>
                <w:b/>
                <w:bCs/>
                <w:color w:val="auto"/>
                <w:szCs w:val="22"/>
              </w:rPr>
              <w:t xml:space="preserve">  本项目污染物有组织排放时最大地面浓度及占标率表</w:t>
            </w:r>
            <w:r>
              <w:rPr>
                <w:rFonts w:hint="eastAsia"/>
                <w:b/>
                <w:bCs/>
                <w:color w:val="auto"/>
                <w:szCs w:val="22"/>
                <w:lang w:eastAsia="zh-CN"/>
              </w:rPr>
              <w:t>（</w:t>
            </w:r>
            <w:r>
              <w:rPr>
                <w:rFonts w:hint="eastAsia"/>
                <w:b/>
                <w:bCs/>
                <w:color w:val="auto"/>
                <w:szCs w:val="22"/>
                <w:lang w:val="en-US" w:eastAsia="zh-CN"/>
              </w:rPr>
              <w:t>DA003</w:t>
            </w:r>
            <w:r>
              <w:rPr>
                <w:rFonts w:hint="eastAsia"/>
                <w:b/>
                <w:bCs/>
                <w:color w:val="auto"/>
                <w:szCs w:val="22"/>
                <w:lang w:eastAsia="zh-CN"/>
              </w:rPr>
              <w:t>）</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99"/>
              <w:gridCol w:w="1694"/>
              <w:gridCol w:w="1638"/>
              <w:gridCol w:w="1666"/>
              <w:gridCol w:w="16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vMerge w:val="restart"/>
                  <w:tcBorders>
                    <w:top w:val="single" w:color="auto" w:sz="12" w:space="0"/>
                    <w:left w:val="nil"/>
                    <w:bottom w:val="single" w:color="auto" w:sz="4" w:space="0"/>
                    <w:right w:val="single" w:color="auto" w:sz="4" w:space="0"/>
                  </w:tcBorders>
                  <w:vAlign w:val="center"/>
                </w:tcPr>
                <w:p>
                  <w:pPr>
                    <w:pStyle w:val="210"/>
                    <w:rPr>
                      <w:b/>
                      <w:color w:val="auto"/>
                      <w:szCs w:val="21"/>
                    </w:rPr>
                  </w:pPr>
                  <w:r>
                    <w:rPr>
                      <w:b/>
                      <w:color w:val="auto"/>
                      <w:szCs w:val="21"/>
                    </w:rPr>
                    <w:t>下风向距离D/m</w:t>
                  </w:r>
                </w:p>
              </w:tc>
              <w:tc>
                <w:tcPr>
                  <w:tcW w:w="1922" w:type="pct"/>
                  <w:gridSpan w:val="2"/>
                  <w:tcBorders>
                    <w:top w:val="single" w:color="auto" w:sz="12" w:space="0"/>
                    <w:left w:val="single" w:color="auto" w:sz="4" w:space="0"/>
                    <w:bottom w:val="single" w:color="auto" w:sz="4" w:space="0"/>
                    <w:right w:val="nil"/>
                  </w:tcBorders>
                  <w:vAlign w:val="center"/>
                </w:tcPr>
                <w:p>
                  <w:pPr>
                    <w:pStyle w:val="210"/>
                    <w:rPr>
                      <w:rFonts w:hint="eastAsia" w:eastAsia="宋体"/>
                      <w:b/>
                      <w:color w:val="auto"/>
                      <w:szCs w:val="21"/>
                      <w:lang w:eastAsia="zh-CN"/>
                    </w:rPr>
                  </w:pPr>
                  <w:r>
                    <w:rPr>
                      <w:rFonts w:hint="eastAsia"/>
                      <w:b/>
                      <w:color w:val="auto"/>
                      <w:szCs w:val="21"/>
                      <w:lang w:val="en-US" w:eastAsia="zh-CN"/>
                    </w:rPr>
                    <w:t>颗粒物</w:t>
                  </w:r>
                </w:p>
              </w:tc>
              <w:tc>
                <w:tcPr>
                  <w:tcW w:w="1924" w:type="pct"/>
                  <w:gridSpan w:val="2"/>
                  <w:tcBorders>
                    <w:top w:val="single" w:color="auto" w:sz="12" w:space="0"/>
                    <w:left w:val="single" w:color="auto" w:sz="4" w:space="0"/>
                    <w:bottom w:val="single" w:color="auto" w:sz="4" w:space="0"/>
                    <w:right w:val="nil"/>
                  </w:tcBorders>
                  <w:vAlign w:val="center"/>
                </w:tcPr>
                <w:p>
                  <w:pPr>
                    <w:pStyle w:val="210"/>
                    <w:rPr>
                      <w:rFonts w:hint="default"/>
                      <w:b/>
                      <w:color w:val="auto"/>
                      <w:szCs w:val="21"/>
                      <w:lang w:val="en-US" w:eastAsia="zh-CN"/>
                    </w:rPr>
                  </w:pPr>
                  <w:r>
                    <w:rPr>
                      <w:rFonts w:hint="eastAsia"/>
                      <w:b/>
                      <w:color w:val="auto"/>
                      <w:szCs w:val="21"/>
                      <w:lang w:val="en-US" w:eastAsia="zh-CN"/>
                    </w:rPr>
                    <w:t>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vMerge w:val="continue"/>
                  <w:tcBorders>
                    <w:top w:val="single" w:color="auto" w:sz="12" w:space="0"/>
                    <w:left w:val="nil"/>
                    <w:bottom w:val="single" w:color="auto" w:sz="4" w:space="0"/>
                    <w:right w:val="single" w:color="auto" w:sz="4" w:space="0"/>
                  </w:tcBorders>
                  <w:vAlign w:val="center"/>
                </w:tcPr>
                <w:p>
                  <w:pPr>
                    <w:jc w:val="center"/>
                    <w:rPr>
                      <w:color w:val="auto"/>
                      <w:szCs w:val="21"/>
                    </w:rPr>
                  </w:pPr>
                </w:p>
              </w:tc>
              <w:tc>
                <w:tcPr>
                  <w:tcW w:w="977" w:type="pct"/>
                  <w:tcBorders>
                    <w:top w:val="single" w:color="auto" w:sz="4" w:space="0"/>
                    <w:left w:val="single" w:color="auto" w:sz="4" w:space="0"/>
                    <w:bottom w:val="single" w:color="auto" w:sz="4" w:space="0"/>
                    <w:right w:val="single" w:color="auto" w:sz="4" w:space="0"/>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945"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c>
                <w:tcPr>
                  <w:tcW w:w="961" w:type="pct"/>
                  <w:tcBorders>
                    <w:top w:val="single" w:color="auto" w:sz="4" w:space="0"/>
                    <w:left w:val="single" w:color="auto" w:sz="4" w:space="0"/>
                    <w:bottom w:val="single" w:color="auto" w:sz="4" w:space="0"/>
                    <w:right w:val="nil"/>
                  </w:tcBorders>
                  <w:vAlign w:val="center"/>
                </w:tcPr>
                <w:p>
                  <w:pPr>
                    <w:pStyle w:val="210"/>
                    <w:rPr>
                      <w:rFonts w:ascii="Times New Roman" w:hAnsi="Times New Roman" w:eastAsia="宋体" w:cs="Times New Roman"/>
                      <w:b/>
                      <w:color w:val="auto"/>
                      <w:kern w:val="2"/>
                      <w:sz w:val="21"/>
                      <w:szCs w:val="21"/>
                      <w:lang w:val="en-US" w:eastAsia="zh-CN" w:bidi="ar-SA"/>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962" w:type="pct"/>
                  <w:tcBorders>
                    <w:top w:val="single" w:color="auto" w:sz="4" w:space="0"/>
                    <w:left w:val="single" w:color="auto" w:sz="4" w:space="0"/>
                    <w:bottom w:val="single" w:color="auto" w:sz="4" w:space="0"/>
                    <w:right w:val="nil"/>
                  </w:tcBorders>
                  <w:vAlign w:val="center"/>
                </w:tcPr>
                <w:p>
                  <w:pPr>
                    <w:pStyle w:val="210"/>
                    <w:rPr>
                      <w:rFonts w:ascii="Times New Roman" w:hAnsi="Times New Roman" w:eastAsia="宋体" w:cs="Times New Roman"/>
                      <w:b/>
                      <w:color w:val="auto"/>
                      <w:kern w:val="2"/>
                      <w:sz w:val="21"/>
                      <w:szCs w:val="21"/>
                      <w:lang w:val="en-US" w:eastAsia="zh-CN" w:bidi="ar-SA"/>
                    </w:rPr>
                  </w:pPr>
                  <w:r>
                    <w:rPr>
                      <w:b/>
                      <w:color w:val="auto"/>
                      <w:szCs w:val="21"/>
                      <w:lang w:val="en-US"/>
                    </w:rPr>
                    <w:t>Pi</w:t>
                  </w:r>
                  <w:r>
                    <w:rPr>
                      <w:b/>
                      <w:color w:val="auto"/>
                      <w:szCs w:val="21"/>
                    </w:rPr>
                    <w:t>占标率</w:t>
                  </w:r>
                  <w:r>
                    <w:rPr>
                      <w:b/>
                      <w:color w:val="auto"/>
                      <w:szCs w:val="21"/>
                      <w:lang w:val="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0.0055</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1.23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0.0015</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0.0094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2.08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0.0026</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auto"/>
                  <w:vAlign w:val="center"/>
                </w:tcPr>
                <w:p>
                  <w:pPr>
                    <w:widowControl/>
                    <w:jc w:val="center"/>
                    <w:textAlignment w:val="center"/>
                    <w:rPr>
                      <w:color w:val="auto"/>
                      <w:kern w:val="0"/>
                      <w:szCs w:val="21"/>
                      <w:lang w:bidi="ar"/>
                    </w:rPr>
                  </w:pPr>
                  <w:r>
                    <w:rPr>
                      <w:rFonts w:hint="eastAsia"/>
                      <w:color w:val="auto"/>
                      <w:kern w:val="0"/>
                      <w:szCs w:val="21"/>
                      <w:lang w:bidi="ar"/>
                    </w:rPr>
                    <w:t>100</w:t>
                  </w:r>
                </w:p>
              </w:tc>
              <w:tc>
                <w:tcPr>
                  <w:tcW w:w="97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0.0104</w:t>
                  </w:r>
                </w:p>
              </w:tc>
              <w:tc>
                <w:tcPr>
                  <w:tcW w:w="945"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2.32</w:t>
                  </w:r>
                </w:p>
              </w:tc>
              <w:tc>
                <w:tcPr>
                  <w:tcW w:w="961"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0.0028</w:t>
                  </w:r>
                </w:p>
              </w:tc>
              <w:tc>
                <w:tcPr>
                  <w:tcW w:w="962" w:type="pct"/>
                  <w:tcBorders>
                    <w:top w:val="single" w:color="auto" w:sz="4" w:space="0"/>
                    <w:left w:val="single" w:color="auto" w:sz="4" w:space="0"/>
                    <w:bottom w:val="single" w:color="auto" w:sz="4" w:space="0"/>
                    <w:right w:val="nil"/>
                  </w:tcBorders>
                  <w:shd w:val="clear" w:color="auto" w:fill="auto"/>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0.0099</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2.21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0.0027</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0.009</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2.01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0.0025</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0.0081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0.0072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1.61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0.0065</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1.44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0.0018</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1.3</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0.0016</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0.0053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1.17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0.0014</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0.0048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1.07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0.0044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0.97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0.89</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360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0.0039</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0.87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0.0037</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0.82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0.76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0.0009</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425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0.71</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0.0009</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450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0.66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475</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0.0028</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0.62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0.0008</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0.58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0.0007</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600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0.0021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0.46</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0.0017</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0.38</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0.0005</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800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0.32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900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0.0012</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0.0011</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0.24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0.0006</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0.14</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0.0002</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0.09</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2500</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0.0003</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0.07</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0.0001</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153" w:type="pct"/>
                  <w:tcBorders>
                    <w:top w:val="single" w:color="auto" w:sz="4" w:space="0"/>
                    <w:left w:val="nil"/>
                    <w:bottom w:val="single" w:color="auto" w:sz="4" w:space="0"/>
                    <w:right w:val="single" w:color="auto" w:sz="4" w:space="0"/>
                  </w:tcBorders>
                  <w:shd w:val="clear" w:color="auto" w:fill="CCE8CF"/>
                  <w:vAlign w:val="center"/>
                </w:tcPr>
                <w:p>
                  <w:pPr>
                    <w:pStyle w:val="210"/>
                    <w:rPr>
                      <w:color w:val="auto"/>
                      <w:kern w:val="0"/>
                      <w:szCs w:val="21"/>
                      <w:lang w:val="en-US" w:bidi="ar"/>
                    </w:rPr>
                  </w:pPr>
                  <w:r>
                    <w:rPr>
                      <w:color w:val="auto"/>
                      <w:kern w:val="0"/>
                      <w:szCs w:val="21"/>
                      <w:lang w:val="en-US" w:bidi="ar"/>
                    </w:rPr>
                    <w:t>最大地面浓度</w:t>
                  </w:r>
                  <w:r>
                    <w:rPr>
                      <w:rFonts w:hint="eastAsia"/>
                      <w:color w:val="auto"/>
                      <w:kern w:val="0"/>
                      <w:szCs w:val="21"/>
                      <w:lang w:val="en-US" w:bidi="ar"/>
                    </w:rPr>
                    <w:t>及占标率</w:t>
                  </w:r>
                </w:p>
              </w:tc>
              <w:tc>
                <w:tcPr>
                  <w:tcW w:w="977"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0.0104</w:t>
                  </w:r>
                </w:p>
              </w:tc>
              <w:tc>
                <w:tcPr>
                  <w:tcW w:w="945"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2.32</w:t>
                  </w:r>
                </w:p>
              </w:tc>
              <w:tc>
                <w:tcPr>
                  <w:tcW w:w="961"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0.0028</w:t>
                  </w:r>
                </w:p>
              </w:tc>
              <w:tc>
                <w:tcPr>
                  <w:tcW w:w="962"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153" w:type="pct"/>
                  <w:tcBorders>
                    <w:top w:val="single" w:color="auto" w:sz="4" w:space="0"/>
                    <w:left w:val="nil"/>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D10%,m</w:t>
                  </w:r>
                </w:p>
              </w:tc>
              <w:tc>
                <w:tcPr>
                  <w:tcW w:w="977" w:type="pct"/>
                  <w:tcBorders>
                    <w:top w:val="single" w:color="auto" w:sz="4" w:space="0"/>
                    <w:left w:val="single" w:color="auto" w:sz="4" w:space="0"/>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w:t>
                  </w:r>
                </w:p>
              </w:tc>
              <w:tc>
                <w:tcPr>
                  <w:tcW w:w="945" w:type="pct"/>
                  <w:tcBorders>
                    <w:top w:val="single" w:color="auto" w:sz="4" w:space="0"/>
                    <w:left w:val="single" w:color="auto" w:sz="4" w:space="0"/>
                    <w:bottom w:val="single" w:color="auto" w:sz="12" w:space="0"/>
                    <w:right w:val="nil"/>
                  </w:tcBorders>
                  <w:shd w:val="clear" w:color="auto" w:fill="CCE8CF"/>
                  <w:vAlign w:val="center"/>
                </w:tcPr>
                <w:p>
                  <w:pPr>
                    <w:pStyle w:val="210"/>
                    <w:rPr>
                      <w:color w:val="auto"/>
                      <w:szCs w:val="21"/>
                      <w:lang w:val="en-US"/>
                    </w:rPr>
                  </w:pPr>
                  <w:r>
                    <w:rPr>
                      <w:color w:val="auto"/>
                      <w:szCs w:val="21"/>
                      <w:lang w:val="en-US"/>
                    </w:rPr>
                    <w:t>/</w:t>
                  </w:r>
                </w:p>
              </w:tc>
              <w:tc>
                <w:tcPr>
                  <w:tcW w:w="961" w:type="pct"/>
                  <w:tcBorders>
                    <w:top w:val="single" w:color="auto" w:sz="4" w:space="0"/>
                    <w:left w:val="single" w:color="auto" w:sz="4" w:space="0"/>
                    <w:bottom w:val="single" w:color="auto" w:sz="12" w:space="0"/>
                    <w:right w:val="nil"/>
                  </w:tcBorders>
                  <w:shd w:val="clear" w:color="auto" w:fill="CCE8CF"/>
                  <w:vAlign w:val="center"/>
                </w:tcPr>
                <w:p>
                  <w:pPr>
                    <w:jc w:val="center"/>
                    <w:rPr>
                      <w:color w:val="auto"/>
                      <w:szCs w:val="21"/>
                      <w:lang w:val="en-US"/>
                    </w:rPr>
                  </w:pPr>
                  <w:r>
                    <w:rPr>
                      <w:color w:val="auto"/>
                      <w:szCs w:val="21"/>
                      <w:lang w:val="en-US"/>
                    </w:rPr>
                    <w:t>/</w:t>
                  </w:r>
                </w:p>
              </w:tc>
              <w:tc>
                <w:tcPr>
                  <w:tcW w:w="962" w:type="pct"/>
                  <w:tcBorders>
                    <w:top w:val="single" w:color="auto" w:sz="4" w:space="0"/>
                    <w:left w:val="single" w:color="auto" w:sz="4" w:space="0"/>
                    <w:bottom w:val="single" w:color="auto" w:sz="12" w:space="0"/>
                    <w:right w:val="nil"/>
                  </w:tcBorders>
                  <w:shd w:val="clear" w:color="auto" w:fill="CCE8CF"/>
                  <w:vAlign w:val="center"/>
                </w:tcPr>
                <w:p>
                  <w:pPr>
                    <w:jc w:val="center"/>
                    <w:rPr>
                      <w:color w:val="auto"/>
                      <w:szCs w:val="21"/>
                      <w:lang w:val="en-US"/>
                    </w:rPr>
                  </w:pPr>
                  <w:r>
                    <w:rPr>
                      <w:color w:val="auto"/>
                      <w:szCs w:val="21"/>
                      <w:lang w:val="en-US"/>
                    </w:rPr>
                    <w:t>/</w:t>
                  </w:r>
                </w:p>
              </w:tc>
            </w:tr>
          </w:tbl>
          <w:p>
            <w:pPr>
              <w:adjustRightInd w:val="0"/>
              <w:snapToGrid w:val="0"/>
              <w:jc w:val="center"/>
              <w:rPr>
                <w:b/>
                <w:bCs/>
                <w:color w:val="auto"/>
                <w:szCs w:val="22"/>
              </w:rPr>
            </w:pPr>
            <w:r>
              <w:rPr>
                <w:b/>
                <w:bCs/>
                <w:color w:val="auto"/>
                <w:szCs w:val="22"/>
              </w:rPr>
              <w:t>表7-</w:t>
            </w:r>
            <w:r>
              <w:rPr>
                <w:rFonts w:hint="eastAsia"/>
                <w:b/>
                <w:bCs/>
                <w:color w:val="auto"/>
                <w:szCs w:val="22"/>
                <w:lang w:val="en-US" w:eastAsia="zh-CN"/>
              </w:rPr>
              <w:t>9</w:t>
            </w:r>
            <w:r>
              <w:rPr>
                <w:b/>
                <w:bCs/>
                <w:color w:val="auto"/>
                <w:szCs w:val="22"/>
              </w:rPr>
              <w:t xml:space="preserve">  本项目污染物</w:t>
            </w:r>
            <w:r>
              <w:rPr>
                <w:rFonts w:hint="eastAsia"/>
                <w:b/>
                <w:bCs/>
                <w:color w:val="auto"/>
                <w:szCs w:val="22"/>
              </w:rPr>
              <w:t>无</w:t>
            </w:r>
            <w:r>
              <w:rPr>
                <w:b/>
                <w:bCs/>
                <w:color w:val="auto"/>
                <w:szCs w:val="22"/>
              </w:rPr>
              <w:t>组织排放时最大地面浓度及占标率表</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3"/>
              <w:gridCol w:w="1093"/>
              <w:gridCol w:w="1368"/>
              <w:gridCol w:w="1230"/>
              <w:gridCol w:w="1231"/>
              <w:gridCol w:w="1230"/>
              <w:gridCol w:w="12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740" w:type="pct"/>
                  <w:vMerge w:val="restart"/>
                  <w:tcBorders>
                    <w:top w:val="single" w:color="auto" w:sz="12" w:space="0"/>
                    <w:left w:val="nil"/>
                    <w:bottom w:val="single" w:color="auto" w:sz="4" w:space="0"/>
                    <w:right w:val="single" w:color="auto" w:sz="4" w:space="0"/>
                  </w:tcBorders>
                  <w:vAlign w:val="center"/>
                </w:tcPr>
                <w:p>
                  <w:pPr>
                    <w:pStyle w:val="210"/>
                    <w:rPr>
                      <w:b/>
                      <w:color w:val="auto"/>
                      <w:szCs w:val="21"/>
                    </w:rPr>
                  </w:pPr>
                  <w:r>
                    <w:rPr>
                      <w:b/>
                      <w:color w:val="auto"/>
                      <w:szCs w:val="21"/>
                    </w:rPr>
                    <w:t>下风向距离D/m</w:t>
                  </w:r>
                </w:p>
              </w:tc>
              <w:tc>
                <w:tcPr>
                  <w:tcW w:w="1419" w:type="pct"/>
                  <w:gridSpan w:val="2"/>
                  <w:tcBorders>
                    <w:top w:val="single" w:color="auto" w:sz="12" w:space="0"/>
                    <w:left w:val="single" w:color="auto" w:sz="4" w:space="0"/>
                    <w:bottom w:val="single" w:color="auto" w:sz="4" w:space="0"/>
                    <w:right w:val="nil"/>
                  </w:tcBorders>
                  <w:vAlign w:val="center"/>
                </w:tcPr>
                <w:p>
                  <w:pPr>
                    <w:pStyle w:val="210"/>
                    <w:rPr>
                      <w:rFonts w:hint="eastAsia" w:eastAsia="宋体"/>
                      <w:b/>
                      <w:color w:val="auto"/>
                      <w:szCs w:val="21"/>
                      <w:lang w:val="en-US" w:eastAsia="zh-CN"/>
                    </w:rPr>
                  </w:pPr>
                  <w:r>
                    <w:rPr>
                      <w:rFonts w:hint="eastAsia"/>
                      <w:b/>
                      <w:color w:val="auto"/>
                      <w:szCs w:val="21"/>
                      <w:lang w:val="en-US" w:eastAsia="zh-CN"/>
                    </w:rPr>
                    <w:t>颗粒物</w:t>
                  </w:r>
                </w:p>
              </w:tc>
              <w:tc>
                <w:tcPr>
                  <w:tcW w:w="1419" w:type="pct"/>
                  <w:gridSpan w:val="2"/>
                  <w:tcBorders>
                    <w:top w:val="single" w:color="auto" w:sz="12" w:space="0"/>
                    <w:left w:val="single" w:color="auto" w:sz="4" w:space="0"/>
                    <w:bottom w:val="single" w:color="auto" w:sz="4" w:space="0"/>
                    <w:right w:val="nil"/>
                  </w:tcBorders>
                  <w:vAlign w:val="center"/>
                </w:tcPr>
                <w:p>
                  <w:pPr>
                    <w:pStyle w:val="210"/>
                    <w:rPr>
                      <w:rFonts w:hint="default" w:eastAsia="宋体"/>
                      <w:b/>
                      <w:color w:val="auto"/>
                      <w:szCs w:val="21"/>
                      <w:lang w:val="en-US" w:eastAsia="zh-CN"/>
                    </w:rPr>
                  </w:pPr>
                  <w:r>
                    <w:rPr>
                      <w:rFonts w:hint="eastAsia"/>
                      <w:b/>
                      <w:color w:val="auto"/>
                      <w:szCs w:val="21"/>
                      <w:lang w:val="en-US" w:eastAsia="zh-CN"/>
                    </w:rPr>
                    <w:t>非甲烷总烃</w:t>
                  </w:r>
                </w:p>
              </w:tc>
              <w:tc>
                <w:tcPr>
                  <w:tcW w:w="1419" w:type="pct"/>
                  <w:gridSpan w:val="2"/>
                  <w:tcBorders>
                    <w:top w:val="single" w:color="auto" w:sz="12" w:space="0"/>
                    <w:left w:val="single" w:color="auto" w:sz="4" w:space="0"/>
                    <w:bottom w:val="single" w:color="auto" w:sz="4" w:space="0"/>
                    <w:right w:val="nil"/>
                  </w:tcBorders>
                  <w:vAlign w:val="center"/>
                </w:tcPr>
                <w:p>
                  <w:pPr>
                    <w:pStyle w:val="210"/>
                    <w:rPr>
                      <w:rFonts w:hint="eastAsia"/>
                      <w:b/>
                      <w:color w:val="auto"/>
                      <w:szCs w:val="21"/>
                    </w:rPr>
                  </w:pPr>
                  <w:r>
                    <w:rPr>
                      <w:rFonts w:hint="eastAsia"/>
                      <w:b/>
                      <w:color w:val="auto"/>
                      <w:szCs w:val="21"/>
                    </w:rPr>
                    <w:t>VOCs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vMerge w:val="continue"/>
                  <w:tcBorders>
                    <w:top w:val="single" w:color="auto" w:sz="12" w:space="0"/>
                    <w:left w:val="nil"/>
                    <w:bottom w:val="single" w:color="auto" w:sz="4" w:space="0"/>
                    <w:right w:val="single" w:color="auto" w:sz="4" w:space="0"/>
                  </w:tcBorders>
                  <w:vAlign w:val="center"/>
                </w:tcPr>
                <w:p>
                  <w:pPr>
                    <w:jc w:val="center"/>
                    <w:rPr>
                      <w:color w:val="auto"/>
                      <w:szCs w:val="21"/>
                    </w:rPr>
                  </w:pPr>
                </w:p>
              </w:tc>
              <w:tc>
                <w:tcPr>
                  <w:tcW w:w="630" w:type="pct"/>
                  <w:tcBorders>
                    <w:top w:val="single" w:color="auto" w:sz="4" w:space="0"/>
                    <w:left w:val="single" w:color="auto" w:sz="4" w:space="0"/>
                    <w:bottom w:val="single" w:color="auto" w:sz="4" w:space="0"/>
                    <w:right w:val="single" w:color="auto" w:sz="4" w:space="0"/>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789"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c>
                <w:tcPr>
                  <w:tcW w:w="709"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710"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c>
                <w:tcPr>
                  <w:tcW w:w="709"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Ci</w:t>
                  </w:r>
                  <w:r>
                    <w:rPr>
                      <w:b/>
                      <w:color w:val="auto"/>
                      <w:szCs w:val="21"/>
                    </w:rPr>
                    <w:t>浓度值</w:t>
                  </w:r>
                  <w:r>
                    <w:rPr>
                      <w:b/>
                      <w:color w:val="auto"/>
                      <w:szCs w:val="21"/>
                      <w:lang w:val="en-US"/>
                    </w:rPr>
                    <w:t>（mg/m</w:t>
                  </w:r>
                  <w:r>
                    <w:rPr>
                      <w:b/>
                      <w:color w:val="auto"/>
                      <w:szCs w:val="21"/>
                      <w:vertAlign w:val="superscript"/>
                      <w:lang w:val="en-US"/>
                    </w:rPr>
                    <w:t>3</w:t>
                  </w:r>
                  <w:r>
                    <w:rPr>
                      <w:b/>
                      <w:color w:val="auto"/>
                      <w:szCs w:val="21"/>
                      <w:lang w:val="en-US"/>
                    </w:rPr>
                    <w:t>)</w:t>
                  </w:r>
                </w:p>
              </w:tc>
              <w:tc>
                <w:tcPr>
                  <w:tcW w:w="710" w:type="pct"/>
                  <w:tcBorders>
                    <w:top w:val="single" w:color="auto" w:sz="4" w:space="0"/>
                    <w:left w:val="single" w:color="auto" w:sz="4" w:space="0"/>
                    <w:bottom w:val="single" w:color="auto" w:sz="4" w:space="0"/>
                    <w:right w:val="nil"/>
                  </w:tcBorders>
                  <w:vAlign w:val="center"/>
                </w:tcPr>
                <w:p>
                  <w:pPr>
                    <w:pStyle w:val="210"/>
                    <w:rPr>
                      <w:b/>
                      <w:color w:val="auto"/>
                      <w:szCs w:val="21"/>
                      <w:lang w:val="en-US"/>
                    </w:rPr>
                  </w:pPr>
                  <w:r>
                    <w:rPr>
                      <w:b/>
                      <w:color w:val="auto"/>
                      <w:szCs w:val="21"/>
                      <w:lang w:val="en-US"/>
                    </w:rPr>
                    <w:t>Pi</w:t>
                  </w:r>
                  <w:r>
                    <w:rPr>
                      <w:b/>
                      <w:color w:val="auto"/>
                      <w:szCs w:val="21"/>
                    </w:rPr>
                    <w:t>占标率</w:t>
                  </w:r>
                  <w:r>
                    <w:rPr>
                      <w:b/>
                      <w:color w:val="auto"/>
                      <w:szCs w:val="21"/>
                      <w:lang w:val="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0.0181</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4.03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0.08</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0.0272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EEECE1" w:themeFill="background2"/>
                  <w:vAlign w:val="center"/>
                </w:tcPr>
                <w:p>
                  <w:pPr>
                    <w:widowControl/>
                    <w:jc w:val="center"/>
                    <w:textAlignment w:val="center"/>
                    <w:rPr>
                      <w:color w:val="auto"/>
                      <w:kern w:val="0"/>
                      <w:szCs w:val="21"/>
                      <w:lang w:bidi="ar"/>
                    </w:rPr>
                  </w:pPr>
                  <w:r>
                    <w:rPr>
                      <w:rFonts w:hint="eastAsia"/>
                      <w:color w:val="auto"/>
                      <w:kern w:val="0"/>
                      <w:szCs w:val="21"/>
                      <w:lang w:bidi="ar"/>
                    </w:rPr>
                    <w:t>25</w:t>
                  </w:r>
                </w:p>
              </w:tc>
              <w:tc>
                <w:tcPr>
                  <w:tcW w:w="630" w:type="pct"/>
                  <w:tcBorders>
                    <w:top w:val="single" w:color="auto" w:sz="4" w:space="0"/>
                    <w:left w:val="single" w:color="auto" w:sz="4" w:space="0"/>
                    <w:bottom w:val="single" w:color="auto" w:sz="4" w:space="0"/>
                    <w:right w:val="single" w:color="auto" w:sz="4" w:space="0"/>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0.0263</w:t>
                  </w:r>
                </w:p>
              </w:tc>
              <w:tc>
                <w:tcPr>
                  <w:tcW w:w="789" w:type="pct"/>
                  <w:tcBorders>
                    <w:top w:val="single" w:color="auto" w:sz="4" w:space="0"/>
                    <w:left w:val="single" w:color="auto" w:sz="4" w:space="0"/>
                    <w:bottom w:val="single" w:color="auto" w:sz="4" w:space="0"/>
                    <w:right w:val="nil"/>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5.84</w:t>
                  </w:r>
                </w:p>
              </w:tc>
              <w:tc>
                <w:tcPr>
                  <w:tcW w:w="709" w:type="pct"/>
                  <w:tcBorders>
                    <w:top w:val="single" w:color="auto" w:sz="4" w:space="0"/>
                    <w:left w:val="single" w:color="auto" w:sz="4" w:space="0"/>
                    <w:bottom w:val="single" w:color="auto" w:sz="4" w:space="0"/>
                    <w:right w:val="nil"/>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0.0024</w:t>
                  </w:r>
                </w:p>
              </w:tc>
              <w:tc>
                <w:tcPr>
                  <w:tcW w:w="710" w:type="pct"/>
                  <w:tcBorders>
                    <w:top w:val="single" w:color="auto" w:sz="4" w:space="0"/>
                    <w:left w:val="single" w:color="auto" w:sz="4" w:space="0"/>
                    <w:bottom w:val="single" w:color="auto" w:sz="4" w:space="0"/>
                    <w:right w:val="nil"/>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0.12</w:t>
                  </w:r>
                </w:p>
              </w:tc>
              <w:tc>
                <w:tcPr>
                  <w:tcW w:w="709" w:type="pct"/>
                  <w:tcBorders>
                    <w:top w:val="single" w:color="auto" w:sz="4" w:space="0"/>
                    <w:left w:val="single" w:color="auto" w:sz="4" w:space="0"/>
                    <w:bottom w:val="single" w:color="auto" w:sz="4" w:space="0"/>
                    <w:right w:val="nil"/>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0.0394</w:t>
                  </w:r>
                </w:p>
              </w:tc>
              <w:tc>
                <w:tcPr>
                  <w:tcW w:w="710" w:type="pct"/>
                  <w:tcBorders>
                    <w:top w:val="single" w:color="auto" w:sz="4" w:space="0"/>
                    <w:left w:val="single" w:color="auto" w:sz="4" w:space="0"/>
                    <w:bottom w:val="single" w:color="auto" w:sz="4" w:space="0"/>
                    <w:right w:val="nil"/>
                  </w:tcBorders>
                  <w:shd w:val="clear" w:color="auto" w:fill="EEECE1" w:themeFill="background2"/>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3.28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49</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0.0325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7.23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0.0488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4.07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0.0325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7.23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0.0488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4.06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0.0295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6.55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0.0442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3.69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0.0265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5.89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0.0398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3.31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125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0.0237</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5.27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0.0355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0.0209</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4.64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0.0019</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0.0313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175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0.0184</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4.09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0.0276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0.0163</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3.62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0.08</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0.0244</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225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0.0145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3.23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0.0218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0.013</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2.89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0.06</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0.0195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1.63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275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0.0118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2.61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0.0176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1.47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0.0107</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2.37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325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0.0098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2.17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0.0009</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0.0146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350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0.009</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1.99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0.0134</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360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0.0087</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1.93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375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0.0083</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1.84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0.0124</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0.0076</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0.0115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425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0.0071</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1.58</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0.0107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450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0.0066</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1.47</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475</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0.0062</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1.38</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0.0093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0.78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500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0.0058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1.29</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0.0005</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0.0087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600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0.0046</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1.03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0.0004</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700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0.0038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0.85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0.0004</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0.0057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0.48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800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0.0032</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0.72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0.0049</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900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0.62</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0.0042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1000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0.0024</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0.54</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0.0002</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0.0036</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1500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0.0014</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0.31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0.0021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2000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0.0008</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0.06</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0.0007</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widowControl/>
                    <w:jc w:val="center"/>
                    <w:textAlignment w:val="center"/>
                    <w:rPr>
                      <w:color w:val="auto"/>
                      <w:kern w:val="0"/>
                      <w:szCs w:val="21"/>
                      <w:lang w:bidi="ar"/>
                    </w:rPr>
                  </w:pPr>
                  <w:r>
                    <w:rPr>
                      <w:rFonts w:hint="eastAsia"/>
                      <w:color w:val="auto"/>
                      <w:kern w:val="0"/>
                      <w:szCs w:val="21"/>
                      <w:lang w:bidi="ar"/>
                    </w:rPr>
                    <w:t>2500</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0.0001</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0.0001</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740" w:type="pct"/>
                  <w:tcBorders>
                    <w:top w:val="single" w:color="auto" w:sz="4" w:space="0"/>
                    <w:left w:val="nil"/>
                    <w:bottom w:val="single" w:color="auto" w:sz="4" w:space="0"/>
                    <w:right w:val="single" w:color="auto" w:sz="4" w:space="0"/>
                  </w:tcBorders>
                  <w:shd w:val="clear" w:color="auto" w:fill="CCE8CF"/>
                  <w:vAlign w:val="center"/>
                </w:tcPr>
                <w:p>
                  <w:pPr>
                    <w:pStyle w:val="210"/>
                    <w:rPr>
                      <w:color w:val="auto"/>
                      <w:kern w:val="0"/>
                      <w:szCs w:val="21"/>
                      <w:lang w:val="en-US" w:bidi="ar"/>
                    </w:rPr>
                  </w:pPr>
                  <w:r>
                    <w:rPr>
                      <w:color w:val="auto"/>
                      <w:kern w:val="0"/>
                      <w:szCs w:val="21"/>
                      <w:lang w:val="en-US" w:bidi="ar"/>
                    </w:rPr>
                    <w:t>最大地面浓度</w:t>
                  </w:r>
                  <w:r>
                    <w:rPr>
                      <w:rFonts w:hint="eastAsia"/>
                      <w:color w:val="auto"/>
                      <w:kern w:val="0"/>
                      <w:szCs w:val="21"/>
                      <w:lang w:val="en-US" w:bidi="ar"/>
                    </w:rPr>
                    <w:t>及占标率</w:t>
                  </w:r>
                </w:p>
              </w:tc>
              <w:tc>
                <w:tcPr>
                  <w:tcW w:w="630" w:type="pct"/>
                  <w:tcBorders>
                    <w:top w:val="single" w:color="auto" w:sz="4" w:space="0"/>
                    <w:left w:val="single" w:color="auto" w:sz="4" w:space="0"/>
                    <w:bottom w:val="single" w:color="auto" w:sz="4" w:space="0"/>
                    <w:right w:val="single" w:color="auto" w:sz="4" w:space="0"/>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0.0325</w:t>
                  </w:r>
                </w:p>
              </w:tc>
              <w:tc>
                <w:tcPr>
                  <w:tcW w:w="78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7.23</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0.003</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0.15</w:t>
                  </w:r>
                </w:p>
              </w:tc>
              <w:tc>
                <w:tcPr>
                  <w:tcW w:w="709"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0.0488</w:t>
                  </w:r>
                </w:p>
              </w:tc>
              <w:tc>
                <w:tcPr>
                  <w:tcW w:w="710" w:type="pct"/>
                  <w:tcBorders>
                    <w:top w:val="single" w:color="auto" w:sz="4" w:space="0"/>
                    <w:left w:val="single" w:color="auto" w:sz="4" w:space="0"/>
                    <w:bottom w:val="single" w:color="auto" w:sz="4" w:space="0"/>
                    <w:right w:val="nil"/>
                  </w:tcBorders>
                  <w:shd w:val="clear" w:color="auto" w:fill="CCE8CF"/>
                  <w:vAlign w:val="center"/>
                </w:tcPr>
                <w:p>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4.07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0" w:type="pct"/>
                  <w:tcBorders>
                    <w:top w:val="single" w:color="auto" w:sz="4" w:space="0"/>
                    <w:left w:val="nil"/>
                    <w:bottom w:val="single" w:color="auto" w:sz="12" w:space="0"/>
                    <w:right w:val="single" w:color="auto" w:sz="4" w:space="0"/>
                  </w:tcBorders>
                  <w:shd w:val="clear" w:color="auto" w:fill="CCE8CF"/>
                  <w:vAlign w:val="center"/>
                </w:tcPr>
                <w:p>
                  <w:pPr>
                    <w:pStyle w:val="210"/>
                    <w:rPr>
                      <w:color w:val="auto"/>
                      <w:szCs w:val="21"/>
                      <w:lang w:val="en-US"/>
                    </w:rPr>
                  </w:pPr>
                  <w:r>
                    <w:rPr>
                      <w:color w:val="auto"/>
                      <w:szCs w:val="21"/>
                      <w:lang w:val="en-US"/>
                    </w:rPr>
                    <w:t>D10%,m</w:t>
                  </w:r>
                </w:p>
              </w:tc>
              <w:tc>
                <w:tcPr>
                  <w:tcW w:w="630" w:type="pct"/>
                  <w:tcBorders>
                    <w:top w:val="single" w:color="auto" w:sz="4" w:space="0"/>
                    <w:left w:val="single" w:color="auto" w:sz="4" w:space="0"/>
                    <w:bottom w:val="single" w:color="auto" w:sz="12" w:space="0"/>
                    <w:right w:val="single" w:color="auto" w:sz="4" w:space="0"/>
                  </w:tcBorders>
                  <w:shd w:val="clear" w:color="auto" w:fill="CCE8CF"/>
                  <w:vAlign w:val="center"/>
                </w:tcPr>
                <w:p>
                  <w:pPr>
                    <w:pStyle w:val="210"/>
                    <w:rPr>
                      <w:color w:val="auto"/>
                      <w:kern w:val="0"/>
                      <w:szCs w:val="21"/>
                      <w:lang w:val="en-US" w:bidi="ar"/>
                    </w:rPr>
                  </w:pPr>
                  <w:r>
                    <w:rPr>
                      <w:rFonts w:hint="eastAsia"/>
                      <w:color w:val="auto"/>
                      <w:kern w:val="0"/>
                      <w:szCs w:val="21"/>
                      <w:lang w:val="en-US" w:bidi="ar"/>
                    </w:rPr>
                    <w:t>/</w:t>
                  </w:r>
                </w:p>
              </w:tc>
              <w:tc>
                <w:tcPr>
                  <w:tcW w:w="789" w:type="pct"/>
                  <w:tcBorders>
                    <w:top w:val="single" w:color="auto" w:sz="4" w:space="0"/>
                    <w:left w:val="single" w:color="auto" w:sz="4" w:space="0"/>
                    <w:bottom w:val="single" w:color="auto" w:sz="12" w:space="0"/>
                    <w:right w:val="nil"/>
                  </w:tcBorders>
                  <w:shd w:val="clear" w:color="auto" w:fill="CCE8CF"/>
                  <w:vAlign w:val="center"/>
                </w:tcPr>
                <w:p>
                  <w:pPr>
                    <w:pStyle w:val="210"/>
                    <w:rPr>
                      <w:color w:val="auto"/>
                      <w:kern w:val="0"/>
                      <w:szCs w:val="21"/>
                      <w:lang w:val="en-US" w:bidi="ar"/>
                    </w:rPr>
                  </w:pPr>
                  <w:r>
                    <w:rPr>
                      <w:rFonts w:hint="eastAsia"/>
                      <w:color w:val="auto"/>
                      <w:kern w:val="0"/>
                      <w:szCs w:val="21"/>
                      <w:lang w:val="en-US" w:bidi="ar"/>
                    </w:rPr>
                    <w:t>/</w:t>
                  </w:r>
                </w:p>
              </w:tc>
              <w:tc>
                <w:tcPr>
                  <w:tcW w:w="1230" w:type="dxa"/>
                  <w:tcBorders>
                    <w:top w:val="single" w:color="auto" w:sz="4" w:space="0"/>
                    <w:left w:val="single" w:color="auto" w:sz="4" w:space="0"/>
                    <w:bottom w:val="single" w:color="auto" w:sz="12" w:space="0"/>
                    <w:right w:val="nil"/>
                  </w:tcBorders>
                  <w:shd w:val="clear" w:color="auto" w:fill="CCE8CF"/>
                  <w:vAlign w:val="center"/>
                </w:tcPr>
                <w:p>
                  <w:pPr>
                    <w:pStyle w:val="210"/>
                    <w:rPr>
                      <w:rFonts w:hint="eastAsia"/>
                      <w:color w:val="auto"/>
                      <w:kern w:val="0"/>
                      <w:szCs w:val="21"/>
                      <w:lang w:val="en-US" w:bidi="ar"/>
                    </w:rPr>
                  </w:pPr>
                  <w:r>
                    <w:rPr>
                      <w:rFonts w:hint="eastAsia"/>
                      <w:color w:val="auto"/>
                      <w:kern w:val="0"/>
                      <w:szCs w:val="21"/>
                      <w:lang w:val="en-US" w:bidi="ar"/>
                    </w:rPr>
                    <w:t>/</w:t>
                  </w:r>
                </w:p>
              </w:tc>
              <w:tc>
                <w:tcPr>
                  <w:tcW w:w="1231" w:type="dxa"/>
                  <w:tcBorders>
                    <w:top w:val="single" w:color="auto" w:sz="4" w:space="0"/>
                    <w:left w:val="single" w:color="auto" w:sz="4" w:space="0"/>
                    <w:bottom w:val="single" w:color="auto" w:sz="12" w:space="0"/>
                    <w:right w:val="nil"/>
                  </w:tcBorders>
                  <w:shd w:val="clear" w:color="auto" w:fill="CCE8CF"/>
                  <w:vAlign w:val="center"/>
                </w:tcPr>
                <w:p>
                  <w:pPr>
                    <w:pStyle w:val="210"/>
                    <w:rPr>
                      <w:rFonts w:hint="eastAsia"/>
                      <w:color w:val="auto"/>
                      <w:kern w:val="0"/>
                      <w:szCs w:val="21"/>
                      <w:lang w:val="en-US" w:bidi="ar"/>
                    </w:rPr>
                  </w:pPr>
                  <w:r>
                    <w:rPr>
                      <w:rFonts w:hint="eastAsia"/>
                      <w:color w:val="auto"/>
                      <w:kern w:val="0"/>
                      <w:szCs w:val="21"/>
                      <w:lang w:val="en-US" w:bidi="ar"/>
                    </w:rPr>
                    <w:t>/</w:t>
                  </w:r>
                </w:p>
              </w:tc>
              <w:tc>
                <w:tcPr>
                  <w:tcW w:w="1230" w:type="dxa"/>
                  <w:tcBorders>
                    <w:top w:val="single" w:color="auto" w:sz="4" w:space="0"/>
                    <w:left w:val="single" w:color="auto" w:sz="4" w:space="0"/>
                    <w:bottom w:val="single" w:color="auto" w:sz="12" w:space="0"/>
                    <w:right w:val="nil"/>
                  </w:tcBorders>
                  <w:shd w:val="clear" w:color="auto" w:fill="CCE8CF"/>
                  <w:vAlign w:val="center"/>
                </w:tcPr>
                <w:p>
                  <w:pPr>
                    <w:pStyle w:val="210"/>
                    <w:rPr>
                      <w:rFonts w:hint="eastAsia"/>
                      <w:color w:val="auto"/>
                      <w:kern w:val="0"/>
                      <w:szCs w:val="21"/>
                      <w:lang w:val="en-US" w:bidi="ar"/>
                    </w:rPr>
                  </w:pPr>
                  <w:r>
                    <w:rPr>
                      <w:rFonts w:hint="eastAsia"/>
                      <w:color w:val="auto"/>
                      <w:kern w:val="0"/>
                      <w:szCs w:val="21"/>
                      <w:lang w:val="en-US" w:bidi="ar"/>
                    </w:rPr>
                    <w:t>/</w:t>
                  </w:r>
                </w:p>
              </w:tc>
              <w:tc>
                <w:tcPr>
                  <w:tcW w:w="1231" w:type="dxa"/>
                  <w:tcBorders>
                    <w:top w:val="single" w:color="auto" w:sz="4" w:space="0"/>
                    <w:left w:val="single" w:color="auto" w:sz="4" w:space="0"/>
                    <w:bottom w:val="single" w:color="auto" w:sz="12" w:space="0"/>
                    <w:right w:val="nil"/>
                  </w:tcBorders>
                  <w:shd w:val="clear" w:color="auto" w:fill="CCE8CF"/>
                  <w:vAlign w:val="center"/>
                </w:tcPr>
                <w:p>
                  <w:pPr>
                    <w:pStyle w:val="210"/>
                    <w:rPr>
                      <w:rFonts w:hint="eastAsia"/>
                      <w:color w:val="auto"/>
                      <w:kern w:val="0"/>
                      <w:szCs w:val="21"/>
                      <w:lang w:val="en-US" w:bidi="ar"/>
                    </w:rPr>
                  </w:pPr>
                  <w:r>
                    <w:rPr>
                      <w:rFonts w:hint="eastAsia"/>
                      <w:color w:val="auto"/>
                      <w:kern w:val="0"/>
                      <w:szCs w:val="21"/>
                      <w:lang w:val="en-US" w:bidi="ar"/>
                    </w:rPr>
                    <w:t>/</w:t>
                  </w:r>
                </w:p>
              </w:tc>
            </w:tr>
          </w:tbl>
          <w:p>
            <w:pPr>
              <w:ind w:left="482"/>
              <w:jc w:val="center"/>
              <w:rPr>
                <w:b/>
                <w:color w:val="auto"/>
                <w:szCs w:val="21"/>
              </w:rPr>
            </w:pPr>
            <w:r>
              <w:rPr>
                <w:b/>
                <w:color w:val="auto"/>
                <w:szCs w:val="21"/>
              </w:rPr>
              <w:t>表7-</w:t>
            </w:r>
            <w:r>
              <w:rPr>
                <w:rFonts w:hint="eastAsia"/>
                <w:b/>
                <w:color w:val="auto"/>
                <w:szCs w:val="21"/>
                <w:lang w:val="en-US" w:eastAsia="zh-CN"/>
              </w:rPr>
              <w:t>10</w:t>
            </w:r>
            <w:r>
              <w:rPr>
                <w:b/>
                <w:color w:val="auto"/>
                <w:szCs w:val="21"/>
              </w:rPr>
              <w:t xml:space="preserve"> 项目排放污染物预测结果</w:t>
            </w:r>
          </w:p>
          <w:tbl>
            <w:tblPr>
              <w:tblStyle w:val="56"/>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7"/>
              <w:gridCol w:w="970"/>
              <w:gridCol w:w="1256"/>
              <w:gridCol w:w="1244"/>
              <w:gridCol w:w="1110"/>
              <w:gridCol w:w="952"/>
              <w:gridCol w:w="964"/>
              <w:gridCol w:w="10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7" w:type="pct"/>
                  <w:vAlign w:val="center"/>
                </w:tcPr>
                <w:p>
                  <w:pPr>
                    <w:adjustRightInd w:val="0"/>
                    <w:snapToGrid w:val="0"/>
                    <w:jc w:val="center"/>
                    <w:rPr>
                      <w:b/>
                      <w:bCs/>
                      <w:color w:val="auto"/>
                      <w:szCs w:val="21"/>
                    </w:rPr>
                  </w:pPr>
                  <w:r>
                    <w:rPr>
                      <w:b/>
                      <w:bCs/>
                      <w:color w:val="auto"/>
                      <w:szCs w:val="21"/>
                    </w:rPr>
                    <w:t>污染源</w:t>
                  </w:r>
                </w:p>
              </w:tc>
              <w:tc>
                <w:tcPr>
                  <w:tcW w:w="559" w:type="pct"/>
                  <w:vAlign w:val="center"/>
                </w:tcPr>
                <w:p>
                  <w:pPr>
                    <w:adjustRightInd w:val="0"/>
                    <w:snapToGrid w:val="0"/>
                    <w:jc w:val="center"/>
                    <w:rPr>
                      <w:b/>
                      <w:bCs/>
                      <w:color w:val="auto"/>
                      <w:szCs w:val="21"/>
                    </w:rPr>
                  </w:pPr>
                  <w:r>
                    <w:rPr>
                      <w:b/>
                      <w:bCs/>
                      <w:color w:val="auto"/>
                      <w:szCs w:val="21"/>
                    </w:rPr>
                    <w:t>污染因子</w:t>
                  </w:r>
                </w:p>
              </w:tc>
              <w:tc>
                <w:tcPr>
                  <w:tcW w:w="724" w:type="pct"/>
                  <w:vAlign w:val="center"/>
                </w:tcPr>
                <w:p>
                  <w:pPr>
                    <w:adjustRightInd w:val="0"/>
                    <w:snapToGrid w:val="0"/>
                    <w:jc w:val="center"/>
                    <w:rPr>
                      <w:b/>
                      <w:bCs/>
                      <w:color w:val="auto"/>
                      <w:szCs w:val="21"/>
                    </w:rPr>
                  </w:pPr>
                  <w:r>
                    <w:rPr>
                      <w:b/>
                      <w:bCs/>
                      <w:color w:val="auto"/>
                      <w:szCs w:val="21"/>
                    </w:rPr>
                    <w:t>最大落地浓度</w:t>
                  </w:r>
                  <w:r>
                    <w:rPr>
                      <w:rFonts w:hint="eastAsia"/>
                      <w:b/>
                      <w:bCs/>
                      <w:color w:val="auto"/>
                      <w:szCs w:val="21"/>
                      <w:lang w:val="en-US" w:eastAsia="zh-CN"/>
                    </w:rPr>
                    <w:t>m</w:t>
                  </w:r>
                  <w:r>
                    <w:rPr>
                      <w:b/>
                      <w:bCs/>
                      <w:color w:val="auto"/>
                      <w:szCs w:val="21"/>
                    </w:rPr>
                    <w:t>g/m</w:t>
                  </w:r>
                  <w:r>
                    <w:rPr>
                      <w:b/>
                      <w:bCs/>
                      <w:color w:val="auto"/>
                      <w:szCs w:val="21"/>
                      <w:vertAlign w:val="superscript"/>
                    </w:rPr>
                    <w:t>3</w:t>
                  </w:r>
                </w:p>
              </w:tc>
              <w:tc>
                <w:tcPr>
                  <w:tcW w:w="717" w:type="pct"/>
                  <w:vAlign w:val="center"/>
                </w:tcPr>
                <w:p>
                  <w:pPr>
                    <w:adjustRightInd w:val="0"/>
                    <w:snapToGrid w:val="0"/>
                    <w:jc w:val="center"/>
                    <w:rPr>
                      <w:b/>
                      <w:bCs/>
                      <w:color w:val="auto"/>
                      <w:szCs w:val="21"/>
                    </w:rPr>
                  </w:pPr>
                  <w:r>
                    <w:rPr>
                      <w:b/>
                      <w:bCs/>
                      <w:color w:val="auto"/>
                      <w:szCs w:val="21"/>
                    </w:rPr>
                    <w:t>最大落地浓度距离m</w:t>
                  </w:r>
                </w:p>
              </w:tc>
              <w:tc>
                <w:tcPr>
                  <w:tcW w:w="640" w:type="pct"/>
                  <w:vAlign w:val="center"/>
                </w:tcPr>
                <w:p>
                  <w:pPr>
                    <w:adjustRightInd w:val="0"/>
                    <w:snapToGrid w:val="0"/>
                    <w:jc w:val="center"/>
                    <w:rPr>
                      <w:b/>
                      <w:bCs/>
                      <w:color w:val="auto"/>
                      <w:szCs w:val="21"/>
                    </w:rPr>
                  </w:pPr>
                  <w:r>
                    <w:rPr>
                      <w:b/>
                      <w:bCs/>
                      <w:color w:val="auto"/>
                      <w:szCs w:val="21"/>
                    </w:rPr>
                    <w:t>评价标准</w:t>
                  </w:r>
                </w:p>
                <w:p>
                  <w:pPr>
                    <w:adjustRightInd w:val="0"/>
                    <w:snapToGrid w:val="0"/>
                    <w:jc w:val="center"/>
                    <w:rPr>
                      <w:b/>
                      <w:bCs/>
                      <w:color w:val="auto"/>
                      <w:szCs w:val="21"/>
                    </w:rPr>
                  </w:pPr>
                  <w:r>
                    <w:rPr>
                      <w:b/>
                      <w:bCs/>
                      <w:color w:val="auto"/>
                      <w:szCs w:val="21"/>
                    </w:rPr>
                    <w:t>μg/m</w:t>
                  </w:r>
                  <w:r>
                    <w:rPr>
                      <w:b/>
                      <w:bCs/>
                      <w:color w:val="auto"/>
                      <w:szCs w:val="21"/>
                      <w:vertAlign w:val="superscript"/>
                    </w:rPr>
                    <w:t>3</w:t>
                  </w:r>
                </w:p>
              </w:tc>
              <w:tc>
                <w:tcPr>
                  <w:tcW w:w="549" w:type="pct"/>
                  <w:vAlign w:val="center"/>
                </w:tcPr>
                <w:p>
                  <w:pPr>
                    <w:adjustRightInd w:val="0"/>
                    <w:snapToGrid w:val="0"/>
                    <w:jc w:val="center"/>
                    <w:rPr>
                      <w:b/>
                      <w:bCs/>
                      <w:color w:val="auto"/>
                      <w:szCs w:val="21"/>
                    </w:rPr>
                  </w:pPr>
                  <w:r>
                    <w:rPr>
                      <w:b/>
                      <w:bCs/>
                      <w:color w:val="auto"/>
                      <w:szCs w:val="21"/>
                    </w:rPr>
                    <w:t>占标率%</w:t>
                  </w:r>
                </w:p>
              </w:tc>
              <w:tc>
                <w:tcPr>
                  <w:tcW w:w="556" w:type="pct"/>
                  <w:vAlign w:val="center"/>
                </w:tcPr>
                <w:p>
                  <w:pPr>
                    <w:adjustRightInd w:val="0"/>
                    <w:snapToGrid w:val="0"/>
                    <w:jc w:val="center"/>
                    <w:rPr>
                      <w:b/>
                      <w:bCs/>
                      <w:color w:val="auto"/>
                      <w:szCs w:val="21"/>
                    </w:rPr>
                  </w:pPr>
                  <w:r>
                    <w:rPr>
                      <w:b/>
                      <w:bCs/>
                      <w:color w:val="auto"/>
                      <w:szCs w:val="21"/>
                    </w:rPr>
                    <w:t>D10%</w:t>
                  </w:r>
                </w:p>
              </w:tc>
              <w:tc>
                <w:tcPr>
                  <w:tcW w:w="623" w:type="pct"/>
                  <w:vAlign w:val="center"/>
                </w:tcPr>
                <w:p>
                  <w:pPr>
                    <w:adjustRightInd w:val="0"/>
                    <w:snapToGrid w:val="0"/>
                    <w:jc w:val="center"/>
                    <w:rPr>
                      <w:b/>
                      <w:bCs/>
                      <w:color w:val="auto"/>
                      <w:szCs w:val="21"/>
                    </w:rPr>
                  </w:pPr>
                  <w:r>
                    <w:rPr>
                      <w:b/>
                      <w:bCs/>
                      <w:color w:val="auto"/>
                      <w:szCs w:val="21"/>
                    </w:rPr>
                    <w:t>推荐评价等级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Align w:val="center"/>
                </w:tcPr>
                <w:p>
                  <w:pPr>
                    <w:pStyle w:val="210"/>
                    <w:rPr>
                      <w:rFonts w:hint="default" w:eastAsia="宋体"/>
                      <w:color w:val="auto"/>
                      <w:szCs w:val="21"/>
                      <w:lang w:val="en-US" w:eastAsia="zh-CN"/>
                    </w:rPr>
                  </w:pPr>
                  <w:r>
                    <w:rPr>
                      <w:rFonts w:hint="eastAsia"/>
                      <w:color w:val="auto"/>
                      <w:szCs w:val="21"/>
                      <w:lang w:val="en-US" w:eastAsia="zh-CN"/>
                    </w:rPr>
                    <w:t>DA001</w:t>
                  </w:r>
                </w:p>
              </w:tc>
              <w:tc>
                <w:tcPr>
                  <w:tcW w:w="559" w:type="pct"/>
                  <w:vAlign w:val="center"/>
                </w:tcPr>
                <w:p>
                  <w:pPr>
                    <w:pStyle w:val="210"/>
                    <w:rPr>
                      <w:rFonts w:hint="eastAsia" w:eastAsia="宋体"/>
                      <w:color w:val="auto"/>
                      <w:szCs w:val="21"/>
                      <w:lang w:eastAsia="zh-CN"/>
                    </w:rPr>
                  </w:pPr>
                  <w:r>
                    <w:rPr>
                      <w:rFonts w:hint="eastAsia"/>
                      <w:color w:val="auto"/>
                      <w:szCs w:val="21"/>
                      <w:lang w:val="en-US" w:eastAsia="zh-CN"/>
                    </w:rPr>
                    <w:t>颗粒物</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0.0193</w:t>
                  </w:r>
                </w:p>
              </w:tc>
              <w:tc>
                <w:tcPr>
                  <w:tcW w:w="717" w:type="pct"/>
                  <w:vAlign w:val="center"/>
                </w:tcPr>
                <w:p>
                  <w:pPr>
                    <w:pStyle w:val="210"/>
                    <w:rPr>
                      <w:rFonts w:eastAsiaTheme="minorEastAsia"/>
                      <w:color w:val="auto"/>
                      <w:szCs w:val="21"/>
                      <w:lang w:val="en-US"/>
                    </w:rPr>
                  </w:pPr>
                  <w:r>
                    <w:rPr>
                      <w:rFonts w:hint="eastAsia"/>
                      <w:color w:val="auto"/>
                      <w:szCs w:val="21"/>
                      <w:lang w:val="en-US"/>
                    </w:rPr>
                    <w:t>100</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450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4.3</w:t>
                  </w:r>
                </w:p>
              </w:tc>
              <w:tc>
                <w:tcPr>
                  <w:tcW w:w="556" w:type="pct"/>
                  <w:vAlign w:val="center"/>
                </w:tcPr>
                <w:p>
                  <w:pPr>
                    <w:pStyle w:val="210"/>
                    <w:rPr>
                      <w:color w:val="auto"/>
                      <w:szCs w:val="21"/>
                    </w:rPr>
                  </w:pPr>
                  <w:r>
                    <w:rPr>
                      <w:color w:val="auto"/>
                      <w:szCs w:val="21"/>
                    </w:rPr>
                    <w:t>0</w:t>
                  </w:r>
                </w:p>
              </w:tc>
              <w:tc>
                <w:tcPr>
                  <w:tcW w:w="623" w:type="pct"/>
                  <w:vAlign w:val="center"/>
                </w:tcPr>
                <w:p>
                  <w:pPr>
                    <w:jc w:val="center"/>
                    <w:rPr>
                      <w:color w:val="auto"/>
                      <w:szCs w:val="21"/>
                    </w:rPr>
                  </w:pPr>
                  <w:r>
                    <w:rPr>
                      <w:rFonts w:hint="eastAsia"/>
                      <w:color w:val="auto"/>
                      <w:szCs w:val="21"/>
                      <w:lang w:eastAsia="zh-CN"/>
                    </w:rPr>
                    <w:t>二</w:t>
                  </w:r>
                  <w:r>
                    <w:rPr>
                      <w:rFonts w:hint="eastAsia"/>
                      <w:color w:val="auto"/>
                      <w:szCs w:val="21"/>
                    </w:rPr>
                    <w:t>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627" w:type="pct"/>
                  <w:vMerge w:val="restart"/>
                  <w:vAlign w:val="center"/>
                </w:tcPr>
                <w:p>
                  <w:pPr>
                    <w:pStyle w:val="210"/>
                    <w:rPr>
                      <w:rFonts w:hint="default" w:eastAsia="宋体"/>
                      <w:color w:val="auto"/>
                      <w:szCs w:val="21"/>
                      <w:lang w:val="en-US" w:eastAsia="zh-CN"/>
                    </w:rPr>
                  </w:pPr>
                  <w:r>
                    <w:rPr>
                      <w:rFonts w:hint="eastAsia"/>
                      <w:color w:val="auto"/>
                      <w:szCs w:val="21"/>
                      <w:lang w:val="en-US" w:eastAsia="zh-CN"/>
                    </w:rPr>
                    <w:t>DA002</w:t>
                  </w:r>
                </w:p>
              </w:tc>
              <w:tc>
                <w:tcPr>
                  <w:tcW w:w="559" w:type="pct"/>
                  <w:vAlign w:val="center"/>
                </w:tcPr>
                <w:p>
                  <w:pPr>
                    <w:pStyle w:val="210"/>
                    <w:rPr>
                      <w:rFonts w:hint="eastAsia" w:eastAsia="宋体"/>
                      <w:color w:val="auto"/>
                      <w:szCs w:val="21"/>
                      <w:lang w:val="en-US" w:eastAsia="zh-CN"/>
                    </w:rPr>
                  </w:pPr>
                  <w:r>
                    <w:rPr>
                      <w:rFonts w:hint="eastAsia"/>
                      <w:color w:val="auto"/>
                      <w:szCs w:val="21"/>
                      <w:lang w:val="en-US" w:eastAsia="zh-CN"/>
                    </w:rPr>
                    <w:t>颗粒物</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0.0021</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100</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450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0.46</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eastAsia="宋体"/>
                      <w:color w:val="auto"/>
                      <w:szCs w:val="21"/>
                      <w:lang w:eastAsia="zh-CN"/>
                    </w:rPr>
                  </w:pPr>
                  <w:r>
                    <w:rPr>
                      <w:rFonts w:hint="eastAsia"/>
                      <w:color w:val="auto"/>
                      <w:szCs w:val="21"/>
                      <w:lang w:eastAsia="zh-CN"/>
                    </w:rPr>
                    <w:t>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continue"/>
                  <w:vAlign w:val="center"/>
                </w:tcPr>
                <w:p>
                  <w:pPr>
                    <w:pStyle w:val="210"/>
                    <w:rPr>
                      <w:rFonts w:hint="eastAsia"/>
                      <w:color w:val="auto"/>
                      <w:szCs w:val="21"/>
                      <w:lang w:val="en-US"/>
                    </w:rPr>
                  </w:pPr>
                </w:p>
              </w:tc>
              <w:tc>
                <w:tcPr>
                  <w:tcW w:w="559" w:type="pct"/>
                  <w:vAlign w:val="center"/>
                </w:tcPr>
                <w:p>
                  <w:pPr>
                    <w:pStyle w:val="210"/>
                    <w:jc w:val="both"/>
                    <w:rPr>
                      <w:rFonts w:hint="default" w:eastAsia="宋体"/>
                      <w:color w:val="auto"/>
                      <w:szCs w:val="21"/>
                      <w:lang w:val="en-US" w:eastAsia="zh-CN"/>
                    </w:rPr>
                  </w:pPr>
                  <w:r>
                    <w:rPr>
                      <w:rFonts w:hint="eastAsia"/>
                      <w:color w:val="auto"/>
                      <w:szCs w:val="21"/>
                      <w:lang w:val="en-US" w:eastAsia="zh-CN"/>
                    </w:rPr>
                    <w:t>非甲烷总烃</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0.0008</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100</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2000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0.04</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eastAsia="宋体"/>
                      <w:color w:val="auto"/>
                      <w:szCs w:val="21"/>
                      <w:lang w:eastAsia="zh-CN"/>
                    </w:rPr>
                  </w:pPr>
                  <w:r>
                    <w:rPr>
                      <w:rFonts w:hint="eastAsia"/>
                      <w:color w:val="auto"/>
                      <w:szCs w:val="21"/>
                      <w:lang w:eastAsia="zh-CN"/>
                    </w:rPr>
                    <w:t>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restart"/>
                  <w:vAlign w:val="center"/>
                </w:tcPr>
                <w:p>
                  <w:pPr>
                    <w:pStyle w:val="210"/>
                    <w:rPr>
                      <w:rFonts w:hint="default" w:eastAsia="宋体"/>
                      <w:color w:val="auto"/>
                      <w:szCs w:val="21"/>
                      <w:lang w:val="en-US" w:eastAsia="zh-CN"/>
                    </w:rPr>
                  </w:pPr>
                  <w:r>
                    <w:rPr>
                      <w:rFonts w:hint="eastAsia"/>
                      <w:color w:val="auto"/>
                      <w:szCs w:val="21"/>
                      <w:lang w:val="en-US" w:eastAsia="zh-CN"/>
                    </w:rPr>
                    <w:t>DA003</w:t>
                  </w:r>
                </w:p>
              </w:tc>
              <w:tc>
                <w:tcPr>
                  <w:tcW w:w="559" w:type="pct"/>
                  <w:vAlign w:val="center"/>
                </w:tcPr>
                <w:p>
                  <w:pPr>
                    <w:pStyle w:val="210"/>
                    <w:jc w:val="both"/>
                    <w:rPr>
                      <w:rFonts w:hint="default"/>
                      <w:color w:val="auto"/>
                      <w:szCs w:val="21"/>
                      <w:lang w:val="en-US" w:eastAsia="zh-CN"/>
                    </w:rPr>
                  </w:pPr>
                  <w:r>
                    <w:rPr>
                      <w:rFonts w:hint="eastAsia"/>
                      <w:color w:val="auto"/>
                      <w:szCs w:val="21"/>
                      <w:lang w:val="en-US" w:eastAsia="zh-CN"/>
                    </w:rPr>
                    <w:t>颗粒物</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0.0104</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100</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450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2.32</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二</w:t>
                  </w:r>
                  <w:r>
                    <w:rPr>
                      <w:rFonts w:hint="eastAsia"/>
                      <w:color w:val="auto"/>
                      <w:szCs w:val="21"/>
                    </w:rPr>
                    <w:t>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continue"/>
                  <w:vAlign w:val="center"/>
                </w:tcPr>
                <w:p>
                  <w:pPr>
                    <w:pStyle w:val="210"/>
                    <w:rPr>
                      <w:rFonts w:hint="eastAsia"/>
                      <w:color w:val="auto"/>
                      <w:szCs w:val="21"/>
                      <w:lang w:val="en-US"/>
                    </w:rPr>
                  </w:pPr>
                </w:p>
              </w:tc>
              <w:tc>
                <w:tcPr>
                  <w:tcW w:w="559" w:type="pct"/>
                  <w:vAlign w:val="center"/>
                </w:tcPr>
                <w:p>
                  <w:pPr>
                    <w:pStyle w:val="210"/>
                    <w:jc w:val="both"/>
                    <w:rPr>
                      <w:rFonts w:hint="default"/>
                      <w:color w:val="auto"/>
                      <w:szCs w:val="21"/>
                      <w:lang w:val="en-US" w:eastAsia="zh-CN"/>
                    </w:rPr>
                  </w:pPr>
                  <w:r>
                    <w:rPr>
                      <w:rFonts w:hint="eastAsia"/>
                      <w:color w:val="auto"/>
                      <w:szCs w:val="21"/>
                      <w:lang w:val="en-US" w:eastAsia="zh-CN"/>
                    </w:rPr>
                    <w:t>VOCs</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0.0028</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100</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1200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0.24</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restart"/>
                  <w:vAlign w:val="center"/>
                </w:tcPr>
                <w:p>
                  <w:pPr>
                    <w:pStyle w:val="210"/>
                    <w:rPr>
                      <w:color w:val="auto"/>
                      <w:szCs w:val="21"/>
                      <w:lang w:val="en-US"/>
                    </w:rPr>
                  </w:pPr>
                  <w:r>
                    <w:rPr>
                      <w:rFonts w:hint="eastAsia"/>
                      <w:color w:val="auto"/>
                      <w:szCs w:val="21"/>
                      <w:lang w:val="en-US"/>
                    </w:rPr>
                    <w:t>生产车间</w:t>
                  </w:r>
                </w:p>
              </w:tc>
              <w:tc>
                <w:tcPr>
                  <w:tcW w:w="559" w:type="pct"/>
                  <w:vAlign w:val="center"/>
                </w:tcPr>
                <w:p>
                  <w:pPr>
                    <w:pStyle w:val="210"/>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0.0325</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49</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450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7.23</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color w:val="auto"/>
                      <w:szCs w:val="21"/>
                    </w:rPr>
                  </w:pPr>
                  <w:r>
                    <w:rPr>
                      <w:rFonts w:hint="eastAsia"/>
                      <w:color w:val="auto"/>
                      <w:szCs w:val="21"/>
                      <w:lang w:eastAsia="zh-CN"/>
                    </w:rPr>
                    <w:t>二</w:t>
                  </w:r>
                  <w:r>
                    <w:rPr>
                      <w:rFonts w:hint="eastAsia"/>
                      <w:color w:val="auto"/>
                      <w:szCs w:val="21"/>
                    </w:rPr>
                    <w:t>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continue"/>
                  <w:vAlign w:val="center"/>
                </w:tcPr>
                <w:p>
                  <w:pPr>
                    <w:pStyle w:val="210"/>
                    <w:rPr>
                      <w:rFonts w:hint="eastAsia"/>
                      <w:color w:val="auto"/>
                      <w:szCs w:val="21"/>
                      <w:lang w:val="en-US"/>
                    </w:rPr>
                  </w:pPr>
                </w:p>
              </w:tc>
              <w:tc>
                <w:tcPr>
                  <w:tcW w:w="559" w:type="pct"/>
                  <w:vAlign w:val="center"/>
                </w:tcPr>
                <w:p>
                  <w:pPr>
                    <w:pStyle w:val="210"/>
                    <w:jc w:val="both"/>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非甲烷总烃</w:t>
                  </w:r>
                </w:p>
              </w:tc>
              <w:tc>
                <w:tcPr>
                  <w:tcW w:w="724" w:type="pct"/>
                  <w:vAlign w:val="center"/>
                </w:tcPr>
                <w:p>
                  <w:pPr>
                    <w:pStyle w:val="210"/>
                    <w:rPr>
                      <w:rFonts w:hint="default" w:eastAsia="宋体"/>
                      <w:color w:val="auto"/>
                      <w:kern w:val="0"/>
                      <w:szCs w:val="21"/>
                      <w:lang w:val="en-US" w:eastAsia="zh-CN" w:bidi="ar"/>
                    </w:rPr>
                  </w:pPr>
                  <w:r>
                    <w:rPr>
                      <w:rFonts w:hint="eastAsia"/>
                      <w:color w:val="auto"/>
                      <w:kern w:val="0"/>
                      <w:szCs w:val="21"/>
                      <w:lang w:val="en-US" w:eastAsia="zh-CN" w:bidi="ar"/>
                    </w:rPr>
                    <w:t>0.003</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49</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2000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0.15</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eastAsia="宋体"/>
                      <w:color w:val="auto"/>
                      <w:szCs w:val="21"/>
                      <w:lang w:eastAsia="zh-CN"/>
                    </w:rPr>
                  </w:pPr>
                  <w:r>
                    <w:rPr>
                      <w:rFonts w:hint="eastAsia"/>
                      <w:color w:val="auto"/>
                      <w:szCs w:val="21"/>
                      <w:lang w:eastAsia="zh-CN"/>
                    </w:rPr>
                    <w:t>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27" w:type="pct"/>
                  <w:vMerge w:val="continue"/>
                  <w:vAlign w:val="center"/>
                </w:tcPr>
                <w:p>
                  <w:pPr>
                    <w:pStyle w:val="210"/>
                    <w:rPr>
                      <w:rFonts w:hint="eastAsia"/>
                      <w:color w:val="auto"/>
                      <w:szCs w:val="21"/>
                      <w:lang w:val="en-US"/>
                    </w:rPr>
                  </w:pPr>
                </w:p>
              </w:tc>
              <w:tc>
                <w:tcPr>
                  <w:tcW w:w="559" w:type="pct"/>
                  <w:vAlign w:val="center"/>
                </w:tcPr>
                <w:p>
                  <w:pPr>
                    <w:pStyle w:val="210"/>
                    <w:rPr>
                      <w:rFonts w:hint="eastAsia"/>
                      <w:color w:val="auto"/>
                      <w:szCs w:val="21"/>
                    </w:rPr>
                  </w:pPr>
                  <w:r>
                    <w:rPr>
                      <w:rFonts w:hint="eastAsia"/>
                      <w:color w:val="auto"/>
                      <w:szCs w:val="21"/>
                      <w:lang w:val="en-US" w:eastAsia="zh-CN"/>
                    </w:rPr>
                    <w:t>VOCs</w:t>
                  </w:r>
                </w:p>
              </w:tc>
              <w:tc>
                <w:tcPr>
                  <w:tcW w:w="724" w:type="pct"/>
                  <w:vAlign w:val="center"/>
                </w:tcPr>
                <w:p>
                  <w:pPr>
                    <w:pStyle w:val="210"/>
                    <w:rPr>
                      <w:rFonts w:hint="eastAsia"/>
                      <w:color w:val="auto"/>
                      <w:kern w:val="0"/>
                      <w:szCs w:val="21"/>
                      <w:lang w:val="en-US" w:bidi="ar"/>
                    </w:rPr>
                  </w:pPr>
                  <w:r>
                    <w:rPr>
                      <w:rFonts w:hint="eastAsia"/>
                      <w:color w:val="auto"/>
                      <w:kern w:val="0"/>
                      <w:szCs w:val="21"/>
                      <w:lang w:val="en-US" w:eastAsia="zh-CN" w:bidi="ar"/>
                    </w:rPr>
                    <w:t>0.0488</w:t>
                  </w:r>
                </w:p>
              </w:tc>
              <w:tc>
                <w:tcPr>
                  <w:tcW w:w="717" w:type="pct"/>
                  <w:vAlign w:val="center"/>
                </w:tcPr>
                <w:p>
                  <w:pPr>
                    <w:pStyle w:val="210"/>
                    <w:rPr>
                      <w:rFonts w:hint="default" w:eastAsia="宋体"/>
                      <w:color w:val="auto"/>
                      <w:szCs w:val="21"/>
                      <w:lang w:val="en-US" w:eastAsia="zh-CN"/>
                    </w:rPr>
                  </w:pPr>
                  <w:r>
                    <w:rPr>
                      <w:rFonts w:hint="eastAsia"/>
                      <w:color w:val="auto"/>
                      <w:szCs w:val="21"/>
                      <w:lang w:val="en-US" w:eastAsia="zh-CN"/>
                    </w:rPr>
                    <w:t>49</w:t>
                  </w:r>
                </w:p>
              </w:tc>
              <w:tc>
                <w:tcPr>
                  <w:tcW w:w="640" w:type="pct"/>
                  <w:vAlign w:val="center"/>
                </w:tcPr>
                <w:p>
                  <w:pPr>
                    <w:pStyle w:val="210"/>
                    <w:rPr>
                      <w:rFonts w:hint="default" w:eastAsia="宋体"/>
                      <w:color w:val="auto"/>
                      <w:szCs w:val="21"/>
                      <w:lang w:val="en-US" w:eastAsia="zh-CN"/>
                    </w:rPr>
                  </w:pPr>
                  <w:r>
                    <w:rPr>
                      <w:rFonts w:hint="eastAsia"/>
                      <w:color w:val="auto"/>
                      <w:szCs w:val="21"/>
                      <w:lang w:val="en-US" w:eastAsia="zh-CN"/>
                    </w:rPr>
                    <w:t>1200</w:t>
                  </w:r>
                </w:p>
              </w:tc>
              <w:tc>
                <w:tcPr>
                  <w:tcW w:w="549" w:type="pct"/>
                  <w:vAlign w:val="center"/>
                </w:tcPr>
                <w:p>
                  <w:pPr>
                    <w:pStyle w:val="210"/>
                    <w:rPr>
                      <w:rFonts w:hint="default" w:eastAsia="宋体"/>
                      <w:color w:val="auto"/>
                      <w:szCs w:val="21"/>
                      <w:lang w:val="en-US" w:eastAsia="zh-CN"/>
                    </w:rPr>
                  </w:pPr>
                  <w:r>
                    <w:rPr>
                      <w:rFonts w:hint="eastAsia"/>
                      <w:color w:val="auto"/>
                      <w:szCs w:val="21"/>
                      <w:lang w:val="en-US" w:eastAsia="zh-CN"/>
                    </w:rPr>
                    <w:t>4.07</w:t>
                  </w:r>
                </w:p>
              </w:tc>
              <w:tc>
                <w:tcPr>
                  <w:tcW w:w="556" w:type="pct"/>
                  <w:vAlign w:val="center"/>
                </w:tcPr>
                <w:p>
                  <w:pPr>
                    <w:pStyle w:val="210"/>
                    <w:rPr>
                      <w:rFonts w:hint="eastAsia" w:eastAsia="宋体"/>
                      <w:color w:val="auto"/>
                      <w:szCs w:val="21"/>
                      <w:lang w:val="en-US" w:eastAsia="zh-CN"/>
                    </w:rPr>
                  </w:pPr>
                  <w:r>
                    <w:rPr>
                      <w:rFonts w:hint="eastAsia"/>
                      <w:color w:val="auto"/>
                      <w:szCs w:val="21"/>
                      <w:lang w:val="en-US" w:eastAsia="zh-CN"/>
                    </w:rPr>
                    <w:t>0</w:t>
                  </w:r>
                </w:p>
              </w:tc>
              <w:tc>
                <w:tcPr>
                  <w:tcW w:w="623" w:type="pct"/>
                  <w:vAlign w:val="center"/>
                </w:tcPr>
                <w:p>
                  <w:pPr>
                    <w:jc w:val="center"/>
                    <w:rPr>
                      <w:rFonts w:hint="eastAsia"/>
                      <w:color w:val="auto"/>
                      <w:szCs w:val="21"/>
                    </w:rPr>
                  </w:pPr>
                  <w:r>
                    <w:rPr>
                      <w:rFonts w:hint="eastAsia"/>
                      <w:color w:val="auto"/>
                      <w:szCs w:val="21"/>
                      <w:lang w:eastAsia="zh-CN"/>
                    </w:rPr>
                    <w:t>二</w:t>
                  </w:r>
                  <w:r>
                    <w:rPr>
                      <w:rFonts w:hint="eastAsia"/>
                      <w:color w:val="auto"/>
                      <w:szCs w:val="21"/>
                    </w:rPr>
                    <w:t>级</w:t>
                  </w:r>
                </w:p>
              </w:tc>
            </w:tr>
          </w:tbl>
          <w:p>
            <w:pPr>
              <w:spacing w:line="360" w:lineRule="auto"/>
              <w:ind w:firstLine="480" w:firstLineChars="200"/>
              <w:rPr>
                <w:color w:val="auto"/>
                <w:sz w:val="24"/>
              </w:rPr>
            </w:pPr>
            <w:r>
              <w:rPr>
                <w:color w:val="auto"/>
                <w:sz w:val="24"/>
              </w:rPr>
              <w:t>由上表可知，</w:t>
            </w:r>
            <w:r>
              <w:rPr>
                <w:rFonts w:hint="eastAsia"/>
                <w:color w:val="auto"/>
                <w:sz w:val="24"/>
                <w:lang w:eastAsia="zh-CN"/>
              </w:rPr>
              <w:t>颗粒物有组织</w:t>
            </w:r>
            <w:r>
              <w:rPr>
                <w:color w:val="auto"/>
                <w:sz w:val="24"/>
              </w:rPr>
              <w:t>最大落地浓度</w:t>
            </w:r>
            <w:r>
              <w:rPr>
                <w:rFonts w:hint="eastAsia"/>
                <w:color w:val="auto"/>
                <w:sz w:val="24"/>
                <w:lang w:eastAsia="zh-CN"/>
              </w:rPr>
              <w:t>占标率</w:t>
            </w:r>
            <w:r>
              <w:rPr>
                <w:rFonts w:hint="eastAsia"/>
                <w:color w:val="auto"/>
                <w:sz w:val="24"/>
                <w:lang w:val="en-US" w:eastAsia="zh-CN"/>
              </w:rPr>
              <w:t>4.35%&lt;10%，</w:t>
            </w:r>
            <w:r>
              <w:rPr>
                <w:rFonts w:hint="eastAsia"/>
                <w:color w:val="auto"/>
                <w:sz w:val="24"/>
                <w:lang w:eastAsia="zh-CN"/>
              </w:rPr>
              <w:t>非甲烷总烃有组织</w:t>
            </w:r>
            <w:r>
              <w:rPr>
                <w:color w:val="auto"/>
                <w:sz w:val="24"/>
              </w:rPr>
              <w:t>最大落地浓度</w:t>
            </w:r>
            <w:r>
              <w:rPr>
                <w:rFonts w:hint="eastAsia"/>
                <w:color w:val="auto"/>
                <w:sz w:val="24"/>
                <w:lang w:eastAsia="zh-CN"/>
              </w:rPr>
              <w:t>占标率</w:t>
            </w:r>
            <w:r>
              <w:rPr>
                <w:rFonts w:hint="eastAsia"/>
                <w:color w:val="auto"/>
                <w:sz w:val="24"/>
                <w:lang w:val="en-US" w:eastAsia="zh-CN"/>
              </w:rPr>
              <w:t>0.04%&lt;1%</w:t>
            </w:r>
            <w:r>
              <w:rPr>
                <w:rFonts w:hint="eastAsia"/>
                <w:color w:val="auto"/>
                <w:sz w:val="24"/>
              </w:rPr>
              <w:t>，</w:t>
            </w:r>
            <w:r>
              <w:rPr>
                <w:rFonts w:hint="eastAsia"/>
                <w:color w:val="auto"/>
                <w:sz w:val="24"/>
                <w:lang w:val="en-US" w:eastAsia="zh-CN"/>
              </w:rPr>
              <w:t>VOCs</w:t>
            </w:r>
            <w:r>
              <w:rPr>
                <w:rFonts w:hint="eastAsia"/>
                <w:color w:val="auto"/>
                <w:sz w:val="24"/>
                <w:lang w:eastAsia="zh-CN"/>
              </w:rPr>
              <w:t>有组织</w:t>
            </w:r>
            <w:r>
              <w:rPr>
                <w:color w:val="auto"/>
                <w:sz w:val="24"/>
              </w:rPr>
              <w:t>最大落地浓度</w:t>
            </w:r>
            <w:r>
              <w:rPr>
                <w:rFonts w:hint="eastAsia"/>
                <w:color w:val="auto"/>
                <w:sz w:val="24"/>
                <w:lang w:eastAsia="zh-CN"/>
              </w:rPr>
              <w:t>占标率</w:t>
            </w:r>
            <w:r>
              <w:rPr>
                <w:rFonts w:hint="eastAsia"/>
                <w:color w:val="auto"/>
                <w:sz w:val="24"/>
                <w:lang w:val="en-US" w:eastAsia="zh-CN"/>
              </w:rPr>
              <w:t>0.24%&lt;1%；</w:t>
            </w:r>
            <w:r>
              <w:rPr>
                <w:rFonts w:hint="eastAsia"/>
                <w:color w:val="auto"/>
                <w:sz w:val="24"/>
                <w:lang w:eastAsia="zh-CN"/>
              </w:rPr>
              <w:t>颗粒物无组织</w:t>
            </w:r>
            <w:r>
              <w:rPr>
                <w:color w:val="auto"/>
                <w:sz w:val="24"/>
              </w:rPr>
              <w:t>最大落地浓度</w:t>
            </w:r>
            <w:r>
              <w:rPr>
                <w:rFonts w:hint="eastAsia"/>
                <w:color w:val="auto"/>
                <w:sz w:val="24"/>
                <w:lang w:eastAsia="zh-CN"/>
              </w:rPr>
              <w:t>占标率</w:t>
            </w:r>
            <w:r>
              <w:rPr>
                <w:rFonts w:hint="eastAsia"/>
                <w:color w:val="auto"/>
                <w:sz w:val="24"/>
                <w:lang w:val="en-US" w:eastAsia="zh-CN"/>
              </w:rPr>
              <w:t>7.23%&lt;10%，</w:t>
            </w:r>
            <w:r>
              <w:rPr>
                <w:rFonts w:hint="eastAsia"/>
                <w:color w:val="auto"/>
                <w:sz w:val="24"/>
                <w:lang w:eastAsia="zh-CN"/>
              </w:rPr>
              <w:t>非甲烷总烃有组织</w:t>
            </w:r>
            <w:r>
              <w:rPr>
                <w:color w:val="auto"/>
                <w:sz w:val="24"/>
              </w:rPr>
              <w:t>最大落地浓度</w:t>
            </w:r>
            <w:r>
              <w:rPr>
                <w:rFonts w:hint="eastAsia"/>
                <w:color w:val="auto"/>
                <w:sz w:val="24"/>
                <w:lang w:eastAsia="zh-CN"/>
              </w:rPr>
              <w:t>占标率</w:t>
            </w:r>
            <w:r>
              <w:rPr>
                <w:rFonts w:hint="eastAsia"/>
                <w:color w:val="auto"/>
                <w:sz w:val="24"/>
                <w:lang w:val="en-US" w:eastAsia="zh-CN"/>
              </w:rPr>
              <w:t>0.15%&lt;1%</w:t>
            </w:r>
            <w:r>
              <w:rPr>
                <w:rFonts w:hint="eastAsia"/>
                <w:color w:val="auto"/>
                <w:sz w:val="24"/>
              </w:rPr>
              <w:t>，</w:t>
            </w:r>
            <w:r>
              <w:rPr>
                <w:rFonts w:hint="eastAsia"/>
                <w:color w:val="auto"/>
                <w:sz w:val="24"/>
                <w:lang w:val="en-US" w:eastAsia="zh-CN"/>
              </w:rPr>
              <w:t>VOCs</w:t>
            </w:r>
            <w:r>
              <w:rPr>
                <w:rFonts w:hint="eastAsia"/>
                <w:color w:val="auto"/>
                <w:sz w:val="24"/>
                <w:lang w:eastAsia="zh-CN"/>
              </w:rPr>
              <w:t>有组织</w:t>
            </w:r>
            <w:r>
              <w:rPr>
                <w:color w:val="auto"/>
                <w:sz w:val="24"/>
              </w:rPr>
              <w:t>最大落地浓度</w:t>
            </w:r>
            <w:r>
              <w:rPr>
                <w:rFonts w:hint="eastAsia"/>
                <w:color w:val="auto"/>
                <w:sz w:val="24"/>
                <w:lang w:eastAsia="zh-CN"/>
              </w:rPr>
              <w:t>占标率</w:t>
            </w:r>
            <w:r>
              <w:rPr>
                <w:rFonts w:hint="eastAsia"/>
                <w:color w:val="auto"/>
                <w:sz w:val="24"/>
                <w:lang w:val="en-US" w:eastAsia="zh-CN"/>
              </w:rPr>
              <w:t>4.07%&lt;10%</w:t>
            </w:r>
            <w:r>
              <w:rPr>
                <w:rFonts w:hint="eastAsia"/>
                <w:color w:val="auto"/>
                <w:sz w:val="24"/>
                <w:lang w:eastAsia="zh-CN"/>
              </w:rPr>
              <w:t>，</w:t>
            </w:r>
            <w:r>
              <w:rPr>
                <w:rFonts w:hint="eastAsia"/>
                <w:color w:val="auto"/>
                <w:sz w:val="24"/>
              </w:rPr>
              <w:t>本项目评价等级应为二级，</w:t>
            </w:r>
            <w:r>
              <w:rPr>
                <w:color w:val="auto"/>
                <w:sz w:val="24"/>
              </w:rPr>
              <w:t>对</w:t>
            </w:r>
            <w:r>
              <w:rPr>
                <w:rFonts w:hint="eastAsia"/>
                <w:color w:val="auto"/>
                <w:sz w:val="24"/>
                <w:lang w:eastAsia="zh-CN"/>
              </w:rPr>
              <w:t>环境保护目标</w:t>
            </w:r>
            <w:r>
              <w:rPr>
                <w:rFonts w:hint="eastAsia"/>
                <w:color w:val="auto"/>
                <w:sz w:val="24"/>
                <w:lang w:val="en-US" w:eastAsia="zh-CN"/>
              </w:rPr>
              <w:t>宋庄及</w:t>
            </w:r>
            <w:r>
              <w:rPr>
                <w:color w:val="auto"/>
                <w:sz w:val="24"/>
              </w:rPr>
              <w:t>周边环境影响</w:t>
            </w:r>
            <w:r>
              <w:rPr>
                <w:rFonts w:hint="eastAsia"/>
                <w:color w:val="auto"/>
                <w:sz w:val="24"/>
              </w:rPr>
              <w:t>可接受，不需要进一步预测。</w:t>
            </w:r>
          </w:p>
          <w:p>
            <w:pPr>
              <w:spacing w:line="360" w:lineRule="auto"/>
              <w:ind w:firstLine="482"/>
              <w:rPr>
                <w:b/>
                <w:bCs/>
                <w:color w:val="auto"/>
                <w:sz w:val="24"/>
              </w:rPr>
            </w:pPr>
            <w:r>
              <w:rPr>
                <w:b/>
                <w:bCs/>
                <w:color w:val="auto"/>
                <w:sz w:val="24"/>
              </w:rPr>
              <w:t>（</w:t>
            </w:r>
            <w:r>
              <w:rPr>
                <w:rFonts w:hint="eastAsia"/>
                <w:b/>
                <w:bCs/>
                <w:color w:val="auto"/>
                <w:sz w:val="24"/>
                <w:lang w:val="en-US" w:eastAsia="zh-CN"/>
              </w:rPr>
              <w:t>3</w:t>
            </w:r>
            <w:r>
              <w:rPr>
                <w:b/>
                <w:bCs/>
                <w:color w:val="auto"/>
                <w:sz w:val="24"/>
              </w:rPr>
              <w:t>）污染物排放量核算</w:t>
            </w:r>
          </w:p>
          <w:p>
            <w:pPr>
              <w:jc w:val="center"/>
              <w:rPr>
                <w:color w:val="auto"/>
                <w:szCs w:val="21"/>
              </w:rPr>
            </w:pPr>
            <w:r>
              <w:rPr>
                <w:b/>
                <w:color w:val="auto"/>
                <w:szCs w:val="21"/>
              </w:rPr>
              <w:t>表7-</w:t>
            </w:r>
            <w:r>
              <w:rPr>
                <w:rFonts w:hint="eastAsia"/>
                <w:b/>
                <w:color w:val="auto"/>
                <w:szCs w:val="21"/>
                <w:lang w:val="en-US" w:eastAsia="zh-CN"/>
              </w:rPr>
              <w:t>11</w:t>
            </w:r>
            <w:r>
              <w:rPr>
                <w:b/>
                <w:color w:val="auto"/>
                <w:szCs w:val="21"/>
              </w:rPr>
              <w:t xml:space="preserve">  大气污染物有组织排放量核算表</w:t>
            </w:r>
          </w:p>
          <w:tbl>
            <w:tblPr>
              <w:tblStyle w:val="56"/>
              <w:tblW w:w="831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5"/>
              <w:gridCol w:w="901"/>
              <w:gridCol w:w="875"/>
              <w:gridCol w:w="1383"/>
              <w:gridCol w:w="1575"/>
              <w:gridCol w:w="1410"/>
              <w:gridCol w:w="15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585" w:type="dxa"/>
                  <w:tcBorders>
                    <w:tl2br w:val="nil"/>
                    <w:tr2bl w:val="nil"/>
                  </w:tcBorders>
                  <w:vAlign w:val="center"/>
                </w:tcPr>
                <w:p>
                  <w:pPr>
                    <w:widowControl/>
                    <w:jc w:val="center"/>
                    <w:rPr>
                      <w:b/>
                      <w:color w:val="auto"/>
                      <w:kern w:val="0"/>
                      <w:szCs w:val="21"/>
                    </w:rPr>
                  </w:pPr>
                  <w:r>
                    <w:rPr>
                      <w:b/>
                      <w:color w:val="auto"/>
                      <w:kern w:val="0"/>
                      <w:szCs w:val="21"/>
                    </w:rPr>
                    <w:t>序号</w:t>
                  </w:r>
                </w:p>
              </w:tc>
              <w:tc>
                <w:tcPr>
                  <w:tcW w:w="901" w:type="dxa"/>
                  <w:tcBorders>
                    <w:tl2br w:val="nil"/>
                    <w:tr2bl w:val="nil"/>
                  </w:tcBorders>
                  <w:vAlign w:val="center"/>
                </w:tcPr>
                <w:p>
                  <w:pPr>
                    <w:widowControl/>
                    <w:jc w:val="center"/>
                    <w:rPr>
                      <w:b/>
                      <w:color w:val="auto"/>
                      <w:kern w:val="0"/>
                      <w:szCs w:val="21"/>
                    </w:rPr>
                  </w:pPr>
                  <w:r>
                    <w:rPr>
                      <w:b/>
                      <w:color w:val="auto"/>
                      <w:kern w:val="0"/>
                      <w:szCs w:val="21"/>
                    </w:rPr>
                    <w:t>排放口</w:t>
                  </w:r>
                </w:p>
                <w:p>
                  <w:pPr>
                    <w:widowControl/>
                    <w:jc w:val="center"/>
                    <w:rPr>
                      <w:b/>
                      <w:color w:val="auto"/>
                      <w:kern w:val="0"/>
                      <w:szCs w:val="21"/>
                    </w:rPr>
                  </w:pPr>
                  <w:r>
                    <w:rPr>
                      <w:b/>
                      <w:color w:val="auto"/>
                      <w:kern w:val="0"/>
                      <w:szCs w:val="21"/>
                    </w:rPr>
                    <w:t>编号</w:t>
                  </w:r>
                </w:p>
              </w:tc>
              <w:tc>
                <w:tcPr>
                  <w:tcW w:w="875" w:type="dxa"/>
                  <w:tcBorders>
                    <w:tl2br w:val="nil"/>
                    <w:tr2bl w:val="nil"/>
                  </w:tcBorders>
                  <w:vAlign w:val="center"/>
                </w:tcPr>
                <w:p>
                  <w:pPr>
                    <w:widowControl/>
                    <w:jc w:val="center"/>
                    <w:rPr>
                      <w:b/>
                      <w:color w:val="auto"/>
                      <w:kern w:val="0"/>
                      <w:szCs w:val="21"/>
                    </w:rPr>
                  </w:pPr>
                  <w:r>
                    <w:rPr>
                      <w:b/>
                      <w:color w:val="auto"/>
                      <w:kern w:val="0"/>
                      <w:szCs w:val="21"/>
                    </w:rPr>
                    <w:t>污染物</w:t>
                  </w:r>
                </w:p>
              </w:tc>
              <w:tc>
                <w:tcPr>
                  <w:tcW w:w="1383" w:type="dxa"/>
                  <w:tcBorders>
                    <w:tl2br w:val="nil"/>
                    <w:tr2bl w:val="nil"/>
                  </w:tcBorders>
                  <w:vAlign w:val="center"/>
                </w:tcPr>
                <w:p>
                  <w:pPr>
                    <w:widowControl/>
                    <w:jc w:val="center"/>
                    <w:rPr>
                      <w:b/>
                      <w:color w:val="auto"/>
                      <w:kern w:val="0"/>
                      <w:szCs w:val="21"/>
                    </w:rPr>
                  </w:pPr>
                  <w:r>
                    <w:rPr>
                      <w:b/>
                      <w:color w:val="auto"/>
                      <w:kern w:val="0"/>
                      <w:szCs w:val="21"/>
                    </w:rPr>
                    <w:t>主要污染防治措施</w:t>
                  </w:r>
                </w:p>
              </w:tc>
              <w:tc>
                <w:tcPr>
                  <w:tcW w:w="1575" w:type="dxa"/>
                  <w:tcBorders>
                    <w:tl2br w:val="nil"/>
                    <w:tr2bl w:val="nil"/>
                  </w:tcBorders>
                  <w:vAlign w:val="center"/>
                </w:tcPr>
                <w:p>
                  <w:pPr>
                    <w:widowControl/>
                    <w:jc w:val="center"/>
                    <w:rPr>
                      <w:b/>
                      <w:color w:val="auto"/>
                      <w:kern w:val="0"/>
                      <w:szCs w:val="21"/>
                    </w:rPr>
                  </w:pPr>
                  <w:r>
                    <w:rPr>
                      <w:b/>
                      <w:color w:val="auto"/>
                      <w:kern w:val="0"/>
                      <w:szCs w:val="21"/>
                    </w:rPr>
                    <w:t>核算排放浓度/（µg/m</w:t>
                  </w:r>
                  <w:r>
                    <w:rPr>
                      <w:b/>
                      <w:color w:val="auto"/>
                      <w:kern w:val="0"/>
                      <w:szCs w:val="21"/>
                      <w:vertAlign w:val="superscript"/>
                    </w:rPr>
                    <w:t>3</w:t>
                  </w:r>
                  <w:r>
                    <w:rPr>
                      <w:b/>
                      <w:color w:val="auto"/>
                      <w:kern w:val="0"/>
                      <w:szCs w:val="21"/>
                    </w:rPr>
                    <w:t>）</w:t>
                  </w:r>
                </w:p>
              </w:tc>
              <w:tc>
                <w:tcPr>
                  <w:tcW w:w="1410" w:type="dxa"/>
                  <w:tcBorders>
                    <w:tl2br w:val="nil"/>
                    <w:tr2bl w:val="nil"/>
                  </w:tcBorders>
                  <w:vAlign w:val="center"/>
                </w:tcPr>
                <w:p>
                  <w:pPr>
                    <w:widowControl/>
                    <w:jc w:val="center"/>
                    <w:rPr>
                      <w:b/>
                      <w:color w:val="auto"/>
                      <w:kern w:val="0"/>
                      <w:szCs w:val="21"/>
                    </w:rPr>
                  </w:pPr>
                  <w:r>
                    <w:rPr>
                      <w:b/>
                      <w:color w:val="auto"/>
                      <w:kern w:val="0"/>
                      <w:szCs w:val="21"/>
                    </w:rPr>
                    <w:t>核算排放速率/（kg/h）</w:t>
                  </w:r>
                </w:p>
              </w:tc>
              <w:tc>
                <w:tcPr>
                  <w:tcW w:w="1583" w:type="dxa"/>
                  <w:tcBorders>
                    <w:tl2br w:val="nil"/>
                    <w:tr2bl w:val="nil"/>
                  </w:tcBorders>
                  <w:vAlign w:val="center"/>
                </w:tcPr>
                <w:p>
                  <w:pPr>
                    <w:widowControl/>
                    <w:jc w:val="center"/>
                    <w:rPr>
                      <w:b/>
                      <w:color w:val="auto"/>
                      <w:kern w:val="0"/>
                      <w:szCs w:val="21"/>
                    </w:rPr>
                  </w:pPr>
                  <w:r>
                    <w:rPr>
                      <w:b/>
                      <w:color w:val="auto"/>
                      <w:kern w:val="0"/>
                      <w:szCs w:val="21"/>
                    </w:rPr>
                    <w:t>核算年排放量/（t/a）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312" w:type="dxa"/>
                  <w:gridSpan w:val="7"/>
                  <w:tcBorders>
                    <w:tl2br w:val="nil"/>
                    <w:tr2bl w:val="nil"/>
                  </w:tcBorders>
                  <w:vAlign w:val="center"/>
                </w:tcPr>
                <w:p>
                  <w:pPr>
                    <w:widowControl/>
                    <w:jc w:val="center"/>
                    <w:rPr>
                      <w:color w:val="auto"/>
                      <w:kern w:val="0"/>
                      <w:szCs w:val="21"/>
                    </w:rPr>
                  </w:pPr>
                  <w:r>
                    <w:rPr>
                      <w:color w:val="auto"/>
                      <w:kern w:val="0"/>
                      <w:szCs w:val="21"/>
                    </w:rPr>
                    <w:t>一般排放口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585" w:type="dxa"/>
                  <w:tcBorders>
                    <w:tl2br w:val="nil"/>
                    <w:tr2bl w:val="nil"/>
                  </w:tcBorders>
                  <w:vAlign w:val="center"/>
                </w:tcPr>
                <w:p>
                  <w:pPr>
                    <w:widowControl/>
                    <w:jc w:val="center"/>
                    <w:rPr>
                      <w:color w:val="auto"/>
                      <w:kern w:val="0"/>
                      <w:szCs w:val="21"/>
                    </w:rPr>
                  </w:pPr>
                  <w:r>
                    <w:rPr>
                      <w:rFonts w:hint="eastAsia"/>
                      <w:color w:val="auto"/>
                      <w:kern w:val="0"/>
                      <w:szCs w:val="21"/>
                    </w:rPr>
                    <w:t>1</w:t>
                  </w:r>
                </w:p>
              </w:tc>
              <w:tc>
                <w:tcPr>
                  <w:tcW w:w="901" w:type="dxa"/>
                  <w:tcBorders>
                    <w:tl2br w:val="nil"/>
                    <w:tr2bl w:val="nil"/>
                  </w:tcBorders>
                  <w:vAlign w:val="center"/>
                </w:tcPr>
                <w:p>
                  <w:pPr>
                    <w:widowControl/>
                    <w:jc w:val="center"/>
                    <w:rPr>
                      <w:rFonts w:hint="default" w:eastAsia="宋体"/>
                      <w:color w:val="auto"/>
                      <w:kern w:val="0"/>
                      <w:szCs w:val="21"/>
                      <w:lang w:val="en-US" w:eastAsia="zh-CN"/>
                    </w:rPr>
                  </w:pPr>
                  <w:r>
                    <w:rPr>
                      <w:rFonts w:hint="eastAsia"/>
                      <w:color w:val="auto"/>
                      <w:kern w:val="0"/>
                      <w:szCs w:val="21"/>
                      <w:lang w:val="en-US" w:eastAsia="zh-CN"/>
                    </w:rPr>
                    <w:t>DA001</w:t>
                  </w:r>
                </w:p>
              </w:tc>
              <w:tc>
                <w:tcPr>
                  <w:tcW w:w="875" w:type="dxa"/>
                  <w:tcBorders>
                    <w:tl2br w:val="nil"/>
                    <w:tr2bl w:val="nil"/>
                  </w:tcBorders>
                  <w:vAlign w:val="center"/>
                </w:tcPr>
                <w:p>
                  <w:pPr>
                    <w:jc w:val="center"/>
                    <w:rPr>
                      <w:rFonts w:hint="eastAsia" w:eastAsia="宋体"/>
                      <w:color w:val="auto"/>
                      <w:kern w:val="0"/>
                      <w:szCs w:val="21"/>
                      <w:lang w:eastAsia="zh-CN"/>
                    </w:rPr>
                  </w:pPr>
                  <w:r>
                    <w:rPr>
                      <w:rFonts w:hint="eastAsia"/>
                      <w:color w:val="auto"/>
                      <w:kern w:val="0"/>
                      <w:szCs w:val="21"/>
                      <w:lang w:val="en-US" w:eastAsia="zh-CN"/>
                    </w:rPr>
                    <w:t>颗粒物</w:t>
                  </w:r>
                </w:p>
              </w:tc>
              <w:tc>
                <w:tcPr>
                  <w:tcW w:w="1383" w:type="dxa"/>
                  <w:tcBorders>
                    <w:tl2br w:val="nil"/>
                    <w:tr2bl w:val="nil"/>
                  </w:tcBorders>
                  <w:vAlign w:val="center"/>
                </w:tcPr>
                <w:p>
                  <w:pPr>
                    <w:jc w:val="center"/>
                    <w:rPr>
                      <w:color w:val="auto"/>
                      <w:kern w:val="0"/>
                      <w:szCs w:val="21"/>
                    </w:rPr>
                  </w:pPr>
                  <w:r>
                    <w:rPr>
                      <w:rFonts w:hint="eastAsia"/>
                      <w:color w:val="auto"/>
                      <w:kern w:val="0"/>
                      <w:szCs w:val="21"/>
                    </w:rPr>
                    <w:t>布袋除尘器（TA001、TA002）</w:t>
                  </w:r>
                </w:p>
              </w:tc>
              <w:tc>
                <w:tcPr>
                  <w:tcW w:w="1575"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2550</w:t>
                  </w:r>
                </w:p>
              </w:tc>
              <w:tc>
                <w:tcPr>
                  <w:tcW w:w="1410"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0.102</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0.307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585" w:type="dxa"/>
                  <w:vMerge w:val="restart"/>
                  <w:tcBorders>
                    <w:tl2br w:val="nil"/>
                    <w:tr2bl w:val="nil"/>
                  </w:tcBorders>
                  <w:vAlign w:val="center"/>
                </w:tcPr>
                <w:p>
                  <w:pPr>
                    <w:widowControl/>
                    <w:jc w:val="center"/>
                    <w:rPr>
                      <w:rFonts w:hint="eastAsia" w:eastAsia="宋体"/>
                      <w:color w:val="auto"/>
                      <w:kern w:val="0"/>
                      <w:szCs w:val="21"/>
                      <w:lang w:val="en-US" w:eastAsia="zh-CN"/>
                    </w:rPr>
                  </w:pPr>
                  <w:r>
                    <w:rPr>
                      <w:rFonts w:hint="eastAsia"/>
                      <w:color w:val="auto"/>
                      <w:kern w:val="0"/>
                      <w:szCs w:val="21"/>
                      <w:lang w:val="en-US" w:eastAsia="zh-CN"/>
                    </w:rPr>
                    <w:t>2</w:t>
                  </w:r>
                </w:p>
              </w:tc>
              <w:tc>
                <w:tcPr>
                  <w:tcW w:w="901" w:type="dxa"/>
                  <w:vMerge w:val="restart"/>
                  <w:tcBorders>
                    <w:tl2br w:val="nil"/>
                    <w:tr2bl w:val="nil"/>
                  </w:tcBorders>
                  <w:vAlign w:val="center"/>
                </w:tcPr>
                <w:p>
                  <w:pPr>
                    <w:widowControl/>
                    <w:jc w:val="center"/>
                    <w:rPr>
                      <w:rFonts w:hint="default" w:eastAsia="宋体"/>
                      <w:color w:val="auto"/>
                      <w:kern w:val="0"/>
                      <w:szCs w:val="21"/>
                      <w:lang w:val="en-US" w:eastAsia="zh-CN"/>
                    </w:rPr>
                  </w:pPr>
                  <w:r>
                    <w:rPr>
                      <w:rFonts w:hint="eastAsia"/>
                      <w:color w:val="auto"/>
                      <w:kern w:val="0"/>
                      <w:szCs w:val="21"/>
                      <w:lang w:val="en-US" w:eastAsia="zh-CN"/>
                    </w:rPr>
                    <w:t>DA002</w:t>
                  </w:r>
                </w:p>
              </w:tc>
              <w:tc>
                <w:tcPr>
                  <w:tcW w:w="875" w:type="dxa"/>
                  <w:tcBorders>
                    <w:tl2br w:val="nil"/>
                    <w:tr2bl w:val="nil"/>
                  </w:tcBorders>
                  <w:vAlign w:val="center"/>
                </w:tcPr>
                <w:p>
                  <w:pPr>
                    <w:jc w:val="center"/>
                    <w:rPr>
                      <w:rFonts w:hint="eastAsia" w:eastAsia="宋体"/>
                      <w:color w:val="auto"/>
                      <w:kern w:val="0"/>
                      <w:szCs w:val="21"/>
                      <w:lang w:val="en-US" w:eastAsia="zh-CN"/>
                    </w:rPr>
                  </w:pPr>
                  <w:r>
                    <w:rPr>
                      <w:rFonts w:hint="eastAsia"/>
                      <w:color w:val="auto"/>
                      <w:kern w:val="0"/>
                      <w:szCs w:val="21"/>
                      <w:lang w:val="en-US" w:eastAsia="zh-CN"/>
                    </w:rPr>
                    <w:t>颗粒物</w:t>
                  </w:r>
                </w:p>
              </w:tc>
              <w:tc>
                <w:tcPr>
                  <w:tcW w:w="1383" w:type="dxa"/>
                  <w:tcBorders>
                    <w:tl2br w:val="nil"/>
                    <w:tr2bl w:val="nil"/>
                  </w:tcBorders>
                  <w:vAlign w:val="center"/>
                </w:tcPr>
                <w:p>
                  <w:pPr>
                    <w:jc w:val="center"/>
                    <w:rPr>
                      <w:rFonts w:hint="eastAsia"/>
                      <w:color w:val="auto"/>
                      <w:kern w:val="0"/>
                      <w:szCs w:val="21"/>
                    </w:rPr>
                  </w:pPr>
                  <w:r>
                    <w:rPr>
                      <w:rFonts w:hint="eastAsia"/>
                      <w:b w:val="0"/>
                      <w:bCs/>
                      <w:snapToGrid w:val="0"/>
                      <w:color w:val="auto"/>
                      <w:kern w:val="18"/>
                      <w:sz w:val="18"/>
                      <w:szCs w:val="18"/>
                      <w:lang w:val="en-US" w:eastAsia="zh-CN"/>
                    </w:rPr>
                    <w:t>塑粉回收滤筒（TA003）</w:t>
                  </w:r>
                </w:p>
              </w:tc>
              <w:tc>
                <w:tcPr>
                  <w:tcW w:w="1575"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2200</w:t>
                  </w:r>
                </w:p>
              </w:tc>
              <w:tc>
                <w:tcPr>
                  <w:tcW w:w="1410"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0.011</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585" w:type="dxa"/>
                  <w:vMerge w:val="continue"/>
                  <w:tcBorders>
                    <w:tl2br w:val="nil"/>
                    <w:tr2bl w:val="nil"/>
                  </w:tcBorders>
                  <w:vAlign w:val="center"/>
                </w:tcPr>
                <w:p>
                  <w:pPr>
                    <w:widowControl/>
                    <w:jc w:val="center"/>
                    <w:rPr>
                      <w:rFonts w:hint="eastAsia"/>
                      <w:color w:val="auto"/>
                      <w:kern w:val="0"/>
                      <w:szCs w:val="21"/>
                    </w:rPr>
                  </w:pPr>
                </w:p>
              </w:tc>
              <w:tc>
                <w:tcPr>
                  <w:tcW w:w="901" w:type="dxa"/>
                  <w:vMerge w:val="continue"/>
                  <w:tcBorders>
                    <w:tl2br w:val="nil"/>
                    <w:tr2bl w:val="nil"/>
                  </w:tcBorders>
                  <w:vAlign w:val="center"/>
                </w:tcPr>
                <w:p>
                  <w:pPr>
                    <w:widowControl/>
                    <w:jc w:val="center"/>
                    <w:rPr>
                      <w:rFonts w:hint="eastAsia"/>
                      <w:color w:val="auto"/>
                      <w:kern w:val="0"/>
                      <w:szCs w:val="21"/>
                      <w:lang w:val="en-US" w:eastAsia="zh-CN"/>
                    </w:rPr>
                  </w:pPr>
                </w:p>
              </w:tc>
              <w:tc>
                <w:tcPr>
                  <w:tcW w:w="875" w:type="dxa"/>
                  <w:tcBorders>
                    <w:tl2br w:val="nil"/>
                    <w:tr2bl w:val="nil"/>
                  </w:tcBorders>
                  <w:vAlign w:val="center"/>
                </w:tcPr>
                <w:p>
                  <w:pPr>
                    <w:jc w:val="center"/>
                    <w:rPr>
                      <w:rFonts w:hint="default" w:eastAsia="宋体"/>
                      <w:color w:val="auto"/>
                      <w:kern w:val="0"/>
                      <w:szCs w:val="21"/>
                      <w:lang w:val="en-US" w:eastAsia="zh-CN"/>
                    </w:rPr>
                  </w:pPr>
                  <w:r>
                    <w:rPr>
                      <w:rFonts w:hint="eastAsia"/>
                      <w:color w:val="auto"/>
                      <w:kern w:val="0"/>
                      <w:szCs w:val="21"/>
                      <w:lang w:val="en-US" w:eastAsia="zh-CN"/>
                    </w:rPr>
                    <w:t>非甲烷总烃</w:t>
                  </w:r>
                </w:p>
              </w:tc>
              <w:tc>
                <w:tcPr>
                  <w:tcW w:w="1383" w:type="dxa"/>
                  <w:tcBorders>
                    <w:tl2br w:val="nil"/>
                    <w:tr2bl w:val="nil"/>
                  </w:tcBorders>
                  <w:vAlign w:val="center"/>
                </w:tcPr>
                <w:p>
                  <w:pPr>
                    <w:jc w:val="center"/>
                    <w:rPr>
                      <w:rFonts w:hint="eastAsia"/>
                      <w:color w:val="auto"/>
                      <w:kern w:val="0"/>
                      <w:szCs w:val="21"/>
                    </w:rPr>
                  </w:pPr>
                  <w:r>
                    <w:rPr>
                      <w:rFonts w:hint="eastAsia"/>
                      <w:b w:val="0"/>
                      <w:bCs/>
                      <w:snapToGrid w:val="0"/>
                      <w:color w:val="auto"/>
                      <w:kern w:val="18"/>
                      <w:sz w:val="18"/>
                      <w:szCs w:val="18"/>
                      <w:lang w:val="en-US" w:eastAsia="zh-CN"/>
                    </w:rPr>
                    <w:t>二级活性炭吸附设备（TA004）</w:t>
                  </w:r>
                </w:p>
              </w:tc>
              <w:tc>
                <w:tcPr>
                  <w:tcW w:w="1575"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800</w:t>
                  </w:r>
                </w:p>
              </w:tc>
              <w:tc>
                <w:tcPr>
                  <w:tcW w:w="1410"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0.004</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585" w:type="dxa"/>
                  <w:vMerge w:val="restart"/>
                  <w:tcBorders>
                    <w:tl2br w:val="nil"/>
                    <w:tr2bl w:val="nil"/>
                  </w:tcBorders>
                  <w:vAlign w:val="center"/>
                </w:tcPr>
                <w:p>
                  <w:pPr>
                    <w:widowControl/>
                    <w:jc w:val="center"/>
                    <w:rPr>
                      <w:rFonts w:hint="eastAsia" w:eastAsia="宋体"/>
                      <w:color w:val="auto"/>
                      <w:kern w:val="0"/>
                      <w:szCs w:val="21"/>
                      <w:lang w:val="en-US" w:eastAsia="zh-CN"/>
                    </w:rPr>
                  </w:pPr>
                  <w:r>
                    <w:rPr>
                      <w:rFonts w:hint="eastAsia"/>
                      <w:color w:val="auto"/>
                      <w:kern w:val="0"/>
                      <w:szCs w:val="21"/>
                      <w:lang w:val="en-US" w:eastAsia="zh-CN"/>
                    </w:rPr>
                    <w:t>3</w:t>
                  </w:r>
                </w:p>
              </w:tc>
              <w:tc>
                <w:tcPr>
                  <w:tcW w:w="901" w:type="dxa"/>
                  <w:vMerge w:val="restart"/>
                  <w:tcBorders>
                    <w:tl2br w:val="nil"/>
                    <w:tr2bl w:val="nil"/>
                  </w:tcBorders>
                  <w:vAlign w:val="center"/>
                </w:tcPr>
                <w:p>
                  <w:pPr>
                    <w:widowControl/>
                    <w:jc w:val="center"/>
                    <w:rPr>
                      <w:rFonts w:hint="eastAsia"/>
                      <w:color w:val="auto"/>
                      <w:kern w:val="0"/>
                      <w:szCs w:val="21"/>
                      <w:lang w:val="en-US" w:eastAsia="zh-CN"/>
                    </w:rPr>
                  </w:pPr>
                  <w:r>
                    <w:rPr>
                      <w:rFonts w:hint="eastAsia"/>
                      <w:color w:val="auto"/>
                      <w:kern w:val="0"/>
                      <w:szCs w:val="21"/>
                      <w:lang w:val="en-US" w:eastAsia="zh-CN"/>
                    </w:rPr>
                    <w:t>DA003</w:t>
                  </w:r>
                </w:p>
              </w:tc>
              <w:tc>
                <w:tcPr>
                  <w:tcW w:w="875" w:type="dxa"/>
                  <w:tcBorders>
                    <w:tl2br w:val="nil"/>
                    <w:tr2bl w:val="nil"/>
                  </w:tcBorders>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颗粒物</w:t>
                  </w:r>
                </w:p>
              </w:tc>
              <w:tc>
                <w:tcPr>
                  <w:tcW w:w="1383" w:type="dxa"/>
                  <w:tcBorders>
                    <w:tl2br w:val="nil"/>
                    <w:tr2bl w:val="nil"/>
                  </w:tcBorders>
                  <w:vAlign w:val="center"/>
                </w:tcPr>
                <w:p>
                  <w:pPr>
                    <w:jc w:val="center"/>
                    <w:rPr>
                      <w:rFonts w:hint="eastAsia"/>
                      <w:color w:val="auto"/>
                      <w:kern w:val="0"/>
                      <w:szCs w:val="21"/>
                    </w:rPr>
                  </w:pPr>
                  <w:r>
                    <w:rPr>
                      <w:rFonts w:hint="eastAsia"/>
                      <w:b w:val="0"/>
                      <w:bCs/>
                      <w:snapToGrid w:val="0"/>
                      <w:color w:val="auto"/>
                      <w:kern w:val="18"/>
                      <w:sz w:val="18"/>
                      <w:szCs w:val="18"/>
                      <w:lang w:val="en-US" w:eastAsia="zh-CN"/>
                    </w:rPr>
                    <w:t>布袋除尘器（TA005）</w:t>
                  </w:r>
                </w:p>
              </w:tc>
              <w:tc>
                <w:tcPr>
                  <w:tcW w:w="1575"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1100</w:t>
                  </w:r>
                </w:p>
              </w:tc>
              <w:tc>
                <w:tcPr>
                  <w:tcW w:w="1410"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0.055</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61" w:hRule="atLeast"/>
              </w:trPr>
              <w:tc>
                <w:tcPr>
                  <w:tcW w:w="585" w:type="dxa"/>
                  <w:vMerge w:val="continue"/>
                  <w:tcBorders>
                    <w:tl2br w:val="nil"/>
                    <w:tr2bl w:val="nil"/>
                  </w:tcBorders>
                  <w:vAlign w:val="center"/>
                </w:tcPr>
                <w:p>
                  <w:pPr>
                    <w:widowControl/>
                    <w:jc w:val="center"/>
                    <w:rPr>
                      <w:rFonts w:hint="eastAsia"/>
                      <w:color w:val="auto"/>
                      <w:kern w:val="0"/>
                      <w:szCs w:val="21"/>
                    </w:rPr>
                  </w:pPr>
                </w:p>
              </w:tc>
              <w:tc>
                <w:tcPr>
                  <w:tcW w:w="901" w:type="dxa"/>
                  <w:vMerge w:val="continue"/>
                  <w:tcBorders>
                    <w:tl2br w:val="nil"/>
                    <w:tr2bl w:val="nil"/>
                  </w:tcBorders>
                  <w:vAlign w:val="center"/>
                </w:tcPr>
                <w:p>
                  <w:pPr>
                    <w:widowControl/>
                    <w:jc w:val="center"/>
                    <w:rPr>
                      <w:rFonts w:hint="default" w:eastAsia="宋体"/>
                      <w:color w:val="auto"/>
                      <w:kern w:val="0"/>
                      <w:szCs w:val="21"/>
                      <w:lang w:val="en-US" w:eastAsia="zh-CN"/>
                    </w:rPr>
                  </w:pPr>
                </w:p>
              </w:tc>
              <w:tc>
                <w:tcPr>
                  <w:tcW w:w="875" w:type="dxa"/>
                  <w:tcBorders>
                    <w:tl2br w:val="nil"/>
                    <w:tr2bl w:val="nil"/>
                  </w:tcBorders>
                  <w:vAlign w:val="center"/>
                </w:tcPr>
                <w:p>
                  <w:pPr>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kern w:val="0"/>
                      <w:sz w:val="21"/>
                      <w:szCs w:val="21"/>
                      <w:lang w:val="en-US" w:eastAsia="zh-CN" w:bidi="ar-SA"/>
                    </w:rPr>
                    <w:t>VOCs</w:t>
                  </w:r>
                </w:p>
              </w:tc>
              <w:tc>
                <w:tcPr>
                  <w:tcW w:w="1383" w:type="dxa"/>
                  <w:tcBorders>
                    <w:tl2br w:val="nil"/>
                    <w:tr2bl w:val="nil"/>
                  </w:tcBorders>
                  <w:vAlign w:val="center"/>
                </w:tcPr>
                <w:p>
                  <w:pPr>
                    <w:jc w:val="center"/>
                    <w:rPr>
                      <w:rFonts w:hint="eastAsia"/>
                      <w:color w:val="auto"/>
                      <w:kern w:val="0"/>
                      <w:szCs w:val="21"/>
                    </w:rPr>
                  </w:pPr>
                  <w:r>
                    <w:rPr>
                      <w:rFonts w:hint="eastAsia"/>
                      <w:b w:val="0"/>
                      <w:bCs/>
                      <w:snapToGrid w:val="0"/>
                      <w:color w:val="auto"/>
                      <w:kern w:val="18"/>
                      <w:sz w:val="18"/>
                      <w:szCs w:val="18"/>
                      <w:lang w:val="en-US" w:eastAsia="zh-CN"/>
                    </w:rPr>
                    <w:t>干式喷漆柜（TA006）+二级活性炭吸附装置（TA007）</w:t>
                  </w:r>
                </w:p>
              </w:tc>
              <w:tc>
                <w:tcPr>
                  <w:tcW w:w="1575"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3000</w:t>
                  </w:r>
                </w:p>
              </w:tc>
              <w:tc>
                <w:tcPr>
                  <w:tcW w:w="1410"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0.15</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86" w:type="dxa"/>
                  <w:gridSpan w:val="2"/>
                  <w:vMerge w:val="restart"/>
                  <w:tcBorders>
                    <w:tl2br w:val="nil"/>
                    <w:tr2bl w:val="nil"/>
                  </w:tcBorders>
                  <w:vAlign w:val="center"/>
                </w:tcPr>
                <w:p>
                  <w:pPr>
                    <w:widowControl/>
                    <w:jc w:val="center"/>
                    <w:rPr>
                      <w:color w:val="auto"/>
                      <w:kern w:val="0"/>
                      <w:szCs w:val="21"/>
                    </w:rPr>
                  </w:pPr>
                  <w:r>
                    <w:rPr>
                      <w:color w:val="auto"/>
                      <w:kern w:val="0"/>
                      <w:szCs w:val="21"/>
                    </w:rPr>
                    <w:t>一般排</w:t>
                  </w:r>
                </w:p>
                <w:p>
                  <w:pPr>
                    <w:widowControl/>
                    <w:jc w:val="center"/>
                    <w:rPr>
                      <w:color w:val="auto"/>
                      <w:kern w:val="0"/>
                      <w:szCs w:val="21"/>
                    </w:rPr>
                  </w:pPr>
                  <w:r>
                    <w:rPr>
                      <w:color w:val="auto"/>
                      <w:kern w:val="0"/>
                      <w:szCs w:val="21"/>
                    </w:rPr>
                    <w:t>放口合计</w:t>
                  </w:r>
                </w:p>
              </w:tc>
              <w:tc>
                <w:tcPr>
                  <w:tcW w:w="5243" w:type="dxa"/>
                  <w:gridSpan w:val="4"/>
                  <w:tcBorders>
                    <w:tl2br w:val="nil"/>
                    <w:tr2bl w:val="nil"/>
                  </w:tcBorders>
                  <w:vAlign w:val="center"/>
                </w:tcPr>
                <w:p>
                  <w:pPr>
                    <w:jc w:val="center"/>
                    <w:rPr>
                      <w:rFonts w:hint="eastAsia"/>
                      <w:color w:val="auto"/>
                      <w:kern w:val="0"/>
                      <w:szCs w:val="21"/>
                    </w:rPr>
                  </w:pPr>
                  <w:r>
                    <w:rPr>
                      <w:rFonts w:hint="eastAsia"/>
                      <w:color w:val="auto"/>
                      <w:kern w:val="0"/>
                      <w:szCs w:val="21"/>
                      <w:lang w:val="en-US" w:eastAsia="zh-CN"/>
                    </w:rPr>
                    <w:t>颗粒物</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0.411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86" w:type="dxa"/>
                  <w:gridSpan w:val="2"/>
                  <w:vMerge w:val="continue"/>
                  <w:tcBorders>
                    <w:tl2br w:val="nil"/>
                    <w:tr2bl w:val="nil"/>
                  </w:tcBorders>
                  <w:vAlign w:val="center"/>
                </w:tcPr>
                <w:p>
                  <w:pPr>
                    <w:widowControl/>
                    <w:jc w:val="center"/>
                    <w:rPr>
                      <w:color w:val="auto"/>
                      <w:kern w:val="0"/>
                      <w:szCs w:val="21"/>
                    </w:rPr>
                  </w:pPr>
                </w:p>
              </w:tc>
              <w:tc>
                <w:tcPr>
                  <w:tcW w:w="5243" w:type="dxa"/>
                  <w:gridSpan w:val="4"/>
                  <w:tcBorders>
                    <w:tl2br w:val="nil"/>
                    <w:tr2bl w:val="nil"/>
                  </w:tcBorders>
                  <w:vAlign w:val="center"/>
                </w:tcPr>
                <w:p>
                  <w:pPr>
                    <w:jc w:val="center"/>
                    <w:rPr>
                      <w:rFonts w:hint="eastAsia"/>
                      <w:color w:val="auto"/>
                      <w:kern w:val="0"/>
                      <w:szCs w:val="21"/>
                    </w:rPr>
                  </w:pPr>
                  <w:r>
                    <w:rPr>
                      <w:rFonts w:hint="eastAsia"/>
                      <w:color w:val="auto"/>
                      <w:kern w:val="0"/>
                      <w:szCs w:val="21"/>
                      <w:lang w:val="en-US" w:eastAsia="zh-CN"/>
                    </w:rPr>
                    <w:t>非甲烷总烃</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86" w:type="dxa"/>
                  <w:gridSpan w:val="2"/>
                  <w:vMerge w:val="continue"/>
                  <w:tcBorders>
                    <w:tl2br w:val="nil"/>
                    <w:tr2bl w:val="nil"/>
                  </w:tcBorders>
                  <w:vAlign w:val="center"/>
                </w:tcPr>
                <w:p>
                  <w:pPr>
                    <w:widowControl/>
                    <w:jc w:val="center"/>
                    <w:rPr>
                      <w:color w:val="auto"/>
                      <w:kern w:val="0"/>
                      <w:szCs w:val="21"/>
                    </w:rPr>
                  </w:pPr>
                </w:p>
              </w:tc>
              <w:tc>
                <w:tcPr>
                  <w:tcW w:w="5243" w:type="dxa"/>
                  <w:gridSpan w:val="4"/>
                  <w:tcBorders>
                    <w:tl2br w:val="nil"/>
                    <w:tr2bl w:val="nil"/>
                  </w:tcBorders>
                  <w:vAlign w:val="center"/>
                </w:tcPr>
                <w:p>
                  <w:pPr>
                    <w:jc w:val="center"/>
                    <w:rPr>
                      <w:color w:val="auto"/>
                      <w:kern w:val="0"/>
                      <w:szCs w:val="21"/>
                    </w:rPr>
                  </w:pPr>
                  <w:r>
                    <w:rPr>
                      <w:rFonts w:hint="eastAsia"/>
                      <w:color w:val="auto"/>
                      <w:kern w:val="0"/>
                      <w:szCs w:val="21"/>
                    </w:rPr>
                    <w:t>VOCs</w:t>
                  </w:r>
                </w:p>
              </w:tc>
              <w:tc>
                <w:tcPr>
                  <w:tcW w:w="1583" w:type="dxa"/>
                  <w:tcBorders>
                    <w:tl2br w:val="nil"/>
                    <w:tr2bl w:val="nil"/>
                  </w:tcBorders>
                  <w:vAlign w:val="center"/>
                </w:tcPr>
                <w:p>
                  <w:pPr>
                    <w:jc w:val="center"/>
                    <w:rPr>
                      <w:rFonts w:hint="default" w:eastAsia="宋体"/>
                      <w:color w:val="auto"/>
                      <w:szCs w:val="21"/>
                      <w:lang w:val="en-US" w:eastAsia="zh-CN"/>
                    </w:rPr>
                  </w:pPr>
                  <w:r>
                    <w:rPr>
                      <w:rFonts w:hint="eastAsia"/>
                      <w:color w:val="auto"/>
                      <w:szCs w:val="21"/>
                    </w:rPr>
                    <w:t>0.</w:t>
                  </w:r>
                  <w:r>
                    <w:rPr>
                      <w:rFonts w:hint="eastAsia"/>
                      <w:color w:val="auto"/>
                      <w:szCs w:val="21"/>
                      <w:lang w:val="en-US" w:eastAsia="zh-CN"/>
                    </w:rPr>
                    <w:t>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312" w:type="dxa"/>
                  <w:gridSpan w:val="7"/>
                  <w:tcBorders>
                    <w:tl2br w:val="nil"/>
                    <w:tr2bl w:val="nil"/>
                  </w:tcBorders>
                  <w:vAlign w:val="center"/>
                </w:tcPr>
                <w:p>
                  <w:pPr>
                    <w:jc w:val="center"/>
                    <w:rPr>
                      <w:color w:val="auto"/>
                      <w:szCs w:val="21"/>
                    </w:rPr>
                  </w:pPr>
                  <w:r>
                    <w:rPr>
                      <w:rFonts w:hint="eastAsia"/>
                      <w:color w:val="auto"/>
                      <w:szCs w:val="21"/>
                    </w:rPr>
                    <w:t>有组织排放总计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486" w:type="dxa"/>
                  <w:gridSpan w:val="2"/>
                  <w:vMerge w:val="restart"/>
                  <w:tcBorders>
                    <w:tl2br w:val="nil"/>
                    <w:tr2bl w:val="nil"/>
                  </w:tcBorders>
                  <w:vAlign w:val="center"/>
                </w:tcPr>
                <w:p>
                  <w:pPr>
                    <w:widowControl/>
                    <w:jc w:val="center"/>
                    <w:rPr>
                      <w:color w:val="auto"/>
                      <w:kern w:val="0"/>
                      <w:szCs w:val="21"/>
                    </w:rPr>
                  </w:pPr>
                  <w:r>
                    <w:rPr>
                      <w:color w:val="auto"/>
                      <w:kern w:val="0"/>
                      <w:szCs w:val="21"/>
                    </w:rPr>
                    <w:t>有组织</w:t>
                  </w:r>
                </w:p>
                <w:p>
                  <w:pPr>
                    <w:widowControl/>
                    <w:jc w:val="center"/>
                    <w:rPr>
                      <w:color w:val="auto"/>
                      <w:kern w:val="0"/>
                      <w:szCs w:val="21"/>
                    </w:rPr>
                  </w:pPr>
                  <w:r>
                    <w:rPr>
                      <w:color w:val="auto"/>
                      <w:kern w:val="0"/>
                      <w:szCs w:val="21"/>
                    </w:rPr>
                    <w:t>排放总计</w:t>
                  </w:r>
                </w:p>
              </w:tc>
              <w:tc>
                <w:tcPr>
                  <w:tcW w:w="5243" w:type="dxa"/>
                  <w:gridSpan w:val="4"/>
                  <w:tcBorders>
                    <w:tl2br w:val="nil"/>
                    <w:tr2bl w:val="nil"/>
                  </w:tcBorders>
                  <w:vAlign w:val="center"/>
                </w:tcPr>
                <w:p>
                  <w:pPr>
                    <w:jc w:val="center"/>
                    <w:rPr>
                      <w:rFonts w:hint="eastAsia"/>
                      <w:color w:val="auto"/>
                      <w:kern w:val="0"/>
                      <w:szCs w:val="21"/>
                    </w:rPr>
                  </w:pPr>
                  <w:r>
                    <w:rPr>
                      <w:rFonts w:hint="eastAsia"/>
                      <w:color w:val="auto"/>
                      <w:kern w:val="0"/>
                      <w:szCs w:val="21"/>
                      <w:lang w:val="en-US" w:eastAsia="zh-CN"/>
                    </w:rPr>
                    <w:t>颗粒物</w:t>
                  </w:r>
                </w:p>
              </w:tc>
              <w:tc>
                <w:tcPr>
                  <w:tcW w:w="1583" w:type="dxa"/>
                  <w:tcBorders>
                    <w:tl2br w:val="nil"/>
                    <w:tr2bl w:val="nil"/>
                  </w:tcBorders>
                  <w:vAlign w:val="center"/>
                </w:tcPr>
                <w:p>
                  <w:pPr>
                    <w:jc w:val="center"/>
                    <w:rPr>
                      <w:rFonts w:hint="eastAsia"/>
                      <w:color w:val="auto"/>
                      <w:szCs w:val="21"/>
                    </w:rPr>
                  </w:pPr>
                  <w:r>
                    <w:rPr>
                      <w:rFonts w:hint="eastAsia"/>
                      <w:color w:val="auto"/>
                      <w:szCs w:val="21"/>
                      <w:lang w:val="en-US" w:eastAsia="zh-CN"/>
                    </w:rPr>
                    <w:t>0.411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486" w:type="dxa"/>
                  <w:gridSpan w:val="2"/>
                  <w:vMerge w:val="continue"/>
                  <w:tcBorders>
                    <w:tl2br w:val="nil"/>
                    <w:tr2bl w:val="nil"/>
                  </w:tcBorders>
                  <w:vAlign w:val="center"/>
                </w:tcPr>
                <w:p>
                  <w:pPr>
                    <w:widowControl/>
                    <w:jc w:val="center"/>
                    <w:rPr>
                      <w:color w:val="auto"/>
                      <w:kern w:val="0"/>
                      <w:szCs w:val="21"/>
                    </w:rPr>
                  </w:pPr>
                </w:p>
              </w:tc>
              <w:tc>
                <w:tcPr>
                  <w:tcW w:w="5243" w:type="dxa"/>
                  <w:gridSpan w:val="4"/>
                  <w:tcBorders>
                    <w:tl2br w:val="nil"/>
                    <w:tr2bl w:val="nil"/>
                  </w:tcBorders>
                  <w:vAlign w:val="center"/>
                </w:tcPr>
                <w:p>
                  <w:pPr>
                    <w:jc w:val="center"/>
                    <w:rPr>
                      <w:rFonts w:hint="eastAsia"/>
                      <w:color w:val="auto"/>
                      <w:kern w:val="0"/>
                      <w:szCs w:val="21"/>
                    </w:rPr>
                  </w:pPr>
                  <w:r>
                    <w:rPr>
                      <w:rFonts w:hint="eastAsia"/>
                      <w:color w:val="auto"/>
                      <w:kern w:val="0"/>
                      <w:szCs w:val="21"/>
                      <w:lang w:val="en-US" w:eastAsia="zh-CN"/>
                    </w:rPr>
                    <w:t>非甲烷总烃</w:t>
                  </w:r>
                </w:p>
              </w:tc>
              <w:tc>
                <w:tcPr>
                  <w:tcW w:w="1583" w:type="dxa"/>
                  <w:tcBorders>
                    <w:tl2br w:val="nil"/>
                    <w:tr2bl w:val="nil"/>
                  </w:tcBorders>
                  <w:vAlign w:val="center"/>
                </w:tcPr>
                <w:p>
                  <w:pPr>
                    <w:jc w:val="center"/>
                    <w:rPr>
                      <w:rFonts w:hint="eastAsia"/>
                      <w:color w:val="auto"/>
                      <w:szCs w:val="21"/>
                    </w:rPr>
                  </w:pPr>
                  <w:r>
                    <w:rPr>
                      <w:rFonts w:hint="eastAsia"/>
                      <w:color w:val="auto"/>
                      <w:szCs w:val="21"/>
                      <w:lang w:val="en-US" w:eastAsia="zh-CN"/>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486" w:type="dxa"/>
                  <w:gridSpan w:val="2"/>
                  <w:vMerge w:val="continue"/>
                  <w:tcBorders>
                    <w:tl2br w:val="nil"/>
                    <w:tr2bl w:val="nil"/>
                  </w:tcBorders>
                  <w:vAlign w:val="center"/>
                </w:tcPr>
                <w:p>
                  <w:pPr>
                    <w:widowControl/>
                    <w:jc w:val="center"/>
                    <w:rPr>
                      <w:color w:val="auto"/>
                      <w:kern w:val="0"/>
                      <w:szCs w:val="21"/>
                    </w:rPr>
                  </w:pPr>
                </w:p>
              </w:tc>
              <w:tc>
                <w:tcPr>
                  <w:tcW w:w="5243" w:type="dxa"/>
                  <w:gridSpan w:val="4"/>
                  <w:tcBorders>
                    <w:tl2br w:val="nil"/>
                    <w:tr2bl w:val="nil"/>
                  </w:tcBorders>
                  <w:vAlign w:val="center"/>
                </w:tcPr>
                <w:p>
                  <w:pPr>
                    <w:jc w:val="center"/>
                    <w:rPr>
                      <w:color w:val="auto"/>
                      <w:kern w:val="0"/>
                      <w:szCs w:val="21"/>
                    </w:rPr>
                  </w:pPr>
                  <w:r>
                    <w:rPr>
                      <w:rFonts w:hint="eastAsia"/>
                      <w:color w:val="auto"/>
                      <w:kern w:val="0"/>
                      <w:szCs w:val="21"/>
                    </w:rPr>
                    <w:t>VOCs</w:t>
                  </w:r>
                </w:p>
              </w:tc>
              <w:tc>
                <w:tcPr>
                  <w:tcW w:w="1583" w:type="dxa"/>
                  <w:tcBorders>
                    <w:tl2br w:val="nil"/>
                    <w:tr2bl w:val="nil"/>
                  </w:tcBorders>
                  <w:vAlign w:val="center"/>
                </w:tcPr>
                <w:p>
                  <w:pPr>
                    <w:jc w:val="center"/>
                    <w:rPr>
                      <w:color w:val="auto"/>
                      <w:szCs w:val="21"/>
                    </w:rPr>
                  </w:pPr>
                  <w:r>
                    <w:rPr>
                      <w:rFonts w:hint="eastAsia"/>
                      <w:color w:val="auto"/>
                      <w:szCs w:val="21"/>
                    </w:rPr>
                    <w:t>0.</w:t>
                  </w:r>
                  <w:r>
                    <w:rPr>
                      <w:rFonts w:hint="eastAsia"/>
                      <w:color w:val="auto"/>
                      <w:szCs w:val="21"/>
                      <w:lang w:val="en-US" w:eastAsia="zh-CN"/>
                    </w:rPr>
                    <w:t>12</w:t>
                  </w:r>
                </w:p>
              </w:tc>
            </w:tr>
          </w:tbl>
          <w:p>
            <w:pPr>
              <w:jc w:val="center"/>
              <w:rPr>
                <w:color w:val="auto"/>
                <w:szCs w:val="21"/>
              </w:rPr>
            </w:pPr>
            <w:r>
              <w:rPr>
                <w:b/>
                <w:color w:val="auto"/>
                <w:szCs w:val="21"/>
              </w:rPr>
              <w:t>表7-1</w:t>
            </w:r>
            <w:r>
              <w:rPr>
                <w:rFonts w:hint="eastAsia"/>
                <w:b/>
                <w:color w:val="auto"/>
                <w:szCs w:val="21"/>
                <w:lang w:val="en-US" w:eastAsia="zh-CN"/>
              </w:rPr>
              <w:t>2</w:t>
            </w:r>
            <w:r>
              <w:rPr>
                <w:b/>
                <w:color w:val="auto"/>
                <w:szCs w:val="21"/>
              </w:rPr>
              <w:t xml:space="preserve"> 大气污染物无组织排放量核算表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60"/>
              <w:gridCol w:w="593"/>
              <w:gridCol w:w="725"/>
              <w:gridCol w:w="11"/>
              <w:gridCol w:w="742"/>
              <w:gridCol w:w="975"/>
              <w:gridCol w:w="2256"/>
              <w:gridCol w:w="1620"/>
              <w:gridCol w:w="9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460" w:type="dxa"/>
                  <w:vMerge w:val="restart"/>
                  <w:tcBorders>
                    <w:tl2br w:val="nil"/>
                    <w:tr2bl w:val="nil"/>
                  </w:tcBorders>
                  <w:vAlign w:val="center"/>
                </w:tcPr>
                <w:p>
                  <w:pPr>
                    <w:widowControl/>
                    <w:jc w:val="center"/>
                    <w:rPr>
                      <w:b/>
                      <w:color w:val="auto"/>
                      <w:kern w:val="0"/>
                      <w:szCs w:val="21"/>
                    </w:rPr>
                  </w:pPr>
                  <w:r>
                    <w:rPr>
                      <w:b/>
                      <w:color w:val="auto"/>
                      <w:kern w:val="0"/>
                      <w:szCs w:val="21"/>
                    </w:rPr>
                    <w:t>序号</w:t>
                  </w:r>
                </w:p>
              </w:tc>
              <w:tc>
                <w:tcPr>
                  <w:tcW w:w="593" w:type="dxa"/>
                  <w:vMerge w:val="restart"/>
                  <w:tcBorders>
                    <w:tl2br w:val="nil"/>
                    <w:tr2bl w:val="nil"/>
                  </w:tcBorders>
                  <w:vAlign w:val="center"/>
                </w:tcPr>
                <w:p>
                  <w:pPr>
                    <w:widowControl/>
                    <w:jc w:val="center"/>
                    <w:rPr>
                      <w:b/>
                      <w:color w:val="auto"/>
                      <w:kern w:val="0"/>
                      <w:szCs w:val="21"/>
                    </w:rPr>
                  </w:pPr>
                  <w:r>
                    <w:rPr>
                      <w:b/>
                      <w:color w:val="auto"/>
                      <w:kern w:val="0"/>
                      <w:szCs w:val="21"/>
                    </w:rPr>
                    <w:t>排放口编号</w:t>
                  </w:r>
                </w:p>
              </w:tc>
              <w:tc>
                <w:tcPr>
                  <w:tcW w:w="725" w:type="dxa"/>
                  <w:vMerge w:val="restart"/>
                  <w:tcBorders>
                    <w:tl2br w:val="nil"/>
                    <w:tr2bl w:val="nil"/>
                  </w:tcBorders>
                  <w:vAlign w:val="center"/>
                </w:tcPr>
                <w:p>
                  <w:pPr>
                    <w:widowControl/>
                    <w:jc w:val="center"/>
                    <w:rPr>
                      <w:b/>
                      <w:color w:val="auto"/>
                      <w:kern w:val="0"/>
                      <w:szCs w:val="21"/>
                    </w:rPr>
                  </w:pPr>
                  <w:r>
                    <w:rPr>
                      <w:b/>
                      <w:color w:val="auto"/>
                      <w:kern w:val="0"/>
                      <w:szCs w:val="21"/>
                    </w:rPr>
                    <w:t>产污环节</w:t>
                  </w:r>
                </w:p>
              </w:tc>
              <w:tc>
                <w:tcPr>
                  <w:tcW w:w="753" w:type="dxa"/>
                  <w:gridSpan w:val="2"/>
                  <w:vMerge w:val="restart"/>
                  <w:tcBorders>
                    <w:tl2br w:val="nil"/>
                    <w:tr2bl w:val="nil"/>
                  </w:tcBorders>
                  <w:vAlign w:val="center"/>
                </w:tcPr>
                <w:p>
                  <w:pPr>
                    <w:widowControl/>
                    <w:jc w:val="center"/>
                    <w:rPr>
                      <w:b/>
                      <w:color w:val="auto"/>
                      <w:kern w:val="0"/>
                      <w:szCs w:val="21"/>
                    </w:rPr>
                  </w:pPr>
                  <w:r>
                    <w:rPr>
                      <w:b/>
                      <w:color w:val="auto"/>
                      <w:kern w:val="0"/>
                      <w:szCs w:val="21"/>
                    </w:rPr>
                    <w:t>污染物</w:t>
                  </w:r>
                </w:p>
              </w:tc>
              <w:tc>
                <w:tcPr>
                  <w:tcW w:w="975" w:type="dxa"/>
                  <w:vMerge w:val="restart"/>
                  <w:tcBorders>
                    <w:tl2br w:val="nil"/>
                    <w:tr2bl w:val="nil"/>
                  </w:tcBorders>
                  <w:vAlign w:val="center"/>
                </w:tcPr>
                <w:p>
                  <w:pPr>
                    <w:widowControl/>
                    <w:jc w:val="center"/>
                    <w:rPr>
                      <w:b/>
                      <w:color w:val="auto"/>
                      <w:kern w:val="0"/>
                      <w:szCs w:val="21"/>
                    </w:rPr>
                  </w:pPr>
                  <w:r>
                    <w:rPr>
                      <w:b/>
                      <w:color w:val="auto"/>
                      <w:kern w:val="0"/>
                      <w:szCs w:val="21"/>
                    </w:rPr>
                    <w:t>主要污染防治措施</w:t>
                  </w:r>
                </w:p>
              </w:tc>
              <w:tc>
                <w:tcPr>
                  <w:tcW w:w="3876" w:type="dxa"/>
                  <w:gridSpan w:val="2"/>
                  <w:tcBorders>
                    <w:tl2br w:val="nil"/>
                    <w:tr2bl w:val="nil"/>
                  </w:tcBorders>
                  <w:vAlign w:val="center"/>
                </w:tcPr>
                <w:p>
                  <w:pPr>
                    <w:widowControl/>
                    <w:jc w:val="center"/>
                    <w:rPr>
                      <w:b/>
                      <w:color w:val="auto"/>
                      <w:kern w:val="0"/>
                      <w:szCs w:val="21"/>
                    </w:rPr>
                  </w:pPr>
                  <w:r>
                    <w:rPr>
                      <w:b/>
                      <w:color w:val="auto"/>
                      <w:kern w:val="0"/>
                      <w:szCs w:val="21"/>
                    </w:rPr>
                    <w:t>国家或地方污染物排放标准</w:t>
                  </w:r>
                </w:p>
              </w:tc>
              <w:tc>
                <w:tcPr>
                  <w:tcW w:w="930" w:type="dxa"/>
                  <w:vMerge w:val="restart"/>
                  <w:tcBorders>
                    <w:tl2br w:val="nil"/>
                    <w:tr2bl w:val="nil"/>
                  </w:tcBorders>
                  <w:vAlign w:val="center"/>
                </w:tcPr>
                <w:p>
                  <w:pPr>
                    <w:widowControl/>
                    <w:jc w:val="center"/>
                    <w:rPr>
                      <w:b/>
                      <w:color w:val="auto"/>
                      <w:kern w:val="0"/>
                      <w:szCs w:val="21"/>
                    </w:rPr>
                  </w:pPr>
                  <w:r>
                    <w:rPr>
                      <w:b/>
                      <w:color w:val="auto"/>
                      <w:kern w:val="0"/>
                      <w:szCs w:val="21"/>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60" w:type="dxa"/>
                  <w:vMerge w:val="continue"/>
                  <w:tcBorders>
                    <w:tl2br w:val="nil"/>
                    <w:tr2bl w:val="nil"/>
                  </w:tcBorders>
                  <w:vAlign w:val="center"/>
                </w:tcPr>
                <w:p>
                  <w:pPr>
                    <w:widowControl/>
                    <w:jc w:val="center"/>
                    <w:rPr>
                      <w:color w:val="auto"/>
                      <w:kern w:val="0"/>
                      <w:szCs w:val="21"/>
                    </w:rPr>
                  </w:pPr>
                </w:p>
              </w:tc>
              <w:tc>
                <w:tcPr>
                  <w:tcW w:w="593" w:type="dxa"/>
                  <w:vMerge w:val="continue"/>
                  <w:tcBorders>
                    <w:tl2br w:val="nil"/>
                    <w:tr2bl w:val="nil"/>
                  </w:tcBorders>
                  <w:vAlign w:val="center"/>
                </w:tcPr>
                <w:p>
                  <w:pPr>
                    <w:widowControl/>
                    <w:jc w:val="left"/>
                    <w:rPr>
                      <w:color w:val="auto"/>
                      <w:kern w:val="0"/>
                      <w:szCs w:val="21"/>
                    </w:rPr>
                  </w:pPr>
                </w:p>
              </w:tc>
              <w:tc>
                <w:tcPr>
                  <w:tcW w:w="725" w:type="dxa"/>
                  <w:vMerge w:val="continue"/>
                  <w:tcBorders>
                    <w:tl2br w:val="nil"/>
                    <w:tr2bl w:val="nil"/>
                  </w:tcBorders>
                  <w:vAlign w:val="center"/>
                </w:tcPr>
                <w:p>
                  <w:pPr>
                    <w:widowControl/>
                    <w:jc w:val="left"/>
                    <w:rPr>
                      <w:color w:val="auto"/>
                      <w:kern w:val="0"/>
                      <w:szCs w:val="21"/>
                    </w:rPr>
                  </w:pPr>
                </w:p>
              </w:tc>
              <w:tc>
                <w:tcPr>
                  <w:tcW w:w="753" w:type="dxa"/>
                  <w:gridSpan w:val="2"/>
                  <w:vMerge w:val="continue"/>
                  <w:tcBorders>
                    <w:tl2br w:val="nil"/>
                    <w:tr2bl w:val="nil"/>
                  </w:tcBorders>
                  <w:vAlign w:val="center"/>
                </w:tcPr>
                <w:p>
                  <w:pPr>
                    <w:widowControl/>
                    <w:jc w:val="left"/>
                    <w:rPr>
                      <w:color w:val="auto"/>
                      <w:kern w:val="0"/>
                      <w:szCs w:val="21"/>
                    </w:rPr>
                  </w:pPr>
                </w:p>
              </w:tc>
              <w:tc>
                <w:tcPr>
                  <w:tcW w:w="975" w:type="dxa"/>
                  <w:vMerge w:val="continue"/>
                  <w:tcBorders>
                    <w:tl2br w:val="nil"/>
                    <w:tr2bl w:val="nil"/>
                  </w:tcBorders>
                  <w:vAlign w:val="center"/>
                </w:tcPr>
                <w:p>
                  <w:pPr>
                    <w:widowControl/>
                    <w:jc w:val="left"/>
                    <w:rPr>
                      <w:color w:val="auto"/>
                      <w:kern w:val="0"/>
                      <w:szCs w:val="21"/>
                    </w:rPr>
                  </w:pPr>
                </w:p>
              </w:tc>
              <w:tc>
                <w:tcPr>
                  <w:tcW w:w="2256" w:type="dxa"/>
                  <w:tcBorders>
                    <w:tl2br w:val="nil"/>
                    <w:tr2bl w:val="nil"/>
                  </w:tcBorders>
                  <w:vAlign w:val="center"/>
                </w:tcPr>
                <w:p>
                  <w:pPr>
                    <w:widowControl/>
                    <w:jc w:val="center"/>
                    <w:rPr>
                      <w:b/>
                      <w:color w:val="auto"/>
                      <w:kern w:val="0"/>
                      <w:szCs w:val="21"/>
                    </w:rPr>
                  </w:pPr>
                  <w:r>
                    <w:rPr>
                      <w:b/>
                      <w:color w:val="auto"/>
                      <w:kern w:val="0"/>
                      <w:szCs w:val="21"/>
                    </w:rPr>
                    <w:t>标准名称</w:t>
                  </w:r>
                </w:p>
              </w:tc>
              <w:tc>
                <w:tcPr>
                  <w:tcW w:w="1620" w:type="dxa"/>
                  <w:tcBorders>
                    <w:tl2br w:val="nil"/>
                    <w:tr2bl w:val="nil"/>
                  </w:tcBorders>
                  <w:vAlign w:val="center"/>
                </w:tcPr>
                <w:p>
                  <w:pPr>
                    <w:widowControl/>
                    <w:jc w:val="center"/>
                    <w:rPr>
                      <w:b/>
                      <w:color w:val="auto"/>
                      <w:kern w:val="0"/>
                      <w:szCs w:val="21"/>
                    </w:rPr>
                  </w:pPr>
                  <w:r>
                    <w:rPr>
                      <w:b/>
                      <w:color w:val="auto"/>
                      <w:kern w:val="0"/>
                      <w:szCs w:val="21"/>
                    </w:rPr>
                    <w:t>浓度限值/（mg/m</w:t>
                  </w:r>
                  <w:r>
                    <w:rPr>
                      <w:b/>
                      <w:color w:val="auto"/>
                      <w:kern w:val="0"/>
                      <w:szCs w:val="21"/>
                      <w:vertAlign w:val="superscript"/>
                    </w:rPr>
                    <w:t>3</w:t>
                  </w:r>
                  <w:r>
                    <w:rPr>
                      <w:b/>
                      <w:color w:val="auto"/>
                      <w:kern w:val="0"/>
                      <w:szCs w:val="21"/>
                    </w:rPr>
                    <w:t>）</w:t>
                  </w:r>
                </w:p>
              </w:tc>
              <w:tc>
                <w:tcPr>
                  <w:tcW w:w="930" w:type="dxa"/>
                  <w:vMerge w:val="continue"/>
                  <w:tcBorders>
                    <w:tl2br w:val="nil"/>
                    <w:tr2bl w:val="nil"/>
                  </w:tcBorders>
                  <w:vAlign w:val="center"/>
                </w:tcPr>
                <w:p>
                  <w:pPr>
                    <w:widowControl/>
                    <w:jc w:val="left"/>
                    <w:rPr>
                      <w:color w:val="auto"/>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460" w:type="dxa"/>
                  <w:tcBorders>
                    <w:tl2br w:val="nil"/>
                    <w:tr2bl w:val="nil"/>
                  </w:tcBorders>
                  <w:vAlign w:val="center"/>
                </w:tcPr>
                <w:p>
                  <w:pPr>
                    <w:widowControl/>
                    <w:jc w:val="center"/>
                    <w:rPr>
                      <w:color w:val="auto"/>
                      <w:kern w:val="0"/>
                      <w:szCs w:val="21"/>
                    </w:rPr>
                  </w:pPr>
                  <w:r>
                    <w:rPr>
                      <w:rFonts w:hint="eastAsia"/>
                      <w:color w:val="auto"/>
                      <w:kern w:val="0"/>
                      <w:szCs w:val="21"/>
                    </w:rPr>
                    <w:t>1</w:t>
                  </w:r>
                </w:p>
              </w:tc>
              <w:tc>
                <w:tcPr>
                  <w:tcW w:w="593" w:type="dxa"/>
                  <w:vMerge w:val="restart"/>
                  <w:tcBorders>
                    <w:tl2br w:val="nil"/>
                    <w:tr2bl w:val="nil"/>
                  </w:tcBorders>
                  <w:vAlign w:val="center"/>
                </w:tcPr>
                <w:p>
                  <w:pPr>
                    <w:widowControl/>
                    <w:jc w:val="center"/>
                    <w:rPr>
                      <w:color w:val="auto"/>
                      <w:kern w:val="0"/>
                      <w:szCs w:val="21"/>
                    </w:rPr>
                  </w:pPr>
                  <w:r>
                    <w:rPr>
                      <w:rFonts w:hint="eastAsia"/>
                      <w:color w:val="auto"/>
                      <w:kern w:val="0"/>
                      <w:szCs w:val="21"/>
                    </w:rPr>
                    <w:t>生产车间</w:t>
                  </w:r>
                </w:p>
              </w:tc>
              <w:tc>
                <w:tcPr>
                  <w:tcW w:w="736" w:type="dxa"/>
                  <w:gridSpan w:val="2"/>
                  <w:vMerge w:val="restart"/>
                  <w:tcBorders>
                    <w:tl2br w:val="nil"/>
                    <w:tr2bl w:val="nil"/>
                  </w:tcBorders>
                  <w:vAlign w:val="center"/>
                </w:tcPr>
                <w:p>
                  <w:pPr>
                    <w:jc w:val="center"/>
                    <w:rPr>
                      <w:rFonts w:hint="default" w:eastAsia="宋体"/>
                      <w:color w:val="auto"/>
                      <w:szCs w:val="21"/>
                      <w:lang w:val="en-US" w:eastAsia="zh-CN"/>
                    </w:rPr>
                  </w:pPr>
                  <w:r>
                    <w:rPr>
                      <w:rFonts w:hint="eastAsia"/>
                      <w:color w:val="auto"/>
                      <w:szCs w:val="21"/>
                      <w:lang w:val="en-US" w:eastAsia="zh-CN"/>
                    </w:rPr>
                    <w:t>喷砂、抛丸、喷锌、喷塑、固化和喷漆工序</w:t>
                  </w:r>
                </w:p>
              </w:tc>
              <w:tc>
                <w:tcPr>
                  <w:tcW w:w="742" w:type="dxa"/>
                  <w:tcBorders>
                    <w:tl2br w:val="nil"/>
                    <w:tr2bl w:val="nil"/>
                  </w:tcBorders>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颗粒物</w:t>
                  </w:r>
                </w:p>
              </w:tc>
              <w:tc>
                <w:tcPr>
                  <w:tcW w:w="975" w:type="dxa"/>
                  <w:tcBorders>
                    <w:tl2br w:val="nil"/>
                    <w:tr2bl w:val="nil"/>
                  </w:tcBorders>
                  <w:vAlign w:val="center"/>
                </w:tcPr>
                <w:p>
                  <w:pPr>
                    <w:jc w:val="center"/>
                    <w:rPr>
                      <w:color w:val="auto"/>
                      <w:kern w:val="0"/>
                      <w:szCs w:val="21"/>
                    </w:rPr>
                  </w:pPr>
                  <w:r>
                    <w:rPr>
                      <w:rFonts w:hint="eastAsia"/>
                      <w:color w:val="auto"/>
                      <w:kern w:val="0"/>
                      <w:szCs w:val="21"/>
                    </w:rPr>
                    <w:t>/</w:t>
                  </w:r>
                </w:p>
              </w:tc>
              <w:tc>
                <w:tcPr>
                  <w:tcW w:w="2256" w:type="dxa"/>
                  <w:tcBorders>
                    <w:tl2br w:val="nil"/>
                    <w:tr2bl w:val="nil"/>
                  </w:tcBorders>
                  <w:vAlign w:val="center"/>
                </w:tcPr>
                <w:p>
                  <w:pPr>
                    <w:adjustRightInd w:val="0"/>
                    <w:snapToGrid w:val="0"/>
                    <w:rPr>
                      <w:rFonts w:hint="eastAsia" w:eastAsia="宋体"/>
                      <w:color w:val="auto"/>
                      <w:szCs w:val="21"/>
                      <w:lang w:eastAsia="zh-CN"/>
                    </w:rPr>
                  </w:pPr>
                  <w:r>
                    <w:rPr>
                      <w:rFonts w:hint="eastAsia" w:eastAsia="宋体"/>
                      <w:color w:val="auto"/>
                      <w:szCs w:val="21"/>
                      <w:lang w:eastAsia="zh-CN"/>
                    </w:rPr>
                    <w:t>《大气污染物综合排放标准》（GB 16297-1996）</w:t>
                  </w:r>
                </w:p>
              </w:tc>
              <w:tc>
                <w:tcPr>
                  <w:tcW w:w="162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1.0</w:t>
                  </w:r>
                </w:p>
              </w:tc>
              <w:tc>
                <w:tcPr>
                  <w:tcW w:w="93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0.235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460" w:type="dxa"/>
                  <w:tcBorders>
                    <w:tl2br w:val="nil"/>
                    <w:tr2bl w:val="nil"/>
                  </w:tcBorders>
                  <w:vAlign w:val="center"/>
                </w:tcPr>
                <w:p>
                  <w:pPr>
                    <w:widowControl/>
                    <w:jc w:val="center"/>
                    <w:rPr>
                      <w:rFonts w:hint="eastAsia" w:eastAsia="宋体"/>
                      <w:color w:val="auto"/>
                      <w:kern w:val="0"/>
                      <w:szCs w:val="21"/>
                      <w:lang w:val="en-US" w:eastAsia="zh-CN"/>
                    </w:rPr>
                  </w:pPr>
                  <w:r>
                    <w:rPr>
                      <w:rFonts w:hint="eastAsia"/>
                      <w:color w:val="auto"/>
                      <w:kern w:val="0"/>
                      <w:szCs w:val="21"/>
                      <w:lang w:val="en-US" w:eastAsia="zh-CN"/>
                    </w:rPr>
                    <w:t>2</w:t>
                  </w:r>
                </w:p>
              </w:tc>
              <w:tc>
                <w:tcPr>
                  <w:tcW w:w="593" w:type="dxa"/>
                  <w:vMerge w:val="continue"/>
                  <w:tcBorders>
                    <w:tl2br w:val="nil"/>
                    <w:tr2bl w:val="nil"/>
                  </w:tcBorders>
                  <w:vAlign w:val="center"/>
                </w:tcPr>
                <w:p>
                  <w:pPr>
                    <w:widowControl/>
                    <w:jc w:val="center"/>
                    <w:rPr>
                      <w:rFonts w:hint="eastAsia"/>
                      <w:color w:val="auto"/>
                      <w:kern w:val="0"/>
                      <w:szCs w:val="21"/>
                    </w:rPr>
                  </w:pPr>
                </w:p>
              </w:tc>
              <w:tc>
                <w:tcPr>
                  <w:tcW w:w="736" w:type="dxa"/>
                  <w:gridSpan w:val="2"/>
                  <w:vMerge w:val="continue"/>
                  <w:tcBorders>
                    <w:tl2br w:val="nil"/>
                    <w:tr2bl w:val="nil"/>
                  </w:tcBorders>
                  <w:vAlign w:val="center"/>
                </w:tcPr>
                <w:p>
                  <w:pPr>
                    <w:jc w:val="center"/>
                    <w:rPr>
                      <w:rFonts w:hint="eastAsia"/>
                      <w:color w:val="auto"/>
                      <w:szCs w:val="21"/>
                    </w:rPr>
                  </w:pPr>
                </w:p>
              </w:tc>
              <w:tc>
                <w:tcPr>
                  <w:tcW w:w="742" w:type="dxa"/>
                  <w:tcBorders>
                    <w:tl2br w:val="nil"/>
                    <w:tr2bl w:val="nil"/>
                  </w:tcBorders>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非甲烷总烃</w:t>
                  </w:r>
                </w:p>
              </w:tc>
              <w:tc>
                <w:tcPr>
                  <w:tcW w:w="975" w:type="dxa"/>
                  <w:tcBorders>
                    <w:tl2br w:val="nil"/>
                    <w:tr2bl w:val="nil"/>
                  </w:tcBorders>
                  <w:vAlign w:val="center"/>
                </w:tcPr>
                <w:p>
                  <w:pPr>
                    <w:jc w:val="center"/>
                    <w:rPr>
                      <w:rFonts w:hint="eastAsia"/>
                      <w:color w:val="auto"/>
                      <w:kern w:val="0"/>
                      <w:szCs w:val="21"/>
                    </w:rPr>
                  </w:pPr>
                </w:p>
              </w:tc>
              <w:tc>
                <w:tcPr>
                  <w:tcW w:w="2256" w:type="dxa"/>
                  <w:tcBorders>
                    <w:tl2br w:val="nil"/>
                    <w:tr2bl w:val="nil"/>
                  </w:tcBorders>
                  <w:vAlign w:val="center"/>
                </w:tcPr>
                <w:p>
                  <w:pPr>
                    <w:adjustRightInd w:val="0"/>
                    <w:snapToGrid w:val="0"/>
                    <w:rPr>
                      <w:rFonts w:hint="eastAsia"/>
                      <w:color w:val="auto"/>
                      <w:szCs w:val="21"/>
                    </w:rPr>
                  </w:pPr>
                  <w:r>
                    <w:rPr>
                      <w:rFonts w:hint="eastAsia"/>
                      <w:color w:val="auto"/>
                      <w:szCs w:val="21"/>
                    </w:rPr>
                    <w:t>《合成树脂工业污染物排放标准》（GB 31572-2015）</w:t>
                  </w:r>
                </w:p>
              </w:tc>
              <w:tc>
                <w:tcPr>
                  <w:tcW w:w="162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4.0</w:t>
                  </w:r>
                </w:p>
              </w:tc>
              <w:tc>
                <w:tcPr>
                  <w:tcW w:w="93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0.017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460" w:type="dxa"/>
                  <w:tcBorders>
                    <w:tl2br w:val="nil"/>
                    <w:tr2bl w:val="nil"/>
                  </w:tcBorders>
                  <w:vAlign w:val="center"/>
                </w:tcPr>
                <w:p>
                  <w:pPr>
                    <w:widowControl/>
                    <w:jc w:val="center"/>
                    <w:rPr>
                      <w:rFonts w:hint="eastAsia" w:eastAsia="宋体"/>
                      <w:color w:val="auto"/>
                      <w:kern w:val="0"/>
                      <w:szCs w:val="21"/>
                      <w:lang w:val="en-US" w:eastAsia="zh-CN"/>
                    </w:rPr>
                  </w:pPr>
                  <w:r>
                    <w:rPr>
                      <w:rFonts w:hint="eastAsia"/>
                      <w:color w:val="auto"/>
                      <w:kern w:val="0"/>
                      <w:szCs w:val="21"/>
                      <w:lang w:val="en-US" w:eastAsia="zh-CN"/>
                    </w:rPr>
                    <w:t>3</w:t>
                  </w:r>
                </w:p>
              </w:tc>
              <w:tc>
                <w:tcPr>
                  <w:tcW w:w="593" w:type="dxa"/>
                  <w:vMerge w:val="continue"/>
                  <w:tcBorders>
                    <w:tl2br w:val="nil"/>
                    <w:tr2bl w:val="nil"/>
                  </w:tcBorders>
                  <w:vAlign w:val="center"/>
                </w:tcPr>
                <w:p>
                  <w:pPr>
                    <w:widowControl/>
                    <w:jc w:val="center"/>
                    <w:rPr>
                      <w:rFonts w:hint="eastAsia"/>
                      <w:color w:val="auto"/>
                      <w:kern w:val="0"/>
                      <w:szCs w:val="21"/>
                    </w:rPr>
                  </w:pPr>
                </w:p>
              </w:tc>
              <w:tc>
                <w:tcPr>
                  <w:tcW w:w="736" w:type="dxa"/>
                  <w:gridSpan w:val="2"/>
                  <w:vMerge w:val="continue"/>
                  <w:tcBorders>
                    <w:tl2br w:val="nil"/>
                    <w:tr2bl w:val="nil"/>
                  </w:tcBorders>
                  <w:vAlign w:val="center"/>
                </w:tcPr>
                <w:p>
                  <w:pPr>
                    <w:jc w:val="center"/>
                    <w:rPr>
                      <w:rFonts w:hint="eastAsia"/>
                      <w:color w:val="auto"/>
                      <w:szCs w:val="21"/>
                    </w:rPr>
                  </w:pPr>
                </w:p>
              </w:tc>
              <w:tc>
                <w:tcPr>
                  <w:tcW w:w="742" w:type="dxa"/>
                  <w:tcBorders>
                    <w:tl2br w:val="nil"/>
                    <w:tr2bl w:val="nil"/>
                  </w:tcBorders>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rPr>
                    <w:t>VOCs</w:t>
                  </w:r>
                </w:p>
              </w:tc>
              <w:tc>
                <w:tcPr>
                  <w:tcW w:w="975" w:type="dxa"/>
                  <w:tcBorders>
                    <w:tl2br w:val="nil"/>
                    <w:tr2bl w:val="nil"/>
                  </w:tcBorders>
                  <w:vAlign w:val="center"/>
                </w:tcPr>
                <w:p>
                  <w:pPr>
                    <w:jc w:val="center"/>
                    <w:rPr>
                      <w:rFonts w:hint="eastAsia"/>
                      <w:color w:val="auto"/>
                      <w:kern w:val="0"/>
                      <w:szCs w:val="21"/>
                    </w:rPr>
                  </w:pPr>
                </w:p>
              </w:tc>
              <w:tc>
                <w:tcPr>
                  <w:tcW w:w="2256" w:type="dxa"/>
                  <w:tcBorders>
                    <w:tl2br w:val="nil"/>
                    <w:tr2bl w:val="nil"/>
                  </w:tcBorders>
                  <w:vAlign w:val="center"/>
                </w:tcPr>
                <w:p>
                  <w:pPr>
                    <w:adjustRightInd w:val="0"/>
                    <w:snapToGrid w:val="0"/>
                    <w:rPr>
                      <w:rFonts w:hint="eastAsia"/>
                      <w:color w:val="auto"/>
                      <w:szCs w:val="21"/>
                    </w:rPr>
                  </w:pPr>
                  <w:r>
                    <w:rPr>
                      <w:rFonts w:hint="eastAsia"/>
                      <w:color w:val="auto"/>
                      <w:szCs w:val="21"/>
                    </w:rPr>
                    <w:t>《工业企业挥发性有机物排放控制标准》（DB12/524-2020）</w:t>
                  </w:r>
                </w:p>
              </w:tc>
              <w:tc>
                <w:tcPr>
                  <w:tcW w:w="162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4.0</w:t>
                  </w:r>
                </w:p>
              </w:tc>
              <w:tc>
                <w:tcPr>
                  <w:tcW w:w="930" w:type="dxa"/>
                  <w:tcBorders>
                    <w:tl2br w:val="nil"/>
                    <w:tr2bl w:val="nil"/>
                  </w:tcBorders>
                  <w:vAlign w:val="center"/>
                </w:tcPr>
                <w:p>
                  <w:pPr>
                    <w:adjustRightInd w:val="0"/>
                    <w:snapToGrid w:val="0"/>
                    <w:jc w:val="center"/>
                    <w:rPr>
                      <w:rFonts w:hint="default" w:eastAsia="宋体"/>
                      <w:color w:val="auto"/>
                      <w:spacing w:val="4"/>
                      <w:kern w:val="0"/>
                      <w:szCs w:val="21"/>
                      <w:lang w:val="en-US" w:eastAsia="zh-CN"/>
                    </w:rPr>
                  </w:pPr>
                  <w:r>
                    <w:rPr>
                      <w:rFonts w:hint="eastAsia"/>
                      <w:color w:val="auto"/>
                      <w:spacing w:val="4"/>
                      <w:kern w:val="0"/>
                      <w:szCs w:val="21"/>
                      <w:lang w:val="en-US" w:eastAsia="zh-CN"/>
                    </w:rPr>
                    <w:t>0.085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312" w:type="dxa"/>
                  <w:gridSpan w:val="9"/>
                  <w:tcBorders>
                    <w:tl2br w:val="nil"/>
                    <w:tr2bl w:val="nil"/>
                  </w:tcBorders>
                  <w:vAlign w:val="center"/>
                </w:tcPr>
                <w:p>
                  <w:pPr>
                    <w:adjustRightInd w:val="0"/>
                    <w:snapToGrid w:val="0"/>
                    <w:jc w:val="center"/>
                    <w:rPr>
                      <w:color w:val="auto"/>
                      <w:szCs w:val="21"/>
                    </w:rPr>
                  </w:pPr>
                  <w:r>
                    <w:rPr>
                      <w:rFonts w:hint="eastAsia"/>
                      <w:color w:val="auto"/>
                      <w:szCs w:val="21"/>
                    </w:rPr>
                    <w:t>无组织排放总计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78" w:type="dxa"/>
                  <w:gridSpan w:val="3"/>
                  <w:vMerge w:val="restart"/>
                  <w:tcBorders>
                    <w:tl2br w:val="nil"/>
                    <w:tr2bl w:val="nil"/>
                  </w:tcBorders>
                  <w:vAlign w:val="center"/>
                </w:tcPr>
                <w:p>
                  <w:pPr>
                    <w:widowControl/>
                    <w:jc w:val="center"/>
                    <w:rPr>
                      <w:color w:val="auto"/>
                      <w:kern w:val="0"/>
                      <w:szCs w:val="21"/>
                    </w:rPr>
                  </w:pPr>
                  <w:r>
                    <w:rPr>
                      <w:rFonts w:hint="eastAsia"/>
                      <w:color w:val="auto"/>
                      <w:kern w:val="0"/>
                      <w:szCs w:val="21"/>
                    </w:rPr>
                    <w:t>无组织排放合计</w:t>
                  </w:r>
                  <w:r>
                    <w:rPr>
                      <w:color w:val="auto"/>
                      <w:kern w:val="0"/>
                      <w:szCs w:val="21"/>
                    </w:rPr>
                    <w:t>（t/a）</w:t>
                  </w:r>
                </w:p>
              </w:tc>
              <w:tc>
                <w:tcPr>
                  <w:tcW w:w="5604" w:type="dxa"/>
                  <w:gridSpan w:val="5"/>
                  <w:tcBorders>
                    <w:tl2br w:val="nil"/>
                    <w:tr2bl w:val="nil"/>
                  </w:tcBorders>
                  <w:vAlign w:val="center"/>
                </w:tcPr>
                <w:p>
                  <w:pPr>
                    <w:jc w:val="center"/>
                    <w:rPr>
                      <w:color w:val="auto"/>
                      <w:kern w:val="0"/>
                      <w:szCs w:val="21"/>
                    </w:rPr>
                  </w:pPr>
                  <w:r>
                    <w:rPr>
                      <w:rFonts w:hint="eastAsia"/>
                      <w:color w:val="auto"/>
                      <w:kern w:val="0"/>
                      <w:szCs w:val="21"/>
                      <w:lang w:val="en-US" w:eastAsia="zh-CN"/>
                    </w:rPr>
                    <w:t>颗粒物</w:t>
                  </w:r>
                </w:p>
              </w:tc>
              <w:tc>
                <w:tcPr>
                  <w:tcW w:w="930" w:type="dxa"/>
                  <w:tcBorders>
                    <w:tl2br w:val="nil"/>
                    <w:tr2bl w:val="nil"/>
                  </w:tcBorders>
                  <w:vAlign w:val="center"/>
                </w:tcPr>
                <w:p>
                  <w:pPr>
                    <w:adjustRightInd w:val="0"/>
                    <w:snapToGrid w:val="0"/>
                    <w:jc w:val="center"/>
                    <w:rPr>
                      <w:color w:val="auto"/>
                      <w:szCs w:val="21"/>
                    </w:rPr>
                  </w:pPr>
                  <w:r>
                    <w:rPr>
                      <w:rFonts w:hint="eastAsia"/>
                      <w:color w:val="auto"/>
                      <w:spacing w:val="4"/>
                      <w:kern w:val="0"/>
                      <w:szCs w:val="21"/>
                      <w:lang w:val="en-US" w:eastAsia="zh-CN"/>
                    </w:rPr>
                    <w:t>0.235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78" w:type="dxa"/>
                  <w:gridSpan w:val="3"/>
                  <w:vMerge w:val="continue"/>
                  <w:tcBorders>
                    <w:tl2br w:val="nil"/>
                    <w:tr2bl w:val="nil"/>
                  </w:tcBorders>
                  <w:vAlign w:val="center"/>
                </w:tcPr>
                <w:p>
                  <w:pPr>
                    <w:widowControl/>
                    <w:jc w:val="center"/>
                    <w:rPr>
                      <w:rFonts w:hint="eastAsia"/>
                      <w:color w:val="auto"/>
                      <w:kern w:val="0"/>
                      <w:szCs w:val="21"/>
                    </w:rPr>
                  </w:pPr>
                </w:p>
              </w:tc>
              <w:tc>
                <w:tcPr>
                  <w:tcW w:w="5604" w:type="dxa"/>
                  <w:gridSpan w:val="5"/>
                  <w:tcBorders>
                    <w:tl2br w:val="nil"/>
                    <w:tr2bl w:val="nil"/>
                  </w:tcBorders>
                  <w:vAlign w:val="center"/>
                </w:tcPr>
                <w:p>
                  <w:pPr>
                    <w:jc w:val="center"/>
                    <w:rPr>
                      <w:rFonts w:hint="eastAsia"/>
                      <w:color w:val="auto"/>
                      <w:szCs w:val="21"/>
                    </w:rPr>
                  </w:pPr>
                  <w:r>
                    <w:rPr>
                      <w:rFonts w:hint="eastAsia"/>
                      <w:color w:val="auto"/>
                      <w:kern w:val="0"/>
                      <w:szCs w:val="21"/>
                      <w:lang w:val="en-US" w:eastAsia="zh-CN"/>
                    </w:rPr>
                    <w:t>非甲烷总烃</w:t>
                  </w:r>
                </w:p>
              </w:tc>
              <w:tc>
                <w:tcPr>
                  <w:tcW w:w="930" w:type="dxa"/>
                  <w:tcBorders>
                    <w:tl2br w:val="nil"/>
                    <w:tr2bl w:val="nil"/>
                  </w:tcBorders>
                  <w:vAlign w:val="center"/>
                </w:tcPr>
                <w:p>
                  <w:pPr>
                    <w:adjustRightInd w:val="0"/>
                    <w:snapToGrid w:val="0"/>
                    <w:jc w:val="center"/>
                    <w:rPr>
                      <w:color w:val="auto"/>
                      <w:szCs w:val="21"/>
                    </w:rPr>
                  </w:pPr>
                  <w:r>
                    <w:rPr>
                      <w:rFonts w:hint="eastAsia"/>
                      <w:color w:val="auto"/>
                      <w:spacing w:val="4"/>
                      <w:kern w:val="0"/>
                      <w:szCs w:val="21"/>
                      <w:lang w:val="en-US" w:eastAsia="zh-CN"/>
                    </w:rPr>
                    <w:t>0.017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78" w:type="dxa"/>
                  <w:gridSpan w:val="3"/>
                  <w:vMerge w:val="continue"/>
                  <w:tcBorders>
                    <w:tl2br w:val="nil"/>
                    <w:tr2bl w:val="nil"/>
                  </w:tcBorders>
                  <w:vAlign w:val="center"/>
                </w:tcPr>
                <w:p>
                  <w:pPr>
                    <w:widowControl/>
                    <w:jc w:val="center"/>
                    <w:rPr>
                      <w:rFonts w:hint="eastAsia"/>
                      <w:color w:val="auto"/>
                      <w:kern w:val="0"/>
                      <w:szCs w:val="21"/>
                    </w:rPr>
                  </w:pPr>
                </w:p>
              </w:tc>
              <w:tc>
                <w:tcPr>
                  <w:tcW w:w="5604" w:type="dxa"/>
                  <w:gridSpan w:val="5"/>
                  <w:tcBorders>
                    <w:tl2br w:val="nil"/>
                    <w:tr2bl w:val="nil"/>
                  </w:tcBorders>
                  <w:vAlign w:val="center"/>
                </w:tcPr>
                <w:p>
                  <w:pPr>
                    <w:jc w:val="center"/>
                    <w:rPr>
                      <w:rFonts w:hint="eastAsia"/>
                      <w:color w:val="auto"/>
                      <w:szCs w:val="21"/>
                    </w:rPr>
                  </w:pPr>
                  <w:r>
                    <w:rPr>
                      <w:rFonts w:hint="eastAsia"/>
                      <w:color w:val="auto"/>
                      <w:kern w:val="0"/>
                      <w:szCs w:val="21"/>
                    </w:rPr>
                    <w:t>VOCs</w:t>
                  </w:r>
                </w:p>
              </w:tc>
              <w:tc>
                <w:tcPr>
                  <w:tcW w:w="930" w:type="dxa"/>
                  <w:tcBorders>
                    <w:tl2br w:val="nil"/>
                    <w:tr2bl w:val="nil"/>
                  </w:tcBorders>
                  <w:vAlign w:val="center"/>
                </w:tcPr>
                <w:p>
                  <w:pPr>
                    <w:adjustRightInd w:val="0"/>
                    <w:snapToGrid w:val="0"/>
                    <w:jc w:val="center"/>
                    <w:rPr>
                      <w:color w:val="auto"/>
                      <w:szCs w:val="21"/>
                    </w:rPr>
                  </w:pPr>
                  <w:r>
                    <w:rPr>
                      <w:rFonts w:hint="eastAsia"/>
                      <w:color w:val="auto"/>
                      <w:spacing w:val="4"/>
                      <w:kern w:val="0"/>
                      <w:szCs w:val="21"/>
                      <w:lang w:val="en-US" w:eastAsia="zh-CN"/>
                    </w:rPr>
                    <w:t>0.085</w:t>
                  </w:r>
                </w:p>
              </w:tc>
            </w:tr>
          </w:tbl>
          <w:p>
            <w:pPr>
              <w:jc w:val="center"/>
              <w:rPr>
                <w:b/>
                <w:color w:val="auto"/>
                <w:szCs w:val="21"/>
              </w:rPr>
            </w:pPr>
            <w:r>
              <w:rPr>
                <w:b/>
                <w:color w:val="auto"/>
                <w:szCs w:val="21"/>
              </w:rPr>
              <w:t>表7-</w:t>
            </w:r>
            <w:r>
              <w:rPr>
                <w:rFonts w:hint="eastAsia"/>
                <w:b/>
                <w:color w:val="auto"/>
                <w:szCs w:val="21"/>
              </w:rPr>
              <w:t>1</w:t>
            </w:r>
            <w:r>
              <w:rPr>
                <w:rFonts w:hint="eastAsia"/>
                <w:b/>
                <w:color w:val="auto"/>
                <w:szCs w:val="21"/>
                <w:lang w:val="en-US" w:eastAsia="zh-CN"/>
              </w:rPr>
              <w:t>3</w:t>
            </w:r>
            <w:r>
              <w:rPr>
                <w:b/>
                <w:color w:val="auto"/>
                <w:szCs w:val="21"/>
              </w:rPr>
              <w:t xml:space="preserve">  大气污染物年排放量核算表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79"/>
              <w:gridCol w:w="3140"/>
              <w:gridCol w:w="329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tblHeader/>
                <w:jc w:val="center"/>
              </w:trPr>
              <w:tc>
                <w:tcPr>
                  <w:tcW w:w="1879" w:type="dxa"/>
                  <w:vAlign w:val="center"/>
                </w:tcPr>
                <w:p>
                  <w:pPr>
                    <w:pStyle w:val="214"/>
                    <w:spacing w:before="24" w:after="24"/>
                    <w:rPr>
                      <w:rFonts w:ascii="Times New Roman" w:hAnsi="Times New Roman" w:eastAsia="宋体"/>
                      <w:b/>
                      <w:color w:val="auto"/>
                      <w:sz w:val="21"/>
                      <w:szCs w:val="21"/>
                    </w:rPr>
                  </w:pPr>
                  <w:r>
                    <w:rPr>
                      <w:rFonts w:ascii="Times New Roman" w:hAnsi="Times New Roman" w:eastAsia="宋体"/>
                      <w:b/>
                      <w:color w:val="auto"/>
                      <w:sz w:val="21"/>
                      <w:szCs w:val="21"/>
                    </w:rPr>
                    <w:t>序号</w:t>
                  </w:r>
                </w:p>
              </w:tc>
              <w:tc>
                <w:tcPr>
                  <w:tcW w:w="3140" w:type="dxa"/>
                  <w:vAlign w:val="center"/>
                </w:tcPr>
                <w:p>
                  <w:pPr>
                    <w:pStyle w:val="214"/>
                    <w:spacing w:before="24" w:after="24"/>
                    <w:rPr>
                      <w:rFonts w:ascii="Times New Roman" w:hAnsi="Times New Roman" w:eastAsia="宋体"/>
                      <w:b/>
                      <w:color w:val="auto"/>
                      <w:sz w:val="21"/>
                      <w:szCs w:val="21"/>
                    </w:rPr>
                  </w:pPr>
                  <w:r>
                    <w:rPr>
                      <w:rFonts w:ascii="Times New Roman" w:hAnsi="Times New Roman" w:eastAsia="宋体"/>
                      <w:b/>
                      <w:color w:val="auto"/>
                      <w:sz w:val="21"/>
                      <w:szCs w:val="21"/>
                    </w:rPr>
                    <w:t>污染物</w:t>
                  </w:r>
                </w:p>
              </w:tc>
              <w:tc>
                <w:tcPr>
                  <w:tcW w:w="3293" w:type="dxa"/>
                  <w:vAlign w:val="center"/>
                </w:tcPr>
                <w:p>
                  <w:pPr>
                    <w:pStyle w:val="214"/>
                    <w:spacing w:before="24" w:after="24"/>
                    <w:rPr>
                      <w:rFonts w:ascii="Times New Roman" w:hAnsi="Times New Roman" w:eastAsia="宋体"/>
                      <w:b/>
                      <w:color w:val="auto"/>
                      <w:sz w:val="21"/>
                      <w:szCs w:val="21"/>
                    </w:rPr>
                  </w:pPr>
                  <w:r>
                    <w:rPr>
                      <w:rFonts w:ascii="Times New Roman" w:hAnsi="Times New Roman" w:eastAsia="宋体"/>
                      <w:b/>
                      <w:color w:val="auto"/>
                      <w:sz w:val="21"/>
                      <w:szCs w:val="21"/>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1879" w:type="dxa"/>
                  <w:vAlign w:val="center"/>
                </w:tcPr>
                <w:p>
                  <w:pPr>
                    <w:pStyle w:val="214"/>
                    <w:spacing w:before="24" w:after="24"/>
                    <w:rPr>
                      <w:rFonts w:ascii="Times New Roman" w:hAnsi="Times New Roman" w:eastAsia="宋体"/>
                      <w:color w:val="auto"/>
                      <w:sz w:val="21"/>
                      <w:szCs w:val="21"/>
                    </w:rPr>
                  </w:pPr>
                  <w:r>
                    <w:rPr>
                      <w:rFonts w:ascii="Times New Roman" w:hAnsi="Times New Roman" w:eastAsia="宋体"/>
                      <w:color w:val="auto"/>
                      <w:sz w:val="21"/>
                      <w:szCs w:val="21"/>
                    </w:rPr>
                    <w:t>1</w:t>
                  </w:r>
                </w:p>
              </w:tc>
              <w:tc>
                <w:tcPr>
                  <w:tcW w:w="3140" w:type="dxa"/>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颗粒物</w:t>
                  </w:r>
                </w:p>
              </w:tc>
              <w:tc>
                <w:tcPr>
                  <w:tcW w:w="3293" w:type="dxa"/>
                  <w:vAlign w:val="center"/>
                </w:tcPr>
                <w:p>
                  <w:pPr>
                    <w:jc w:val="center"/>
                    <w:rPr>
                      <w:rFonts w:hint="default" w:eastAsia="宋体"/>
                      <w:color w:val="auto"/>
                      <w:szCs w:val="21"/>
                      <w:lang w:val="en-US" w:eastAsia="zh-CN"/>
                    </w:rPr>
                  </w:pPr>
                  <w:r>
                    <w:rPr>
                      <w:rFonts w:hint="eastAsia"/>
                      <w:color w:val="auto"/>
                      <w:szCs w:val="21"/>
                      <w:lang w:val="en-US" w:eastAsia="zh-CN"/>
                    </w:rPr>
                    <w:t>0.646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1879" w:type="dxa"/>
                  <w:vAlign w:val="center"/>
                </w:tcPr>
                <w:p>
                  <w:pPr>
                    <w:pStyle w:val="214"/>
                    <w:spacing w:before="24" w:after="24"/>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w:t>
                  </w:r>
                </w:p>
              </w:tc>
              <w:tc>
                <w:tcPr>
                  <w:tcW w:w="3140" w:type="dxa"/>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非甲烷总烃</w:t>
                  </w:r>
                </w:p>
              </w:tc>
              <w:tc>
                <w:tcPr>
                  <w:tcW w:w="3293" w:type="dxa"/>
                  <w:vAlign w:val="center"/>
                </w:tcPr>
                <w:p>
                  <w:pPr>
                    <w:jc w:val="center"/>
                    <w:rPr>
                      <w:rFonts w:hint="default" w:eastAsia="宋体"/>
                      <w:color w:val="auto"/>
                      <w:szCs w:val="21"/>
                      <w:lang w:val="en-US" w:eastAsia="zh-CN"/>
                    </w:rPr>
                  </w:pPr>
                  <w:r>
                    <w:rPr>
                      <w:rFonts w:hint="eastAsia"/>
                      <w:color w:val="auto"/>
                      <w:szCs w:val="21"/>
                      <w:lang w:val="en-US" w:eastAsia="zh-CN"/>
                    </w:rPr>
                    <w:t>0.030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1879" w:type="dxa"/>
                  <w:vAlign w:val="center"/>
                </w:tcPr>
                <w:p>
                  <w:pPr>
                    <w:pStyle w:val="214"/>
                    <w:spacing w:before="24" w:after="24"/>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w:t>
                  </w:r>
                </w:p>
              </w:tc>
              <w:tc>
                <w:tcPr>
                  <w:tcW w:w="3140" w:type="dxa"/>
                  <w:vAlign w:val="center"/>
                </w:tcPr>
                <w:p>
                  <w:pPr>
                    <w:jc w:val="center"/>
                    <w:rPr>
                      <w:rFonts w:hint="eastAsia" w:ascii="Times New Roman" w:hAnsi="Times New Roman" w:eastAsia="宋体" w:cs="Times New Roman"/>
                      <w:color w:val="auto"/>
                      <w:kern w:val="0"/>
                      <w:sz w:val="21"/>
                      <w:szCs w:val="21"/>
                      <w:lang w:val="en-US" w:eastAsia="zh-CN" w:bidi="ar-SA"/>
                    </w:rPr>
                  </w:pPr>
                  <w:r>
                    <w:rPr>
                      <w:rFonts w:hint="eastAsia"/>
                      <w:color w:val="auto"/>
                      <w:kern w:val="0"/>
                      <w:szCs w:val="21"/>
                    </w:rPr>
                    <w:t>VOCs</w:t>
                  </w:r>
                </w:p>
              </w:tc>
              <w:tc>
                <w:tcPr>
                  <w:tcW w:w="3293" w:type="dxa"/>
                  <w:vAlign w:val="center"/>
                </w:tcPr>
                <w:p>
                  <w:pPr>
                    <w:jc w:val="center"/>
                    <w:rPr>
                      <w:rFonts w:hint="default" w:eastAsia="宋体"/>
                      <w:color w:val="auto"/>
                      <w:szCs w:val="21"/>
                      <w:lang w:val="en-US" w:eastAsia="zh-CN"/>
                    </w:rPr>
                  </w:pPr>
                  <w:r>
                    <w:rPr>
                      <w:rFonts w:hint="eastAsia"/>
                      <w:color w:val="auto"/>
                      <w:szCs w:val="21"/>
                      <w:lang w:val="en-US" w:eastAsia="zh-CN"/>
                    </w:rPr>
                    <w:t>0.205</w:t>
                  </w:r>
                </w:p>
              </w:tc>
            </w:tr>
          </w:tbl>
          <w:p>
            <w:pPr>
              <w:snapToGrid w:val="0"/>
              <w:spacing w:line="360" w:lineRule="auto"/>
              <w:ind w:firstLine="480" w:firstLineChars="200"/>
              <w:contextualSpacing/>
              <w:jc w:val="left"/>
              <w:rPr>
                <w:b/>
                <w:bCs/>
                <w:color w:val="auto"/>
                <w:sz w:val="24"/>
              </w:rPr>
            </w:pPr>
            <w:r>
              <w:rPr>
                <w:b/>
                <w:bCs/>
                <w:color w:val="auto"/>
                <w:sz w:val="24"/>
              </w:rPr>
              <w:t>（</w:t>
            </w:r>
            <w:r>
              <w:rPr>
                <w:rFonts w:hint="eastAsia"/>
                <w:b/>
                <w:bCs/>
                <w:color w:val="auto"/>
                <w:sz w:val="24"/>
                <w:lang w:val="en-US" w:eastAsia="zh-CN"/>
              </w:rPr>
              <w:t>4</w:t>
            </w:r>
            <w:r>
              <w:rPr>
                <w:b/>
                <w:bCs/>
                <w:color w:val="auto"/>
                <w:sz w:val="24"/>
              </w:rPr>
              <w:t>）大气环境防护距离</w:t>
            </w:r>
          </w:p>
          <w:p>
            <w:pPr>
              <w:snapToGrid w:val="0"/>
              <w:spacing w:line="360" w:lineRule="auto"/>
              <w:ind w:firstLine="480" w:firstLineChars="200"/>
              <w:contextualSpacing/>
              <w:jc w:val="left"/>
              <w:rPr>
                <w:color w:val="auto"/>
                <w:sz w:val="24"/>
              </w:rPr>
            </w:pPr>
            <w:r>
              <w:rPr>
                <w:color w:val="auto"/>
                <w:sz w:val="24"/>
                <w:szCs w:val="24"/>
              </w:rPr>
              <w:t>根据《环境影响评价技术导则—大气环境（HJ2.2-2018）》要求，</w:t>
            </w:r>
            <w:r>
              <w:rPr>
                <w:rFonts w:hint="eastAsia"/>
                <w:color w:val="auto"/>
                <w:sz w:val="24"/>
                <w:szCs w:val="24"/>
              </w:rPr>
              <w:t>“</w:t>
            </w:r>
            <w:r>
              <w:rPr>
                <w:color w:val="auto"/>
                <w:sz w:val="24"/>
                <w:szCs w:val="24"/>
              </w:rPr>
              <w:t>对于项目厂界浓度满足大气污染物厂界浓度限值，但厂界外大气污染物短期贡献浓度超过环境质量浓度限值的，可以自厂界向外设置一定范围的大气环境防护区域，以确保大气环境防护区域外的污染物贡献浓度满足环境质量标准</w:t>
            </w:r>
            <w:r>
              <w:rPr>
                <w:rFonts w:hint="eastAsia"/>
                <w:color w:val="auto"/>
                <w:sz w:val="24"/>
                <w:szCs w:val="24"/>
              </w:rPr>
              <w:t>”</w:t>
            </w:r>
            <w:r>
              <w:rPr>
                <w:color w:val="auto"/>
                <w:sz w:val="24"/>
                <w:szCs w:val="24"/>
              </w:rPr>
              <w:t>。由本项目预测情况可知，项目厂界及厂界外污染物浓度满足大气污染物厂界浓度限值，因此</w:t>
            </w:r>
            <w:r>
              <w:rPr>
                <w:rFonts w:hint="eastAsia"/>
                <w:color w:val="auto"/>
                <w:sz w:val="24"/>
                <w:szCs w:val="24"/>
              </w:rPr>
              <w:t>本项目</w:t>
            </w:r>
            <w:r>
              <w:rPr>
                <w:color w:val="auto"/>
                <w:sz w:val="24"/>
                <w:szCs w:val="24"/>
              </w:rPr>
              <w:t>不需设置大气环境防护距离。</w:t>
            </w:r>
          </w:p>
          <w:p>
            <w:pPr>
              <w:snapToGrid w:val="0"/>
              <w:spacing w:line="360" w:lineRule="auto"/>
              <w:ind w:firstLine="480" w:firstLineChars="200"/>
              <w:contextualSpacing/>
              <w:jc w:val="left"/>
              <w:rPr>
                <w:b/>
                <w:bCs/>
                <w:color w:val="auto"/>
                <w:sz w:val="24"/>
              </w:rPr>
            </w:pPr>
            <w:r>
              <w:rPr>
                <w:b/>
                <w:bCs/>
                <w:color w:val="auto"/>
                <w:sz w:val="24"/>
              </w:rPr>
              <w:t>（</w:t>
            </w:r>
            <w:r>
              <w:rPr>
                <w:rFonts w:hint="eastAsia"/>
                <w:b/>
                <w:bCs/>
                <w:color w:val="auto"/>
                <w:sz w:val="24"/>
                <w:lang w:val="en-US" w:eastAsia="zh-CN"/>
              </w:rPr>
              <w:t>5</w:t>
            </w:r>
            <w:r>
              <w:rPr>
                <w:b/>
                <w:bCs/>
                <w:color w:val="auto"/>
                <w:sz w:val="24"/>
              </w:rPr>
              <w:t xml:space="preserve">）卫生防护距离设置 </w:t>
            </w:r>
          </w:p>
          <w:p>
            <w:pPr>
              <w:spacing w:line="360" w:lineRule="auto"/>
              <w:ind w:firstLine="480" w:firstLineChars="200"/>
              <w:rPr>
                <w:color w:val="auto"/>
                <w:sz w:val="24"/>
              </w:rPr>
            </w:pPr>
            <w:r>
              <w:rPr>
                <w:color w:val="auto"/>
                <w:sz w:val="24"/>
              </w:rPr>
              <w:t>根据《制定地方大气污染物排放标准的技术方法》（GB/T13201-91）规定，无组织排入有害气体的生产单元（生产区、车间、工段）超出GB3095与TJ36规定的居住区容许浓度限值，则需要与居民区之间应设置卫生防护距离，计算公式如下：</w:t>
            </w:r>
          </w:p>
          <w:p>
            <w:pPr>
              <w:spacing w:line="360" w:lineRule="auto"/>
              <w:jc w:val="center"/>
              <w:rPr>
                <w:color w:val="auto"/>
                <w:sz w:val="24"/>
              </w:rPr>
            </w:pPr>
            <w:r>
              <w:rPr>
                <w:color w:val="auto"/>
                <w:position w:val="-30"/>
                <w:sz w:val="24"/>
              </w:rPr>
              <w:object>
                <v:shape id="_x0000_i1027" o:spt="75" type="#_x0000_t75" style="height:35.45pt;width:144pt;" o:ole="t" filled="f" o:preferrelative="t" stroked="f" coordsize="21600,21600">
                  <v:path/>
                  <v:fill on="f" focussize="0,0"/>
                  <v:stroke on="f" joinstyle="miter"/>
                  <v:imagedata r:id="rId27" o:title="6515309301556505032514"/>
                  <o:lock v:ext="edit" aspectratio="t"/>
                  <w10:wrap type="none"/>
                  <w10:anchorlock/>
                </v:shape>
                <o:OLEObject Type="Embed" ProgID="Equation.3" ShapeID="_x0000_i1027" DrawAspect="Content" ObjectID="_1468075727" r:id="rId26">
                  <o:LockedField>false</o:LockedField>
                </o:OLEObject>
              </w:object>
            </w:r>
          </w:p>
          <w:p>
            <w:pPr>
              <w:spacing w:line="360" w:lineRule="auto"/>
              <w:ind w:firstLine="480" w:firstLineChars="200"/>
              <w:rPr>
                <w:color w:val="auto"/>
                <w:sz w:val="24"/>
              </w:rPr>
            </w:pPr>
            <w:r>
              <w:rPr>
                <w:color w:val="auto"/>
                <w:sz w:val="24"/>
              </w:rPr>
              <w:t>式中：C</w:t>
            </w:r>
            <w:r>
              <w:rPr>
                <w:color w:val="auto"/>
                <w:sz w:val="24"/>
                <w:vertAlign w:val="subscript"/>
              </w:rPr>
              <w:t>m</w:t>
            </w:r>
            <w:r>
              <w:rPr>
                <w:color w:val="auto"/>
                <w:sz w:val="24"/>
              </w:rPr>
              <w:t>—为标准浓度限值（mg/m</w:t>
            </w:r>
            <w:r>
              <w:rPr>
                <w:color w:val="auto"/>
                <w:sz w:val="24"/>
                <w:vertAlign w:val="superscript"/>
              </w:rPr>
              <w:t>3</w:t>
            </w:r>
            <w:r>
              <w:rPr>
                <w:color w:val="auto"/>
                <w:sz w:val="24"/>
              </w:rPr>
              <w:t>）；</w:t>
            </w:r>
          </w:p>
          <w:p>
            <w:pPr>
              <w:spacing w:line="360" w:lineRule="auto"/>
              <w:ind w:firstLine="1200" w:firstLineChars="500"/>
              <w:rPr>
                <w:color w:val="auto"/>
                <w:sz w:val="24"/>
              </w:rPr>
            </w:pPr>
            <w:r>
              <w:rPr>
                <w:color w:val="auto"/>
                <w:sz w:val="24"/>
              </w:rPr>
              <w:t>Q</w:t>
            </w:r>
            <w:r>
              <w:rPr>
                <w:color w:val="auto"/>
                <w:sz w:val="24"/>
                <w:vertAlign w:val="subscript"/>
              </w:rPr>
              <w:t>c</w:t>
            </w:r>
            <w:r>
              <w:rPr>
                <w:color w:val="auto"/>
                <w:sz w:val="24"/>
              </w:rPr>
              <w:t>—有害气体无组织排放量可达到的控制水平（kg/h）；</w:t>
            </w:r>
          </w:p>
          <w:p>
            <w:pPr>
              <w:spacing w:line="360" w:lineRule="auto"/>
              <w:ind w:firstLine="1200" w:firstLineChars="500"/>
              <w:rPr>
                <w:color w:val="auto"/>
                <w:sz w:val="24"/>
              </w:rPr>
            </w:pPr>
            <w:r>
              <w:rPr>
                <w:color w:val="auto"/>
                <w:sz w:val="24"/>
              </w:rPr>
              <w:t>r—为有害气体无组织排放源所在生产单元的等效半径（m）；</w:t>
            </w:r>
          </w:p>
          <w:p>
            <w:pPr>
              <w:spacing w:line="360" w:lineRule="auto"/>
              <w:ind w:firstLine="1200" w:firstLineChars="500"/>
              <w:rPr>
                <w:color w:val="auto"/>
                <w:sz w:val="24"/>
              </w:rPr>
            </w:pPr>
            <w:r>
              <w:rPr>
                <w:color w:val="auto"/>
                <w:sz w:val="24"/>
              </w:rPr>
              <w:t>L—为工业企业所需的卫生防护距离（m）；</w:t>
            </w:r>
          </w:p>
          <w:p>
            <w:pPr>
              <w:spacing w:line="360" w:lineRule="auto"/>
              <w:ind w:firstLine="1200" w:firstLineChars="500"/>
              <w:rPr>
                <w:color w:val="auto"/>
                <w:sz w:val="24"/>
              </w:rPr>
            </w:pPr>
            <w:r>
              <w:rPr>
                <w:color w:val="auto"/>
                <w:sz w:val="24"/>
              </w:rPr>
              <w:t>A、B、C、D为计算系数。根据所在地平均风速及工业企业大气污染源构成类别查取。</w:t>
            </w:r>
          </w:p>
          <w:p>
            <w:pPr>
              <w:ind w:firstLine="198"/>
              <w:jc w:val="center"/>
              <w:rPr>
                <w:b/>
                <w:color w:val="auto"/>
                <w:szCs w:val="21"/>
              </w:rPr>
            </w:pPr>
            <w:r>
              <w:rPr>
                <w:b/>
                <w:color w:val="auto"/>
                <w:szCs w:val="21"/>
              </w:rPr>
              <w:t>表7-1</w:t>
            </w:r>
            <w:r>
              <w:rPr>
                <w:rFonts w:hint="eastAsia"/>
                <w:b/>
                <w:color w:val="auto"/>
                <w:szCs w:val="21"/>
                <w:lang w:val="en-US" w:eastAsia="zh-CN"/>
              </w:rPr>
              <w:t>4</w:t>
            </w:r>
            <w:r>
              <w:rPr>
                <w:b/>
                <w:color w:val="auto"/>
                <w:szCs w:val="21"/>
              </w:rPr>
              <w:t xml:space="preserve">  本项目卫生防护距离计算结果表</w:t>
            </w:r>
          </w:p>
          <w:tbl>
            <w:tblPr>
              <w:tblStyle w:val="56"/>
              <w:tblW w:w="831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770"/>
              <w:gridCol w:w="1662"/>
              <w:gridCol w:w="33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60" w:type="dxa"/>
                  <w:vAlign w:val="center"/>
                </w:tcPr>
                <w:p>
                  <w:pPr>
                    <w:pStyle w:val="29"/>
                    <w:spacing w:before="0" w:line="240" w:lineRule="auto"/>
                    <w:jc w:val="center"/>
                    <w:rPr>
                      <w:rFonts w:ascii="Times New Roman"/>
                      <w:b/>
                      <w:color w:val="auto"/>
                      <w:szCs w:val="21"/>
                    </w:rPr>
                  </w:pPr>
                  <w:r>
                    <w:rPr>
                      <w:rFonts w:ascii="Times New Roman"/>
                      <w:b/>
                      <w:color w:val="auto"/>
                      <w:szCs w:val="21"/>
                    </w:rPr>
                    <w:t>源强</w:t>
                  </w:r>
                </w:p>
              </w:tc>
              <w:tc>
                <w:tcPr>
                  <w:tcW w:w="1770" w:type="dxa"/>
                  <w:vAlign w:val="center"/>
                </w:tcPr>
                <w:p>
                  <w:pPr>
                    <w:pStyle w:val="29"/>
                    <w:spacing w:before="0" w:line="240" w:lineRule="auto"/>
                    <w:jc w:val="center"/>
                    <w:rPr>
                      <w:rFonts w:ascii="Times New Roman"/>
                      <w:b/>
                      <w:color w:val="auto"/>
                      <w:szCs w:val="21"/>
                    </w:rPr>
                  </w:pPr>
                  <w:r>
                    <w:rPr>
                      <w:rFonts w:ascii="Times New Roman"/>
                      <w:b/>
                      <w:color w:val="auto"/>
                      <w:szCs w:val="21"/>
                    </w:rPr>
                    <w:t>污染物</w:t>
                  </w:r>
                </w:p>
              </w:tc>
              <w:tc>
                <w:tcPr>
                  <w:tcW w:w="1662" w:type="dxa"/>
                  <w:vAlign w:val="center"/>
                </w:tcPr>
                <w:p>
                  <w:pPr>
                    <w:pStyle w:val="29"/>
                    <w:spacing w:before="0" w:line="240" w:lineRule="auto"/>
                    <w:jc w:val="center"/>
                    <w:rPr>
                      <w:rFonts w:ascii="Times New Roman"/>
                      <w:b/>
                      <w:color w:val="auto"/>
                      <w:szCs w:val="21"/>
                    </w:rPr>
                  </w:pPr>
                  <w:r>
                    <w:rPr>
                      <w:rFonts w:ascii="Times New Roman"/>
                      <w:b/>
                      <w:color w:val="auto"/>
                      <w:szCs w:val="21"/>
                    </w:rPr>
                    <w:t>计算结果m</w:t>
                  </w:r>
                </w:p>
              </w:tc>
              <w:tc>
                <w:tcPr>
                  <w:tcW w:w="3320" w:type="dxa"/>
                  <w:vAlign w:val="center"/>
                </w:tcPr>
                <w:p>
                  <w:pPr>
                    <w:pStyle w:val="29"/>
                    <w:spacing w:before="0" w:line="240" w:lineRule="auto"/>
                    <w:jc w:val="center"/>
                    <w:rPr>
                      <w:rFonts w:ascii="Times New Roman"/>
                      <w:b/>
                      <w:color w:val="auto"/>
                      <w:szCs w:val="21"/>
                    </w:rPr>
                  </w:pPr>
                  <w:r>
                    <w:rPr>
                      <w:rFonts w:ascii="Times New Roman"/>
                      <w:b/>
                      <w:color w:val="auto"/>
                      <w:szCs w:val="21"/>
                    </w:rPr>
                    <w:t>卫生防护距离m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60" w:type="dxa"/>
                  <w:vMerge w:val="restart"/>
                  <w:vAlign w:val="center"/>
                </w:tcPr>
                <w:p>
                  <w:pPr>
                    <w:pStyle w:val="29"/>
                    <w:spacing w:before="0" w:line="240" w:lineRule="auto"/>
                    <w:jc w:val="center"/>
                    <w:rPr>
                      <w:rFonts w:ascii="Times New Roman"/>
                      <w:color w:val="auto"/>
                      <w:szCs w:val="21"/>
                    </w:rPr>
                  </w:pPr>
                  <w:r>
                    <w:rPr>
                      <w:rFonts w:hint="eastAsia" w:ascii="Times New Roman"/>
                      <w:color w:val="auto"/>
                      <w:szCs w:val="21"/>
                    </w:rPr>
                    <w:t>生产车间</w:t>
                  </w:r>
                </w:p>
              </w:tc>
              <w:tc>
                <w:tcPr>
                  <w:tcW w:w="1770" w:type="dxa"/>
                  <w:vAlign w:val="center"/>
                </w:tcPr>
                <w:p>
                  <w:pPr>
                    <w:jc w:val="center"/>
                    <w:rPr>
                      <w:rFonts w:hint="eastAsia"/>
                      <w:color w:val="auto"/>
                      <w:szCs w:val="21"/>
                    </w:rPr>
                  </w:pPr>
                  <w:r>
                    <w:rPr>
                      <w:rFonts w:hint="eastAsia"/>
                      <w:color w:val="auto"/>
                      <w:kern w:val="0"/>
                      <w:szCs w:val="21"/>
                      <w:lang w:val="en-US" w:eastAsia="zh-CN"/>
                    </w:rPr>
                    <w:t>颗粒物</w:t>
                  </w:r>
                </w:p>
              </w:tc>
              <w:tc>
                <w:tcPr>
                  <w:tcW w:w="1662" w:type="dxa"/>
                  <w:vAlign w:val="center"/>
                </w:tcPr>
                <w:p>
                  <w:pPr>
                    <w:jc w:val="center"/>
                    <w:rPr>
                      <w:rFonts w:hint="default" w:eastAsia="宋体"/>
                      <w:color w:val="auto"/>
                      <w:szCs w:val="21"/>
                      <w:lang w:val="en-US" w:eastAsia="zh-CN"/>
                    </w:rPr>
                  </w:pPr>
                  <w:r>
                    <w:rPr>
                      <w:rFonts w:hint="eastAsia"/>
                      <w:color w:val="auto"/>
                      <w:szCs w:val="21"/>
                      <w:lang w:val="en-US" w:eastAsia="zh-CN"/>
                    </w:rPr>
                    <w:t>10.827</w:t>
                  </w:r>
                </w:p>
              </w:tc>
              <w:tc>
                <w:tcPr>
                  <w:tcW w:w="3320" w:type="dxa"/>
                  <w:vAlign w:val="center"/>
                </w:tcPr>
                <w:p>
                  <w:pPr>
                    <w:pStyle w:val="29"/>
                    <w:spacing w:before="0" w:line="240" w:lineRule="auto"/>
                    <w:jc w:val="center"/>
                    <w:rPr>
                      <w:rFonts w:hint="default" w:ascii="Times New Roman" w:eastAsia="宋体"/>
                      <w:color w:val="auto"/>
                      <w:szCs w:val="21"/>
                      <w:lang w:val="en-US" w:eastAsia="zh-CN"/>
                    </w:rPr>
                  </w:pPr>
                  <w:r>
                    <w:rPr>
                      <w:rFonts w:hint="eastAsia" w:ascii="Times New Roman"/>
                      <w:color w:val="auto"/>
                      <w:szCs w:val="21"/>
                      <w:lang w:val="en-US" w:eastAsia="zh-CN"/>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60" w:type="dxa"/>
                  <w:vMerge w:val="continue"/>
                  <w:vAlign w:val="center"/>
                </w:tcPr>
                <w:p>
                  <w:pPr>
                    <w:pStyle w:val="29"/>
                    <w:spacing w:before="0" w:line="240" w:lineRule="auto"/>
                    <w:jc w:val="center"/>
                    <w:rPr>
                      <w:rFonts w:hint="eastAsia" w:ascii="Times New Roman"/>
                      <w:color w:val="auto"/>
                      <w:szCs w:val="21"/>
                    </w:rPr>
                  </w:pPr>
                </w:p>
              </w:tc>
              <w:tc>
                <w:tcPr>
                  <w:tcW w:w="1770" w:type="dxa"/>
                  <w:vAlign w:val="center"/>
                </w:tcPr>
                <w:p>
                  <w:pPr>
                    <w:jc w:val="center"/>
                    <w:rPr>
                      <w:rFonts w:hint="eastAsia"/>
                      <w:color w:val="auto"/>
                      <w:szCs w:val="21"/>
                    </w:rPr>
                  </w:pPr>
                  <w:r>
                    <w:rPr>
                      <w:rFonts w:hint="eastAsia"/>
                      <w:color w:val="auto"/>
                      <w:kern w:val="0"/>
                      <w:szCs w:val="21"/>
                      <w:lang w:val="en-US" w:eastAsia="zh-CN"/>
                    </w:rPr>
                    <w:t>非甲烷总烃</w:t>
                  </w:r>
                </w:p>
              </w:tc>
              <w:tc>
                <w:tcPr>
                  <w:tcW w:w="1662" w:type="dxa"/>
                  <w:vAlign w:val="center"/>
                </w:tcPr>
                <w:p>
                  <w:pPr>
                    <w:jc w:val="center"/>
                    <w:rPr>
                      <w:rFonts w:hint="default" w:eastAsia="宋体"/>
                      <w:color w:val="auto"/>
                      <w:szCs w:val="21"/>
                      <w:lang w:val="en-US" w:eastAsia="zh-CN"/>
                    </w:rPr>
                  </w:pPr>
                  <w:r>
                    <w:rPr>
                      <w:rFonts w:hint="eastAsia"/>
                      <w:color w:val="auto"/>
                      <w:szCs w:val="21"/>
                      <w:lang w:val="en-US" w:eastAsia="zh-CN"/>
                    </w:rPr>
                    <w:t>0.106</w:t>
                  </w:r>
                </w:p>
              </w:tc>
              <w:tc>
                <w:tcPr>
                  <w:tcW w:w="3320" w:type="dxa"/>
                  <w:vAlign w:val="center"/>
                </w:tcPr>
                <w:p>
                  <w:pPr>
                    <w:pStyle w:val="29"/>
                    <w:spacing w:before="0" w:line="240" w:lineRule="auto"/>
                    <w:jc w:val="center"/>
                    <w:rPr>
                      <w:rFonts w:hint="default" w:ascii="Times New Roman" w:eastAsia="宋体"/>
                      <w:color w:val="auto"/>
                      <w:szCs w:val="21"/>
                      <w:lang w:val="en-US" w:eastAsia="zh-CN"/>
                    </w:rPr>
                  </w:pPr>
                  <w:r>
                    <w:rPr>
                      <w:rFonts w:hint="eastAsia" w:ascii="Times New Roman"/>
                      <w:color w:val="auto"/>
                      <w:szCs w:val="21"/>
                      <w:lang w:val="en-US" w:eastAsia="zh-CN"/>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60" w:type="dxa"/>
                  <w:vMerge w:val="continue"/>
                  <w:vAlign w:val="center"/>
                </w:tcPr>
                <w:p>
                  <w:pPr>
                    <w:pStyle w:val="29"/>
                    <w:spacing w:before="0" w:line="240" w:lineRule="auto"/>
                    <w:jc w:val="center"/>
                    <w:rPr>
                      <w:rFonts w:ascii="Times New Roman"/>
                      <w:color w:val="auto"/>
                      <w:szCs w:val="21"/>
                    </w:rPr>
                  </w:pPr>
                </w:p>
              </w:tc>
              <w:tc>
                <w:tcPr>
                  <w:tcW w:w="1770" w:type="dxa"/>
                  <w:vAlign w:val="center"/>
                </w:tcPr>
                <w:p>
                  <w:pPr>
                    <w:jc w:val="center"/>
                    <w:rPr>
                      <w:color w:val="auto"/>
                    </w:rPr>
                  </w:pPr>
                  <w:r>
                    <w:rPr>
                      <w:rFonts w:hint="eastAsia"/>
                      <w:color w:val="auto"/>
                      <w:kern w:val="0"/>
                      <w:szCs w:val="21"/>
                    </w:rPr>
                    <w:t>VOCs</w:t>
                  </w:r>
                </w:p>
              </w:tc>
              <w:tc>
                <w:tcPr>
                  <w:tcW w:w="1662" w:type="dxa"/>
                  <w:vAlign w:val="center"/>
                </w:tcPr>
                <w:p>
                  <w:pPr>
                    <w:jc w:val="center"/>
                    <w:rPr>
                      <w:rFonts w:hint="default" w:eastAsia="宋体"/>
                      <w:color w:val="auto"/>
                      <w:szCs w:val="21"/>
                      <w:lang w:val="en-US" w:eastAsia="zh-CN"/>
                    </w:rPr>
                  </w:pPr>
                  <w:r>
                    <w:rPr>
                      <w:rFonts w:hint="eastAsia"/>
                      <w:color w:val="auto"/>
                      <w:szCs w:val="21"/>
                      <w:lang w:val="en-US" w:eastAsia="zh-CN"/>
                    </w:rPr>
                    <w:t>5.413</w:t>
                  </w:r>
                </w:p>
              </w:tc>
              <w:tc>
                <w:tcPr>
                  <w:tcW w:w="3320" w:type="dxa"/>
                  <w:vAlign w:val="center"/>
                </w:tcPr>
                <w:p>
                  <w:pPr>
                    <w:pStyle w:val="29"/>
                    <w:spacing w:before="0" w:line="240" w:lineRule="auto"/>
                    <w:jc w:val="center"/>
                    <w:rPr>
                      <w:rFonts w:ascii="Times New Roman"/>
                      <w:color w:val="auto"/>
                      <w:szCs w:val="21"/>
                    </w:rPr>
                  </w:pPr>
                  <w:r>
                    <w:rPr>
                      <w:rFonts w:ascii="Times New Roman"/>
                      <w:color w:val="auto"/>
                      <w:szCs w:val="21"/>
                    </w:rPr>
                    <w:t>50</w:t>
                  </w:r>
                </w:p>
              </w:tc>
            </w:tr>
          </w:tbl>
          <w:p>
            <w:pPr>
              <w:spacing w:line="360" w:lineRule="auto"/>
              <w:ind w:firstLine="480" w:firstLineChars="200"/>
              <w:rPr>
                <w:color w:val="auto"/>
                <w:sz w:val="24"/>
              </w:rPr>
            </w:pPr>
            <w:r>
              <w:rPr>
                <w:color w:val="auto"/>
                <w:sz w:val="24"/>
              </w:rPr>
              <w:t>综上所述，根据《制定地方大气污染物排放标准的技术方法》（GB/T3840-1991）中的规定，</w:t>
            </w:r>
            <w:r>
              <w:rPr>
                <w:rFonts w:hint="eastAsia"/>
                <w:color w:val="auto"/>
                <w:sz w:val="24"/>
              </w:rPr>
              <w:t>提级后</w:t>
            </w:r>
            <w:r>
              <w:rPr>
                <w:color w:val="auto"/>
                <w:sz w:val="24"/>
              </w:rPr>
              <w:t>本项目卫生防护距离</w:t>
            </w:r>
            <w:r>
              <w:rPr>
                <w:rFonts w:hint="eastAsia"/>
                <w:color w:val="auto"/>
                <w:sz w:val="24"/>
              </w:rPr>
              <w:t>以车间内生产线为边界</w:t>
            </w:r>
            <w:r>
              <w:rPr>
                <w:color w:val="auto"/>
                <w:sz w:val="24"/>
              </w:rPr>
              <w:t>外延</w:t>
            </w:r>
            <w:r>
              <w:rPr>
                <w:rFonts w:hint="eastAsia"/>
                <w:color w:val="auto"/>
                <w:sz w:val="24"/>
                <w:lang w:val="en-US" w:eastAsia="zh-CN"/>
              </w:rPr>
              <w:t>100</w:t>
            </w:r>
            <w:r>
              <w:rPr>
                <w:color w:val="auto"/>
                <w:sz w:val="24"/>
              </w:rPr>
              <w:t>m。</w:t>
            </w:r>
          </w:p>
          <w:p>
            <w:pPr>
              <w:spacing w:line="360" w:lineRule="auto"/>
              <w:ind w:firstLine="480" w:firstLineChars="200"/>
              <w:rPr>
                <w:color w:val="auto"/>
                <w:sz w:val="24"/>
              </w:rPr>
            </w:pPr>
            <w:r>
              <w:rPr>
                <w:color w:val="auto"/>
                <w:sz w:val="24"/>
              </w:rPr>
              <w:t>目前该卫生防护距离内无敏感点，同时要求未来不得在本项目卫生防护距离内新建居民住宅、医院、学校等敏感点。具体项目卫生防护距离</w:t>
            </w:r>
            <w:r>
              <w:rPr>
                <w:rFonts w:hint="eastAsia"/>
                <w:color w:val="auto"/>
                <w:sz w:val="24"/>
              </w:rPr>
              <w:t>包络线</w:t>
            </w:r>
            <w:r>
              <w:rPr>
                <w:color w:val="auto"/>
                <w:sz w:val="24"/>
              </w:rPr>
              <w:t>见图</w:t>
            </w:r>
            <w:r>
              <w:rPr>
                <w:rFonts w:hint="eastAsia"/>
                <w:color w:val="auto"/>
                <w:sz w:val="24"/>
              </w:rPr>
              <w:t>2</w:t>
            </w:r>
            <w:r>
              <w:rPr>
                <w:color w:val="auto"/>
                <w:sz w:val="24"/>
              </w:rPr>
              <w:t>周围概况图。</w:t>
            </w:r>
          </w:p>
          <w:p>
            <w:pPr>
              <w:spacing w:line="360" w:lineRule="auto"/>
              <w:ind w:firstLine="480" w:firstLineChars="200"/>
              <w:rPr>
                <w:color w:val="auto"/>
                <w:sz w:val="24"/>
              </w:rPr>
            </w:pPr>
            <w:r>
              <w:rPr>
                <w:color w:val="auto"/>
                <w:sz w:val="24"/>
              </w:rPr>
              <w:t>综上，本项目对大气环境影响较小。</w:t>
            </w:r>
          </w:p>
          <w:p>
            <w:pPr>
              <w:spacing w:line="360" w:lineRule="auto"/>
              <w:ind w:firstLine="480" w:firstLineChars="200"/>
              <w:rPr>
                <w:rFonts w:ascii="宋体" w:hAnsi="宋体" w:cs="宋体"/>
                <w:bCs/>
                <w:color w:val="auto"/>
                <w:sz w:val="24"/>
                <w:szCs w:val="24"/>
              </w:rPr>
            </w:pPr>
            <w:r>
              <w:rPr>
                <w:rStyle w:val="75"/>
                <w:rFonts w:hint="eastAsia"/>
                <w:bCs/>
                <w:color w:val="auto"/>
                <w:sz w:val="24"/>
                <w:szCs w:val="24"/>
                <w:lang w:eastAsia="zh-CN"/>
              </w:rPr>
              <w:t>（</w:t>
            </w:r>
            <w:r>
              <w:rPr>
                <w:rStyle w:val="75"/>
                <w:rFonts w:hint="eastAsia"/>
                <w:bCs/>
                <w:color w:val="auto"/>
                <w:sz w:val="24"/>
                <w:szCs w:val="24"/>
                <w:lang w:val="en-US" w:eastAsia="zh-CN"/>
              </w:rPr>
              <w:t>6</w:t>
            </w:r>
            <w:r>
              <w:rPr>
                <w:rStyle w:val="75"/>
                <w:rFonts w:hint="eastAsia"/>
                <w:bCs/>
                <w:color w:val="auto"/>
                <w:sz w:val="24"/>
                <w:szCs w:val="24"/>
                <w:lang w:eastAsia="zh-CN"/>
              </w:rPr>
              <w:t>）</w:t>
            </w:r>
            <w:r>
              <w:rPr>
                <w:rFonts w:hint="eastAsia" w:ascii="宋体" w:hAnsi="宋体" w:cs="宋体"/>
                <w:bCs/>
                <w:color w:val="auto"/>
                <w:sz w:val="24"/>
                <w:szCs w:val="24"/>
              </w:rPr>
              <w:t>异味环境影响分析</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 xml:space="preserve"> 建设项目</w:t>
            </w:r>
            <w:r>
              <w:rPr>
                <w:rFonts w:hint="eastAsia" w:ascii="Times New Roman" w:hAnsi="Times New Roman"/>
                <w:bCs/>
                <w:color w:val="auto"/>
                <w:sz w:val="24"/>
                <w:szCs w:val="24"/>
                <w:lang w:eastAsia="zh-CN"/>
              </w:rPr>
              <w:t>喷漆</w:t>
            </w:r>
            <w:r>
              <w:rPr>
                <w:rFonts w:hint="eastAsia" w:ascii="Times New Roman" w:hAnsi="Times New Roman"/>
                <w:bCs/>
                <w:color w:val="auto"/>
                <w:sz w:val="24"/>
                <w:szCs w:val="24"/>
              </w:rPr>
              <w:t>时所产生的VOCs具有异味，其主要危害为：</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lang w:val="en-US" w:eastAsia="zh-CN"/>
              </w:rPr>
              <w:t>A</w:t>
            </w:r>
            <w:r>
              <w:rPr>
                <w:rFonts w:hint="eastAsia" w:ascii="Times New Roman" w:hAnsi="Times New Roman"/>
                <w:bCs/>
                <w:color w:val="auto"/>
                <w:sz w:val="24"/>
                <w:szCs w:val="24"/>
              </w:rPr>
              <w:t>异味危害主要有以下几个方面：</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①危害呼吸系统。人们突然闻到异味，就会产生反射性的抑制吸气，是呼吸次数减少，深度变浅，甚至会暂时停止呼吸，妨碍正常呼吸功能。</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②危害循环系统。随着呼吸的变化，会出现脉搏和血压的变化。如乙酸乙酯等刺激性异味气体会使血压出现先下降后上升，脉搏先减慢后加快的现象。</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③危害消化系统。经常接触异味，会使人厌食，恶心，甚至呕吐，进而发展为消化功能减退。</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④危害内分泌系统。经常受异味刺激，会使内分泌系统的分泌功能紊乱，影响机体的代谢活动。</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rPr>
              <w:t>⑤危害神经系统。长期受到一种或几种低浓度异味物质的刺激，会引起嗅觉脱失、嗅觉疲劳等障碍。“久闻而不知其臭”，使嗅觉丧失了第一道防御功能，但脑神经仍不断收到刺激和损伤，最后导致大脑皮层兴奋和抑制的调节失调。</w:t>
            </w:r>
          </w:p>
          <w:p>
            <w:pPr>
              <w:pStyle w:val="29"/>
              <w:spacing w:before="0" w:line="360" w:lineRule="auto"/>
              <w:ind w:firstLine="472" w:firstLineChars="200"/>
              <w:rPr>
                <w:rFonts w:ascii="Times New Roman" w:hAnsi="Times New Roman"/>
                <w:bCs/>
                <w:color w:val="auto"/>
                <w:sz w:val="24"/>
                <w:szCs w:val="24"/>
              </w:rPr>
            </w:pPr>
            <w:r>
              <w:rPr>
                <w:rFonts w:hint="eastAsia" w:ascii="Times New Roman" w:hAnsi="Times New Roman"/>
                <w:bCs/>
                <w:color w:val="auto"/>
                <w:sz w:val="24"/>
                <w:szCs w:val="24"/>
                <w:lang w:val="en-US" w:eastAsia="zh-CN"/>
              </w:rPr>
              <w:t>B</w:t>
            </w:r>
            <w:r>
              <w:rPr>
                <w:rFonts w:hint="eastAsia" w:ascii="Times New Roman" w:hAnsi="Times New Roman"/>
                <w:bCs/>
                <w:color w:val="auto"/>
                <w:sz w:val="24"/>
                <w:szCs w:val="24"/>
              </w:rPr>
              <w:t>异味影响分析</w:t>
            </w:r>
          </w:p>
          <w:p>
            <w:pPr>
              <w:spacing w:line="360" w:lineRule="auto"/>
              <w:ind w:firstLine="480" w:firstLineChars="200"/>
              <w:rPr>
                <w:rFonts w:hint="eastAsia" w:ascii="Times New Roman" w:hAnsi="Times New Roman"/>
                <w:bCs/>
                <w:color w:val="auto"/>
                <w:sz w:val="24"/>
                <w:szCs w:val="24"/>
              </w:rPr>
            </w:pPr>
            <w:r>
              <w:rPr>
                <w:rFonts w:hint="eastAsia" w:ascii="Times New Roman" w:hAnsi="Times New Roman"/>
                <w:bCs/>
                <w:color w:val="auto"/>
                <w:sz w:val="24"/>
                <w:szCs w:val="24"/>
              </w:rPr>
              <w:t>在国际上，通常根据嗅觉判别标准，将臭气强度划分为6级，见下表</w:t>
            </w:r>
          </w:p>
          <w:p>
            <w:pPr>
              <w:spacing w:line="240" w:lineRule="auto"/>
              <w:ind w:firstLine="0" w:firstLineChars="0"/>
              <w:jc w:val="center"/>
              <w:rPr>
                <w:rFonts w:hint="default" w:ascii="Times New Roman" w:hAnsi="Times New Roman" w:eastAsia="宋体" w:cs="Times New Roman"/>
                <w:b/>
                <w:bCs w:val="0"/>
                <w:color w:val="auto"/>
                <w:sz w:val="21"/>
                <w:szCs w:val="21"/>
                <w:highlight w:val="none"/>
              </w:rPr>
            </w:pPr>
            <w:r>
              <w:rPr>
                <w:rFonts w:hint="default" w:ascii="Times New Roman" w:hAnsi="Times New Roman" w:eastAsia="宋体" w:cs="Times New Roman"/>
                <w:b/>
                <w:bCs w:val="0"/>
                <w:color w:val="auto"/>
                <w:sz w:val="21"/>
                <w:szCs w:val="21"/>
                <w:highlight w:val="none"/>
              </w:rPr>
              <w:t>表</w:t>
            </w:r>
            <w:r>
              <w:rPr>
                <w:rFonts w:hint="eastAsia" w:ascii="Times New Roman" w:hAnsi="Times New Roman" w:eastAsia="宋体" w:cs="Times New Roman"/>
                <w:b/>
                <w:bCs w:val="0"/>
                <w:color w:val="auto"/>
                <w:sz w:val="21"/>
                <w:szCs w:val="21"/>
                <w:highlight w:val="none"/>
                <w:lang w:val="en-US" w:eastAsia="zh-CN"/>
              </w:rPr>
              <w:t>7-1</w:t>
            </w:r>
            <w:r>
              <w:rPr>
                <w:rFonts w:hint="eastAsia" w:cs="Times New Roman"/>
                <w:b/>
                <w:bCs w:val="0"/>
                <w:color w:val="auto"/>
                <w:sz w:val="21"/>
                <w:szCs w:val="21"/>
                <w:highlight w:val="none"/>
                <w:lang w:val="en-US" w:eastAsia="zh-CN"/>
              </w:rPr>
              <w:t>5</w:t>
            </w:r>
            <w:r>
              <w:rPr>
                <w:rFonts w:hint="default" w:ascii="Times New Roman" w:hAnsi="Times New Roman" w:eastAsia="宋体"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rPr>
              <w:t xml:space="preserve"> </w:t>
            </w:r>
            <w:r>
              <w:rPr>
                <w:rFonts w:hint="eastAsia" w:ascii="Times New Roman" w:hAnsi="Times New Roman" w:eastAsia="宋体" w:cs="Times New Roman"/>
                <w:b/>
                <w:bCs w:val="0"/>
                <w:color w:val="auto"/>
                <w:sz w:val="21"/>
                <w:szCs w:val="21"/>
                <w:highlight w:val="none"/>
                <w:lang w:eastAsia="zh-CN"/>
              </w:rPr>
              <w:t>臭气</w:t>
            </w:r>
            <w:r>
              <w:rPr>
                <w:rFonts w:hint="default" w:ascii="Times New Roman" w:hAnsi="Times New Roman" w:eastAsia="宋体" w:cs="Times New Roman"/>
                <w:b/>
                <w:bCs w:val="0"/>
                <w:color w:val="auto"/>
                <w:sz w:val="21"/>
                <w:szCs w:val="21"/>
                <w:highlight w:val="none"/>
              </w:rPr>
              <w:t>强度分级法</w:t>
            </w:r>
          </w:p>
          <w:tbl>
            <w:tblPr>
              <w:tblStyle w:val="56"/>
              <w:tblW w:w="0" w:type="auto"/>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112"/>
              <w:gridCol w:w="3855"/>
              <w:gridCol w:w="370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eastAsia" w:ascii="Times New Roman" w:hAnsi="Times New Roman" w:eastAsia="宋体" w:cs="Times New Roman"/>
                      <w:b/>
                      <w:bCs w:val="0"/>
                      <w:color w:val="auto"/>
                      <w:sz w:val="21"/>
                      <w:szCs w:val="21"/>
                      <w:highlight w:val="none"/>
                      <w:lang w:eastAsia="zh-CN"/>
                    </w:rPr>
                  </w:pPr>
                  <w:r>
                    <w:rPr>
                      <w:rFonts w:hint="default" w:ascii="Times New Roman" w:hAnsi="Times New Roman" w:eastAsia="宋体" w:cs="Times New Roman"/>
                      <w:b/>
                      <w:bCs w:val="0"/>
                      <w:color w:val="auto"/>
                      <w:sz w:val="21"/>
                      <w:szCs w:val="21"/>
                      <w:highlight w:val="none"/>
                    </w:rPr>
                    <w:t>强度</w:t>
                  </w:r>
                  <w:r>
                    <w:rPr>
                      <w:rFonts w:hint="eastAsia" w:ascii="Times New Roman" w:hAnsi="Times New Roman" w:eastAsia="宋体" w:cs="Times New Roman"/>
                      <w:b/>
                      <w:bCs w:val="0"/>
                      <w:color w:val="auto"/>
                      <w:sz w:val="21"/>
                      <w:szCs w:val="21"/>
                      <w:highlight w:val="none"/>
                      <w:lang w:eastAsia="zh-CN"/>
                    </w:rPr>
                    <w:t>等级</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b/>
                      <w:bCs w:val="0"/>
                      <w:color w:val="auto"/>
                      <w:sz w:val="21"/>
                      <w:szCs w:val="21"/>
                      <w:highlight w:val="none"/>
                    </w:rPr>
                  </w:pPr>
                  <w:r>
                    <w:rPr>
                      <w:rFonts w:hint="eastAsia"/>
                      <w:b/>
                      <w:bCs w:val="0"/>
                      <w:color w:val="auto"/>
                    </w:rPr>
                    <w:t>嗅觉判别标准</w:t>
                  </w:r>
                </w:p>
              </w:tc>
              <w:tc>
                <w:tcPr>
                  <w:tcW w:w="3700"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臭气浓度（无量纲）</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无气味</w:t>
                  </w:r>
                </w:p>
              </w:tc>
              <w:tc>
                <w:tcPr>
                  <w:tcW w:w="3700" w:type="dxa"/>
                  <w:tcBorders>
                    <w:tl2br w:val="nil"/>
                    <w:tr2bl w:val="nil"/>
                  </w:tcBorders>
                  <w:noWrap w:val="0"/>
                  <w:vAlign w:val="center"/>
                </w:tcPr>
                <w:p>
                  <w:pPr>
                    <w:spacing w:line="360" w:lineRule="auto"/>
                    <w:ind w:firstLine="480" w:firstLineChars="200"/>
                    <w:jc w:val="center"/>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勉强能感觉到气味（感觉阈值）</w:t>
                  </w:r>
                </w:p>
              </w:tc>
              <w:tc>
                <w:tcPr>
                  <w:tcW w:w="3700" w:type="dxa"/>
                  <w:tcBorders>
                    <w:tl2br w:val="nil"/>
                    <w:tr2bl w:val="nil"/>
                  </w:tcBorders>
                  <w:noWrap w:val="0"/>
                  <w:vAlign w:val="center"/>
                </w:tcPr>
                <w:p>
                  <w:pPr>
                    <w:spacing w:line="360" w:lineRule="auto"/>
                    <w:ind w:firstLine="480" w:firstLineChars="200"/>
                    <w:jc w:val="center"/>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气味很弱但能分辨其性质（识别阈值）</w:t>
                  </w:r>
                </w:p>
              </w:tc>
              <w:tc>
                <w:tcPr>
                  <w:tcW w:w="3700" w:type="dxa"/>
                  <w:tcBorders>
                    <w:tl2br w:val="nil"/>
                    <w:tr2bl w:val="nil"/>
                  </w:tcBorders>
                  <w:noWrap w:val="0"/>
                  <w:vAlign w:val="center"/>
                </w:tcPr>
                <w:p>
                  <w:pPr>
                    <w:spacing w:line="360" w:lineRule="auto"/>
                    <w:ind w:firstLine="480" w:firstLineChars="200"/>
                    <w:jc w:val="center"/>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很容易感觉到气味</w:t>
                  </w:r>
                </w:p>
              </w:tc>
              <w:tc>
                <w:tcPr>
                  <w:tcW w:w="3700" w:type="dxa"/>
                  <w:tcBorders>
                    <w:tl2br w:val="nil"/>
                    <w:tr2bl w:val="nil"/>
                  </w:tcBorders>
                  <w:noWrap w:val="0"/>
                  <w:vAlign w:val="center"/>
                </w:tcPr>
                <w:p>
                  <w:pPr>
                    <w:spacing w:line="360" w:lineRule="auto"/>
                    <w:ind w:firstLine="480" w:firstLineChars="200"/>
                    <w:jc w:val="center"/>
                    <w:rPr>
                      <w:rFonts w:hint="default"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10~30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强烈的气味</w:t>
                  </w:r>
                </w:p>
              </w:tc>
              <w:tc>
                <w:tcPr>
                  <w:tcW w:w="3700" w:type="dxa"/>
                  <w:tcBorders>
                    <w:tl2br w:val="nil"/>
                    <w:tr2bl w:val="nil"/>
                  </w:tcBorders>
                  <w:noWrap w:val="0"/>
                  <w:vAlign w:val="center"/>
                </w:tcPr>
                <w:p>
                  <w:pPr>
                    <w:spacing w:line="360" w:lineRule="auto"/>
                    <w:ind w:firstLine="480" w:firstLineChars="200"/>
                    <w:jc w:val="center"/>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12"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w:t>
                  </w:r>
                </w:p>
              </w:tc>
              <w:tc>
                <w:tcPr>
                  <w:tcW w:w="3855" w:type="dxa"/>
                  <w:tcBorders>
                    <w:tl2br w:val="nil"/>
                    <w:tr2bl w:val="nil"/>
                  </w:tcBorders>
                  <w:noWrap w:val="0"/>
                  <w:vAlign w:val="center"/>
                </w:tcPr>
                <w:p>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无法忍受的极强气味</w:t>
                  </w:r>
                </w:p>
              </w:tc>
              <w:tc>
                <w:tcPr>
                  <w:tcW w:w="3700" w:type="dxa"/>
                  <w:tcBorders>
                    <w:tl2br w:val="nil"/>
                    <w:tr2bl w:val="nil"/>
                  </w:tcBorders>
                  <w:noWrap w:val="0"/>
                  <w:vAlign w:val="center"/>
                </w:tcPr>
                <w:p>
                  <w:pPr>
                    <w:spacing w:line="360" w:lineRule="auto"/>
                    <w:ind w:firstLine="480" w:firstLineChars="200"/>
                    <w:jc w:val="center"/>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w:t>
                  </w:r>
                </w:p>
              </w:tc>
            </w:tr>
          </w:tbl>
          <w:p>
            <w:pPr>
              <w:adjustRightInd w:val="0"/>
              <w:snapToGrid w:val="0"/>
              <w:spacing w:before="157" w:beforeLines="50" w:afterLines="0" w:line="360" w:lineRule="auto"/>
              <w:ind w:firstLine="480" w:firstLineChars="200"/>
              <w:rPr>
                <w:rFonts w:hint="default" w:ascii="Times New Roman" w:hAnsi="Times New Roman" w:eastAsia="宋体"/>
                <w:color w:val="auto"/>
                <w:sz w:val="24"/>
              </w:rPr>
            </w:pPr>
            <w:r>
              <w:rPr>
                <w:rFonts w:hint="eastAsia" w:ascii="Times New Roman" w:hAnsi="Times New Roman"/>
                <w:bCs/>
                <w:color w:val="auto"/>
                <w:sz w:val="24"/>
                <w:szCs w:val="24"/>
              </w:rPr>
              <w:t>本项目主要恶臭物质为丙烯酸</w:t>
            </w:r>
            <w:r>
              <w:rPr>
                <w:rFonts w:hint="eastAsia"/>
                <w:bCs/>
                <w:color w:val="auto"/>
                <w:sz w:val="24"/>
                <w:szCs w:val="24"/>
                <w:lang w:eastAsia="zh-CN"/>
              </w:rPr>
              <w:t>乳液</w:t>
            </w:r>
            <w:r>
              <w:rPr>
                <w:rFonts w:hint="eastAsia"/>
                <w:bCs/>
                <w:color w:val="auto"/>
                <w:sz w:val="24"/>
                <w:szCs w:val="24"/>
                <w:lang w:val="en-US" w:eastAsia="zh-CN"/>
              </w:rPr>
              <w:t>和异丙醇</w:t>
            </w:r>
            <w:r>
              <w:rPr>
                <w:rFonts w:hint="eastAsia" w:ascii="Times New Roman" w:hAnsi="Times New Roman"/>
                <w:bCs/>
                <w:color w:val="auto"/>
                <w:sz w:val="24"/>
                <w:szCs w:val="24"/>
              </w:rPr>
              <w:t>，丙烯酸的嗅觉域浓度为0.094pp</w:t>
            </w:r>
            <w:r>
              <w:rPr>
                <w:rFonts w:hint="eastAsia"/>
                <w:bCs/>
                <w:color w:val="auto"/>
                <w:sz w:val="24"/>
                <w:szCs w:val="24"/>
                <w:lang w:val="en-US" w:eastAsia="zh-CN"/>
              </w:rPr>
              <w:t>m</w:t>
            </w:r>
            <w:r>
              <w:rPr>
                <w:rFonts w:hint="eastAsia" w:ascii="Times New Roman" w:hAnsi="Times New Roman"/>
                <w:bCs/>
                <w:color w:val="auto"/>
                <w:sz w:val="24"/>
                <w:szCs w:val="24"/>
              </w:rPr>
              <w:t>（0.3mg/m</w:t>
            </w:r>
            <w:r>
              <w:rPr>
                <w:rFonts w:hint="eastAsia" w:ascii="Times New Roman" w:hAnsi="Times New Roman"/>
                <w:bCs/>
                <w:color w:val="auto"/>
                <w:sz w:val="24"/>
                <w:szCs w:val="24"/>
                <w:vertAlign w:val="superscript"/>
              </w:rPr>
              <w:t>3</w:t>
            </w:r>
            <w:r>
              <w:rPr>
                <w:rFonts w:hint="eastAsia" w:ascii="Times New Roman" w:hAnsi="Times New Roman"/>
                <w:bCs/>
                <w:color w:val="auto"/>
                <w:sz w:val="24"/>
                <w:szCs w:val="24"/>
              </w:rPr>
              <w:t>）</w:t>
            </w:r>
            <w:r>
              <w:rPr>
                <w:rFonts w:hint="eastAsia"/>
                <w:bCs/>
                <w:color w:val="auto"/>
                <w:sz w:val="24"/>
                <w:szCs w:val="24"/>
                <w:lang w:eastAsia="zh-CN"/>
              </w:rPr>
              <w:t>，</w:t>
            </w:r>
            <w:r>
              <w:rPr>
                <w:rFonts w:hint="eastAsia" w:ascii="Times New Roman" w:hAnsi="Times New Roman" w:eastAsia="宋体"/>
                <w:color w:val="auto"/>
                <w:sz w:val="24"/>
                <w:lang w:eastAsia="zh-CN"/>
              </w:rPr>
              <w:t>异丙醇</w:t>
            </w:r>
            <w:r>
              <w:rPr>
                <w:rFonts w:hint="eastAsia" w:ascii="Times New Roman" w:hAnsi="Times New Roman" w:eastAsia="宋体"/>
                <w:color w:val="auto"/>
                <w:sz w:val="24"/>
              </w:rPr>
              <w:t>的嗅觉域浓度为0.</w:t>
            </w:r>
            <w:r>
              <w:rPr>
                <w:rFonts w:hint="eastAsia" w:ascii="Times New Roman" w:hAnsi="Times New Roman" w:eastAsia="宋体"/>
                <w:color w:val="auto"/>
                <w:sz w:val="24"/>
                <w:lang w:val="en-US" w:eastAsia="zh-CN"/>
              </w:rPr>
              <w:t>442</w:t>
            </w:r>
            <w:r>
              <w:rPr>
                <w:rFonts w:hint="eastAsia" w:ascii="Times New Roman" w:hAnsi="Times New Roman" w:eastAsia="宋体"/>
                <w:color w:val="auto"/>
                <w:sz w:val="24"/>
              </w:rPr>
              <w:t>ppm（0.</w:t>
            </w:r>
            <w:r>
              <w:rPr>
                <w:rFonts w:hint="eastAsia" w:ascii="Times New Roman" w:hAnsi="Times New Roman" w:eastAsia="宋体"/>
                <w:color w:val="auto"/>
                <w:sz w:val="24"/>
                <w:lang w:val="en-US" w:eastAsia="zh-CN"/>
              </w:rPr>
              <w:t>54</w:t>
            </w:r>
            <w:r>
              <w:rPr>
                <w:rFonts w:hint="eastAsia" w:ascii="Times New Roman" w:hAnsi="Times New Roman" w:eastAsia="宋体"/>
                <w:color w:val="auto"/>
                <w:sz w:val="24"/>
              </w:rPr>
              <w:t>mg/m</w:t>
            </w:r>
            <w:r>
              <w:rPr>
                <w:rFonts w:hint="eastAsia" w:ascii="Times New Roman" w:hAnsi="Times New Roman" w:eastAsia="宋体"/>
                <w:color w:val="auto"/>
                <w:sz w:val="24"/>
                <w:vertAlign w:val="superscript"/>
              </w:rPr>
              <w:t>3</w:t>
            </w:r>
            <w:r>
              <w:rPr>
                <w:rFonts w:hint="eastAsia" w:ascii="Times New Roman" w:hAnsi="Times New Roman" w:eastAsia="宋体"/>
                <w:color w:val="auto"/>
                <w:sz w:val="24"/>
              </w:rPr>
              <w:t>）</w:t>
            </w:r>
            <w:r>
              <w:rPr>
                <w:rFonts w:hint="eastAsia" w:ascii="Times New Roman" w:hAnsi="Times New Roman"/>
                <w:bCs/>
                <w:color w:val="auto"/>
                <w:sz w:val="24"/>
                <w:szCs w:val="24"/>
              </w:rPr>
              <w:t>。臭气浓度为人工嗅觉指标</w:t>
            </w:r>
            <w:r>
              <w:rPr>
                <w:rFonts w:hint="eastAsia"/>
                <w:bCs/>
                <w:color w:val="auto"/>
                <w:sz w:val="24"/>
                <w:szCs w:val="24"/>
                <w:lang w:eastAsia="zh-CN"/>
              </w:rPr>
              <w:t>。</w:t>
            </w:r>
            <w:r>
              <w:rPr>
                <w:rFonts w:hint="eastAsia" w:ascii="Times New Roman" w:hAnsi="Times New Roman"/>
                <w:bCs/>
                <w:color w:val="auto"/>
                <w:sz w:val="24"/>
                <w:szCs w:val="24"/>
              </w:rPr>
              <w:t>根据影响预测结果，</w:t>
            </w:r>
            <w:r>
              <w:rPr>
                <w:rFonts w:hint="eastAsia"/>
                <w:bCs/>
                <w:color w:val="auto"/>
                <w:sz w:val="24"/>
                <w:szCs w:val="24"/>
                <w:lang w:val="en-US" w:eastAsia="zh-CN"/>
              </w:rPr>
              <w:t>VOCs</w:t>
            </w:r>
            <w:r>
              <w:rPr>
                <w:rFonts w:hint="eastAsia" w:ascii="Times New Roman" w:hAnsi="Times New Roman"/>
                <w:bCs/>
                <w:color w:val="auto"/>
                <w:sz w:val="24"/>
                <w:szCs w:val="24"/>
              </w:rPr>
              <w:t>最大落地浓度基本小于0.3mg/m</w:t>
            </w:r>
            <w:r>
              <w:rPr>
                <w:rFonts w:hint="eastAsia" w:ascii="Times New Roman" w:hAnsi="Times New Roman"/>
                <w:bCs/>
                <w:color w:val="auto"/>
                <w:sz w:val="24"/>
                <w:szCs w:val="24"/>
                <w:vertAlign w:val="superscript"/>
              </w:rPr>
              <w:t>3</w:t>
            </w:r>
            <w:r>
              <w:rPr>
                <w:rFonts w:hint="eastAsia" w:ascii="Times New Roman" w:hAnsi="Times New Roman"/>
                <w:bCs/>
                <w:color w:val="auto"/>
                <w:sz w:val="24"/>
                <w:szCs w:val="24"/>
              </w:rPr>
              <w:t>，异味污染物（VOCs）正常排放情况下对周围环境均无明显影响，到达厂界浓度均远小于各自的嗅阈值，但仍应加强污染控制管理，减少不正常排放情况的发生，异味污染是可以得到控制的。</w:t>
            </w:r>
          </w:p>
          <w:p>
            <w:pPr>
              <w:spacing w:line="360" w:lineRule="auto"/>
              <w:ind w:firstLine="480" w:firstLineChars="200"/>
              <w:rPr>
                <w:rFonts w:hint="eastAsia" w:eastAsia="宋体"/>
                <w:b/>
                <w:color w:val="auto"/>
                <w:sz w:val="24"/>
                <w:lang w:eastAsia="zh-CN"/>
              </w:rPr>
            </w:pPr>
            <w:r>
              <w:rPr>
                <w:rFonts w:hint="eastAsia"/>
                <w:b/>
                <w:color w:val="auto"/>
                <w:sz w:val="24"/>
                <w:lang w:eastAsia="zh-CN"/>
              </w:rPr>
              <w:t>（</w:t>
            </w:r>
            <w:r>
              <w:rPr>
                <w:rFonts w:hint="eastAsia"/>
                <w:b/>
                <w:color w:val="auto"/>
                <w:sz w:val="24"/>
                <w:lang w:val="en-US" w:eastAsia="zh-CN"/>
              </w:rPr>
              <w:t>7</w:t>
            </w:r>
            <w:r>
              <w:rPr>
                <w:rFonts w:hint="eastAsia"/>
                <w:b/>
                <w:color w:val="auto"/>
                <w:sz w:val="24"/>
                <w:lang w:eastAsia="zh-CN"/>
              </w:rPr>
              <w:t>）环境保护目标影响分析</w:t>
            </w:r>
          </w:p>
          <w:p>
            <w:pPr>
              <w:spacing w:line="360" w:lineRule="auto"/>
              <w:ind w:firstLine="480" w:firstLineChars="200"/>
              <w:rPr>
                <w:rFonts w:hint="eastAsia"/>
                <w:b w:val="0"/>
                <w:bCs/>
                <w:color w:val="auto"/>
                <w:sz w:val="24"/>
              </w:rPr>
            </w:pPr>
            <w:r>
              <w:rPr>
                <w:rFonts w:hint="eastAsia"/>
                <w:b w:val="0"/>
                <w:bCs/>
                <w:color w:val="auto"/>
                <w:sz w:val="24"/>
              </w:rPr>
              <w:t>本项目最近环境保护目标为项目东</w:t>
            </w:r>
            <w:r>
              <w:rPr>
                <w:rFonts w:hint="eastAsia"/>
                <w:b w:val="0"/>
                <w:bCs/>
                <w:color w:val="auto"/>
                <w:sz w:val="24"/>
                <w:lang w:eastAsia="zh-CN"/>
              </w:rPr>
              <w:t>北</w:t>
            </w:r>
            <w:r>
              <w:rPr>
                <w:rFonts w:hint="eastAsia"/>
                <w:b w:val="0"/>
                <w:bCs/>
                <w:color w:val="auto"/>
                <w:sz w:val="24"/>
              </w:rPr>
              <w:t>侧</w:t>
            </w:r>
            <w:r>
              <w:rPr>
                <w:rFonts w:hint="eastAsia" w:ascii="Times New Roman" w:hAnsi="Times New Roman" w:eastAsia="宋体" w:cs="Times New Roman"/>
                <w:b w:val="0"/>
                <w:bCs/>
                <w:color w:val="auto"/>
                <w:sz w:val="24"/>
                <w:szCs w:val="22"/>
              </w:rPr>
              <w:t>距离本项目</w:t>
            </w:r>
            <w:r>
              <w:rPr>
                <w:rFonts w:hint="eastAsia" w:cs="Times New Roman"/>
                <w:b w:val="0"/>
                <w:bCs/>
                <w:color w:val="auto"/>
                <w:sz w:val="24"/>
                <w:szCs w:val="22"/>
                <w:lang w:val="en-US" w:eastAsia="zh-CN"/>
              </w:rPr>
              <w:t>360</w:t>
            </w:r>
            <w:r>
              <w:rPr>
                <w:rFonts w:hint="eastAsia" w:ascii="Times New Roman" w:hAnsi="Times New Roman" w:eastAsia="宋体" w:cs="Times New Roman"/>
                <w:b w:val="0"/>
                <w:bCs/>
                <w:color w:val="auto"/>
                <w:sz w:val="24"/>
                <w:szCs w:val="22"/>
              </w:rPr>
              <w:t>的</w:t>
            </w:r>
            <w:r>
              <w:rPr>
                <w:rFonts w:hint="eastAsia" w:cs="Times New Roman"/>
                <w:b w:val="0"/>
                <w:bCs/>
                <w:color w:val="auto"/>
                <w:sz w:val="24"/>
                <w:szCs w:val="22"/>
                <w:lang w:eastAsia="zh-CN"/>
              </w:rPr>
              <w:t>小卞云小区</w:t>
            </w:r>
            <w:r>
              <w:rPr>
                <w:rFonts w:hint="eastAsia" w:ascii="Times New Roman" w:hAnsi="Times New Roman" w:eastAsia="宋体" w:cs="Times New Roman"/>
                <w:b w:val="0"/>
                <w:bCs/>
                <w:color w:val="auto"/>
                <w:sz w:val="24"/>
                <w:szCs w:val="22"/>
              </w:rPr>
              <w:t>，根据表 7-6</w:t>
            </w:r>
            <w:r>
              <w:rPr>
                <w:rFonts w:hint="eastAsia" w:cs="Times New Roman"/>
                <w:b w:val="0"/>
                <w:bCs/>
                <w:color w:val="auto"/>
                <w:sz w:val="24"/>
                <w:szCs w:val="22"/>
                <w:lang w:val="en-US" w:eastAsia="zh-CN"/>
              </w:rPr>
              <w:t>~7-8</w:t>
            </w:r>
            <w:r>
              <w:rPr>
                <w:rFonts w:hint="eastAsia" w:ascii="Times New Roman" w:hAnsi="Times New Roman" w:eastAsia="宋体" w:cs="Times New Roman"/>
                <w:b w:val="0"/>
                <w:bCs/>
                <w:color w:val="auto"/>
                <w:sz w:val="24"/>
                <w:szCs w:val="22"/>
              </w:rPr>
              <w:t>，有组织废气</w:t>
            </w:r>
            <w:r>
              <w:rPr>
                <w:rFonts w:hint="eastAsia" w:cs="Times New Roman"/>
                <w:b w:val="0"/>
                <w:bCs/>
                <w:color w:val="auto"/>
                <w:sz w:val="24"/>
                <w:szCs w:val="22"/>
                <w:lang w:eastAsia="zh-CN"/>
              </w:rPr>
              <w:t>颗粒物在</w:t>
            </w:r>
            <w:r>
              <w:rPr>
                <w:rFonts w:hint="eastAsia" w:cs="Times New Roman"/>
                <w:b w:val="0"/>
                <w:bCs/>
                <w:color w:val="auto"/>
                <w:sz w:val="24"/>
                <w:szCs w:val="22"/>
                <w:lang w:val="en-US" w:eastAsia="zh-CN"/>
              </w:rPr>
              <w:t>360m处的</w:t>
            </w:r>
            <w:r>
              <w:rPr>
                <w:rFonts w:hint="eastAsia" w:ascii="Times New Roman" w:hAnsi="Times New Roman" w:eastAsia="宋体" w:cs="Times New Roman"/>
                <w:b w:val="0"/>
                <w:bCs/>
                <w:color w:val="auto"/>
                <w:sz w:val="24"/>
                <w:szCs w:val="22"/>
              </w:rPr>
              <w:t>浓度值</w:t>
            </w:r>
            <w:r>
              <w:rPr>
                <w:rFonts w:hint="eastAsia" w:cs="Times New Roman"/>
                <w:b w:val="0"/>
                <w:bCs/>
                <w:color w:val="auto"/>
                <w:sz w:val="24"/>
                <w:szCs w:val="22"/>
                <w:lang w:eastAsia="zh-CN"/>
              </w:rPr>
              <w:t>为</w:t>
            </w:r>
            <w:r>
              <w:rPr>
                <w:rFonts w:hint="eastAsia" w:cs="Times New Roman"/>
                <w:b w:val="0"/>
                <w:bCs/>
                <w:color w:val="auto"/>
                <w:sz w:val="24"/>
                <w:szCs w:val="22"/>
                <w:lang w:val="en-US" w:eastAsia="zh-CN"/>
              </w:rPr>
              <w:t>8.7</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eastAsia="宋体" w:cs="Times New Roman"/>
                <w:b w:val="0"/>
                <w:bCs/>
                <w:color w:val="auto"/>
                <w:sz w:val="24"/>
                <w:szCs w:val="22"/>
                <w:lang w:eastAsia="zh-CN"/>
              </w:rPr>
              <w:t>，</w:t>
            </w:r>
            <w:r>
              <w:rPr>
                <w:rFonts w:hint="eastAsia"/>
                <w:b w:val="0"/>
                <w:bCs/>
                <w:color w:val="auto"/>
                <w:sz w:val="24"/>
              </w:rPr>
              <w:t>浓度值远远小于环境空气质量标准，即</w:t>
            </w:r>
            <w:r>
              <w:rPr>
                <w:rFonts w:hint="eastAsia"/>
                <w:b w:val="0"/>
                <w:bCs/>
                <w:color w:val="auto"/>
                <w:sz w:val="24"/>
                <w:lang w:eastAsia="zh-CN"/>
              </w:rPr>
              <w:t>颗粒物（</w:t>
            </w:r>
            <w:r>
              <w:rPr>
                <w:rFonts w:hint="eastAsia"/>
                <w:b w:val="0"/>
                <w:bCs/>
                <w:color w:val="auto"/>
                <w:sz w:val="24"/>
                <w:lang w:val="en-US" w:eastAsia="zh-CN"/>
              </w:rPr>
              <w:t>PM</w:t>
            </w:r>
            <w:r>
              <w:rPr>
                <w:rFonts w:hint="eastAsia"/>
                <w:b w:val="0"/>
                <w:bCs/>
                <w:color w:val="auto"/>
                <w:sz w:val="24"/>
                <w:vertAlign w:val="subscript"/>
                <w:lang w:val="en-US" w:eastAsia="zh-CN"/>
              </w:rPr>
              <w:t>10</w:t>
            </w:r>
            <w:r>
              <w:rPr>
                <w:rFonts w:hint="eastAsia"/>
                <w:b w:val="0"/>
                <w:bCs/>
                <w:color w:val="auto"/>
                <w:sz w:val="24"/>
                <w:lang w:eastAsia="zh-CN"/>
              </w:rPr>
              <w:t>）</w:t>
            </w:r>
            <w:r>
              <w:rPr>
                <w:rFonts w:hint="eastAsia"/>
                <w:b w:val="0"/>
                <w:bCs/>
                <w:color w:val="auto"/>
                <w:sz w:val="24"/>
              </w:rPr>
              <w:t>：</w:t>
            </w:r>
            <w:r>
              <w:rPr>
                <w:rFonts w:hint="eastAsia"/>
                <w:b w:val="0"/>
                <w:bCs/>
                <w:color w:val="auto"/>
                <w:sz w:val="24"/>
                <w:lang w:val="en-US" w:eastAsia="zh-CN"/>
              </w:rPr>
              <w:t>450</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b w:val="0"/>
                <w:bCs/>
                <w:color w:val="auto"/>
                <w:sz w:val="24"/>
                <w:lang w:eastAsia="zh-CN"/>
              </w:rPr>
              <w:t>；</w:t>
            </w:r>
            <w:r>
              <w:rPr>
                <w:rFonts w:hint="eastAsia" w:cs="Times New Roman"/>
                <w:b w:val="0"/>
                <w:bCs/>
                <w:color w:val="auto"/>
                <w:sz w:val="24"/>
                <w:szCs w:val="22"/>
                <w:lang w:eastAsia="zh-CN"/>
              </w:rPr>
              <w:t>非甲烷总烃在</w:t>
            </w:r>
            <w:r>
              <w:rPr>
                <w:rFonts w:hint="eastAsia" w:cs="Times New Roman"/>
                <w:b w:val="0"/>
                <w:bCs/>
                <w:color w:val="auto"/>
                <w:sz w:val="24"/>
                <w:szCs w:val="22"/>
                <w:lang w:val="en-US" w:eastAsia="zh-CN"/>
              </w:rPr>
              <w:t>360m处的</w:t>
            </w:r>
            <w:r>
              <w:rPr>
                <w:rFonts w:hint="eastAsia" w:ascii="Times New Roman" w:hAnsi="Times New Roman" w:eastAsia="宋体" w:cs="Times New Roman"/>
                <w:b w:val="0"/>
                <w:bCs/>
                <w:color w:val="auto"/>
                <w:sz w:val="24"/>
                <w:szCs w:val="22"/>
              </w:rPr>
              <w:t>浓度值</w:t>
            </w:r>
            <w:r>
              <w:rPr>
                <w:rFonts w:hint="eastAsia" w:cs="Times New Roman"/>
                <w:b w:val="0"/>
                <w:bCs/>
                <w:color w:val="auto"/>
                <w:sz w:val="24"/>
                <w:szCs w:val="22"/>
                <w:lang w:eastAsia="zh-CN"/>
              </w:rPr>
              <w:t>为</w:t>
            </w:r>
            <w:r>
              <w:rPr>
                <w:rFonts w:hint="eastAsia" w:cs="Times New Roman"/>
                <w:b w:val="0"/>
                <w:bCs/>
                <w:color w:val="auto"/>
                <w:sz w:val="24"/>
                <w:szCs w:val="22"/>
                <w:lang w:val="en-US" w:eastAsia="zh-CN"/>
              </w:rPr>
              <w:t>0.8</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eastAsia="宋体" w:cs="Times New Roman"/>
                <w:b w:val="0"/>
                <w:bCs/>
                <w:color w:val="auto"/>
                <w:sz w:val="24"/>
                <w:szCs w:val="22"/>
                <w:lang w:eastAsia="zh-CN"/>
              </w:rPr>
              <w:t>，</w:t>
            </w:r>
            <w:r>
              <w:rPr>
                <w:rFonts w:hint="eastAsia"/>
                <w:b w:val="0"/>
                <w:bCs/>
                <w:color w:val="auto"/>
                <w:sz w:val="24"/>
              </w:rPr>
              <w:t>浓度值远远小于环境空气质量标准，即</w:t>
            </w:r>
            <w:r>
              <w:rPr>
                <w:rFonts w:hint="eastAsia"/>
                <w:b w:val="0"/>
                <w:bCs/>
                <w:color w:val="auto"/>
                <w:sz w:val="24"/>
                <w:lang w:eastAsia="zh-CN"/>
              </w:rPr>
              <w:t>非甲烷总烃</w:t>
            </w:r>
            <w:r>
              <w:rPr>
                <w:rFonts w:hint="eastAsia"/>
                <w:b w:val="0"/>
                <w:bCs/>
                <w:color w:val="auto"/>
                <w:sz w:val="24"/>
              </w:rPr>
              <w:t>：</w:t>
            </w:r>
            <w:r>
              <w:rPr>
                <w:rFonts w:hint="eastAsia"/>
                <w:b w:val="0"/>
                <w:bCs/>
                <w:color w:val="auto"/>
                <w:sz w:val="24"/>
                <w:lang w:val="en-US" w:eastAsia="zh-CN"/>
              </w:rPr>
              <w:t>2000</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b w:val="0"/>
                <w:bCs/>
                <w:color w:val="auto"/>
                <w:sz w:val="24"/>
                <w:lang w:eastAsia="zh-CN"/>
              </w:rPr>
              <w:t>；</w:t>
            </w:r>
            <w:r>
              <w:rPr>
                <w:rFonts w:hint="eastAsia" w:ascii="Times New Roman" w:hAnsi="Times New Roman" w:eastAsia="宋体" w:cs="Times New Roman"/>
                <w:b w:val="0"/>
                <w:bCs/>
                <w:color w:val="auto"/>
                <w:sz w:val="24"/>
                <w:szCs w:val="22"/>
              </w:rPr>
              <w:t>VOCs在</w:t>
            </w:r>
            <w:r>
              <w:rPr>
                <w:rFonts w:hint="eastAsia" w:cs="Times New Roman"/>
                <w:b w:val="0"/>
                <w:bCs/>
                <w:color w:val="auto"/>
                <w:sz w:val="24"/>
                <w:szCs w:val="22"/>
                <w:lang w:val="en-US" w:eastAsia="zh-CN"/>
              </w:rPr>
              <w:t>360</w:t>
            </w:r>
            <w:r>
              <w:rPr>
                <w:rFonts w:hint="eastAsia" w:ascii="Times New Roman" w:hAnsi="Times New Roman" w:eastAsia="宋体" w:cs="Times New Roman"/>
                <w:b w:val="0"/>
                <w:bCs/>
                <w:color w:val="auto"/>
                <w:sz w:val="24"/>
                <w:szCs w:val="22"/>
                <w:lang w:val="en-US" w:eastAsia="zh-CN"/>
              </w:rPr>
              <w:t>m</w:t>
            </w:r>
            <w:r>
              <w:rPr>
                <w:rFonts w:hint="eastAsia" w:ascii="Times New Roman" w:hAnsi="Times New Roman" w:eastAsia="宋体" w:cs="Times New Roman"/>
                <w:b w:val="0"/>
                <w:bCs/>
                <w:color w:val="auto"/>
                <w:sz w:val="24"/>
                <w:szCs w:val="22"/>
              </w:rPr>
              <w:t>的浓度值小于</w:t>
            </w:r>
            <w:r>
              <w:rPr>
                <w:rFonts w:hint="eastAsia" w:cs="Times New Roman"/>
                <w:b w:val="0"/>
                <w:bCs/>
                <w:color w:val="auto"/>
                <w:sz w:val="24"/>
                <w:szCs w:val="22"/>
                <w:lang w:val="en-US" w:eastAsia="zh-CN"/>
              </w:rPr>
              <w:t>13</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eastAsia="宋体" w:cs="Times New Roman"/>
                <w:b w:val="0"/>
                <w:bCs/>
                <w:color w:val="auto"/>
                <w:sz w:val="24"/>
                <w:szCs w:val="22"/>
                <w:lang w:eastAsia="zh-CN"/>
              </w:rPr>
              <w:t>，</w:t>
            </w:r>
            <w:r>
              <w:rPr>
                <w:rFonts w:hint="eastAsia"/>
                <w:b w:val="0"/>
                <w:bCs/>
                <w:color w:val="auto"/>
                <w:sz w:val="24"/>
              </w:rPr>
              <w:t>浓度值远远小于环境空气质量标准，即 VOCs：1200</w:t>
            </w:r>
            <w:r>
              <w:rPr>
                <w:rFonts w:hint="default" w:ascii="Times New Roman" w:hAnsi="Times New Roman" w:eastAsia="宋体" w:cs="Times New Roman"/>
                <w:b w:val="0"/>
                <w:bCs/>
                <w:color w:val="auto"/>
                <w:sz w:val="24"/>
                <w:szCs w:val="22"/>
              </w:rPr>
              <w:t>μg/m</w:t>
            </w:r>
            <w:r>
              <w:rPr>
                <w:rFonts w:hint="default" w:ascii="Times New Roman" w:hAnsi="Times New Roman" w:eastAsia="宋体" w:cs="Times New Roman"/>
                <w:b w:val="0"/>
                <w:bCs/>
                <w:color w:val="auto"/>
                <w:sz w:val="24"/>
                <w:szCs w:val="22"/>
                <w:vertAlign w:val="superscript"/>
              </w:rPr>
              <w:t>3</w:t>
            </w:r>
            <w:r>
              <w:rPr>
                <w:rFonts w:hint="eastAsia"/>
                <w:b w:val="0"/>
                <w:bCs/>
                <w:color w:val="auto"/>
                <w:sz w:val="24"/>
              </w:rPr>
              <w:t>。因此本项目实施后对最近环境保护目标基本无影响，对其他环境保护目标亦无影响。</w:t>
            </w:r>
          </w:p>
          <w:p>
            <w:pPr>
              <w:spacing w:line="360" w:lineRule="auto"/>
              <w:ind w:firstLine="480" w:firstLineChars="200"/>
              <w:rPr>
                <w:b/>
                <w:color w:val="auto"/>
                <w:sz w:val="24"/>
              </w:rPr>
            </w:pPr>
            <w:r>
              <w:rPr>
                <w:rFonts w:hint="eastAsia"/>
                <w:b/>
                <w:color w:val="auto"/>
                <w:sz w:val="24"/>
              </w:rPr>
              <w:t>（</w:t>
            </w:r>
            <w:r>
              <w:rPr>
                <w:rFonts w:hint="eastAsia"/>
                <w:b/>
                <w:color w:val="auto"/>
                <w:sz w:val="24"/>
                <w:lang w:val="en-US" w:eastAsia="zh-CN"/>
              </w:rPr>
              <w:t>8</w:t>
            </w:r>
            <w:r>
              <w:rPr>
                <w:rFonts w:hint="eastAsia"/>
                <w:b/>
                <w:color w:val="auto"/>
                <w:sz w:val="24"/>
              </w:rPr>
              <w:t>）大气环境影响评价自查表</w:t>
            </w:r>
          </w:p>
          <w:p>
            <w:pPr>
              <w:tabs>
                <w:tab w:val="left" w:pos="3585"/>
              </w:tabs>
              <w:spacing w:line="360" w:lineRule="auto"/>
              <w:ind w:firstLine="480" w:firstLineChars="200"/>
              <w:rPr>
                <w:bCs/>
                <w:snapToGrid w:val="0"/>
                <w:color w:val="auto"/>
                <w:kern w:val="0"/>
                <w:sz w:val="24"/>
              </w:rPr>
            </w:pPr>
            <w:r>
              <w:rPr>
                <w:rFonts w:hint="eastAsia"/>
                <w:bCs/>
                <w:snapToGrid w:val="0"/>
                <w:color w:val="auto"/>
                <w:kern w:val="0"/>
                <w:sz w:val="24"/>
              </w:rPr>
              <w:t>本项目大气环境影响评价自查表见下表。</w:t>
            </w:r>
          </w:p>
          <w:p>
            <w:pPr>
              <w:tabs>
                <w:tab w:val="left" w:pos="3585"/>
              </w:tabs>
              <w:jc w:val="center"/>
              <w:rPr>
                <w:b/>
                <w:snapToGrid w:val="0"/>
                <w:color w:val="auto"/>
                <w:kern w:val="0"/>
                <w:szCs w:val="21"/>
              </w:rPr>
            </w:pPr>
            <w:r>
              <w:rPr>
                <w:rFonts w:hint="eastAsia"/>
                <w:b/>
                <w:snapToGrid w:val="0"/>
                <w:color w:val="auto"/>
                <w:kern w:val="0"/>
                <w:szCs w:val="21"/>
              </w:rPr>
              <w:t>表7-1</w:t>
            </w:r>
            <w:r>
              <w:rPr>
                <w:rFonts w:hint="eastAsia"/>
                <w:b/>
                <w:snapToGrid w:val="0"/>
                <w:color w:val="auto"/>
                <w:kern w:val="0"/>
                <w:szCs w:val="21"/>
                <w:lang w:val="en-US" w:eastAsia="zh-CN"/>
              </w:rPr>
              <w:t>6</w:t>
            </w:r>
            <w:r>
              <w:rPr>
                <w:rFonts w:hint="eastAsia"/>
                <w:b/>
                <w:snapToGrid w:val="0"/>
                <w:color w:val="auto"/>
                <w:kern w:val="0"/>
                <w:szCs w:val="21"/>
              </w:rPr>
              <w:t xml:space="preserve">   建设项目大气环境影响评价自查表</w:t>
            </w:r>
          </w:p>
          <w:tbl>
            <w:tblPr>
              <w:tblStyle w:val="56"/>
              <w:tblW w:w="878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856"/>
              <w:gridCol w:w="1487"/>
              <w:gridCol w:w="928"/>
              <w:gridCol w:w="344"/>
              <w:gridCol w:w="17"/>
              <w:gridCol w:w="90"/>
              <w:gridCol w:w="360"/>
              <w:gridCol w:w="114"/>
              <w:gridCol w:w="574"/>
              <w:gridCol w:w="151"/>
              <w:gridCol w:w="186"/>
              <w:gridCol w:w="150"/>
              <w:gridCol w:w="120"/>
              <w:gridCol w:w="299"/>
              <w:gridCol w:w="534"/>
              <w:gridCol w:w="196"/>
              <w:gridCol w:w="200"/>
              <w:gridCol w:w="632"/>
              <w:gridCol w:w="78"/>
              <w:gridCol w:w="183"/>
              <w:gridCol w:w="177"/>
              <w:gridCol w:w="436"/>
              <w:gridCol w:w="677"/>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343" w:type="dxa"/>
                  <w:gridSpan w:val="2"/>
                  <w:vAlign w:val="center"/>
                </w:tcPr>
                <w:p>
                  <w:pPr>
                    <w:adjustRightInd w:val="0"/>
                    <w:snapToGrid w:val="0"/>
                    <w:jc w:val="center"/>
                    <w:rPr>
                      <w:color w:val="auto"/>
                      <w:sz w:val="18"/>
                      <w:szCs w:val="18"/>
                    </w:rPr>
                  </w:pPr>
                  <w:r>
                    <w:rPr>
                      <w:color w:val="auto"/>
                      <w:sz w:val="18"/>
                      <w:szCs w:val="18"/>
                    </w:rPr>
                    <w:t>工作内容</w:t>
                  </w:r>
                </w:p>
              </w:tc>
              <w:tc>
                <w:tcPr>
                  <w:tcW w:w="6446" w:type="dxa"/>
                  <w:gridSpan w:val="21"/>
                  <w:vAlign w:val="center"/>
                </w:tcPr>
                <w:p>
                  <w:pPr>
                    <w:adjustRightInd w:val="0"/>
                    <w:snapToGrid w:val="0"/>
                    <w:jc w:val="center"/>
                    <w:rPr>
                      <w:color w:val="auto"/>
                      <w:sz w:val="18"/>
                      <w:szCs w:val="18"/>
                    </w:rPr>
                  </w:pPr>
                  <w:r>
                    <w:rPr>
                      <w:color w:val="auto"/>
                      <w:sz w:val="18"/>
                      <w:szCs w:val="18"/>
                    </w:rPr>
                    <w:t>自查项目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评价等级与 范围</w:t>
                  </w:r>
                </w:p>
              </w:tc>
              <w:tc>
                <w:tcPr>
                  <w:tcW w:w="1487" w:type="dxa"/>
                  <w:vAlign w:val="center"/>
                </w:tcPr>
                <w:p>
                  <w:pPr>
                    <w:adjustRightInd w:val="0"/>
                    <w:snapToGrid w:val="0"/>
                    <w:jc w:val="center"/>
                    <w:rPr>
                      <w:color w:val="auto"/>
                      <w:sz w:val="18"/>
                      <w:szCs w:val="18"/>
                    </w:rPr>
                  </w:pPr>
                  <w:r>
                    <w:rPr>
                      <w:color w:val="auto"/>
                      <w:sz w:val="18"/>
                      <w:szCs w:val="18"/>
                    </w:rPr>
                    <w:t>评价等级</w:t>
                  </w:r>
                </w:p>
              </w:tc>
              <w:tc>
                <w:tcPr>
                  <w:tcW w:w="2427" w:type="dxa"/>
                  <w:gridSpan w:val="7"/>
                  <w:vAlign w:val="center"/>
                </w:tcPr>
                <w:p>
                  <w:pPr>
                    <w:adjustRightInd w:val="0"/>
                    <w:snapToGrid w:val="0"/>
                    <w:jc w:val="center"/>
                    <w:rPr>
                      <w:color w:val="auto"/>
                      <w:sz w:val="18"/>
                      <w:szCs w:val="18"/>
                    </w:rPr>
                  </w:pPr>
                  <w:r>
                    <w:rPr>
                      <w:color w:val="auto"/>
                      <w:sz w:val="18"/>
                      <w:szCs w:val="18"/>
                    </w:rPr>
                    <w:t>一级□</w:t>
                  </w:r>
                </w:p>
              </w:tc>
              <w:tc>
                <w:tcPr>
                  <w:tcW w:w="2546" w:type="dxa"/>
                  <w:gridSpan w:val="10"/>
                  <w:vAlign w:val="center"/>
                </w:tcPr>
                <w:p>
                  <w:pPr>
                    <w:adjustRightInd w:val="0"/>
                    <w:snapToGrid w:val="0"/>
                    <w:jc w:val="center"/>
                    <w:rPr>
                      <w:color w:val="auto"/>
                      <w:sz w:val="18"/>
                      <w:szCs w:val="18"/>
                    </w:rPr>
                  </w:pPr>
                  <w:r>
                    <w:rPr>
                      <w:color w:val="auto"/>
                      <w:sz w:val="18"/>
                      <w:szCs w:val="18"/>
                    </w:rPr>
                    <w:t>二级√</w:t>
                  </w:r>
                </w:p>
              </w:tc>
              <w:tc>
                <w:tcPr>
                  <w:tcW w:w="1473" w:type="dxa"/>
                  <w:gridSpan w:val="4"/>
                  <w:vAlign w:val="center"/>
                </w:tcPr>
                <w:p>
                  <w:pPr>
                    <w:adjustRightInd w:val="0"/>
                    <w:snapToGrid w:val="0"/>
                    <w:jc w:val="center"/>
                    <w:rPr>
                      <w:color w:val="auto"/>
                      <w:sz w:val="18"/>
                      <w:szCs w:val="18"/>
                    </w:rPr>
                  </w:pPr>
                  <w:r>
                    <w:rPr>
                      <w:color w:val="auto"/>
                      <w:sz w:val="18"/>
                      <w:szCs w:val="18"/>
                    </w:rPr>
                    <w:t>三级□</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评价范围</w:t>
                  </w:r>
                </w:p>
              </w:tc>
              <w:tc>
                <w:tcPr>
                  <w:tcW w:w="2427" w:type="dxa"/>
                  <w:gridSpan w:val="7"/>
                  <w:vAlign w:val="center"/>
                </w:tcPr>
                <w:p>
                  <w:pPr>
                    <w:adjustRightInd w:val="0"/>
                    <w:snapToGrid w:val="0"/>
                    <w:jc w:val="center"/>
                    <w:rPr>
                      <w:color w:val="auto"/>
                      <w:sz w:val="18"/>
                      <w:szCs w:val="18"/>
                    </w:rPr>
                  </w:pPr>
                  <w:r>
                    <w:rPr>
                      <w:color w:val="auto"/>
                      <w:sz w:val="18"/>
                      <w:szCs w:val="18"/>
                    </w:rPr>
                    <w:t>边长=50km□</w:t>
                  </w:r>
                </w:p>
              </w:tc>
              <w:tc>
                <w:tcPr>
                  <w:tcW w:w="2546" w:type="dxa"/>
                  <w:gridSpan w:val="10"/>
                  <w:vAlign w:val="center"/>
                </w:tcPr>
                <w:p>
                  <w:pPr>
                    <w:adjustRightInd w:val="0"/>
                    <w:snapToGrid w:val="0"/>
                    <w:jc w:val="center"/>
                    <w:rPr>
                      <w:color w:val="auto"/>
                      <w:sz w:val="18"/>
                      <w:szCs w:val="18"/>
                    </w:rPr>
                  </w:pPr>
                  <w:r>
                    <w:rPr>
                      <w:color w:val="auto"/>
                      <w:sz w:val="18"/>
                      <w:szCs w:val="18"/>
                    </w:rPr>
                    <w:t>边长5～50km□</w:t>
                  </w:r>
                </w:p>
              </w:tc>
              <w:tc>
                <w:tcPr>
                  <w:tcW w:w="1473" w:type="dxa"/>
                  <w:gridSpan w:val="4"/>
                  <w:vAlign w:val="center"/>
                </w:tcPr>
                <w:p>
                  <w:pPr>
                    <w:adjustRightInd w:val="0"/>
                    <w:snapToGrid w:val="0"/>
                    <w:jc w:val="center"/>
                    <w:rPr>
                      <w:color w:val="auto"/>
                      <w:sz w:val="18"/>
                      <w:szCs w:val="18"/>
                    </w:rPr>
                  </w:pPr>
                  <w:r>
                    <w:rPr>
                      <w:color w:val="auto"/>
                      <w:sz w:val="18"/>
                      <w:szCs w:val="18"/>
                    </w:rPr>
                    <w:t>边长=5km√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评价因子</w:t>
                  </w:r>
                </w:p>
              </w:tc>
              <w:tc>
                <w:tcPr>
                  <w:tcW w:w="1487" w:type="dxa"/>
                  <w:vAlign w:val="center"/>
                </w:tcPr>
                <w:p>
                  <w:pPr>
                    <w:adjustRightInd w:val="0"/>
                    <w:snapToGrid w:val="0"/>
                    <w:jc w:val="center"/>
                    <w:rPr>
                      <w:color w:val="auto"/>
                      <w:sz w:val="18"/>
                      <w:szCs w:val="18"/>
                    </w:rPr>
                  </w:pPr>
                  <w:r>
                    <w:rPr>
                      <w:color w:val="auto"/>
                      <w:sz w:val="18"/>
                      <w:szCs w:val="18"/>
                    </w:rPr>
                    <w:t>SO</w:t>
                  </w:r>
                  <w:r>
                    <w:rPr>
                      <w:color w:val="auto"/>
                      <w:sz w:val="18"/>
                      <w:szCs w:val="18"/>
                      <w:vertAlign w:val="subscript"/>
                    </w:rPr>
                    <w:t xml:space="preserve">2 </w:t>
                  </w:r>
                  <w:r>
                    <w:rPr>
                      <w:color w:val="auto"/>
                      <w:sz w:val="18"/>
                      <w:szCs w:val="18"/>
                    </w:rPr>
                    <w:t>+NOx 排放量</w:t>
                  </w:r>
                </w:p>
              </w:tc>
              <w:tc>
                <w:tcPr>
                  <w:tcW w:w="1272" w:type="dxa"/>
                  <w:gridSpan w:val="2"/>
                  <w:vAlign w:val="center"/>
                </w:tcPr>
                <w:p>
                  <w:pPr>
                    <w:adjustRightInd w:val="0"/>
                    <w:snapToGrid w:val="0"/>
                    <w:jc w:val="center"/>
                    <w:rPr>
                      <w:color w:val="auto"/>
                      <w:sz w:val="18"/>
                      <w:szCs w:val="18"/>
                    </w:rPr>
                  </w:pPr>
                  <w:r>
                    <w:rPr>
                      <w:color w:val="auto"/>
                      <w:sz w:val="18"/>
                      <w:szCs w:val="18"/>
                    </w:rPr>
                    <w:t>≥ 2000t/a□</w:t>
                  </w:r>
                </w:p>
              </w:tc>
              <w:tc>
                <w:tcPr>
                  <w:tcW w:w="3701" w:type="dxa"/>
                  <w:gridSpan w:val="15"/>
                  <w:vAlign w:val="center"/>
                </w:tcPr>
                <w:p>
                  <w:pPr>
                    <w:adjustRightInd w:val="0"/>
                    <w:snapToGrid w:val="0"/>
                    <w:jc w:val="center"/>
                    <w:rPr>
                      <w:color w:val="auto"/>
                      <w:sz w:val="18"/>
                      <w:szCs w:val="18"/>
                    </w:rPr>
                  </w:pPr>
                  <w:r>
                    <w:rPr>
                      <w:color w:val="auto"/>
                      <w:sz w:val="18"/>
                      <w:szCs w:val="18"/>
                    </w:rPr>
                    <w:t>500 ~ 2000t/a□</w:t>
                  </w:r>
                </w:p>
              </w:tc>
              <w:tc>
                <w:tcPr>
                  <w:tcW w:w="1473" w:type="dxa"/>
                  <w:gridSpan w:val="4"/>
                  <w:vAlign w:val="center"/>
                </w:tcPr>
                <w:p>
                  <w:pPr>
                    <w:adjustRightInd w:val="0"/>
                    <w:snapToGrid w:val="0"/>
                    <w:jc w:val="center"/>
                    <w:rPr>
                      <w:color w:val="auto"/>
                      <w:sz w:val="18"/>
                      <w:szCs w:val="18"/>
                    </w:rPr>
                  </w:pPr>
                  <w:r>
                    <w:rPr>
                      <w:color w:val="auto"/>
                      <w:sz w:val="18"/>
                      <w:szCs w:val="18"/>
                    </w:rPr>
                    <w:t>＜500 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评价因子</w:t>
                  </w:r>
                </w:p>
              </w:tc>
              <w:tc>
                <w:tcPr>
                  <w:tcW w:w="3333" w:type="dxa"/>
                  <w:gridSpan w:val="12"/>
                  <w:vAlign w:val="center"/>
                </w:tcPr>
                <w:p>
                  <w:pPr>
                    <w:adjustRightInd w:val="0"/>
                    <w:snapToGrid w:val="0"/>
                    <w:jc w:val="center"/>
                    <w:rPr>
                      <w:color w:val="auto"/>
                      <w:sz w:val="18"/>
                      <w:szCs w:val="18"/>
                    </w:rPr>
                  </w:pPr>
                  <w:r>
                    <w:rPr>
                      <w:color w:val="auto"/>
                      <w:sz w:val="18"/>
                      <w:szCs w:val="18"/>
                    </w:rPr>
                    <w:t xml:space="preserve">基本污染物 </w:t>
                  </w:r>
                  <w:r>
                    <w:rPr>
                      <w:rFonts w:hint="eastAsia"/>
                      <w:color w:val="auto"/>
                      <w:sz w:val="18"/>
                      <w:szCs w:val="18"/>
                    </w:rPr>
                    <w:t>（PM</w:t>
                  </w:r>
                  <w:r>
                    <w:rPr>
                      <w:rFonts w:hint="eastAsia"/>
                      <w:color w:val="auto"/>
                      <w:sz w:val="18"/>
                      <w:szCs w:val="18"/>
                      <w:vertAlign w:val="subscript"/>
                    </w:rPr>
                    <w:t>2.5</w:t>
                  </w:r>
                  <w:r>
                    <w:rPr>
                      <w:rFonts w:hint="eastAsia"/>
                      <w:color w:val="auto"/>
                      <w:sz w:val="18"/>
                      <w:szCs w:val="18"/>
                    </w:rPr>
                    <w:t>、PM</w:t>
                  </w:r>
                  <w:r>
                    <w:rPr>
                      <w:rFonts w:hint="eastAsia"/>
                      <w:color w:val="auto"/>
                      <w:sz w:val="18"/>
                      <w:szCs w:val="18"/>
                      <w:vertAlign w:val="subscript"/>
                    </w:rPr>
                    <w:t>10</w:t>
                  </w:r>
                  <w:r>
                    <w:rPr>
                      <w:rFonts w:hint="eastAsia"/>
                      <w:color w:val="auto"/>
                      <w:sz w:val="18"/>
                      <w:szCs w:val="18"/>
                    </w:rPr>
                    <w:t>、SO</w:t>
                  </w:r>
                  <w:r>
                    <w:rPr>
                      <w:rFonts w:hint="eastAsia"/>
                      <w:color w:val="auto"/>
                      <w:sz w:val="18"/>
                      <w:szCs w:val="18"/>
                      <w:vertAlign w:val="subscript"/>
                    </w:rPr>
                    <w:t>2</w:t>
                  </w:r>
                  <w:r>
                    <w:rPr>
                      <w:rFonts w:hint="eastAsia"/>
                      <w:color w:val="auto"/>
                      <w:sz w:val="18"/>
                      <w:szCs w:val="18"/>
                    </w:rPr>
                    <w:t>、NO</w:t>
                  </w:r>
                  <w:r>
                    <w:rPr>
                      <w:rFonts w:hint="eastAsia"/>
                      <w:color w:val="auto"/>
                      <w:sz w:val="18"/>
                      <w:szCs w:val="18"/>
                      <w:vertAlign w:val="subscript"/>
                    </w:rPr>
                    <w:t>2</w:t>
                  </w:r>
                  <w:r>
                    <w:rPr>
                      <w:rFonts w:hint="eastAsia"/>
                      <w:color w:val="auto"/>
                      <w:sz w:val="18"/>
                      <w:szCs w:val="18"/>
                    </w:rPr>
                    <w:t>、CO、O</w:t>
                  </w:r>
                  <w:r>
                    <w:rPr>
                      <w:rFonts w:hint="eastAsia"/>
                      <w:color w:val="auto"/>
                      <w:sz w:val="18"/>
                      <w:szCs w:val="18"/>
                      <w:vertAlign w:val="subscript"/>
                    </w:rPr>
                    <w:t>3</w:t>
                  </w:r>
                  <w:r>
                    <w:rPr>
                      <w:rFonts w:hint="eastAsia"/>
                      <w:color w:val="auto"/>
                      <w:sz w:val="18"/>
                      <w:szCs w:val="18"/>
                    </w:rPr>
                    <w:t>）</w:t>
                  </w:r>
                </w:p>
                <w:p>
                  <w:pPr>
                    <w:adjustRightInd w:val="0"/>
                    <w:snapToGrid w:val="0"/>
                    <w:jc w:val="center"/>
                    <w:rPr>
                      <w:color w:val="auto"/>
                      <w:sz w:val="18"/>
                      <w:szCs w:val="18"/>
                    </w:rPr>
                  </w:pPr>
                  <w:r>
                    <w:rPr>
                      <w:color w:val="auto"/>
                      <w:sz w:val="18"/>
                      <w:szCs w:val="18"/>
                    </w:rPr>
                    <w:t>其他污染物 (</w:t>
                  </w:r>
                  <w:r>
                    <w:rPr>
                      <w:rFonts w:hint="eastAsia"/>
                      <w:color w:val="auto"/>
                      <w:sz w:val="18"/>
                      <w:szCs w:val="18"/>
                      <w:lang w:eastAsia="zh-CN"/>
                    </w:rPr>
                    <w:t>非甲烷总烃、</w:t>
                  </w:r>
                  <w:r>
                    <w:rPr>
                      <w:rFonts w:hint="eastAsia"/>
                      <w:color w:val="auto"/>
                      <w:sz w:val="18"/>
                      <w:szCs w:val="18"/>
                    </w:rPr>
                    <w:t>VOCs</w:t>
                  </w:r>
                  <w:r>
                    <w:rPr>
                      <w:color w:val="auto"/>
                      <w:sz w:val="18"/>
                      <w:szCs w:val="18"/>
                    </w:rPr>
                    <w:t>)</w:t>
                  </w:r>
                </w:p>
              </w:tc>
              <w:tc>
                <w:tcPr>
                  <w:tcW w:w="3113" w:type="dxa"/>
                  <w:gridSpan w:val="9"/>
                  <w:vAlign w:val="center"/>
                </w:tcPr>
                <w:p>
                  <w:pPr>
                    <w:adjustRightInd w:val="0"/>
                    <w:snapToGrid w:val="0"/>
                    <w:jc w:val="center"/>
                    <w:rPr>
                      <w:color w:val="auto"/>
                      <w:sz w:val="18"/>
                      <w:szCs w:val="18"/>
                    </w:rPr>
                  </w:pPr>
                  <w:r>
                    <w:rPr>
                      <w:color w:val="auto"/>
                      <w:sz w:val="18"/>
                      <w:szCs w:val="18"/>
                    </w:rPr>
                    <w:t>包括二次 PM</w:t>
                  </w:r>
                  <w:r>
                    <w:rPr>
                      <w:color w:val="auto"/>
                      <w:sz w:val="18"/>
                      <w:szCs w:val="18"/>
                      <w:vertAlign w:val="subscript"/>
                    </w:rPr>
                    <w:t>2.5</w:t>
                  </w:r>
                  <w:r>
                    <w:rPr>
                      <w:color w:val="auto"/>
                      <w:sz w:val="18"/>
                      <w:szCs w:val="18"/>
                    </w:rPr>
                    <w:t>□</w:t>
                  </w:r>
                </w:p>
                <w:p>
                  <w:pPr>
                    <w:adjustRightInd w:val="0"/>
                    <w:snapToGrid w:val="0"/>
                    <w:jc w:val="center"/>
                    <w:rPr>
                      <w:color w:val="auto"/>
                      <w:sz w:val="18"/>
                      <w:szCs w:val="18"/>
                    </w:rPr>
                  </w:pPr>
                  <w:r>
                    <w:rPr>
                      <w:color w:val="auto"/>
                      <w:sz w:val="18"/>
                      <w:szCs w:val="18"/>
                    </w:rPr>
                    <w:t>不包括二次 PM</w:t>
                  </w:r>
                  <w:r>
                    <w:rPr>
                      <w:color w:val="auto"/>
                      <w:sz w:val="18"/>
                      <w:szCs w:val="18"/>
                      <w:vertAlign w:val="subscript"/>
                    </w:rPr>
                    <w:t>2.5</w:t>
                  </w:r>
                  <w:r>
                    <w:rPr>
                      <w:color w:val="auto"/>
                      <w:sz w:val="18"/>
                      <w:szCs w:val="18"/>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Align w:val="center"/>
                </w:tcPr>
                <w:p>
                  <w:pPr>
                    <w:adjustRightInd w:val="0"/>
                    <w:snapToGrid w:val="0"/>
                    <w:jc w:val="center"/>
                    <w:rPr>
                      <w:color w:val="auto"/>
                      <w:sz w:val="18"/>
                      <w:szCs w:val="18"/>
                    </w:rPr>
                  </w:pPr>
                  <w:r>
                    <w:rPr>
                      <w:color w:val="auto"/>
                      <w:sz w:val="18"/>
                      <w:szCs w:val="18"/>
                    </w:rPr>
                    <w:t>评价标准</w:t>
                  </w:r>
                </w:p>
              </w:tc>
              <w:tc>
                <w:tcPr>
                  <w:tcW w:w="1487" w:type="dxa"/>
                  <w:vAlign w:val="center"/>
                </w:tcPr>
                <w:p>
                  <w:pPr>
                    <w:adjustRightInd w:val="0"/>
                    <w:snapToGrid w:val="0"/>
                    <w:jc w:val="center"/>
                    <w:rPr>
                      <w:color w:val="auto"/>
                      <w:sz w:val="18"/>
                      <w:szCs w:val="18"/>
                    </w:rPr>
                  </w:pPr>
                  <w:r>
                    <w:rPr>
                      <w:color w:val="auto"/>
                      <w:sz w:val="18"/>
                      <w:szCs w:val="18"/>
                    </w:rPr>
                    <w:t>评价标准</w:t>
                  </w:r>
                </w:p>
              </w:tc>
              <w:tc>
                <w:tcPr>
                  <w:tcW w:w="1853" w:type="dxa"/>
                  <w:gridSpan w:val="6"/>
                  <w:vAlign w:val="center"/>
                </w:tcPr>
                <w:p>
                  <w:pPr>
                    <w:adjustRightInd w:val="0"/>
                    <w:snapToGrid w:val="0"/>
                    <w:jc w:val="center"/>
                    <w:rPr>
                      <w:color w:val="auto"/>
                      <w:sz w:val="18"/>
                      <w:szCs w:val="18"/>
                    </w:rPr>
                  </w:pPr>
                  <w:r>
                    <w:rPr>
                      <w:color w:val="auto"/>
                      <w:sz w:val="18"/>
                      <w:szCs w:val="18"/>
                    </w:rPr>
                    <w:t>国家标准</w:t>
                  </w:r>
                  <w:r>
                    <w:rPr>
                      <w:color w:val="auto"/>
                      <w:sz w:val="18"/>
                      <w:szCs w:val="18"/>
                    </w:rPr>
                    <w:sym w:font="Wingdings 2" w:char="0052"/>
                  </w:r>
                </w:p>
              </w:tc>
              <w:tc>
                <w:tcPr>
                  <w:tcW w:w="1480" w:type="dxa"/>
                  <w:gridSpan w:val="6"/>
                  <w:vAlign w:val="center"/>
                </w:tcPr>
                <w:p>
                  <w:pPr>
                    <w:adjustRightInd w:val="0"/>
                    <w:snapToGrid w:val="0"/>
                    <w:jc w:val="center"/>
                    <w:rPr>
                      <w:color w:val="auto"/>
                      <w:sz w:val="18"/>
                      <w:szCs w:val="18"/>
                    </w:rPr>
                  </w:pPr>
                  <w:r>
                    <w:rPr>
                      <w:color w:val="auto"/>
                      <w:sz w:val="18"/>
                      <w:szCs w:val="18"/>
                    </w:rPr>
                    <w:t xml:space="preserve">地方标准 </w:t>
                  </w:r>
                  <w:r>
                    <w:rPr>
                      <w:color w:val="auto"/>
                      <w:sz w:val="18"/>
                      <w:szCs w:val="18"/>
                    </w:rPr>
                    <w:sym w:font="Wingdings 2" w:char="0052"/>
                  </w:r>
                </w:p>
              </w:tc>
              <w:tc>
                <w:tcPr>
                  <w:tcW w:w="2000" w:type="dxa"/>
                  <w:gridSpan w:val="7"/>
                  <w:vAlign w:val="center"/>
                </w:tcPr>
                <w:p>
                  <w:pPr>
                    <w:adjustRightInd w:val="0"/>
                    <w:snapToGrid w:val="0"/>
                    <w:jc w:val="center"/>
                    <w:rPr>
                      <w:color w:val="auto"/>
                      <w:sz w:val="18"/>
                      <w:szCs w:val="18"/>
                    </w:rPr>
                  </w:pPr>
                  <w:r>
                    <w:rPr>
                      <w:color w:val="auto"/>
                      <w:sz w:val="18"/>
                      <w:szCs w:val="18"/>
                    </w:rPr>
                    <w:t>附录 D</w:t>
                  </w:r>
                  <w:r>
                    <w:rPr>
                      <w:color w:val="auto"/>
                      <w:sz w:val="18"/>
                      <w:szCs w:val="18"/>
                    </w:rPr>
                    <w:sym w:font="Wingdings 2" w:char="0052"/>
                  </w:r>
                </w:p>
              </w:tc>
              <w:tc>
                <w:tcPr>
                  <w:tcW w:w="1113" w:type="dxa"/>
                  <w:gridSpan w:val="2"/>
                  <w:vAlign w:val="center"/>
                </w:tcPr>
                <w:p>
                  <w:pPr>
                    <w:adjustRightInd w:val="0"/>
                    <w:snapToGrid w:val="0"/>
                    <w:jc w:val="center"/>
                    <w:rPr>
                      <w:color w:val="auto"/>
                      <w:sz w:val="18"/>
                      <w:szCs w:val="18"/>
                    </w:rPr>
                  </w:pPr>
                  <w:r>
                    <w:rPr>
                      <w:color w:val="auto"/>
                      <w:sz w:val="18"/>
                      <w:szCs w:val="18"/>
                    </w:rPr>
                    <w:t>其他标准</w:t>
                  </w:r>
                  <w:r>
                    <w:rPr>
                      <w:color w:val="auto"/>
                      <w:sz w:val="18"/>
                      <w:szCs w:val="18"/>
                    </w:rPr>
                    <w:sym w:font="Wingdings 2" w:char="00A3"/>
                  </w:r>
                  <w:r>
                    <w:rPr>
                      <w:color w:val="auto"/>
                      <w:sz w:val="18"/>
                      <w:szCs w:val="18"/>
                    </w:rPr>
                    <w:t xml:space="preserve">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现状评价</w:t>
                  </w:r>
                </w:p>
              </w:tc>
              <w:tc>
                <w:tcPr>
                  <w:tcW w:w="1487" w:type="dxa"/>
                  <w:vAlign w:val="center"/>
                </w:tcPr>
                <w:p>
                  <w:pPr>
                    <w:adjustRightInd w:val="0"/>
                    <w:snapToGrid w:val="0"/>
                    <w:jc w:val="center"/>
                    <w:rPr>
                      <w:color w:val="auto"/>
                      <w:sz w:val="18"/>
                      <w:szCs w:val="18"/>
                    </w:rPr>
                  </w:pPr>
                  <w:r>
                    <w:rPr>
                      <w:color w:val="auto"/>
                      <w:sz w:val="18"/>
                      <w:szCs w:val="18"/>
                    </w:rPr>
                    <w:t>环境功能区</w:t>
                  </w:r>
                </w:p>
              </w:tc>
              <w:tc>
                <w:tcPr>
                  <w:tcW w:w="2427" w:type="dxa"/>
                  <w:gridSpan w:val="7"/>
                  <w:vAlign w:val="center"/>
                </w:tcPr>
                <w:p>
                  <w:pPr>
                    <w:adjustRightInd w:val="0"/>
                    <w:snapToGrid w:val="0"/>
                    <w:jc w:val="center"/>
                    <w:rPr>
                      <w:color w:val="auto"/>
                      <w:sz w:val="18"/>
                      <w:szCs w:val="18"/>
                    </w:rPr>
                  </w:pPr>
                  <w:r>
                    <w:rPr>
                      <w:color w:val="auto"/>
                      <w:sz w:val="18"/>
                      <w:szCs w:val="18"/>
                    </w:rPr>
                    <w:t>一类区</w:t>
                  </w:r>
                  <w:r>
                    <w:rPr>
                      <w:color w:val="auto"/>
                      <w:sz w:val="18"/>
                      <w:szCs w:val="18"/>
                    </w:rPr>
                    <w:sym w:font="Wingdings 2" w:char="00A3"/>
                  </w:r>
                </w:p>
              </w:tc>
              <w:tc>
                <w:tcPr>
                  <w:tcW w:w="2468" w:type="dxa"/>
                  <w:gridSpan w:val="9"/>
                  <w:vAlign w:val="center"/>
                </w:tcPr>
                <w:p>
                  <w:pPr>
                    <w:adjustRightInd w:val="0"/>
                    <w:snapToGrid w:val="0"/>
                    <w:jc w:val="center"/>
                    <w:rPr>
                      <w:color w:val="auto"/>
                      <w:sz w:val="18"/>
                      <w:szCs w:val="18"/>
                    </w:rPr>
                  </w:pPr>
                  <w:r>
                    <w:rPr>
                      <w:color w:val="auto"/>
                      <w:sz w:val="18"/>
                      <w:szCs w:val="18"/>
                    </w:rPr>
                    <w:t>二类区</w:t>
                  </w:r>
                  <w:r>
                    <w:rPr>
                      <w:color w:val="auto"/>
                      <w:sz w:val="18"/>
                      <w:szCs w:val="18"/>
                    </w:rPr>
                    <w:sym w:font="Wingdings 2" w:char="0052"/>
                  </w:r>
                </w:p>
              </w:tc>
              <w:tc>
                <w:tcPr>
                  <w:tcW w:w="1551" w:type="dxa"/>
                  <w:gridSpan w:val="5"/>
                  <w:vAlign w:val="center"/>
                </w:tcPr>
                <w:p>
                  <w:pPr>
                    <w:adjustRightInd w:val="0"/>
                    <w:snapToGrid w:val="0"/>
                    <w:jc w:val="center"/>
                    <w:rPr>
                      <w:color w:val="auto"/>
                      <w:sz w:val="18"/>
                      <w:szCs w:val="18"/>
                    </w:rPr>
                  </w:pPr>
                  <w:r>
                    <w:rPr>
                      <w:color w:val="auto"/>
                      <w:sz w:val="18"/>
                      <w:szCs w:val="18"/>
                    </w:rPr>
                    <w:t>一类区和二类区</w:t>
                  </w:r>
                  <w:r>
                    <w:rPr>
                      <w:color w:val="auto"/>
                      <w:sz w:val="18"/>
                      <w:szCs w:val="18"/>
                    </w:rPr>
                    <w:sym w:font="Wingdings 2" w:char="00A3"/>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评价基准年</w:t>
                  </w:r>
                </w:p>
              </w:tc>
              <w:tc>
                <w:tcPr>
                  <w:tcW w:w="6446" w:type="dxa"/>
                  <w:gridSpan w:val="21"/>
                  <w:vAlign w:val="center"/>
                </w:tcPr>
                <w:p>
                  <w:pPr>
                    <w:adjustRightInd w:val="0"/>
                    <w:snapToGrid w:val="0"/>
                    <w:jc w:val="center"/>
                    <w:rPr>
                      <w:color w:val="auto"/>
                      <w:sz w:val="18"/>
                      <w:szCs w:val="18"/>
                    </w:rPr>
                  </w:pPr>
                  <w:r>
                    <w:rPr>
                      <w:color w:val="auto"/>
                      <w:sz w:val="18"/>
                      <w:szCs w:val="18"/>
                    </w:rPr>
                    <w:t>（</w:t>
                  </w:r>
                  <w:r>
                    <w:rPr>
                      <w:rFonts w:hint="eastAsia"/>
                      <w:color w:val="auto"/>
                      <w:sz w:val="18"/>
                      <w:szCs w:val="18"/>
                    </w:rPr>
                    <w:t>2019</w:t>
                  </w:r>
                  <w:r>
                    <w:rPr>
                      <w:color w:val="auto"/>
                      <w:sz w:val="18"/>
                      <w:szCs w:val="18"/>
                    </w:rPr>
                    <w:t>）年</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环境空气质量</w:t>
                  </w:r>
                </w:p>
                <w:p>
                  <w:pPr>
                    <w:adjustRightInd w:val="0"/>
                    <w:snapToGrid w:val="0"/>
                    <w:jc w:val="center"/>
                    <w:rPr>
                      <w:color w:val="auto"/>
                      <w:sz w:val="18"/>
                      <w:szCs w:val="18"/>
                    </w:rPr>
                  </w:pPr>
                  <w:r>
                    <w:rPr>
                      <w:color w:val="auto"/>
                      <w:sz w:val="18"/>
                      <w:szCs w:val="18"/>
                    </w:rPr>
                    <w:t>现状调查数据来源</w:t>
                  </w:r>
                </w:p>
              </w:tc>
              <w:tc>
                <w:tcPr>
                  <w:tcW w:w="2427" w:type="dxa"/>
                  <w:gridSpan w:val="7"/>
                  <w:vAlign w:val="center"/>
                </w:tcPr>
                <w:p>
                  <w:pPr>
                    <w:adjustRightInd w:val="0"/>
                    <w:snapToGrid w:val="0"/>
                    <w:jc w:val="center"/>
                    <w:rPr>
                      <w:color w:val="auto"/>
                      <w:sz w:val="18"/>
                      <w:szCs w:val="18"/>
                    </w:rPr>
                  </w:pPr>
                  <w:r>
                    <w:rPr>
                      <w:color w:val="auto"/>
                      <w:sz w:val="18"/>
                      <w:szCs w:val="18"/>
                    </w:rPr>
                    <w:t>长期例行监测数据□</w:t>
                  </w:r>
                </w:p>
              </w:tc>
              <w:tc>
                <w:tcPr>
                  <w:tcW w:w="2546" w:type="dxa"/>
                  <w:gridSpan w:val="10"/>
                  <w:vAlign w:val="center"/>
                </w:tcPr>
                <w:p>
                  <w:pPr>
                    <w:adjustRightInd w:val="0"/>
                    <w:snapToGrid w:val="0"/>
                    <w:jc w:val="center"/>
                    <w:rPr>
                      <w:color w:val="auto"/>
                      <w:sz w:val="18"/>
                      <w:szCs w:val="18"/>
                    </w:rPr>
                  </w:pPr>
                  <w:r>
                    <w:rPr>
                      <w:color w:val="auto"/>
                      <w:sz w:val="18"/>
                      <w:szCs w:val="18"/>
                    </w:rPr>
                    <w:t>主管部门发布的数据√</w:t>
                  </w:r>
                </w:p>
              </w:tc>
              <w:tc>
                <w:tcPr>
                  <w:tcW w:w="1473" w:type="dxa"/>
                  <w:gridSpan w:val="4"/>
                  <w:vAlign w:val="center"/>
                </w:tcPr>
                <w:p>
                  <w:pPr>
                    <w:adjustRightInd w:val="0"/>
                    <w:snapToGrid w:val="0"/>
                    <w:jc w:val="center"/>
                    <w:rPr>
                      <w:color w:val="auto"/>
                      <w:sz w:val="18"/>
                      <w:szCs w:val="18"/>
                    </w:rPr>
                  </w:pPr>
                  <w:r>
                    <w:rPr>
                      <w:color w:val="auto"/>
                      <w:sz w:val="18"/>
                      <w:szCs w:val="18"/>
                    </w:rPr>
                    <w:t>现状补充监测</w:t>
                  </w:r>
                  <w:r>
                    <w:rPr>
                      <w:color w:val="auto"/>
                      <w:sz w:val="18"/>
                      <w:szCs w:val="18"/>
                    </w:rPr>
                    <w:sym w:font="Wingdings 2" w:char="0052"/>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现状评价</w:t>
                  </w:r>
                </w:p>
              </w:tc>
              <w:tc>
                <w:tcPr>
                  <w:tcW w:w="3333" w:type="dxa"/>
                  <w:gridSpan w:val="12"/>
                  <w:vAlign w:val="center"/>
                </w:tcPr>
                <w:p>
                  <w:pPr>
                    <w:adjustRightInd w:val="0"/>
                    <w:snapToGrid w:val="0"/>
                    <w:jc w:val="center"/>
                    <w:rPr>
                      <w:color w:val="auto"/>
                      <w:sz w:val="18"/>
                      <w:szCs w:val="18"/>
                    </w:rPr>
                  </w:pPr>
                  <w:r>
                    <w:rPr>
                      <w:color w:val="auto"/>
                      <w:sz w:val="18"/>
                      <w:szCs w:val="18"/>
                    </w:rPr>
                    <w:t>达标区□</w:t>
                  </w:r>
                </w:p>
              </w:tc>
              <w:tc>
                <w:tcPr>
                  <w:tcW w:w="3113" w:type="dxa"/>
                  <w:gridSpan w:val="9"/>
                  <w:vAlign w:val="center"/>
                </w:tcPr>
                <w:p>
                  <w:pPr>
                    <w:adjustRightInd w:val="0"/>
                    <w:snapToGrid w:val="0"/>
                    <w:jc w:val="center"/>
                    <w:rPr>
                      <w:color w:val="auto"/>
                      <w:sz w:val="18"/>
                      <w:szCs w:val="18"/>
                    </w:rPr>
                  </w:pPr>
                  <w:r>
                    <w:rPr>
                      <w:color w:val="auto"/>
                      <w:sz w:val="18"/>
                      <w:szCs w:val="18"/>
                    </w:rPr>
                    <w:t>不达标区√</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Align w:val="center"/>
                </w:tcPr>
                <w:p>
                  <w:pPr>
                    <w:adjustRightInd w:val="0"/>
                    <w:snapToGrid w:val="0"/>
                    <w:jc w:val="center"/>
                    <w:rPr>
                      <w:color w:val="auto"/>
                      <w:sz w:val="18"/>
                      <w:szCs w:val="18"/>
                    </w:rPr>
                  </w:pPr>
                  <w:r>
                    <w:rPr>
                      <w:color w:val="auto"/>
                      <w:sz w:val="18"/>
                      <w:szCs w:val="18"/>
                    </w:rPr>
                    <w:t>污染源调查</w:t>
                  </w:r>
                </w:p>
              </w:tc>
              <w:tc>
                <w:tcPr>
                  <w:tcW w:w="1487" w:type="dxa"/>
                  <w:vAlign w:val="center"/>
                </w:tcPr>
                <w:p>
                  <w:pPr>
                    <w:adjustRightInd w:val="0"/>
                    <w:snapToGrid w:val="0"/>
                    <w:jc w:val="center"/>
                    <w:rPr>
                      <w:color w:val="auto"/>
                      <w:sz w:val="18"/>
                      <w:szCs w:val="18"/>
                    </w:rPr>
                  </w:pPr>
                  <w:r>
                    <w:rPr>
                      <w:color w:val="auto"/>
                      <w:sz w:val="18"/>
                      <w:szCs w:val="18"/>
                    </w:rPr>
                    <w:t>调查内容</w:t>
                  </w:r>
                </w:p>
              </w:tc>
              <w:tc>
                <w:tcPr>
                  <w:tcW w:w="1853" w:type="dxa"/>
                  <w:gridSpan w:val="6"/>
                  <w:vAlign w:val="center"/>
                </w:tcPr>
                <w:p>
                  <w:pPr>
                    <w:adjustRightInd w:val="0"/>
                    <w:snapToGrid w:val="0"/>
                    <w:rPr>
                      <w:color w:val="auto"/>
                      <w:sz w:val="18"/>
                      <w:szCs w:val="18"/>
                    </w:rPr>
                  </w:pPr>
                  <w:r>
                    <w:rPr>
                      <w:color w:val="auto"/>
                      <w:sz w:val="18"/>
                      <w:szCs w:val="18"/>
                    </w:rPr>
                    <w:t>本项目正常排放源 √</w:t>
                  </w:r>
                </w:p>
                <w:p>
                  <w:pPr>
                    <w:adjustRightInd w:val="0"/>
                    <w:snapToGrid w:val="0"/>
                    <w:rPr>
                      <w:color w:val="auto"/>
                      <w:sz w:val="18"/>
                      <w:szCs w:val="18"/>
                    </w:rPr>
                  </w:pPr>
                  <w:r>
                    <w:rPr>
                      <w:color w:val="auto"/>
                      <w:sz w:val="18"/>
                      <w:szCs w:val="18"/>
                    </w:rPr>
                    <w:t>本项目非正常排放源□</w:t>
                  </w:r>
                </w:p>
                <w:p>
                  <w:pPr>
                    <w:adjustRightInd w:val="0"/>
                    <w:snapToGrid w:val="0"/>
                    <w:rPr>
                      <w:color w:val="auto"/>
                      <w:sz w:val="18"/>
                      <w:szCs w:val="18"/>
                    </w:rPr>
                  </w:pPr>
                  <w:r>
                    <w:rPr>
                      <w:color w:val="auto"/>
                      <w:sz w:val="18"/>
                      <w:szCs w:val="18"/>
                    </w:rPr>
                    <w:t xml:space="preserve">现有污染源□ </w:t>
                  </w:r>
                </w:p>
              </w:tc>
              <w:tc>
                <w:tcPr>
                  <w:tcW w:w="1480" w:type="dxa"/>
                  <w:gridSpan w:val="6"/>
                  <w:vAlign w:val="center"/>
                </w:tcPr>
                <w:p>
                  <w:pPr>
                    <w:adjustRightInd w:val="0"/>
                    <w:snapToGrid w:val="0"/>
                    <w:jc w:val="center"/>
                    <w:rPr>
                      <w:color w:val="auto"/>
                      <w:sz w:val="18"/>
                      <w:szCs w:val="18"/>
                    </w:rPr>
                  </w:pPr>
                  <w:r>
                    <w:rPr>
                      <w:color w:val="auto"/>
                      <w:sz w:val="18"/>
                      <w:szCs w:val="18"/>
                    </w:rPr>
                    <w:t>拟替代的污染源□</w:t>
                  </w:r>
                </w:p>
              </w:tc>
              <w:tc>
                <w:tcPr>
                  <w:tcW w:w="2000" w:type="dxa"/>
                  <w:gridSpan w:val="7"/>
                  <w:vAlign w:val="center"/>
                </w:tcPr>
                <w:p>
                  <w:pPr>
                    <w:adjustRightInd w:val="0"/>
                    <w:snapToGrid w:val="0"/>
                    <w:jc w:val="center"/>
                    <w:rPr>
                      <w:color w:val="auto"/>
                      <w:sz w:val="18"/>
                      <w:szCs w:val="18"/>
                    </w:rPr>
                  </w:pPr>
                  <w:r>
                    <w:rPr>
                      <w:color w:val="auto"/>
                      <w:sz w:val="18"/>
                      <w:szCs w:val="18"/>
                    </w:rPr>
                    <w:t>其他在建、拟建项目 污染源□</w:t>
                  </w:r>
                </w:p>
              </w:tc>
              <w:tc>
                <w:tcPr>
                  <w:tcW w:w="1113" w:type="dxa"/>
                  <w:gridSpan w:val="2"/>
                  <w:vAlign w:val="center"/>
                </w:tcPr>
                <w:p>
                  <w:pPr>
                    <w:adjustRightInd w:val="0"/>
                    <w:snapToGrid w:val="0"/>
                    <w:jc w:val="center"/>
                    <w:rPr>
                      <w:color w:val="auto"/>
                      <w:sz w:val="18"/>
                      <w:szCs w:val="18"/>
                    </w:rPr>
                  </w:pPr>
                  <w:r>
                    <w:rPr>
                      <w:color w:val="auto"/>
                      <w:sz w:val="18"/>
                      <w:szCs w:val="18"/>
                    </w:rPr>
                    <w:t>区域污染源□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大气环境影响预测与评价</w:t>
                  </w:r>
                </w:p>
              </w:tc>
              <w:tc>
                <w:tcPr>
                  <w:tcW w:w="1487" w:type="dxa"/>
                  <w:vAlign w:val="center"/>
                </w:tcPr>
                <w:p>
                  <w:pPr>
                    <w:adjustRightInd w:val="0"/>
                    <w:snapToGrid w:val="0"/>
                    <w:jc w:val="center"/>
                    <w:rPr>
                      <w:color w:val="auto"/>
                      <w:sz w:val="18"/>
                      <w:szCs w:val="18"/>
                    </w:rPr>
                  </w:pPr>
                  <w:r>
                    <w:rPr>
                      <w:color w:val="auto"/>
                      <w:sz w:val="18"/>
                      <w:szCs w:val="18"/>
                    </w:rPr>
                    <w:t>预测模型</w:t>
                  </w:r>
                </w:p>
              </w:tc>
              <w:tc>
                <w:tcPr>
                  <w:tcW w:w="928" w:type="dxa"/>
                  <w:vAlign w:val="center"/>
                </w:tcPr>
                <w:p>
                  <w:pPr>
                    <w:adjustRightInd w:val="0"/>
                    <w:snapToGrid w:val="0"/>
                    <w:jc w:val="center"/>
                    <w:rPr>
                      <w:color w:val="auto"/>
                      <w:sz w:val="18"/>
                      <w:szCs w:val="18"/>
                    </w:rPr>
                  </w:pPr>
                  <w:r>
                    <w:rPr>
                      <w:color w:val="auto"/>
                      <w:sz w:val="18"/>
                      <w:szCs w:val="18"/>
                    </w:rPr>
                    <w:t>AERMOD</w:t>
                  </w:r>
                </w:p>
                <w:p>
                  <w:pPr>
                    <w:adjustRightInd w:val="0"/>
                    <w:snapToGrid w:val="0"/>
                    <w:jc w:val="center"/>
                    <w:rPr>
                      <w:color w:val="auto"/>
                      <w:sz w:val="18"/>
                      <w:szCs w:val="18"/>
                    </w:rPr>
                  </w:pPr>
                  <w:r>
                    <w:rPr>
                      <w:color w:val="auto"/>
                      <w:sz w:val="18"/>
                      <w:szCs w:val="18"/>
                    </w:rPr>
                    <w:t>□</w:t>
                  </w:r>
                </w:p>
              </w:tc>
              <w:tc>
                <w:tcPr>
                  <w:tcW w:w="811" w:type="dxa"/>
                  <w:gridSpan w:val="4"/>
                  <w:vAlign w:val="center"/>
                </w:tcPr>
                <w:p>
                  <w:pPr>
                    <w:adjustRightInd w:val="0"/>
                    <w:snapToGrid w:val="0"/>
                    <w:jc w:val="center"/>
                    <w:rPr>
                      <w:color w:val="auto"/>
                      <w:sz w:val="18"/>
                      <w:szCs w:val="18"/>
                    </w:rPr>
                  </w:pPr>
                  <w:r>
                    <w:rPr>
                      <w:color w:val="auto"/>
                      <w:sz w:val="18"/>
                      <w:szCs w:val="18"/>
                    </w:rPr>
                    <w:t>ADMS</w:t>
                  </w:r>
                </w:p>
                <w:p>
                  <w:pPr>
                    <w:adjustRightInd w:val="0"/>
                    <w:snapToGrid w:val="0"/>
                    <w:jc w:val="center"/>
                    <w:rPr>
                      <w:color w:val="auto"/>
                      <w:sz w:val="18"/>
                      <w:szCs w:val="18"/>
                    </w:rPr>
                  </w:pPr>
                  <w:r>
                    <w:rPr>
                      <w:color w:val="auto"/>
                      <w:sz w:val="18"/>
                      <w:szCs w:val="18"/>
                    </w:rPr>
                    <w:t>□</w:t>
                  </w:r>
                </w:p>
              </w:tc>
              <w:tc>
                <w:tcPr>
                  <w:tcW w:w="1175" w:type="dxa"/>
                  <w:gridSpan w:val="5"/>
                  <w:vAlign w:val="center"/>
                </w:tcPr>
                <w:p>
                  <w:pPr>
                    <w:adjustRightInd w:val="0"/>
                    <w:snapToGrid w:val="0"/>
                    <w:jc w:val="center"/>
                    <w:rPr>
                      <w:color w:val="auto"/>
                      <w:sz w:val="18"/>
                      <w:szCs w:val="18"/>
                    </w:rPr>
                  </w:pPr>
                  <w:r>
                    <w:rPr>
                      <w:color w:val="auto"/>
                      <w:sz w:val="18"/>
                      <w:szCs w:val="18"/>
                    </w:rPr>
                    <w:t>AUSTAL2000□</w:t>
                  </w:r>
                </w:p>
              </w:tc>
              <w:tc>
                <w:tcPr>
                  <w:tcW w:w="1149" w:type="dxa"/>
                  <w:gridSpan w:val="4"/>
                  <w:vAlign w:val="center"/>
                </w:tcPr>
                <w:p>
                  <w:pPr>
                    <w:adjustRightInd w:val="0"/>
                    <w:snapToGrid w:val="0"/>
                    <w:jc w:val="center"/>
                    <w:rPr>
                      <w:color w:val="auto"/>
                      <w:sz w:val="18"/>
                      <w:szCs w:val="18"/>
                    </w:rPr>
                  </w:pPr>
                  <w:r>
                    <w:rPr>
                      <w:color w:val="auto"/>
                      <w:sz w:val="18"/>
                      <w:szCs w:val="18"/>
                    </w:rPr>
                    <w:t>EDMS/AEDT□</w:t>
                  </w:r>
                </w:p>
              </w:tc>
              <w:tc>
                <w:tcPr>
                  <w:tcW w:w="910" w:type="dxa"/>
                  <w:gridSpan w:val="3"/>
                  <w:vAlign w:val="center"/>
                </w:tcPr>
                <w:p>
                  <w:pPr>
                    <w:adjustRightInd w:val="0"/>
                    <w:snapToGrid w:val="0"/>
                    <w:jc w:val="center"/>
                    <w:rPr>
                      <w:color w:val="auto"/>
                      <w:sz w:val="18"/>
                      <w:szCs w:val="18"/>
                    </w:rPr>
                  </w:pPr>
                  <w:r>
                    <w:rPr>
                      <w:color w:val="auto"/>
                      <w:sz w:val="18"/>
                      <w:szCs w:val="18"/>
                    </w:rPr>
                    <w:t>CALPUFF□</w:t>
                  </w:r>
                </w:p>
              </w:tc>
              <w:tc>
                <w:tcPr>
                  <w:tcW w:w="796" w:type="dxa"/>
                  <w:gridSpan w:val="3"/>
                  <w:vAlign w:val="center"/>
                </w:tcPr>
                <w:p>
                  <w:pPr>
                    <w:adjustRightInd w:val="0"/>
                    <w:snapToGrid w:val="0"/>
                    <w:jc w:val="center"/>
                    <w:rPr>
                      <w:color w:val="auto"/>
                      <w:sz w:val="18"/>
                      <w:szCs w:val="18"/>
                    </w:rPr>
                  </w:pPr>
                  <w:r>
                    <w:rPr>
                      <w:color w:val="auto"/>
                      <w:sz w:val="18"/>
                      <w:szCs w:val="18"/>
                    </w:rPr>
                    <w:t>网格模型</w:t>
                  </w:r>
                </w:p>
                <w:p>
                  <w:pPr>
                    <w:adjustRightInd w:val="0"/>
                    <w:snapToGrid w:val="0"/>
                    <w:jc w:val="center"/>
                    <w:rPr>
                      <w:color w:val="auto"/>
                      <w:sz w:val="18"/>
                      <w:szCs w:val="18"/>
                    </w:rPr>
                  </w:pPr>
                  <w:r>
                    <w:rPr>
                      <w:color w:val="auto"/>
                      <w:sz w:val="18"/>
                      <w:szCs w:val="18"/>
                    </w:rPr>
                    <w:t>□</w:t>
                  </w:r>
                </w:p>
              </w:tc>
              <w:tc>
                <w:tcPr>
                  <w:tcW w:w="677" w:type="dxa"/>
                  <w:vAlign w:val="center"/>
                </w:tcPr>
                <w:p>
                  <w:pPr>
                    <w:adjustRightInd w:val="0"/>
                    <w:snapToGrid w:val="0"/>
                    <w:jc w:val="center"/>
                    <w:rPr>
                      <w:color w:val="auto"/>
                      <w:sz w:val="18"/>
                      <w:szCs w:val="18"/>
                    </w:rPr>
                  </w:pPr>
                  <w:r>
                    <w:rPr>
                      <w:color w:val="auto"/>
                      <w:sz w:val="18"/>
                      <w:szCs w:val="18"/>
                    </w:rPr>
                    <w:t>其他</w:t>
                  </w:r>
                </w:p>
                <w:p>
                  <w:pPr>
                    <w:adjustRightInd w:val="0"/>
                    <w:snapToGrid w:val="0"/>
                    <w:jc w:val="center"/>
                    <w:rPr>
                      <w:color w:val="auto"/>
                      <w:sz w:val="18"/>
                      <w:szCs w:val="18"/>
                    </w:rPr>
                  </w:pPr>
                  <w:r>
                    <w:rPr>
                      <w:color w:val="auto"/>
                      <w:sz w:val="18"/>
                      <w:szCs w:val="18"/>
                    </w:rPr>
                    <w:sym w:font="Wingdings 2" w:char="0052"/>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预测范围</w:t>
                  </w:r>
                </w:p>
              </w:tc>
              <w:tc>
                <w:tcPr>
                  <w:tcW w:w="1739" w:type="dxa"/>
                  <w:gridSpan w:val="5"/>
                  <w:vAlign w:val="center"/>
                </w:tcPr>
                <w:p>
                  <w:pPr>
                    <w:adjustRightInd w:val="0"/>
                    <w:snapToGrid w:val="0"/>
                    <w:jc w:val="center"/>
                    <w:rPr>
                      <w:color w:val="auto"/>
                      <w:sz w:val="18"/>
                      <w:szCs w:val="18"/>
                    </w:rPr>
                  </w:pPr>
                  <w:r>
                    <w:rPr>
                      <w:color w:val="auto"/>
                      <w:sz w:val="18"/>
                      <w:szCs w:val="18"/>
                    </w:rPr>
                    <w:t>边长≥ 50km□</w:t>
                  </w:r>
                </w:p>
              </w:tc>
              <w:tc>
                <w:tcPr>
                  <w:tcW w:w="3234" w:type="dxa"/>
                  <w:gridSpan w:val="12"/>
                  <w:vAlign w:val="center"/>
                </w:tcPr>
                <w:p>
                  <w:pPr>
                    <w:adjustRightInd w:val="0"/>
                    <w:snapToGrid w:val="0"/>
                    <w:jc w:val="center"/>
                    <w:rPr>
                      <w:color w:val="auto"/>
                      <w:sz w:val="18"/>
                      <w:szCs w:val="18"/>
                    </w:rPr>
                  </w:pPr>
                  <w:r>
                    <w:rPr>
                      <w:color w:val="auto"/>
                      <w:sz w:val="18"/>
                      <w:szCs w:val="18"/>
                    </w:rPr>
                    <w:t>边长 5～50km □</w:t>
                  </w:r>
                </w:p>
              </w:tc>
              <w:tc>
                <w:tcPr>
                  <w:tcW w:w="1473" w:type="dxa"/>
                  <w:gridSpan w:val="4"/>
                  <w:vAlign w:val="center"/>
                </w:tcPr>
                <w:p>
                  <w:pPr>
                    <w:adjustRightInd w:val="0"/>
                    <w:snapToGrid w:val="0"/>
                    <w:jc w:val="center"/>
                    <w:rPr>
                      <w:color w:val="auto"/>
                      <w:sz w:val="18"/>
                      <w:szCs w:val="18"/>
                    </w:rPr>
                  </w:pPr>
                  <w:r>
                    <w:rPr>
                      <w:color w:val="auto"/>
                      <w:sz w:val="18"/>
                      <w:szCs w:val="18"/>
                    </w:rPr>
                    <w:t>边长 = 5 km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预测因子</w:t>
                  </w:r>
                </w:p>
              </w:tc>
              <w:tc>
                <w:tcPr>
                  <w:tcW w:w="3333" w:type="dxa"/>
                  <w:gridSpan w:val="12"/>
                  <w:vAlign w:val="center"/>
                </w:tcPr>
                <w:p>
                  <w:pPr>
                    <w:tabs>
                      <w:tab w:val="left" w:pos="2960"/>
                    </w:tabs>
                    <w:adjustRightInd w:val="0"/>
                    <w:snapToGrid w:val="0"/>
                    <w:jc w:val="center"/>
                    <w:rPr>
                      <w:color w:val="auto"/>
                      <w:sz w:val="18"/>
                      <w:szCs w:val="18"/>
                    </w:rPr>
                  </w:pPr>
                  <w:r>
                    <w:rPr>
                      <w:color w:val="auto"/>
                      <w:sz w:val="18"/>
                      <w:szCs w:val="18"/>
                    </w:rPr>
                    <w:t>预测因子(</w:t>
                  </w:r>
                  <w:r>
                    <w:rPr>
                      <w:rFonts w:hint="eastAsia"/>
                      <w:color w:val="auto"/>
                      <w:sz w:val="18"/>
                      <w:szCs w:val="18"/>
                      <w:lang w:val="en-US" w:eastAsia="zh-CN"/>
                    </w:rPr>
                    <w:t>PM</w:t>
                  </w:r>
                  <w:r>
                    <w:rPr>
                      <w:rFonts w:hint="eastAsia"/>
                      <w:color w:val="auto"/>
                      <w:sz w:val="18"/>
                      <w:szCs w:val="18"/>
                      <w:vertAlign w:val="subscript"/>
                      <w:lang w:val="en-US" w:eastAsia="zh-CN"/>
                    </w:rPr>
                    <w:t>10</w:t>
                  </w:r>
                  <w:r>
                    <w:rPr>
                      <w:rFonts w:hint="eastAsia"/>
                      <w:color w:val="auto"/>
                      <w:sz w:val="18"/>
                      <w:szCs w:val="18"/>
                      <w:vertAlign w:val="baseline"/>
                      <w:lang w:val="en-US" w:eastAsia="zh-CN"/>
                    </w:rPr>
                    <w:t>、</w:t>
                  </w:r>
                  <w:r>
                    <w:rPr>
                      <w:rFonts w:hint="eastAsia"/>
                      <w:color w:val="auto"/>
                      <w:sz w:val="18"/>
                      <w:szCs w:val="18"/>
                      <w:lang w:eastAsia="zh-CN"/>
                    </w:rPr>
                    <w:t>非甲烷总烃、</w:t>
                  </w:r>
                  <w:r>
                    <w:rPr>
                      <w:rFonts w:hint="eastAsia"/>
                      <w:color w:val="auto"/>
                      <w:sz w:val="18"/>
                      <w:szCs w:val="18"/>
                    </w:rPr>
                    <w:t xml:space="preserve"> VOCs</w:t>
                  </w:r>
                  <w:r>
                    <w:rPr>
                      <w:color w:val="auto"/>
                      <w:sz w:val="18"/>
                      <w:szCs w:val="18"/>
                    </w:rPr>
                    <w:t>)</w:t>
                  </w:r>
                </w:p>
              </w:tc>
              <w:tc>
                <w:tcPr>
                  <w:tcW w:w="3113" w:type="dxa"/>
                  <w:gridSpan w:val="9"/>
                  <w:vAlign w:val="center"/>
                </w:tcPr>
                <w:p>
                  <w:pPr>
                    <w:adjustRightInd w:val="0"/>
                    <w:snapToGrid w:val="0"/>
                    <w:jc w:val="center"/>
                    <w:rPr>
                      <w:color w:val="auto"/>
                      <w:sz w:val="18"/>
                      <w:szCs w:val="18"/>
                    </w:rPr>
                  </w:pPr>
                  <w:r>
                    <w:rPr>
                      <w:color w:val="auto"/>
                      <w:sz w:val="18"/>
                      <w:szCs w:val="18"/>
                    </w:rPr>
                    <w:t>包括二次 PM2.5  □</w:t>
                  </w:r>
                </w:p>
                <w:p>
                  <w:pPr>
                    <w:adjustRightInd w:val="0"/>
                    <w:snapToGrid w:val="0"/>
                    <w:jc w:val="center"/>
                    <w:rPr>
                      <w:color w:val="auto"/>
                      <w:sz w:val="18"/>
                      <w:szCs w:val="18"/>
                    </w:rPr>
                  </w:pPr>
                  <w:r>
                    <w:rPr>
                      <w:color w:val="auto"/>
                      <w:sz w:val="18"/>
                      <w:szCs w:val="18"/>
                    </w:rPr>
                    <w:t xml:space="preserve">不包括二次 PM2.5  </w:t>
                  </w:r>
                  <w:r>
                    <w:rPr>
                      <w:color w:val="auto"/>
                      <w:sz w:val="18"/>
                      <w:szCs w:val="18"/>
                    </w:rPr>
                    <w:sym w:font="Wingdings 2" w:char="0052"/>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正常排放短期浓度 贡献值</w:t>
                  </w:r>
                </w:p>
              </w:tc>
              <w:tc>
                <w:tcPr>
                  <w:tcW w:w="3333" w:type="dxa"/>
                  <w:gridSpan w:val="12"/>
                  <w:vAlign w:val="center"/>
                </w:tcPr>
                <w:p>
                  <w:pPr>
                    <w:tabs>
                      <w:tab w:val="left" w:pos="1240"/>
                    </w:tabs>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最大占标率≤100%□</w:t>
                  </w:r>
                </w:p>
              </w:tc>
              <w:tc>
                <w:tcPr>
                  <w:tcW w:w="3113" w:type="dxa"/>
                  <w:gridSpan w:val="9"/>
                  <w:vAlign w:val="center"/>
                </w:tcPr>
                <w:p>
                  <w:pPr>
                    <w:tabs>
                      <w:tab w:val="left" w:pos="840"/>
                    </w:tabs>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最大占标率＞100%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Merge w:val="restart"/>
                  <w:vAlign w:val="center"/>
                </w:tcPr>
                <w:p>
                  <w:pPr>
                    <w:adjustRightInd w:val="0"/>
                    <w:snapToGrid w:val="0"/>
                    <w:jc w:val="center"/>
                    <w:rPr>
                      <w:color w:val="auto"/>
                      <w:sz w:val="18"/>
                      <w:szCs w:val="18"/>
                    </w:rPr>
                  </w:pPr>
                  <w:r>
                    <w:rPr>
                      <w:color w:val="auto"/>
                      <w:sz w:val="18"/>
                      <w:szCs w:val="18"/>
                    </w:rPr>
                    <w:t>正常排放年均浓度 贡献值</w:t>
                  </w:r>
                </w:p>
              </w:tc>
              <w:tc>
                <w:tcPr>
                  <w:tcW w:w="928" w:type="dxa"/>
                  <w:vAlign w:val="center"/>
                </w:tcPr>
                <w:p>
                  <w:pPr>
                    <w:adjustRightInd w:val="0"/>
                    <w:snapToGrid w:val="0"/>
                    <w:jc w:val="center"/>
                    <w:rPr>
                      <w:color w:val="auto"/>
                      <w:sz w:val="18"/>
                      <w:szCs w:val="18"/>
                    </w:rPr>
                  </w:pPr>
                  <w:r>
                    <w:rPr>
                      <w:color w:val="auto"/>
                      <w:sz w:val="18"/>
                      <w:szCs w:val="18"/>
                    </w:rPr>
                    <w:t>一类区</w:t>
                  </w:r>
                </w:p>
              </w:tc>
              <w:tc>
                <w:tcPr>
                  <w:tcW w:w="2405" w:type="dxa"/>
                  <w:gridSpan w:val="11"/>
                  <w:vAlign w:val="center"/>
                </w:tcPr>
                <w:p>
                  <w:pPr>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w:t>
                  </w:r>
                </w:p>
              </w:tc>
              <w:tc>
                <w:tcPr>
                  <w:tcW w:w="3113" w:type="dxa"/>
                  <w:gridSpan w:val="9"/>
                  <w:vAlign w:val="center"/>
                </w:tcPr>
                <w:p>
                  <w:pPr>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最大标率＞10%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Merge w:val="continue"/>
                  <w:vAlign w:val="center"/>
                </w:tcPr>
                <w:p>
                  <w:pPr>
                    <w:adjustRightInd w:val="0"/>
                    <w:snapToGrid w:val="0"/>
                    <w:jc w:val="center"/>
                    <w:rPr>
                      <w:color w:val="auto"/>
                      <w:sz w:val="18"/>
                      <w:szCs w:val="18"/>
                    </w:rPr>
                  </w:pPr>
                </w:p>
              </w:tc>
              <w:tc>
                <w:tcPr>
                  <w:tcW w:w="928" w:type="dxa"/>
                  <w:vAlign w:val="center"/>
                </w:tcPr>
                <w:p>
                  <w:pPr>
                    <w:adjustRightInd w:val="0"/>
                    <w:snapToGrid w:val="0"/>
                    <w:jc w:val="center"/>
                    <w:rPr>
                      <w:color w:val="auto"/>
                      <w:sz w:val="18"/>
                      <w:szCs w:val="18"/>
                    </w:rPr>
                  </w:pPr>
                  <w:r>
                    <w:rPr>
                      <w:color w:val="auto"/>
                      <w:sz w:val="18"/>
                      <w:szCs w:val="18"/>
                    </w:rPr>
                    <w:t>二类区</w:t>
                  </w:r>
                </w:p>
              </w:tc>
              <w:tc>
                <w:tcPr>
                  <w:tcW w:w="2405" w:type="dxa"/>
                  <w:gridSpan w:val="11"/>
                  <w:vAlign w:val="center"/>
                </w:tcPr>
                <w:p>
                  <w:pPr>
                    <w:tabs>
                      <w:tab w:val="left" w:pos="780"/>
                    </w:tabs>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最大占标率≤30%</w:t>
                  </w:r>
                  <w:r>
                    <w:rPr>
                      <w:color w:val="auto"/>
                      <w:sz w:val="18"/>
                      <w:szCs w:val="18"/>
                    </w:rPr>
                    <w:sym w:font="Wingdings 2" w:char="0052"/>
                  </w:r>
                </w:p>
              </w:tc>
              <w:tc>
                <w:tcPr>
                  <w:tcW w:w="3113" w:type="dxa"/>
                  <w:gridSpan w:val="9"/>
                  <w:vAlign w:val="center"/>
                </w:tcPr>
                <w:p>
                  <w:pPr>
                    <w:tabs>
                      <w:tab w:val="left" w:pos="980"/>
                    </w:tabs>
                    <w:adjustRightInd w:val="0"/>
                    <w:snapToGrid w:val="0"/>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最大标率＞30%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非正常排放1h浓度贡献值</w:t>
                  </w:r>
                </w:p>
              </w:tc>
              <w:tc>
                <w:tcPr>
                  <w:tcW w:w="1379" w:type="dxa"/>
                  <w:gridSpan w:val="4"/>
                  <w:vAlign w:val="center"/>
                </w:tcPr>
                <w:p>
                  <w:pPr>
                    <w:adjustRightInd w:val="0"/>
                    <w:snapToGrid w:val="0"/>
                    <w:jc w:val="center"/>
                    <w:rPr>
                      <w:color w:val="auto"/>
                      <w:sz w:val="18"/>
                      <w:szCs w:val="18"/>
                    </w:rPr>
                  </w:pPr>
                  <w:r>
                    <w:rPr>
                      <w:color w:val="auto"/>
                      <w:sz w:val="18"/>
                      <w:szCs w:val="18"/>
                    </w:rPr>
                    <w:t>非正常持续时长</w:t>
                  </w:r>
                </w:p>
                <w:p>
                  <w:pPr>
                    <w:adjustRightInd w:val="0"/>
                    <w:snapToGrid w:val="0"/>
                    <w:jc w:val="center"/>
                    <w:rPr>
                      <w:color w:val="auto"/>
                      <w:sz w:val="18"/>
                      <w:szCs w:val="18"/>
                    </w:rPr>
                  </w:pPr>
                  <w:r>
                    <w:rPr>
                      <w:color w:val="auto"/>
                      <w:sz w:val="18"/>
                      <w:szCs w:val="18"/>
                    </w:rPr>
                    <w:t>（）h</w:t>
                  </w:r>
                </w:p>
              </w:tc>
              <w:tc>
                <w:tcPr>
                  <w:tcW w:w="2884" w:type="dxa"/>
                  <w:gridSpan w:val="11"/>
                  <w:vAlign w:val="center"/>
                </w:tcPr>
                <w:p>
                  <w:pPr>
                    <w:tabs>
                      <w:tab w:val="left" w:pos="920"/>
                    </w:tabs>
                    <w:adjustRightInd w:val="0"/>
                    <w:snapToGrid w:val="0"/>
                    <w:jc w:val="center"/>
                    <w:rPr>
                      <w:color w:val="auto"/>
                      <w:sz w:val="18"/>
                      <w:szCs w:val="18"/>
                    </w:rPr>
                  </w:pPr>
                  <w:r>
                    <w:rPr>
                      <w:color w:val="auto"/>
                      <w:sz w:val="18"/>
                      <w:szCs w:val="18"/>
                    </w:rPr>
                    <w:t>C</w:t>
                  </w:r>
                  <w:r>
                    <w:rPr>
                      <w:rFonts w:hint="eastAsia"/>
                      <w:color w:val="auto"/>
                      <w:sz w:val="18"/>
                      <w:szCs w:val="18"/>
                      <w:vertAlign w:val="subscript"/>
                    </w:rPr>
                    <w:t>非正</w:t>
                  </w:r>
                  <w:r>
                    <w:rPr>
                      <w:color w:val="auto"/>
                      <w:sz w:val="18"/>
                      <w:szCs w:val="18"/>
                    </w:rPr>
                    <w:t>占标率≤100% □</w:t>
                  </w:r>
                </w:p>
              </w:tc>
              <w:tc>
                <w:tcPr>
                  <w:tcW w:w="2183" w:type="dxa"/>
                  <w:gridSpan w:val="6"/>
                  <w:vAlign w:val="center"/>
                </w:tcPr>
                <w:p>
                  <w:pPr>
                    <w:tabs>
                      <w:tab w:val="left" w:pos="760"/>
                    </w:tabs>
                    <w:adjustRightInd w:val="0"/>
                    <w:snapToGrid w:val="0"/>
                    <w:jc w:val="center"/>
                    <w:rPr>
                      <w:color w:val="auto"/>
                      <w:sz w:val="18"/>
                      <w:szCs w:val="18"/>
                    </w:rPr>
                  </w:pPr>
                  <w:r>
                    <w:rPr>
                      <w:color w:val="auto"/>
                      <w:sz w:val="18"/>
                      <w:szCs w:val="18"/>
                    </w:rPr>
                    <w:t>C</w:t>
                  </w:r>
                  <w:r>
                    <w:rPr>
                      <w:rFonts w:hint="eastAsia"/>
                      <w:color w:val="auto"/>
                      <w:sz w:val="18"/>
                      <w:szCs w:val="18"/>
                      <w:vertAlign w:val="subscript"/>
                    </w:rPr>
                    <w:t>非正常</w:t>
                  </w:r>
                  <w:r>
                    <w:rPr>
                      <w:color w:val="auto"/>
                      <w:sz w:val="18"/>
                      <w:szCs w:val="18"/>
                    </w:rPr>
                    <w:t>占标率＞100%□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保证率日平均浓度和年平均浓度叠加值</w:t>
                  </w:r>
                </w:p>
              </w:tc>
              <w:tc>
                <w:tcPr>
                  <w:tcW w:w="3034" w:type="dxa"/>
                  <w:gridSpan w:val="11"/>
                  <w:vAlign w:val="center"/>
                </w:tcPr>
                <w:p>
                  <w:pPr>
                    <w:pStyle w:val="79"/>
                    <w:jc w:val="center"/>
                    <w:rPr>
                      <w:rFonts w:ascii="Times New Roman" w:cs="Times New Roman"/>
                      <w:color w:val="auto"/>
                      <w:sz w:val="18"/>
                      <w:szCs w:val="18"/>
                    </w:rPr>
                  </w:pPr>
                  <w:r>
                    <w:rPr>
                      <w:rFonts w:ascii="Times New Roman" w:cs="Times New Roman"/>
                      <w:color w:val="auto"/>
                      <w:sz w:val="18"/>
                      <w:szCs w:val="18"/>
                    </w:rPr>
                    <w:t>C</w:t>
                  </w:r>
                  <w:r>
                    <w:rPr>
                      <w:rFonts w:hint="eastAsia" w:ascii="Times New Roman" w:cs="Times New Roman"/>
                      <w:color w:val="auto"/>
                      <w:sz w:val="18"/>
                      <w:szCs w:val="18"/>
                      <w:vertAlign w:val="subscript"/>
                    </w:rPr>
                    <w:t>叠加</w:t>
                  </w:r>
                  <w:r>
                    <w:rPr>
                      <w:rFonts w:ascii="Times New Roman" w:cs="Times New Roman"/>
                      <w:color w:val="auto"/>
                      <w:sz w:val="18"/>
                      <w:szCs w:val="18"/>
                    </w:rPr>
                    <w:t>达标 □</w:t>
                  </w:r>
                </w:p>
              </w:tc>
              <w:tc>
                <w:tcPr>
                  <w:tcW w:w="3412" w:type="dxa"/>
                  <w:gridSpan w:val="10"/>
                  <w:vAlign w:val="center"/>
                </w:tcPr>
                <w:p>
                  <w:pPr>
                    <w:tabs>
                      <w:tab w:val="left" w:pos="1520"/>
                    </w:tabs>
                    <w:adjustRightInd w:val="0"/>
                    <w:snapToGrid w:val="0"/>
                    <w:jc w:val="center"/>
                    <w:rPr>
                      <w:color w:val="auto"/>
                      <w:sz w:val="18"/>
                      <w:szCs w:val="18"/>
                    </w:rPr>
                  </w:pPr>
                  <w:r>
                    <w:rPr>
                      <w:color w:val="auto"/>
                      <w:sz w:val="18"/>
                      <w:szCs w:val="18"/>
                    </w:rPr>
                    <w:t>C</w:t>
                  </w:r>
                  <w:r>
                    <w:rPr>
                      <w:rFonts w:hint="eastAsia"/>
                      <w:color w:val="auto"/>
                      <w:sz w:val="18"/>
                      <w:szCs w:val="18"/>
                      <w:vertAlign w:val="subscript"/>
                    </w:rPr>
                    <w:t>叠加</w:t>
                  </w:r>
                  <w:r>
                    <w:rPr>
                      <w:color w:val="auto"/>
                      <w:sz w:val="18"/>
                      <w:szCs w:val="18"/>
                    </w:rPr>
                    <w:t>不达标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区域环境质量的整体变化情况</w:t>
                  </w:r>
                </w:p>
              </w:tc>
              <w:tc>
                <w:tcPr>
                  <w:tcW w:w="3034" w:type="dxa"/>
                  <w:gridSpan w:val="11"/>
                  <w:vAlign w:val="center"/>
                </w:tcPr>
                <w:p>
                  <w:pPr>
                    <w:adjustRightInd w:val="0"/>
                    <w:snapToGrid w:val="0"/>
                    <w:jc w:val="center"/>
                    <w:rPr>
                      <w:color w:val="auto"/>
                      <w:sz w:val="18"/>
                      <w:szCs w:val="18"/>
                    </w:rPr>
                  </w:pPr>
                  <w:r>
                    <w:rPr>
                      <w:color w:val="auto"/>
                      <w:sz w:val="18"/>
                      <w:szCs w:val="18"/>
                    </w:rPr>
                    <w:t>k ≤-20% □</w:t>
                  </w:r>
                </w:p>
              </w:tc>
              <w:tc>
                <w:tcPr>
                  <w:tcW w:w="3412" w:type="dxa"/>
                  <w:gridSpan w:val="10"/>
                  <w:vAlign w:val="center"/>
                </w:tcPr>
                <w:p>
                  <w:pPr>
                    <w:adjustRightInd w:val="0"/>
                    <w:snapToGrid w:val="0"/>
                    <w:jc w:val="center"/>
                    <w:rPr>
                      <w:color w:val="auto"/>
                      <w:sz w:val="18"/>
                      <w:szCs w:val="18"/>
                    </w:rPr>
                  </w:pPr>
                  <w:r>
                    <w:rPr>
                      <w:color w:val="auto"/>
                      <w:sz w:val="18"/>
                      <w:szCs w:val="18"/>
                    </w:rPr>
                    <w:t>k＞-20%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环境监测 计划</w:t>
                  </w:r>
                </w:p>
              </w:tc>
              <w:tc>
                <w:tcPr>
                  <w:tcW w:w="1487" w:type="dxa"/>
                  <w:vAlign w:val="center"/>
                </w:tcPr>
                <w:p>
                  <w:pPr>
                    <w:adjustRightInd w:val="0"/>
                    <w:snapToGrid w:val="0"/>
                    <w:jc w:val="center"/>
                    <w:rPr>
                      <w:color w:val="auto"/>
                      <w:sz w:val="18"/>
                      <w:szCs w:val="18"/>
                    </w:rPr>
                  </w:pPr>
                  <w:r>
                    <w:rPr>
                      <w:color w:val="auto"/>
                      <w:sz w:val="18"/>
                      <w:szCs w:val="18"/>
                    </w:rPr>
                    <w:t>污染源监测</w:t>
                  </w:r>
                </w:p>
              </w:tc>
              <w:tc>
                <w:tcPr>
                  <w:tcW w:w="2764" w:type="dxa"/>
                  <w:gridSpan w:val="9"/>
                  <w:vAlign w:val="center"/>
                </w:tcPr>
                <w:p>
                  <w:pPr>
                    <w:tabs>
                      <w:tab w:val="left" w:pos="2440"/>
                    </w:tabs>
                    <w:adjustRightInd w:val="0"/>
                    <w:snapToGrid w:val="0"/>
                    <w:jc w:val="center"/>
                    <w:rPr>
                      <w:color w:val="auto"/>
                      <w:sz w:val="18"/>
                      <w:szCs w:val="18"/>
                    </w:rPr>
                  </w:pPr>
                  <w:r>
                    <w:rPr>
                      <w:color w:val="auto"/>
                      <w:sz w:val="18"/>
                      <w:szCs w:val="18"/>
                    </w:rPr>
                    <w:t>监测因子：（</w:t>
                  </w:r>
                  <w:r>
                    <w:rPr>
                      <w:rFonts w:hint="eastAsia"/>
                      <w:color w:val="auto"/>
                      <w:sz w:val="18"/>
                      <w:szCs w:val="18"/>
                      <w:lang w:val="en-US" w:eastAsia="zh-CN"/>
                    </w:rPr>
                    <w:t>PM</w:t>
                  </w:r>
                  <w:r>
                    <w:rPr>
                      <w:rFonts w:hint="eastAsia"/>
                      <w:color w:val="auto"/>
                      <w:sz w:val="18"/>
                      <w:szCs w:val="18"/>
                      <w:vertAlign w:val="subscript"/>
                      <w:lang w:val="en-US" w:eastAsia="zh-CN"/>
                    </w:rPr>
                    <w:t>10</w:t>
                  </w:r>
                  <w:r>
                    <w:rPr>
                      <w:rFonts w:hint="eastAsia"/>
                      <w:color w:val="auto"/>
                      <w:sz w:val="18"/>
                      <w:szCs w:val="18"/>
                      <w:vertAlign w:val="baseline"/>
                      <w:lang w:val="en-US" w:eastAsia="zh-CN"/>
                    </w:rPr>
                    <w:t>、</w:t>
                  </w:r>
                  <w:r>
                    <w:rPr>
                      <w:rFonts w:hint="eastAsia"/>
                      <w:color w:val="auto"/>
                      <w:sz w:val="18"/>
                      <w:szCs w:val="18"/>
                      <w:lang w:eastAsia="zh-CN"/>
                    </w:rPr>
                    <w:t>非甲烷总烃、</w:t>
                  </w:r>
                  <w:r>
                    <w:rPr>
                      <w:rFonts w:hint="eastAsia"/>
                      <w:color w:val="auto"/>
                      <w:sz w:val="18"/>
                      <w:szCs w:val="18"/>
                    </w:rPr>
                    <w:t xml:space="preserve"> VOCs</w:t>
                  </w:r>
                  <w:r>
                    <w:rPr>
                      <w:color w:val="auto"/>
                      <w:sz w:val="18"/>
                      <w:szCs w:val="18"/>
                    </w:rPr>
                    <w:t>）</w:t>
                  </w:r>
                </w:p>
              </w:tc>
              <w:tc>
                <w:tcPr>
                  <w:tcW w:w="2569" w:type="dxa"/>
                  <w:gridSpan w:val="10"/>
                  <w:vAlign w:val="center"/>
                </w:tcPr>
                <w:p>
                  <w:pPr>
                    <w:adjustRightInd w:val="0"/>
                    <w:snapToGrid w:val="0"/>
                    <w:jc w:val="center"/>
                    <w:rPr>
                      <w:color w:val="auto"/>
                      <w:sz w:val="18"/>
                      <w:szCs w:val="18"/>
                    </w:rPr>
                  </w:pPr>
                  <w:r>
                    <w:rPr>
                      <w:color w:val="auto"/>
                      <w:sz w:val="18"/>
                      <w:szCs w:val="18"/>
                    </w:rPr>
                    <w:t xml:space="preserve">有组织废气监测 </w:t>
                  </w:r>
                  <w:r>
                    <w:rPr>
                      <w:color w:val="auto"/>
                      <w:sz w:val="18"/>
                      <w:szCs w:val="18"/>
                    </w:rPr>
                    <w:sym w:font="Wingdings 2" w:char="0052"/>
                  </w:r>
                </w:p>
                <w:p>
                  <w:pPr>
                    <w:adjustRightInd w:val="0"/>
                    <w:snapToGrid w:val="0"/>
                    <w:jc w:val="center"/>
                    <w:rPr>
                      <w:color w:val="auto"/>
                      <w:sz w:val="18"/>
                      <w:szCs w:val="18"/>
                    </w:rPr>
                  </w:pPr>
                  <w:r>
                    <w:rPr>
                      <w:color w:val="auto"/>
                      <w:sz w:val="18"/>
                      <w:szCs w:val="18"/>
                    </w:rPr>
                    <w:t>无组织废气监测 √</w:t>
                  </w:r>
                </w:p>
              </w:tc>
              <w:tc>
                <w:tcPr>
                  <w:tcW w:w="1113" w:type="dxa"/>
                  <w:gridSpan w:val="2"/>
                  <w:vAlign w:val="center"/>
                </w:tcPr>
                <w:p>
                  <w:pPr>
                    <w:adjustRightInd w:val="0"/>
                    <w:snapToGrid w:val="0"/>
                    <w:jc w:val="center"/>
                    <w:rPr>
                      <w:color w:val="auto"/>
                      <w:sz w:val="18"/>
                      <w:szCs w:val="18"/>
                    </w:rPr>
                  </w:pPr>
                  <w:r>
                    <w:rPr>
                      <w:color w:val="auto"/>
                      <w:sz w:val="18"/>
                      <w:szCs w:val="18"/>
                    </w:rPr>
                    <w:t>无监测□</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环境质量监测</w:t>
                  </w:r>
                </w:p>
              </w:tc>
              <w:tc>
                <w:tcPr>
                  <w:tcW w:w="2764" w:type="dxa"/>
                  <w:gridSpan w:val="9"/>
                  <w:vAlign w:val="center"/>
                </w:tcPr>
                <w:p>
                  <w:pPr>
                    <w:tabs>
                      <w:tab w:val="left" w:pos="2440"/>
                    </w:tabs>
                    <w:adjustRightInd w:val="0"/>
                    <w:snapToGrid w:val="0"/>
                    <w:jc w:val="center"/>
                    <w:rPr>
                      <w:color w:val="auto"/>
                      <w:sz w:val="18"/>
                      <w:szCs w:val="18"/>
                    </w:rPr>
                  </w:pPr>
                  <w:r>
                    <w:rPr>
                      <w:color w:val="auto"/>
                      <w:sz w:val="18"/>
                      <w:szCs w:val="18"/>
                    </w:rPr>
                    <w:t>监测因子：（</w:t>
                  </w:r>
                  <w:r>
                    <w:rPr>
                      <w:rFonts w:hint="eastAsia"/>
                      <w:color w:val="auto"/>
                      <w:sz w:val="18"/>
                      <w:szCs w:val="18"/>
                    </w:rPr>
                    <w:t>/</w:t>
                  </w:r>
                  <w:r>
                    <w:rPr>
                      <w:color w:val="auto"/>
                      <w:sz w:val="18"/>
                      <w:szCs w:val="18"/>
                    </w:rPr>
                    <w:t>）</w:t>
                  </w:r>
                </w:p>
              </w:tc>
              <w:tc>
                <w:tcPr>
                  <w:tcW w:w="2569" w:type="dxa"/>
                  <w:gridSpan w:val="10"/>
                  <w:vAlign w:val="center"/>
                </w:tcPr>
                <w:p>
                  <w:pPr>
                    <w:tabs>
                      <w:tab w:val="left" w:pos="1900"/>
                    </w:tabs>
                    <w:adjustRightInd w:val="0"/>
                    <w:snapToGrid w:val="0"/>
                    <w:jc w:val="center"/>
                    <w:rPr>
                      <w:color w:val="auto"/>
                      <w:sz w:val="18"/>
                      <w:szCs w:val="18"/>
                    </w:rPr>
                  </w:pPr>
                  <w:r>
                    <w:rPr>
                      <w:color w:val="auto"/>
                      <w:sz w:val="18"/>
                      <w:szCs w:val="18"/>
                    </w:rPr>
                    <w:t>监测点位数（</w:t>
                  </w:r>
                  <w:r>
                    <w:rPr>
                      <w:rFonts w:hint="eastAsia"/>
                      <w:color w:val="auto"/>
                      <w:sz w:val="18"/>
                      <w:szCs w:val="18"/>
                    </w:rPr>
                    <w:t>/</w:t>
                  </w:r>
                  <w:r>
                    <w:rPr>
                      <w:color w:val="auto"/>
                      <w:sz w:val="18"/>
                      <w:szCs w:val="18"/>
                    </w:rPr>
                    <w:t>）</w:t>
                  </w:r>
                </w:p>
              </w:tc>
              <w:tc>
                <w:tcPr>
                  <w:tcW w:w="1113" w:type="dxa"/>
                  <w:gridSpan w:val="2"/>
                  <w:vAlign w:val="center"/>
                </w:tcPr>
                <w:p>
                  <w:pPr>
                    <w:adjustRightInd w:val="0"/>
                    <w:snapToGrid w:val="0"/>
                    <w:jc w:val="center"/>
                    <w:rPr>
                      <w:color w:val="auto"/>
                      <w:sz w:val="18"/>
                      <w:szCs w:val="18"/>
                    </w:rPr>
                  </w:pPr>
                  <w:r>
                    <w:rPr>
                      <w:color w:val="auto"/>
                      <w:sz w:val="18"/>
                      <w:szCs w:val="18"/>
                    </w:rPr>
                    <w:t>无监测□</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restart"/>
                  <w:vAlign w:val="center"/>
                </w:tcPr>
                <w:p>
                  <w:pPr>
                    <w:adjustRightInd w:val="0"/>
                    <w:snapToGrid w:val="0"/>
                    <w:jc w:val="center"/>
                    <w:rPr>
                      <w:color w:val="auto"/>
                      <w:sz w:val="18"/>
                      <w:szCs w:val="18"/>
                    </w:rPr>
                  </w:pPr>
                  <w:r>
                    <w:rPr>
                      <w:color w:val="auto"/>
                      <w:sz w:val="18"/>
                      <w:szCs w:val="18"/>
                    </w:rPr>
                    <w:t>评价结论</w:t>
                  </w:r>
                </w:p>
              </w:tc>
              <w:tc>
                <w:tcPr>
                  <w:tcW w:w="1487" w:type="dxa"/>
                  <w:vAlign w:val="center"/>
                </w:tcPr>
                <w:p>
                  <w:pPr>
                    <w:adjustRightInd w:val="0"/>
                    <w:snapToGrid w:val="0"/>
                    <w:jc w:val="center"/>
                    <w:rPr>
                      <w:color w:val="auto"/>
                      <w:sz w:val="18"/>
                      <w:szCs w:val="18"/>
                    </w:rPr>
                  </w:pPr>
                  <w:r>
                    <w:rPr>
                      <w:color w:val="auto"/>
                      <w:sz w:val="18"/>
                      <w:szCs w:val="18"/>
                    </w:rPr>
                    <w:t>环境影响</w:t>
                  </w:r>
                </w:p>
              </w:tc>
              <w:tc>
                <w:tcPr>
                  <w:tcW w:w="6446" w:type="dxa"/>
                  <w:gridSpan w:val="21"/>
                  <w:vAlign w:val="center"/>
                </w:tcPr>
                <w:p>
                  <w:pPr>
                    <w:tabs>
                      <w:tab w:val="left" w:pos="3560"/>
                    </w:tabs>
                    <w:adjustRightInd w:val="0"/>
                    <w:snapToGrid w:val="0"/>
                    <w:jc w:val="center"/>
                    <w:rPr>
                      <w:color w:val="auto"/>
                      <w:sz w:val="18"/>
                      <w:szCs w:val="18"/>
                    </w:rPr>
                  </w:pPr>
                  <w:r>
                    <w:rPr>
                      <w:color w:val="auto"/>
                      <w:sz w:val="18"/>
                      <w:szCs w:val="18"/>
                    </w:rPr>
                    <w:t>可以接受 √</w:t>
                  </w:r>
                  <w:r>
                    <w:rPr>
                      <w:color w:val="auto"/>
                      <w:sz w:val="18"/>
                      <w:szCs w:val="18"/>
                    </w:rPr>
                    <w:tab/>
                  </w:r>
                  <w:r>
                    <w:rPr>
                      <w:color w:val="auto"/>
                      <w:sz w:val="18"/>
                      <w:szCs w:val="18"/>
                    </w:rPr>
                    <w:t>不可以接受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大气环境防护距离</w:t>
                  </w:r>
                </w:p>
              </w:tc>
              <w:tc>
                <w:tcPr>
                  <w:tcW w:w="6446" w:type="dxa"/>
                  <w:gridSpan w:val="21"/>
                  <w:vAlign w:val="center"/>
                </w:tcPr>
                <w:p>
                  <w:pPr>
                    <w:tabs>
                      <w:tab w:val="left" w:pos="2820"/>
                      <w:tab w:val="left" w:pos="4340"/>
                    </w:tabs>
                    <w:adjustRightInd w:val="0"/>
                    <w:snapToGrid w:val="0"/>
                    <w:jc w:val="center"/>
                    <w:rPr>
                      <w:color w:val="auto"/>
                      <w:sz w:val="18"/>
                      <w:szCs w:val="18"/>
                    </w:rPr>
                  </w:pPr>
                  <w:r>
                    <w:rPr>
                      <w:color w:val="auto"/>
                      <w:sz w:val="18"/>
                      <w:szCs w:val="18"/>
                    </w:rPr>
                    <w:t>距（）厂界最远（）m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6" w:type="dxa"/>
                  <w:vMerge w:val="continue"/>
                  <w:vAlign w:val="center"/>
                </w:tcPr>
                <w:p>
                  <w:pPr>
                    <w:adjustRightInd w:val="0"/>
                    <w:snapToGrid w:val="0"/>
                    <w:jc w:val="center"/>
                    <w:rPr>
                      <w:color w:val="auto"/>
                      <w:sz w:val="18"/>
                      <w:szCs w:val="18"/>
                    </w:rPr>
                  </w:pPr>
                </w:p>
              </w:tc>
              <w:tc>
                <w:tcPr>
                  <w:tcW w:w="1487" w:type="dxa"/>
                  <w:vAlign w:val="center"/>
                </w:tcPr>
                <w:p>
                  <w:pPr>
                    <w:adjustRightInd w:val="0"/>
                    <w:snapToGrid w:val="0"/>
                    <w:jc w:val="center"/>
                    <w:rPr>
                      <w:color w:val="auto"/>
                      <w:sz w:val="18"/>
                      <w:szCs w:val="18"/>
                    </w:rPr>
                  </w:pPr>
                  <w:r>
                    <w:rPr>
                      <w:color w:val="auto"/>
                      <w:sz w:val="18"/>
                      <w:szCs w:val="18"/>
                    </w:rPr>
                    <w:t>污染源年排放量</w:t>
                  </w:r>
                </w:p>
              </w:tc>
              <w:tc>
                <w:tcPr>
                  <w:tcW w:w="1289" w:type="dxa"/>
                  <w:gridSpan w:val="3"/>
                  <w:vAlign w:val="center"/>
                </w:tcPr>
                <w:p>
                  <w:pPr>
                    <w:tabs>
                      <w:tab w:val="left" w:pos="1020"/>
                    </w:tabs>
                    <w:adjustRightInd w:val="0"/>
                    <w:snapToGrid w:val="0"/>
                    <w:jc w:val="center"/>
                    <w:rPr>
                      <w:color w:val="auto"/>
                      <w:sz w:val="18"/>
                      <w:szCs w:val="18"/>
                    </w:rPr>
                  </w:pPr>
                  <w:r>
                    <w:rPr>
                      <w:color w:val="auto"/>
                      <w:sz w:val="18"/>
                      <w:szCs w:val="18"/>
                    </w:rPr>
                    <w:t>SO</w:t>
                  </w:r>
                  <w:r>
                    <w:rPr>
                      <w:color w:val="auto"/>
                      <w:sz w:val="18"/>
                      <w:szCs w:val="18"/>
                      <w:vertAlign w:val="subscript"/>
                    </w:rPr>
                    <w:t>2</w:t>
                  </w:r>
                  <w:r>
                    <w:rPr>
                      <w:color w:val="auto"/>
                      <w:sz w:val="18"/>
                      <w:szCs w:val="18"/>
                    </w:rPr>
                    <w:t>:（</w:t>
                  </w:r>
                  <w:r>
                    <w:rPr>
                      <w:rFonts w:hint="eastAsia"/>
                      <w:color w:val="auto"/>
                      <w:sz w:val="18"/>
                      <w:szCs w:val="18"/>
                    </w:rPr>
                    <w:t>0</w:t>
                  </w:r>
                  <w:r>
                    <w:rPr>
                      <w:color w:val="auto"/>
                      <w:sz w:val="18"/>
                      <w:szCs w:val="18"/>
                    </w:rPr>
                    <w:t>）t/a</w:t>
                  </w:r>
                </w:p>
              </w:tc>
              <w:tc>
                <w:tcPr>
                  <w:tcW w:w="1289" w:type="dxa"/>
                  <w:gridSpan w:val="5"/>
                  <w:vAlign w:val="center"/>
                </w:tcPr>
                <w:p>
                  <w:pPr>
                    <w:tabs>
                      <w:tab w:val="left" w:pos="1020"/>
                    </w:tabs>
                    <w:adjustRightInd w:val="0"/>
                    <w:snapToGrid w:val="0"/>
                    <w:jc w:val="center"/>
                    <w:rPr>
                      <w:color w:val="auto"/>
                      <w:sz w:val="18"/>
                      <w:szCs w:val="18"/>
                    </w:rPr>
                  </w:pPr>
                  <w:r>
                    <w:rPr>
                      <w:color w:val="auto"/>
                      <w:sz w:val="18"/>
                      <w:szCs w:val="18"/>
                    </w:rPr>
                    <w:t>NOx:（0）t/a</w:t>
                  </w:r>
                </w:p>
              </w:tc>
              <w:tc>
                <w:tcPr>
                  <w:tcW w:w="1289" w:type="dxa"/>
                  <w:gridSpan w:val="5"/>
                  <w:vAlign w:val="center"/>
                </w:tcPr>
                <w:p>
                  <w:pPr>
                    <w:tabs>
                      <w:tab w:val="left" w:pos="1020"/>
                    </w:tabs>
                    <w:adjustRightInd w:val="0"/>
                    <w:snapToGrid w:val="0"/>
                    <w:jc w:val="center"/>
                    <w:rPr>
                      <w:color w:val="auto"/>
                      <w:sz w:val="18"/>
                      <w:szCs w:val="18"/>
                    </w:rPr>
                  </w:pPr>
                  <w:r>
                    <w:rPr>
                      <w:color w:val="auto"/>
                      <w:sz w:val="18"/>
                      <w:szCs w:val="18"/>
                    </w:rPr>
                    <w:t>颗粒物:（</w:t>
                  </w:r>
                  <w:r>
                    <w:rPr>
                      <w:rFonts w:hint="eastAsia"/>
                      <w:color w:val="auto"/>
                      <w:sz w:val="18"/>
                      <w:szCs w:val="18"/>
                      <w:lang w:val="en-US" w:eastAsia="zh-CN"/>
                    </w:rPr>
                    <w:t>0.646</w:t>
                  </w:r>
                  <w:r>
                    <w:rPr>
                      <w:color w:val="auto"/>
                      <w:sz w:val="18"/>
                      <w:szCs w:val="18"/>
                    </w:rPr>
                    <w:t>）t/a</w:t>
                  </w:r>
                </w:p>
              </w:tc>
              <w:tc>
                <w:tcPr>
                  <w:tcW w:w="1289" w:type="dxa"/>
                  <w:gridSpan w:val="5"/>
                  <w:vAlign w:val="center"/>
                </w:tcPr>
                <w:p>
                  <w:pPr>
                    <w:tabs>
                      <w:tab w:val="left" w:pos="1020"/>
                    </w:tabs>
                    <w:adjustRightInd w:val="0"/>
                    <w:snapToGrid w:val="0"/>
                    <w:jc w:val="center"/>
                    <w:rPr>
                      <w:rFonts w:hint="default" w:eastAsia="宋体"/>
                      <w:color w:val="auto"/>
                      <w:sz w:val="18"/>
                      <w:szCs w:val="18"/>
                      <w:lang w:val="en-US" w:eastAsia="zh-CN"/>
                    </w:rPr>
                  </w:pPr>
                  <w:r>
                    <w:rPr>
                      <w:rFonts w:hint="eastAsia"/>
                      <w:color w:val="auto"/>
                      <w:sz w:val="18"/>
                      <w:szCs w:val="18"/>
                      <w:lang w:eastAsia="zh-CN"/>
                    </w:rPr>
                    <w:t>非甲烷总烃：（</w:t>
                  </w:r>
                  <w:r>
                    <w:rPr>
                      <w:rFonts w:hint="eastAsia"/>
                      <w:color w:val="auto"/>
                      <w:sz w:val="18"/>
                      <w:szCs w:val="18"/>
                      <w:lang w:val="en-US" w:eastAsia="zh-CN"/>
                    </w:rPr>
                    <w:t>0.030</w:t>
                  </w:r>
                  <w:r>
                    <w:rPr>
                      <w:rFonts w:hint="eastAsia"/>
                      <w:color w:val="auto"/>
                      <w:sz w:val="18"/>
                      <w:szCs w:val="18"/>
                      <w:lang w:eastAsia="zh-CN"/>
                    </w:rPr>
                    <w:t>）</w:t>
                  </w:r>
                  <w:r>
                    <w:rPr>
                      <w:rFonts w:hint="eastAsia"/>
                      <w:color w:val="auto"/>
                      <w:sz w:val="18"/>
                      <w:szCs w:val="18"/>
                      <w:lang w:val="en-US" w:eastAsia="zh-CN"/>
                    </w:rPr>
                    <w:t>t/a</w:t>
                  </w:r>
                </w:p>
              </w:tc>
              <w:tc>
                <w:tcPr>
                  <w:tcW w:w="1290" w:type="dxa"/>
                  <w:gridSpan w:val="3"/>
                  <w:vAlign w:val="center"/>
                </w:tcPr>
                <w:p>
                  <w:pPr>
                    <w:tabs>
                      <w:tab w:val="left" w:pos="1020"/>
                    </w:tabs>
                    <w:adjustRightInd w:val="0"/>
                    <w:snapToGrid w:val="0"/>
                    <w:jc w:val="center"/>
                    <w:rPr>
                      <w:rFonts w:hint="eastAsia"/>
                      <w:color w:val="auto"/>
                      <w:sz w:val="18"/>
                      <w:szCs w:val="18"/>
                    </w:rPr>
                  </w:pPr>
                  <w:r>
                    <w:rPr>
                      <w:rFonts w:hint="eastAsia"/>
                      <w:color w:val="auto"/>
                      <w:sz w:val="18"/>
                      <w:szCs w:val="18"/>
                    </w:rPr>
                    <w:t>VOCs</w:t>
                  </w:r>
                  <w:r>
                    <w:rPr>
                      <w:color w:val="auto"/>
                      <w:sz w:val="18"/>
                      <w:szCs w:val="18"/>
                    </w:rPr>
                    <w:t>:（</w:t>
                  </w:r>
                  <w:r>
                    <w:rPr>
                      <w:rFonts w:hint="eastAsia"/>
                      <w:color w:val="auto"/>
                      <w:sz w:val="18"/>
                      <w:szCs w:val="18"/>
                      <w:lang w:val="en-US" w:eastAsia="zh-CN"/>
                    </w:rPr>
                    <w:t>0.205</w:t>
                  </w:r>
                  <w:r>
                    <w:rPr>
                      <w:color w:val="auto"/>
                      <w:sz w:val="18"/>
                      <w:szCs w:val="18"/>
                    </w:rPr>
                    <w:t>）t/a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789" w:type="dxa"/>
                  <w:gridSpan w:val="23"/>
                  <w:vAlign w:val="center"/>
                </w:tcPr>
                <w:p>
                  <w:pPr>
                    <w:adjustRightInd w:val="0"/>
                    <w:snapToGrid w:val="0"/>
                    <w:rPr>
                      <w:color w:val="auto"/>
                      <w:sz w:val="18"/>
                      <w:szCs w:val="18"/>
                    </w:rPr>
                  </w:pPr>
                  <w:r>
                    <w:rPr>
                      <w:color w:val="auto"/>
                      <w:sz w:val="18"/>
                      <w:szCs w:val="18"/>
                    </w:rPr>
                    <w:t>注：“□” 为勾选项 ，填“√” ；“（</w:t>
                  </w:r>
                  <w:r>
                    <w:rPr>
                      <w:color w:val="auto"/>
                      <w:sz w:val="18"/>
                      <w:szCs w:val="18"/>
                    </w:rPr>
                    <w:tab/>
                  </w:r>
                  <w:r>
                    <w:rPr>
                      <w:color w:val="auto"/>
                      <w:sz w:val="18"/>
                      <w:szCs w:val="18"/>
                    </w:rPr>
                    <w:t>）”  为内容填写项</w:t>
                  </w:r>
                </w:p>
              </w:tc>
            </w:tr>
          </w:tbl>
          <w:p>
            <w:pPr>
              <w:spacing w:line="360" w:lineRule="auto"/>
              <w:ind w:firstLine="480" w:firstLineChars="200"/>
              <w:rPr>
                <w:b/>
                <w:color w:val="auto"/>
                <w:sz w:val="24"/>
              </w:rPr>
            </w:pPr>
            <w:r>
              <w:rPr>
                <w:b/>
                <w:color w:val="auto"/>
                <w:sz w:val="24"/>
              </w:rPr>
              <w:t>2、水环境影响分析</w:t>
            </w:r>
          </w:p>
          <w:p>
            <w:pPr>
              <w:pStyle w:val="474"/>
              <w:spacing w:line="360" w:lineRule="auto"/>
              <w:ind w:firstLine="482"/>
              <w:jc w:val="both"/>
              <w:rPr>
                <w:b/>
                <w:color w:val="auto"/>
                <w:szCs w:val="24"/>
              </w:rPr>
            </w:pPr>
            <w:r>
              <w:rPr>
                <w:b/>
                <w:color w:val="auto"/>
                <w:szCs w:val="24"/>
              </w:rPr>
              <w:t>（1）评价等级判定</w:t>
            </w:r>
          </w:p>
          <w:p>
            <w:pPr>
              <w:pStyle w:val="474"/>
              <w:spacing w:line="360" w:lineRule="auto"/>
              <w:jc w:val="both"/>
              <w:rPr>
                <w:color w:val="auto"/>
                <w:szCs w:val="24"/>
              </w:rPr>
            </w:pPr>
            <w:r>
              <w:rPr>
                <w:color w:val="auto"/>
                <w:szCs w:val="24"/>
              </w:rPr>
              <w:t>本项目建设未涉及地表水域，项目取水为市政用水，</w:t>
            </w:r>
            <w:r>
              <w:rPr>
                <w:color w:val="auto"/>
              </w:rPr>
              <w:t>运行期</w:t>
            </w:r>
            <w:r>
              <w:rPr>
                <w:rFonts w:hint="eastAsia"/>
                <w:color w:val="auto"/>
              </w:rPr>
              <w:t>生产工序中清洗用水经隔油+气浮一体设备处理后循环使用，不外排</w:t>
            </w:r>
            <w:r>
              <w:rPr>
                <w:rFonts w:hint="eastAsia"/>
                <w:color w:val="auto"/>
                <w:lang w:eastAsia="zh-CN"/>
              </w:rPr>
              <w:t>；</w:t>
            </w:r>
            <w:r>
              <w:rPr>
                <w:color w:val="auto"/>
              </w:rPr>
              <w:t>生活污水经化粪池预处理后通过</w:t>
            </w:r>
            <w:r>
              <w:rPr>
                <w:rFonts w:hint="eastAsia"/>
                <w:color w:val="auto"/>
              </w:rPr>
              <w:t>市政污水管网</w:t>
            </w:r>
            <w:r>
              <w:rPr>
                <w:color w:val="auto"/>
              </w:rPr>
              <w:t>接管至金坛区第二污水处理厂，</w:t>
            </w:r>
            <w:r>
              <w:rPr>
                <w:color w:val="auto"/>
                <w:szCs w:val="24"/>
              </w:rPr>
              <w:t>达标后排入尧塘河。</w:t>
            </w:r>
          </w:p>
          <w:p>
            <w:pPr>
              <w:pStyle w:val="474"/>
              <w:spacing w:line="360" w:lineRule="auto"/>
              <w:jc w:val="both"/>
              <w:rPr>
                <w:color w:val="auto"/>
                <w:szCs w:val="24"/>
              </w:rPr>
            </w:pPr>
            <w:r>
              <w:rPr>
                <w:color w:val="auto"/>
                <w:szCs w:val="24"/>
              </w:rPr>
              <w:t>因此判定本项目为水污染影响型建设项目，评价等级为三级B。</w:t>
            </w:r>
          </w:p>
          <w:p>
            <w:pPr>
              <w:pStyle w:val="474"/>
              <w:spacing w:line="360" w:lineRule="auto"/>
              <w:jc w:val="both"/>
              <w:rPr>
                <w:color w:val="auto"/>
                <w:szCs w:val="24"/>
              </w:rPr>
            </w:pPr>
            <w:r>
              <w:rPr>
                <w:color w:val="auto"/>
                <w:szCs w:val="24"/>
              </w:rPr>
              <w:t>废水类别、污染物及污染治理设施信息表详见下表：</w:t>
            </w:r>
          </w:p>
          <w:p>
            <w:pPr>
              <w:jc w:val="center"/>
              <w:rPr>
                <w:b/>
                <w:color w:val="auto"/>
                <w:szCs w:val="21"/>
              </w:rPr>
            </w:pPr>
            <w:r>
              <w:rPr>
                <w:b/>
                <w:color w:val="auto"/>
                <w:szCs w:val="21"/>
              </w:rPr>
              <w:t>表7-</w:t>
            </w:r>
            <w:r>
              <w:rPr>
                <w:rFonts w:hint="eastAsia"/>
                <w:b/>
                <w:color w:val="auto"/>
                <w:szCs w:val="21"/>
              </w:rPr>
              <w:t>1</w:t>
            </w:r>
            <w:r>
              <w:rPr>
                <w:rFonts w:hint="eastAsia"/>
                <w:b/>
                <w:color w:val="auto"/>
                <w:szCs w:val="21"/>
                <w:lang w:val="en-US" w:eastAsia="zh-CN"/>
              </w:rPr>
              <w:t>7</w:t>
            </w:r>
            <w:r>
              <w:rPr>
                <w:b/>
                <w:color w:val="auto"/>
                <w:szCs w:val="21"/>
              </w:rPr>
              <w:t>废水类别、污染物及污染治理设施信息表</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756"/>
              <w:gridCol w:w="810"/>
              <w:gridCol w:w="758"/>
              <w:gridCol w:w="765"/>
              <w:gridCol w:w="798"/>
              <w:gridCol w:w="758"/>
              <w:gridCol w:w="763"/>
              <w:gridCol w:w="821"/>
              <w:gridCol w:w="762"/>
              <w:gridCol w:w="12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52" w:type="pct"/>
                  <w:vMerge w:val="restart"/>
                  <w:vAlign w:val="center"/>
                </w:tcPr>
                <w:p>
                  <w:pPr>
                    <w:pStyle w:val="123"/>
                    <w:rPr>
                      <w:b/>
                      <w:color w:val="auto"/>
                      <w:sz w:val="18"/>
                      <w:szCs w:val="18"/>
                    </w:rPr>
                  </w:pPr>
                  <w:r>
                    <w:rPr>
                      <w:b/>
                      <w:color w:val="auto"/>
                      <w:sz w:val="18"/>
                      <w:szCs w:val="18"/>
                    </w:rPr>
                    <w:t>序号</w:t>
                  </w:r>
                </w:p>
              </w:tc>
              <w:tc>
                <w:tcPr>
                  <w:tcW w:w="436" w:type="pct"/>
                  <w:vMerge w:val="restart"/>
                  <w:vAlign w:val="center"/>
                </w:tcPr>
                <w:p>
                  <w:pPr>
                    <w:pStyle w:val="123"/>
                    <w:rPr>
                      <w:b/>
                      <w:color w:val="auto"/>
                      <w:sz w:val="18"/>
                      <w:szCs w:val="18"/>
                    </w:rPr>
                  </w:pPr>
                  <w:r>
                    <w:rPr>
                      <w:b/>
                      <w:color w:val="auto"/>
                      <w:sz w:val="18"/>
                      <w:szCs w:val="18"/>
                    </w:rPr>
                    <w:t>废水类别</w:t>
                  </w:r>
                </w:p>
              </w:tc>
              <w:tc>
                <w:tcPr>
                  <w:tcW w:w="467" w:type="pct"/>
                  <w:vMerge w:val="restart"/>
                  <w:vAlign w:val="center"/>
                </w:tcPr>
                <w:p>
                  <w:pPr>
                    <w:pStyle w:val="123"/>
                    <w:rPr>
                      <w:b/>
                      <w:color w:val="auto"/>
                      <w:sz w:val="18"/>
                      <w:szCs w:val="18"/>
                    </w:rPr>
                  </w:pPr>
                  <w:r>
                    <w:rPr>
                      <w:b/>
                      <w:color w:val="auto"/>
                      <w:sz w:val="18"/>
                      <w:szCs w:val="18"/>
                    </w:rPr>
                    <w:t>污染物种类</w:t>
                  </w:r>
                </w:p>
              </w:tc>
              <w:tc>
                <w:tcPr>
                  <w:tcW w:w="437" w:type="pct"/>
                  <w:vMerge w:val="restart"/>
                  <w:vAlign w:val="center"/>
                </w:tcPr>
                <w:p>
                  <w:pPr>
                    <w:pStyle w:val="123"/>
                    <w:rPr>
                      <w:color w:val="auto"/>
                      <w:sz w:val="18"/>
                      <w:szCs w:val="24"/>
                    </w:rPr>
                  </w:pPr>
                  <w:r>
                    <w:rPr>
                      <w:b/>
                      <w:color w:val="auto"/>
                      <w:sz w:val="18"/>
                      <w:szCs w:val="18"/>
                    </w:rPr>
                    <w:t>排放去向</w:t>
                  </w:r>
                </w:p>
              </w:tc>
              <w:tc>
                <w:tcPr>
                  <w:tcW w:w="441" w:type="pct"/>
                  <w:vMerge w:val="restart"/>
                  <w:vAlign w:val="center"/>
                </w:tcPr>
                <w:p>
                  <w:pPr>
                    <w:pStyle w:val="123"/>
                    <w:rPr>
                      <w:b/>
                      <w:color w:val="auto"/>
                      <w:sz w:val="18"/>
                      <w:szCs w:val="18"/>
                    </w:rPr>
                  </w:pPr>
                  <w:r>
                    <w:rPr>
                      <w:b/>
                      <w:color w:val="auto"/>
                      <w:sz w:val="18"/>
                      <w:szCs w:val="18"/>
                    </w:rPr>
                    <w:t>排放规律</w:t>
                  </w:r>
                </w:p>
              </w:tc>
              <w:tc>
                <w:tcPr>
                  <w:tcW w:w="1337" w:type="pct"/>
                  <w:gridSpan w:val="3"/>
                  <w:vAlign w:val="center"/>
                </w:tcPr>
                <w:p>
                  <w:pPr>
                    <w:pStyle w:val="123"/>
                    <w:rPr>
                      <w:b/>
                      <w:color w:val="auto"/>
                      <w:sz w:val="18"/>
                      <w:szCs w:val="18"/>
                    </w:rPr>
                  </w:pPr>
                  <w:r>
                    <w:rPr>
                      <w:b/>
                      <w:color w:val="auto"/>
                      <w:sz w:val="18"/>
                      <w:szCs w:val="18"/>
                    </w:rPr>
                    <w:t>污染治理设施</w:t>
                  </w:r>
                </w:p>
              </w:tc>
              <w:tc>
                <w:tcPr>
                  <w:tcW w:w="473" w:type="pct"/>
                  <w:vMerge w:val="restart"/>
                  <w:vAlign w:val="center"/>
                </w:tcPr>
                <w:p>
                  <w:pPr>
                    <w:pStyle w:val="123"/>
                    <w:rPr>
                      <w:b/>
                      <w:color w:val="auto"/>
                      <w:sz w:val="18"/>
                      <w:szCs w:val="18"/>
                    </w:rPr>
                  </w:pPr>
                  <w:r>
                    <w:rPr>
                      <w:b/>
                      <w:color w:val="auto"/>
                      <w:sz w:val="18"/>
                      <w:szCs w:val="18"/>
                    </w:rPr>
                    <w:t>排放口编号</w:t>
                  </w:r>
                </w:p>
              </w:tc>
              <w:tc>
                <w:tcPr>
                  <w:tcW w:w="439" w:type="pct"/>
                  <w:vMerge w:val="restart"/>
                  <w:vAlign w:val="center"/>
                </w:tcPr>
                <w:p>
                  <w:pPr>
                    <w:pStyle w:val="123"/>
                    <w:rPr>
                      <w:b/>
                      <w:color w:val="auto"/>
                      <w:sz w:val="18"/>
                      <w:szCs w:val="18"/>
                    </w:rPr>
                  </w:pPr>
                  <w:r>
                    <w:rPr>
                      <w:b/>
                      <w:color w:val="auto"/>
                      <w:sz w:val="18"/>
                      <w:szCs w:val="18"/>
                    </w:rPr>
                    <w:t>排放口设置是否符合要求</w:t>
                  </w:r>
                </w:p>
              </w:tc>
              <w:tc>
                <w:tcPr>
                  <w:tcW w:w="713" w:type="pct"/>
                  <w:vMerge w:val="restart"/>
                  <w:vAlign w:val="center"/>
                </w:tcPr>
                <w:p>
                  <w:pPr>
                    <w:pStyle w:val="123"/>
                    <w:rPr>
                      <w:color w:val="auto"/>
                      <w:sz w:val="18"/>
                      <w:szCs w:val="24"/>
                    </w:rPr>
                  </w:pPr>
                  <w:r>
                    <w:rPr>
                      <w:b/>
                      <w:color w:val="auto"/>
                      <w:sz w:val="18"/>
                      <w:szCs w:val="18"/>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52" w:type="pct"/>
                  <w:vMerge w:val="continue"/>
                </w:tcPr>
                <w:p>
                  <w:pPr>
                    <w:rPr>
                      <w:color w:val="auto"/>
                    </w:rPr>
                  </w:pPr>
                </w:p>
              </w:tc>
              <w:tc>
                <w:tcPr>
                  <w:tcW w:w="436" w:type="pct"/>
                  <w:vMerge w:val="continue"/>
                </w:tcPr>
                <w:p>
                  <w:pPr>
                    <w:rPr>
                      <w:color w:val="auto"/>
                    </w:rPr>
                  </w:pPr>
                </w:p>
              </w:tc>
              <w:tc>
                <w:tcPr>
                  <w:tcW w:w="467" w:type="pct"/>
                  <w:vMerge w:val="continue"/>
                </w:tcPr>
                <w:p>
                  <w:pPr>
                    <w:rPr>
                      <w:color w:val="auto"/>
                    </w:rPr>
                  </w:pPr>
                </w:p>
              </w:tc>
              <w:tc>
                <w:tcPr>
                  <w:tcW w:w="437" w:type="pct"/>
                  <w:vMerge w:val="continue"/>
                </w:tcPr>
                <w:p>
                  <w:pPr>
                    <w:rPr>
                      <w:color w:val="auto"/>
                    </w:rPr>
                  </w:pPr>
                </w:p>
              </w:tc>
              <w:tc>
                <w:tcPr>
                  <w:tcW w:w="441" w:type="pct"/>
                  <w:vMerge w:val="continue"/>
                </w:tcPr>
                <w:p>
                  <w:pPr>
                    <w:rPr>
                      <w:color w:val="auto"/>
                    </w:rPr>
                  </w:pPr>
                </w:p>
              </w:tc>
              <w:tc>
                <w:tcPr>
                  <w:tcW w:w="460" w:type="pct"/>
                </w:tcPr>
                <w:p>
                  <w:pPr>
                    <w:pStyle w:val="123"/>
                    <w:rPr>
                      <w:b/>
                      <w:color w:val="auto"/>
                      <w:sz w:val="18"/>
                      <w:szCs w:val="18"/>
                    </w:rPr>
                  </w:pPr>
                  <w:r>
                    <w:rPr>
                      <w:b/>
                      <w:color w:val="auto"/>
                      <w:sz w:val="18"/>
                      <w:szCs w:val="18"/>
                    </w:rPr>
                    <w:t>污染治理设施编号</w:t>
                  </w:r>
                </w:p>
              </w:tc>
              <w:tc>
                <w:tcPr>
                  <w:tcW w:w="437" w:type="pct"/>
                </w:tcPr>
                <w:p>
                  <w:pPr>
                    <w:pStyle w:val="123"/>
                    <w:rPr>
                      <w:b/>
                      <w:color w:val="auto"/>
                      <w:sz w:val="18"/>
                      <w:szCs w:val="18"/>
                    </w:rPr>
                  </w:pPr>
                  <w:r>
                    <w:rPr>
                      <w:b/>
                      <w:color w:val="auto"/>
                      <w:sz w:val="18"/>
                      <w:szCs w:val="18"/>
                    </w:rPr>
                    <w:t>污染治理设施名称</w:t>
                  </w:r>
                </w:p>
              </w:tc>
              <w:tc>
                <w:tcPr>
                  <w:tcW w:w="439" w:type="pct"/>
                </w:tcPr>
                <w:p>
                  <w:pPr>
                    <w:pStyle w:val="123"/>
                    <w:rPr>
                      <w:b/>
                      <w:color w:val="auto"/>
                      <w:sz w:val="18"/>
                      <w:szCs w:val="18"/>
                    </w:rPr>
                  </w:pPr>
                  <w:r>
                    <w:rPr>
                      <w:b/>
                      <w:color w:val="auto"/>
                      <w:sz w:val="18"/>
                      <w:szCs w:val="18"/>
                    </w:rPr>
                    <w:t>污染治理设施工艺</w:t>
                  </w:r>
                </w:p>
              </w:tc>
              <w:tc>
                <w:tcPr>
                  <w:tcW w:w="473" w:type="pct"/>
                  <w:vMerge w:val="continue"/>
                </w:tcPr>
                <w:p>
                  <w:pPr>
                    <w:rPr>
                      <w:color w:val="auto"/>
                    </w:rPr>
                  </w:pPr>
                </w:p>
              </w:tc>
              <w:tc>
                <w:tcPr>
                  <w:tcW w:w="439" w:type="pct"/>
                  <w:vMerge w:val="continue"/>
                </w:tcPr>
                <w:p>
                  <w:pPr>
                    <w:rPr>
                      <w:color w:val="auto"/>
                    </w:rPr>
                  </w:pPr>
                </w:p>
              </w:tc>
              <w:tc>
                <w:tcPr>
                  <w:tcW w:w="713" w:type="pct"/>
                  <w:vMerge w:val="continue"/>
                </w:tcPr>
                <w:p>
                  <w:pPr>
                    <w:rPr>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52" w:type="pct"/>
                  <w:vAlign w:val="center"/>
                </w:tcPr>
                <w:p>
                  <w:pPr>
                    <w:pStyle w:val="474"/>
                    <w:spacing w:line="360" w:lineRule="auto"/>
                    <w:ind w:firstLine="0" w:firstLineChars="0"/>
                    <w:jc w:val="center"/>
                    <w:rPr>
                      <w:color w:val="auto"/>
                      <w:sz w:val="18"/>
                      <w:szCs w:val="24"/>
                    </w:rPr>
                  </w:pPr>
                  <w:r>
                    <w:rPr>
                      <w:color w:val="auto"/>
                      <w:sz w:val="18"/>
                      <w:szCs w:val="24"/>
                    </w:rPr>
                    <w:t>1</w:t>
                  </w:r>
                </w:p>
              </w:tc>
              <w:tc>
                <w:tcPr>
                  <w:tcW w:w="436" w:type="pct"/>
                  <w:vAlign w:val="center"/>
                </w:tcPr>
                <w:p>
                  <w:pPr>
                    <w:pStyle w:val="474"/>
                    <w:spacing w:line="240" w:lineRule="auto"/>
                    <w:ind w:firstLine="0" w:firstLineChars="0"/>
                    <w:jc w:val="center"/>
                    <w:rPr>
                      <w:color w:val="auto"/>
                      <w:sz w:val="18"/>
                      <w:szCs w:val="24"/>
                    </w:rPr>
                  </w:pPr>
                  <w:r>
                    <w:rPr>
                      <w:color w:val="auto"/>
                      <w:sz w:val="18"/>
                      <w:szCs w:val="24"/>
                    </w:rPr>
                    <w:t>生活污水</w:t>
                  </w:r>
                </w:p>
              </w:tc>
              <w:tc>
                <w:tcPr>
                  <w:tcW w:w="467" w:type="pct"/>
                  <w:vAlign w:val="center"/>
                </w:tcPr>
                <w:p>
                  <w:pPr>
                    <w:pStyle w:val="474"/>
                    <w:spacing w:line="240" w:lineRule="auto"/>
                    <w:ind w:firstLine="0" w:firstLineChars="0"/>
                    <w:jc w:val="center"/>
                    <w:rPr>
                      <w:color w:val="auto"/>
                      <w:sz w:val="18"/>
                      <w:szCs w:val="24"/>
                    </w:rPr>
                  </w:pPr>
                  <w:r>
                    <w:rPr>
                      <w:color w:val="auto"/>
                      <w:sz w:val="18"/>
                      <w:szCs w:val="21"/>
                    </w:rPr>
                    <w:t>COD、SS、氨氮、TP、TN</w:t>
                  </w:r>
                </w:p>
              </w:tc>
              <w:tc>
                <w:tcPr>
                  <w:tcW w:w="437" w:type="pct"/>
                  <w:vAlign w:val="center"/>
                </w:tcPr>
                <w:p>
                  <w:pPr>
                    <w:pStyle w:val="474"/>
                    <w:spacing w:line="240" w:lineRule="auto"/>
                    <w:ind w:firstLine="0" w:firstLineChars="0"/>
                    <w:jc w:val="center"/>
                    <w:rPr>
                      <w:color w:val="auto"/>
                      <w:sz w:val="18"/>
                      <w:szCs w:val="24"/>
                    </w:rPr>
                  </w:pPr>
                  <w:r>
                    <w:rPr>
                      <w:color w:val="auto"/>
                      <w:sz w:val="18"/>
                      <w:szCs w:val="24"/>
                    </w:rPr>
                    <w:t>排放至金坛第二污水处理厂</w:t>
                  </w:r>
                </w:p>
              </w:tc>
              <w:tc>
                <w:tcPr>
                  <w:tcW w:w="441" w:type="pct"/>
                  <w:vAlign w:val="center"/>
                </w:tcPr>
                <w:p>
                  <w:pPr>
                    <w:pStyle w:val="474"/>
                    <w:spacing w:line="240" w:lineRule="auto"/>
                    <w:ind w:firstLine="0" w:firstLineChars="0"/>
                    <w:jc w:val="center"/>
                    <w:rPr>
                      <w:color w:val="auto"/>
                      <w:sz w:val="18"/>
                      <w:szCs w:val="24"/>
                    </w:rPr>
                  </w:pPr>
                  <w:r>
                    <w:rPr>
                      <w:rFonts w:hint="eastAsia"/>
                      <w:color w:val="auto"/>
                      <w:sz w:val="18"/>
                      <w:szCs w:val="24"/>
                    </w:rPr>
                    <w:t>间断</w:t>
                  </w:r>
                  <w:r>
                    <w:rPr>
                      <w:color w:val="auto"/>
                      <w:sz w:val="18"/>
                      <w:szCs w:val="24"/>
                    </w:rPr>
                    <w:t>排放，流量</w:t>
                  </w:r>
                  <w:r>
                    <w:rPr>
                      <w:rFonts w:hint="eastAsia"/>
                      <w:color w:val="auto"/>
                      <w:sz w:val="18"/>
                      <w:szCs w:val="24"/>
                    </w:rPr>
                    <w:t>不</w:t>
                  </w:r>
                  <w:r>
                    <w:rPr>
                      <w:color w:val="auto"/>
                      <w:sz w:val="18"/>
                      <w:szCs w:val="24"/>
                    </w:rPr>
                    <w:t>稳定</w:t>
                  </w:r>
                </w:p>
              </w:tc>
              <w:tc>
                <w:tcPr>
                  <w:tcW w:w="460" w:type="pct"/>
                  <w:vAlign w:val="center"/>
                </w:tcPr>
                <w:p>
                  <w:pPr>
                    <w:pStyle w:val="474"/>
                    <w:spacing w:line="240" w:lineRule="auto"/>
                    <w:ind w:firstLine="0" w:firstLineChars="0"/>
                    <w:jc w:val="center"/>
                    <w:rPr>
                      <w:color w:val="auto"/>
                      <w:sz w:val="18"/>
                      <w:szCs w:val="24"/>
                    </w:rPr>
                  </w:pPr>
                  <w:r>
                    <w:rPr>
                      <w:color w:val="auto"/>
                      <w:sz w:val="18"/>
                      <w:szCs w:val="24"/>
                    </w:rPr>
                    <w:t>T</w:t>
                  </w:r>
                  <w:r>
                    <w:rPr>
                      <w:rFonts w:hint="eastAsia"/>
                      <w:color w:val="auto"/>
                      <w:sz w:val="18"/>
                      <w:szCs w:val="24"/>
                    </w:rPr>
                    <w:t>W</w:t>
                  </w:r>
                  <w:r>
                    <w:rPr>
                      <w:color w:val="auto"/>
                      <w:sz w:val="18"/>
                      <w:szCs w:val="24"/>
                    </w:rPr>
                    <w:t>001</w:t>
                  </w:r>
                </w:p>
              </w:tc>
              <w:tc>
                <w:tcPr>
                  <w:tcW w:w="437" w:type="pct"/>
                  <w:vAlign w:val="center"/>
                </w:tcPr>
                <w:p>
                  <w:pPr>
                    <w:pStyle w:val="474"/>
                    <w:spacing w:line="240" w:lineRule="auto"/>
                    <w:ind w:firstLine="0" w:firstLineChars="0"/>
                    <w:jc w:val="center"/>
                    <w:rPr>
                      <w:color w:val="auto"/>
                      <w:sz w:val="18"/>
                      <w:szCs w:val="24"/>
                    </w:rPr>
                  </w:pPr>
                  <w:r>
                    <w:rPr>
                      <w:color w:val="auto"/>
                      <w:sz w:val="18"/>
                      <w:szCs w:val="24"/>
                    </w:rPr>
                    <w:t>生活污水处理系统</w:t>
                  </w:r>
                </w:p>
              </w:tc>
              <w:tc>
                <w:tcPr>
                  <w:tcW w:w="439" w:type="pct"/>
                  <w:vAlign w:val="center"/>
                </w:tcPr>
                <w:p>
                  <w:pPr>
                    <w:pStyle w:val="474"/>
                    <w:spacing w:line="240" w:lineRule="auto"/>
                    <w:ind w:firstLine="0" w:firstLineChars="0"/>
                    <w:jc w:val="center"/>
                    <w:rPr>
                      <w:color w:val="auto"/>
                      <w:sz w:val="18"/>
                      <w:szCs w:val="24"/>
                    </w:rPr>
                  </w:pPr>
                  <w:r>
                    <w:rPr>
                      <w:color w:val="auto"/>
                      <w:sz w:val="18"/>
                      <w:szCs w:val="24"/>
                    </w:rPr>
                    <w:t>化粪池</w:t>
                  </w:r>
                </w:p>
              </w:tc>
              <w:tc>
                <w:tcPr>
                  <w:tcW w:w="473" w:type="pct"/>
                  <w:vAlign w:val="center"/>
                </w:tcPr>
                <w:p>
                  <w:pPr>
                    <w:pStyle w:val="474"/>
                    <w:spacing w:line="240" w:lineRule="auto"/>
                    <w:ind w:firstLine="0" w:firstLineChars="0"/>
                    <w:jc w:val="center"/>
                    <w:rPr>
                      <w:color w:val="auto"/>
                      <w:sz w:val="18"/>
                      <w:szCs w:val="24"/>
                    </w:rPr>
                  </w:pPr>
                  <w:r>
                    <w:rPr>
                      <w:color w:val="auto"/>
                      <w:sz w:val="18"/>
                      <w:szCs w:val="24"/>
                    </w:rPr>
                    <w:t>DW001</w:t>
                  </w:r>
                </w:p>
              </w:tc>
              <w:tc>
                <w:tcPr>
                  <w:tcW w:w="439" w:type="pct"/>
                  <w:vAlign w:val="center"/>
                </w:tcPr>
                <w:p>
                  <w:pPr>
                    <w:pStyle w:val="474"/>
                    <w:spacing w:line="240" w:lineRule="auto"/>
                    <w:ind w:firstLine="0" w:firstLineChars="0"/>
                    <w:jc w:val="center"/>
                    <w:rPr>
                      <w:color w:val="auto"/>
                      <w:sz w:val="18"/>
                    </w:rPr>
                  </w:pPr>
                  <w:r>
                    <w:rPr>
                      <w:color w:val="auto"/>
                      <w:sz w:val="18"/>
                    </w:rPr>
                    <w:t>是√</w:t>
                  </w:r>
                </w:p>
                <w:p>
                  <w:pPr>
                    <w:pStyle w:val="474"/>
                    <w:spacing w:line="240" w:lineRule="auto"/>
                    <w:ind w:firstLine="0" w:firstLineChars="0"/>
                    <w:jc w:val="center"/>
                    <w:rPr>
                      <w:color w:val="auto"/>
                      <w:sz w:val="18"/>
                      <w:szCs w:val="24"/>
                    </w:rPr>
                  </w:pPr>
                  <w:r>
                    <w:rPr>
                      <w:color w:val="auto"/>
                      <w:sz w:val="18"/>
                    </w:rPr>
                    <w:t>否□</w:t>
                  </w:r>
                </w:p>
              </w:tc>
              <w:tc>
                <w:tcPr>
                  <w:tcW w:w="713" w:type="pct"/>
                  <w:vAlign w:val="center"/>
                </w:tcPr>
                <w:p>
                  <w:pPr>
                    <w:pStyle w:val="474"/>
                    <w:spacing w:line="240" w:lineRule="auto"/>
                    <w:ind w:firstLine="0" w:firstLineChars="0"/>
                    <w:jc w:val="center"/>
                    <w:rPr>
                      <w:color w:val="auto"/>
                      <w:sz w:val="18"/>
                    </w:rPr>
                  </w:pPr>
                  <w:r>
                    <w:rPr>
                      <w:color w:val="auto"/>
                      <w:sz w:val="18"/>
                    </w:rPr>
                    <w:t>√企业总排</w:t>
                  </w:r>
                </w:p>
                <w:p>
                  <w:pPr>
                    <w:pStyle w:val="474"/>
                    <w:spacing w:line="240" w:lineRule="auto"/>
                    <w:ind w:firstLine="0" w:firstLineChars="0"/>
                    <w:jc w:val="center"/>
                    <w:rPr>
                      <w:color w:val="auto"/>
                      <w:sz w:val="18"/>
                    </w:rPr>
                  </w:pPr>
                  <w:r>
                    <w:rPr>
                      <w:color w:val="auto"/>
                      <w:sz w:val="18"/>
                    </w:rPr>
                    <w:sym w:font="Wingdings 2" w:char="00A3"/>
                  </w:r>
                  <w:r>
                    <w:rPr>
                      <w:color w:val="auto"/>
                      <w:sz w:val="18"/>
                    </w:rPr>
                    <w:t>雨水排放</w:t>
                  </w:r>
                </w:p>
                <w:p>
                  <w:pPr>
                    <w:pStyle w:val="474"/>
                    <w:spacing w:line="240" w:lineRule="auto"/>
                    <w:ind w:firstLine="0" w:firstLineChars="0"/>
                    <w:jc w:val="center"/>
                    <w:rPr>
                      <w:color w:val="auto"/>
                      <w:sz w:val="18"/>
                    </w:rPr>
                  </w:pPr>
                  <w:r>
                    <w:rPr>
                      <w:color w:val="auto"/>
                      <w:sz w:val="18"/>
                    </w:rPr>
                    <w:t>□清净下水排放</w:t>
                  </w:r>
                </w:p>
                <w:p>
                  <w:pPr>
                    <w:pStyle w:val="474"/>
                    <w:spacing w:line="240" w:lineRule="auto"/>
                    <w:ind w:firstLine="0" w:firstLineChars="0"/>
                    <w:jc w:val="center"/>
                    <w:rPr>
                      <w:color w:val="auto"/>
                      <w:sz w:val="18"/>
                    </w:rPr>
                  </w:pPr>
                  <w:r>
                    <w:rPr>
                      <w:color w:val="auto"/>
                      <w:sz w:val="18"/>
                    </w:rPr>
                    <w:t>□温排水排放</w:t>
                  </w:r>
                </w:p>
                <w:p>
                  <w:pPr>
                    <w:pStyle w:val="474"/>
                    <w:spacing w:line="240" w:lineRule="auto"/>
                    <w:ind w:firstLine="0" w:firstLineChars="0"/>
                    <w:jc w:val="center"/>
                    <w:rPr>
                      <w:color w:val="auto"/>
                      <w:sz w:val="18"/>
                    </w:rPr>
                  </w:pPr>
                  <w:r>
                    <w:rPr>
                      <w:color w:val="auto"/>
                      <w:sz w:val="18"/>
                    </w:rPr>
                    <w:sym w:font="Wingdings 2" w:char="00A3"/>
                  </w:r>
                  <w:r>
                    <w:rPr>
                      <w:color w:val="auto"/>
                      <w:sz w:val="18"/>
                    </w:rPr>
                    <w:t>车间或车间处理系统排放口</w:t>
                  </w:r>
                </w:p>
              </w:tc>
            </w:tr>
          </w:tbl>
          <w:p>
            <w:pPr>
              <w:pStyle w:val="474"/>
              <w:spacing w:line="360" w:lineRule="auto"/>
              <w:ind w:firstLine="482"/>
              <w:jc w:val="both"/>
              <w:rPr>
                <w:b/>
                <w:color w:val="auto"/>
                <w:szCs w:val="24"/>
              </w:rPr>
            </w:pPr>
            <w:r>
              <w:rPr>
                <w:b/>
                <w:color w:val="auto"/>
                <w:szCs w:val="24"/>
              </w:rPr>
              <w:t>（2）废水达标行分析</w:t>
            </w:r>
          </w:p>
          <w:p>
            <w:pPr>
              <w:pStyle w:val="474"/>
              <w:spacing w:line="360" w:lineRule="auto"/>
              <w:jc w:val="both"/>
              <w:rPr>
                <w:color w:val="auto"/>
                <w:szCs w:val="24"/>
              </w:rPr>
            </w:pPr>
            <w:r>
              <w:rPr>
                <w:color w:val="auto"/>
                <w:szCs w:val="24"/>
              </w:rPr>
              <w:t>本项目废水为生活污水，废水量为</w:t>
            </w:r>
            <w:r>
              <w:rPr>
                <w:rFonts w:hint="eastAsia"/>
                <w:color w:val="auto"/>
                <w:szCs w:val="24"/>
                <w:lang w:val="en-US" w:eastAsia="zh-CN"/>
              </w:rPr>
              <w:t>120</w:t>
            </w:r>
            <w:r>
              <w:rPr>
                <w:color w:val="auto"/>
                <w:szCs w:val="24"/>
              </w:rPr>
              <w:t>t/a，经化粪池处理后排放浓度约为COD：340mg/L、SS：160mg/L、氨氮：35mg/L、总磷：3mg/L、TN：</w:t>
            </w:r>
            <w:r>
              <w:rPr>
                <w:rFonts w:hint="eastAsia"/>
                <w:color w:val="auto"/>
                <w:szCs w:val="24"/>
              </w:rPr>
              <w:t>50</w:t>
            </w:r>
            <w:r>
              <w:rPr>
                <w:color w:val="auto"/>
                <w:szCs w:val="24"/>
              </w:rPr>
              <w:t>mg/L，满足金坛区第二污水处理厂接管要求。</w:t>
            </w:r>
          </w:p>
          <w:p>
            <w:pPr>
              <w:pStyle w:val="474"/>
              <w:spacing w:line="240" w:lineRule="auto"/>
              <w:ind w:firstLine="0" w:firstLineChars="0"/>
              <w:jc w:val="center"/>
              <w:rPr>
                <w:b/>
                <w:color w:val="auto"/>
                <w:sz w:val="21"/>
                <w:szCs w:val="21"/>
              </w:rPr>
            </w:pPr>
            <w:r>
              <w:rPr>
                <w:b/>
                <w:bCs/>
                <w:color w:val="auto"/>
                <w:sz w:val="21"/>
                <w:szCs w:val="21"/>
              </w:rPr>
              <w:t>表7-</w:t>
            </w:r>
            <w:r>
              <w:rPr>
                <w:rFonts w:hint="eastAsia"/>
                <w:b/>
                <w:bCs/>
                <w:color w:val="auto"/>
                <w:sz w:val="21"/>
                <w:szCs w:val="21"/>
              </w:rPr>
              <w:t>1</w:t>
            </w:r>
            <w:r>
              <w:rPr>
                <w:rFonts w:hint="eastAsia"/>
                <w:b/>
                <w:bCs/>
                <w:color w:val="auto"/>
                <w:sz w:val="21"/>
                <w:szCs w:val="21"/>
                <w:lang w:val="en-US" w:eastAsia="zh-CN"/>
              </w:rPr>
              <w:t>8</w:t>
            </w:r>
            <w:r>
              <w:rPr>
                <w:rFonts w:hint="eastAsia"/>
                <w:b/>
                <w:bCs/>
                <w:color w:val="auto"/>
                <w:sz w:val="21"/>
                <w:szCs w:val="21"/>
              </w:rPr>
              <w:t xml:space="preserve"> </w:t>
            </w:r>
            <w:r>
              <w:rPr>
                <w:b/>
                <w:bCs/>
                <w:color w:val="auto"/>
                <w:sz w:val="21"/>
                <w:szCs w:val="21"/>
              </w:rPr>
              <w:t xml:space="preserve"> </w:t>
            </w:r>
            <w:r>
              <w:rPr>
                <w:b/>
                <w:color w:val="auto"/>
                <w:sz w:val="21"/>
                <w:szCs w:val="21"/>
              </w:rPr>
              <w:t>本项目废水排放执行标准</w:t>
            </w:r>
          </w:p>
          <w:tbl>
            <w:tblPr>
              <w:tblStyle w:val="56"/>
              <w:tblW w:w="829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417"/>
              <w:gridCol w:w="1701"/>
              <w:gridCol w:w="2393"/>
              <w:gridCol w:w="19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Merge w:val="restart"/>
                  <w:vAlign w:val="center"/>
                </w:tcPr>
                <w:p>
                  <w:pPr>
                    <w:pStyle w:val="123"/>
                    <w:rPr>
                      <w:b/>
                      <w:color w:val="auto"/>
                      <w:szCs w:val="18"/>
                    </w:rPr>
                  </w:pPr>
                  <w:r>
                    <w:rPr>
                      <w:b/>
                      <w:color w:val="auto"/>
                      <w:szCs w:val="18"/>
                    </w:rPr>
                    <w:t>序号</w:t>
                  </w:r>
                </w:p>
              </w:tc>
              <w:tc>
                <w:tcPr>
                  <w:tcW w:w="1417" w:type="dxa"/>
                  <w:vMerge w:val="restart"/>
                  <w:vAlign w:val="center"/>
                </w:tcPr>
                <w:p>
                  <w:pPr>
                    <w:pStyle w:val="123"/>
                    <w:rPr>
                      <w:b/>
                      <w:color w:val="auto"/>
                      <w:szCs w:val="18"/>
                    </w:rPr>
                  </w:pPr>
                  <w:r>
                    <w:rPr>
                      <w:b/>
                      <w:color w:val="auto"/>
                      <w:szCs w:val="18"/>
                    </w:rPr>
                    <w:t>排放口编号</w:t>
                  </w:r>
                </w:p>
              </w:tc>
              <w:tc>
                <w:tcPr>
                  <w:tcW w:w="1701" w:type="dxa"/>
                  <w:vMerge w:val="restart"/>
                  <w:vAlign w:val="center"/>
                </w:tcPr>
                <w:p>
                  <w:pPr>
                    <w:pStyle w:val="123"/>
                    <w:rPr>
                      <w:b/>
                      <w:color w:val="auto"/>
                      <w:szCs w:val="18"/>
                    </w:rPr>
                  </w:pPr>
                  <w:r>
                    <w:rPr>
                      <w:b/>
                      <w:color w:val="auto"/>
                      <w:szCs w:val="18"/>
                    </w:rPr>
                    <w:t>污染物种类</w:t>
                  </w:r>
                </w:p>
              </w:tc>
              <w:tc>
                <w:tcPr>
                  <w:tcW w:w="4333" w:type="dxa"/>
                  <w:gridSpan w:val="2"/>
                  <w:vAlign w:val="center"/>
                </w:tcPr>
                <w:p>
                  <w:pPr>
                    <w:pStyle w:val="123"/>
                    <w:rPr>
                      <w:b/>
                      <w:color w:val="auto"/>
                      <w:szCs w:val="18"/>
                    </w:rPr>
                  </w:pPr>
                  <w:r>
                    <w:rPr>
                      <w:b/>
                      <w:color w:val="auto"/>
                      <w:szCs w:val="18"/>
                    </w:rPr>
                    <w:t>国家或地方污染物排放标准及其他按规定商定的排放协议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Merge w:val="continue"/>
                  <w:vAlign w:val="center"/>
                </w:tcPr>
                <w:p>
                  <w:pPr>
                    <w:rPr>
                      <w:color w:val="auto"/>
                    </w:rPr>
                  </w:pPr>
                </w:p>
              </w:tc>
              <w:tc>
                <w:tcPr>
                  <w:tcW w:w="1417" w:type="dxa"/>
                  <w:vMerge w:val="continue"/>
                  <w:vAlign w:val="center"/>
                </w:tcPr>
                <w:p>
                  <w:pPr>
                    <w:rPr>
                      <w:color w:val="auto"/>
                    </w:rPr>
                  </w:pPr>
                </w:p>
              </w:tc>
              <w:tc>
                <w:tcPr>
                  <w:tcW w:w="1701" w:type="dxa"/>
                  <w:vMerge w:val="continue"/>
                  <w:vAlign w:val="center"/>
                </w:tcPr>
                <w:p>
                  <w:pPr>
                    <w:rPr>
                      <w:color w:val="auto"/>
                    </w:rPr>
                  </w:pPr>
                </w:p>
              </w:tc>
              <w:tc>
                <w:tcPr>
                  <w:tcW w:w="2393" w:type="dxa"/>
                  <w:vAlign w:val="center"/>
                </w:tcPr>
                <w:p>
                  <w:pPr>
                    <w:pStyle w:val="123"/>
                    <w:rPr>
                      <w:b/>
                      <w:color w:val="auto"/>
                      <w:szCs w:val="18"/>
                    </w:rPr>
                  </w:pPr>
                  <w:r>
                    <w:rPr>
                      <w:b/>
                      <w:color w:val="auto"/>
                      <w:szCs w:val="18"/>
                    </w:rPr>
                    <w:t>名称</w:t>
                  </w:r>
                </w:p>
              </w:tc>
              <w:tc>
                <w:tcPr>
                  <w:tcW w:w="1940" w:type="dxa"/>
                  <w:vAlign w:val="center"/>
                </w:tcPr>
                <w:p>
                  <w:pPr>
                    <w:pStyle w:val="123"/>
                    <w:rPr>
                      <w:b/>
                      <w:color w:val="auto"/>
                      <w:szCs w:val="18"/>
                    </w:rPr>
                  </w:pPr>
                  <w:r>
                    <w:rPr>
                      <w:b/>
                      <w:color w:val="auto"/>
                      <w:szCs w:val="18"/>
                    </w:rPr>
                    <w:t>浓度限值</w:t>
                  </w:r>
                  <w:r>
                    <w:rPr>
                      <w:b/>
                      <w:color w:val="auto"/>
                      <w:sz w:val="18"/>
                      <w:szCs w:val="18"/>
                    </w:rPr>
                    <w:t>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Align w:val="center"/>
                </w:tcPr>
                <w:p>
                  <w:pPr>
                    <w:pStyle w:val="474"/>
                    <w:spacing w:line="240" w:lineRule="auto"/>
                    <w:ind w:firstLine="0" w:firstLineChars="0"/>
                    <w:jc w:val="center"/>
                    <w:rPr>
                      <w:color w:val="auto"/>
                      <w:sz w:val="21"/>
                      <w:szCs w:val="24"/>
                    </w:rPr>
                  </w:pPr>
                  <w:r>
                    <w:rPr>
                      <w:color w:val="auto"/>
                      <w:sz w:val="21"/>
                      <w:szCs w:val="24"/>
                    </w:rPr>
                    <w:t>1</w:t>
                  </w:r>
                </w:p>
              </w:tc>
              <w:tc>
                <w:tcPr>
                  <w:tcW w:w="1417" w:type="dxa"/>
                  <w:vMerge w:val="restart"/>
                  <w:vAlign w:val="center"/>
                </w:tcPr>
                <w:p>
                  <w:pPr>
                    <w:pStyle w:val="474"/>
                    <w:spacing w:line="240" w:lineRule="auto"/>
                    <w:ind w:firstLine="0" w:firstLineChars="0"/>
                    <w:jc w:val="center"/>
                    <w:rPr>
                      <w:color w:val="auto"/>
                      <w:sz w:val="21"/>
                      <w:szCs w:val="24"/>
                    </w:rPr>
                  </w:pPr>
                  <w:r>
                    <w:rPr>
                      <w:color w:val="auto"/>
                      <w:sz w:val="21"/>
                      <w:szCs w:val="24"/>
                    </w:rPr>
                    <w:t>DW001</w:t>
                  </w:r>
                </w:p>
              </w:tc>
              <w:tc>
                <w:tcPr>
                  <w:tcW w:w="1701" w:type="dxa"/>
                  <w:vAlign w:val="center"/>
                </w:tcPr>
                <w:p>
                  <w:pPr>
                    <w:pStyle w:val="474"/>
                    <w:spacing w:line="240" w:lineRule="auto"/>
                    <w:ind w:firstLine="0" w:firstLineChars="0"/>
                    <w:jc w:val="center"/>
                    <w:rPr>
                      <w:color w:val="auto"/>
                      <w:sz w:val="21"/>
                      <w:szCs w:val="24"/>
                    </w:rPr>
                  </w:pPr>
                  <w:r>
                    <w:rPr>
                      <w:color w:val="auto"/>
                      <w:sz w:val="21"/>
                      <w:szCs w:val="21"/>
                    </w:rPr>
                    <w:t>COD</w:t>
                  </w:r>
                </w:p>
              </w:tc>
              <w:tc>
                <w:tcPr>
                  <w:tcW w:w="2393" w:type="dxa"/>
                  <w:vMerge w:val="restart"/>
                  <w:vAlign w:val="center"/>
                </w:tcPr>
                <w:p>
                  <w:pPr>
                    <w:jc w:val="center"/>
                    <w:rPr>
                      <w:color w:val="auto"/>
                      <w:szCs w:val="24"/>
                    </w:rPr>
                  </w:pPr>
                  <w:r>
                    <w:rPr>
                      <w:color w:val="auto"/>
                    </w:rPr>
                    <w:t>金坛区第二污水处理厂接管标准要求</w:t>
                  </w:r>
                </w:p>
              </w:tc>
              <w:tc>
                <w:tcPr>
                  <w:tcW w:w="1940" w:type="dxa"/>
                  <w:vAlign w:val="center"/>
                </w:tcPr>
                <w:p>
                  <w:pPr>
                    <w:pStyle w:val="474"/>
                    <w:spacing w:line="240" w:lineRule="auto"/>
                    <w:ind w:firstLine="0" w:firstLineChars="0"/>
                    <w:jc w:val="center"/>
                    <w:rPr>
                      <w:color w:val="auto"/>
                      <w:sz w:val="21"/>
                      <w:szCs w:val="24"/>
                    </w:rPr>
                  </w:pPr>
                  <w:r>
                    <w:rPr>
                      <w:color w:val="auto"/>
                      <w:sz w:val="21"/>
                    </w:rPr>
                    <w:t>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Align w:val="center"/>
                </w:tcPr>
                <w:p>
                  <w:pPr>
                    <w:pStyle w:val="474"/>
                    <w:spacing w:line="240" w:lineRule="auto"/>
                    <w:ind w:firstLine="0" w:firstLineChars="0"/>
                    <w:jc w:val="center"/>
                    <w:rPr>
                      <w:color w:val="auto"/>
                      <w:sz w:val="21"/>
                      <w:szCs w:val="24"/>
                    </w:rPr>
                  </w:pPr>
                  <w:r>
                    <w:rPr>
                      <w:color w:val="auto"/>
                      <w:sz w:val="21"/>
                      <w:szCs w:val="24"/>
                    </w:rPr>
                    <w:t>2</w:t>
                  </w:r>
                </w:p>
              </w:tc>
              <w:tc>
                <w:tcPr>
                  <w:tcW w:w="1417" w:type="dxa"/>
                  <w:vMerge w:val="continue"/>
                  <w:vAlign w:val="center"/>
                </w:tcPr>
                <w:p>
                  <w:pPr>
                    <w:rPr>
                      <w:color w:val="auto"/>
                    </w:rPr>
                  </w:pPr>
                </w:p>
              </w:tc>
              <w:tc>
                <w:tcPr>
                  <w:tcW w:w="1701" w:type="dxa"/>
                  <w:vAlign w:val="center"/>
                </w:tcPr>
                <w:p>
                  <w:pPr>
                    <w:pStyle w:val="474"/>
                    <w:spacing w:line="240" w:lineRule="auto"/>
                    <w:ind w:firstLine="0" w:firstLineChars="0"/>
                    <w:jc w:val="center"/>
                    <w:rPr>
                      <w:color w:val="auto"/>
                      <w:sz w:val="21"/>
                      <w:szCs w:val="21"/>
                    </w:rPr>
                  </w:pPr>
                  <w:r>
                    <w:rPr>
                      <w:color w:val="auto"/>
                      <w:sz w:val="21"/>
                      <w:szCs w:val="21"/>
                    </w:rPr>
                    <w:t>SS</w:t>
                  </w:r>
                </w:p>
              </w:tc>
              <w:tc>
                <w:tcPr>
                  <w:tcW w:w="2393" w:type="dxa"/>
                  <w:vMerge w:val="continue"/>
                  <w:vAlign w:val="center"/>
                </w:tcPr>
                <w:p>
                  <w:pPr>
                    <w:rPr>
                      <w:color w:val="auto"/>
                    </w:rPr>
                  </w:pPr>
                </w:p>
              </w:tc>
              <w:tc>
                <w:tcPr>
                  <w:tcW w:w="1940" w:type="dxa"/>
                  <w:vAlign w:val="center"/>
                </w:tcPr>
                <w:p>
                  <w:pPr>
                    <w:pStyle w:val="474"/>
                    <w:spacing w:line="240" w:lineRule="auto"/>
                    <w:ind w:firstLine="0" w:firstLineChars="0"/>
                    <w:jc w:val="center"/>
                    <w:rPr>
                      <w:color w:val="auto"/>
                      <w:sz w:val="21"/>
                      <w:szCs w:val="24"/>
                    </w:rPr>
                  </w:pPr>
                  <w:r>
                    <w:rPr>
                      <w:color w:val="auto"/>
                      <w:sz w:val="21"/>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Align w:val="center"/>
                </w:tcPr>
                <w:p>
                  <w:pPr>
                    <w:pStyle w:val="474"/>
                    <w:spacing w:line="240" w:lineRule="auto"/>
                    <w:ind w:firstLine="0" w:firstLineChars="0"/>
                    <w:jc w:val="center"/>
                    <w:rPr>
                      <w:color w:val="auto"/>
                      <w:sz w:val="21"/>
                      <w:szCs w:val="24"/>
                    </w:rPr>
                  </w:pPr>
                  <w:r>
                    <w:rPr>
                      <w:color w:val="auto"/>
                      <w:sz w:val="21"/>
                      <w:szCs w:val="24"/>
                    </w:rPr>
                    <w:t>3</w:t>
                  </w:r>
                </w:p>
              </w:tc>
              <w:tc>
                <w:tcPr>
                  <w:tcW w:w="1417" w:type="dxa"/>
                  <w:vMerge w:val="continue"/>
                  <w:vAlign w:val="center"/>
                </w:tcPr>
                <w:p>
                  <w:pPr>
                    <w:rPr>
                      <w:color w:val="auto"/>
                    </w:rPr>
                  </w:pPr>
                </w:p>
              </w:tc>
              <w:tc>
                <w:tcPr>
                  <w:tcW w:w="1701" w:type="dxa"/>
                  <w:vAlign w:val="center"/>
                </w:tcPr>
                <w:p>
                  <w:pPr>
                    <w:pStyle w:val="474"/>
                    <w:spacing w:line="240" w:lineRule="auto"/>
                    <w:ind w:firstLine="0" w:firstLineChars="0"/>
                    <w:jc w:val="center"/>
                    <w:rPr>
                      <w:color w:val="auto"/>
                      <w:sz w:val="21"/>
                      <w:szCs w:val="21"/>
                    </w:rPr>
                  </w:pPr>
                  <w:r>
                    <w:rPr>
                      <w:color w:val="auto"/>
                      <w:sz w:val="21"/>
                      <w:szCs w:val="21"/>
                    </w:rPr>
                    <w:t>氨氮</w:t>
                  </w:r>
                </w:p>
              </w:tc>
              <w:tc>
                <w:tcPr>
                  <w:tcW w:w="2393" w:type="dxa"/>
                  <w:vMerge w:val="continue"/>
                  <w:vAlign w:val="center"/>
                </w:tcPr>
                <w:p>
                  <w:pPr>
                    <w:rPr>
                      <w:color w:val="auto"/>
                    </w:rPr>
                  </w:pPr>
                </w:p>
              </w:tc>
              <w:tc>
                <w:tcPr>
                  <w:tcW w:w="1940" w:type="dxa"/>
                  <w:vAlign w:val="center"/>
                </w:tcPr>
                <w:p>
                  <w:pPr>
                    <w:pStyle w:val="474"/>
                    <w:spacing w:line="240" w:lineRule="auto"/>
                    <w:ind w:firstLine="0" w:firstLineChars="0"/>
                    <w:jc w:val="center"/>
                    <w:rPr>
                      <w:color w:val="auto"/>
                      <w:sz w:val="21"/>
                      <w:szCs w:val="24"/>
                    </w:rPr>
                  </w:pPr>
                  <w:r>
                    <w:rPr>
                      <w:color w:val="auto"/>
                      <w:sz w:val="21"/>
                      <w:szCs w:val="24"/>
                    </w:rPr>
                    <w:t>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Align w:val="center"/>
                </w:tcPr>
                <w:p>
                  <w:pPr>
                    <w:pStyle w:val="474"/>
                    <w:spacing w:line="240" w:lineRule="auto"/>
                    <w:ind w:firstLine="0" w:firstLineChars="0"/>
                    <w:jc w:val="center"/>
                    <w:rPr>
                      <w:color w:val="auto"/>
                      <w:sz w:val="21"/>
                      <w:szCs w:val="24"/>
                    </w:rPr>
                  </w:pPr>
                  <w:r>
                    <w:rPr>
                      <w:color w:val="auto"/>
                      <w:sz w:val="21"/>
                      <w:szCs w:val="24"/>
                    </w:rPr>
                    <w:t>4</w:t>
                  </w:r>
                </w:p>
              </w:tc>
              <w:tc>
                <w:tcPr>
                  <w:tcW w:w="1417" w:type="dxa"/>
                  <w:vMerge w:val="continue"/>
                  <w:vAlign w:val="center"/>
                </w:tcPr>
                <w:p>
                  <w:pPr>
                    <w:rPr>
                      <w:color w:val="auto"/>
                    </w:rPr>
                  </w:pPr>
                </w:p>
              </w:tc>
              <w:tc>
                <w:tcPr>
                  <w:tcW w:w="1701" w:type="dxa"/>
                  <w:vAlign w:val="center"/>
                </w:tcPr>
                <w:p>
                  <w:pPr>
                    <w:pStyle w:val="474"/>
                    <w:spacing w:line="240" w:lineRule="auto"/>
                    <w:ind w:firstLine="0" w:firstLineChars="0"/>
                    <w:jc w:val="center"/>
                    <w:rPr>
                      <w:color w:val="auto"/>
                      <w:sz w:val="21"/>
                      <w:szCs w:val="21"/>
                    </w:rPr>
                  </w:pPr>
                  <w:r>
                    <w:rPr>
                      <w:color w:val="auto"/>
                      <w:sz w:val="21"/>
                      <w:szCs w:val="21"/>
                    </w:rPr>
                    <w:t>TP</w:t>
                  </w:r>
                </w:p>
              </w:tc>
              <w:tc>
                <w:tcPr>
                  <w:tcW w:w="2393" w:type="dxa"/>
                  <w:vMerge w:val="continue"/>
                  <w:vAlign w:val="center"/>
                </w:tcPr>
                <w:p>
                  <w:pPr>
                    <w:rPr>
                      <w:color w:val="auto"/>
                    </w:rPr>
                  </w:pPr>
                </w:p>
              </w:tc>
              <w:tc>
                <w:tcPr>
                  <w:tcW w:w="1940" w:type="dxa"/>
                  <w:vAlign w:val="center"/>
                </w:tcPr>
                <w:p>
                  <w:pPr>
                    <w:pStyle w:val="474"/>
                    <w:spacing w:line="240" w:lineRule="auto"/>
                    <w:ind w:firstLine="0" w:firstLineChars="0"/>
                    <w:jc w:val="center"/>
                    <w:rPr>
                      <w:color w:val="auto"/>
                      <w:sz w:val="21"/>
                      <w:szCs w:val="24"/>
                    </w:rPr>
                  </w:pPr>
                  <w:r>
                    <w:rPr>
                      <w:color w:val="auto"/>
                      <w:sz w:val="21"/>
                      <w:szCs w:val="24"/>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vAlign w:val="center"/>
                </w:tcPr>
                <w:p>
                  <w:pPr>
                    <w:pStyle w:val="474"/>
                    <w:spacing w:line="240" w:lineRule="auto"/>
                    <w:ind w:firstLine="0" w:firstLineChars="0"/>
                    <w:jc w:val="center"/>
                    <w:rPr>
                      <w:color w:val="auto"/>
                      <w:sz w:val="21"/>
                      <w:szCs w:val="24"/>
                    </w:rPr>
                  </w:pPr>
                  <w:r>
                    <w:rPr>
                      <w:color w:val="auto"/>
                      <w:sz w:val="21"/>
                      <w:szCs w:val="24"/>
                    </w:rPr>
                    <w:t>5</w:t>
                  </w:r>
                </w:p>
              </w:tc>
              <w:tc>
                <w:tcPr>
                  <w:tcW w:w="1417" w:type="dxa"/>
                  <w:vMerge w:val="continue"/>
                  <w:vAlign w:val="center"/>
                </w:tcPr>
                <w:p>
                  <w:pPr>
                    <w:rPr>
                      <w:color w:val="auto"/>
                    </w:rPr>
                  </w:pPr>
                </w:p>
              </w:tc>
              <w:tc>
                <w:tcPr>
                  <w:tcW w:w="1701" w:type="dxa"/>
                  <w:vAlign w:val="center"/>
                </w:tcPr>
                <w:p>
                  <w:pPr>
                    <w:pStyle w:val="474"/>
                    <w:spacing w:line="240" w:lineRule="auto"/>
                    <w:ind w:firstLine="0" w:firstLineChars="0"/>
                    <w:jc w:val="center"/>
                    <w:rPr>
                      <w:color w:val="auto"/>
                      <w:sz w:val="21"/>
                      <w:szCs w:val="21"/>
                    </w:rPr>
                  </w:pPr>
                  <w:r>
                    <w:rPr>
                      <w:color w:val="auto"/>
                      <w:sz w:val="21"/>
                      <w:szCs w:val="21"/>
                    </w:rPr>
                    <w:t>TN</w:t>
                  </w:r>
                </w:p>
              </w:tc>
              <w:tc>
                <w:tcPr>
                  <w:tcW w:w="2393" w:type="dxa"/>
                  <w:vMerge w:val="continue"/>
                  <w:vAlign w:val="center"/>
                </w:tcPr>
                <w:p>
                  <w:pPr>
                    <w:rPr>
                      <w:color w:val="auto"/>
                    </w:rPr>
                  </w:pPr>
                </w:p>
              </w:tc>
              <w:tc>
                <w:tcPr>
                  <w:tcW w:w="1940" w:type="dxa"/>
                  <w:vAlign w:val="center"/>
                </w:tcPr>
                <w:p>
                  <w:pPr>
                    <w:pStyle w:val="474"/>
                    <w:spacing w:line="240" w:lineRule="auto"/>
                    <w:ind w:firstLine="0" w:firstLineChars="0"/>
                    <w:jc w:val="center"/>
                    <w:rPr>
                      <w:color w:val="auto"/>
                      <w:sz w:val="21"/>
                      <w:szCs w:val="24"/>
                    </w:rPr>
                  </w:pPr>
                  <w:r>
                    <w:rPr>
                      <w:rFonts w:hint="eastAsia"/>
                      <w:color w:val="auto"/>
                      <w:sz w:val="21"/>
                      <w:szCs w:val="24"/>
                    </w:rPr>
                    <w:t>50</w:t>
                  </w:r>
                </w:p>
              </w:tc>
            </w:tr>
          </w:tbl>
          <w:p>
            <w:pPr>
              <w:pStyle w:val="474"/>
              <w:spacing w:line="240" w:lineRule="auto"/>
              <w:ind w:firstLine="0" w:firstLineChars="0"/>
              <w:jc w:val="center"/>
              <w:rPr>
                <w:b/>
                <w:color w:val="auto"/>
                <w:sz w:val="21"/>
                <w:szCs w:val="21"/>
              </w:rPr>
            </w:pPr>
            <w:r>
              <w:rPr>
                <w:b/>
                <w:color w:val="auto"/>
                <w:sz w:val="21"/>
                <w:szCs w:val="21"/>
              </w:rPr>
              <w:t>表7-1</w:t>
            </w:r>
            <w:r>
              <w:rPr>
                <w:rFonts w:hint="eastAsia"/>
                <w:b/>
                <w:color w:val="auto"/>
                <w:sz w:val="21"/>
                <w:szCs w:val="21"/>
                <w:lang w:val="en-US" w:eastAsia="zh-CN"/>
              </w:rPr>
              <w:t>9</w:t>
            </w:r>
            <w:r>
              <w:rPr>
                <w:b/>
                <w:color w:val="auto"/>
                <w:sz w:val="21"/>
                <w:szCs w:val="21"/>
              </w:rPr>
              <w:t xml:space="preserve">  废水间接排放口基本情况 </w:t>
            </w:r>
          </w:p>
          <w:tbl>
            <w:tblPr>
              <w:tblStyle w:val="56"/>
              <w:tblW w:w="830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786"/>
              <w:gridCol w:w="1206"/>
              <w:gridCol w:w="1109"/>
              <w:gridCol w:w="758"/>
              <w:gridCol w:w="574"/>
              <w:gridCol w:w="629"/>
              <w:gridCol w:w="563"/>
              <w:gridCol w:w="562"/>
              <w:gridCol w:w="656"/>
              <w:gridCol w:w="10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397" w:type="dxa"/>
                  <w:vMerge w:val="restart"/>
                  <w:vAlign w:val="center"/>
                </w:tcPr>
                <w:p>
                  <w:pPr>
                    <w:pStyle w:val="123"/>
                    <w:rPr>
                      <w:b/>
                      <w:color w:val="auto"/>
                      <w:sz w:val="18"/>
                      <w:szCs w:val="18"/>
                    </w:rPr>
                  </w:pPr>
                  <w:r>
                    <w:rPr>
                      <w:b/>
                      <w:color w:val="auto"/>
                      <w:sz w:val="18"/>
                      <w:szCs w:val="18"/>
                    </w:rPr>
                    <w:t>序号</w:t>
                  </w:r>
                </w:p>
              </w:tc>
              <w:tc>
                <w:tcPr>
                  <w:tcW w:w="786" w:type="dxa"/>
                  <w:vMerge w:val="restart"/>
                  <w:vAlign w:val="center"/>
                </w:tcPr>
                <w:p>
                  <w:pPr>
                    <w:pStyle w:val="123"/>
                    <w:rPr>
                      <w:b/>
                      <w:color w:val="auto"/>
                      <w:sz w:val="18"/>
                      <w:szCs w:val="18"/>
                    </w:rPr>
                  </w:pPr>
                  <w:r>
                    <w:rPr>
                      <w:b/>
                      <w:color w:val="auto"/>
                      <w:sz w:val="18"/>
                      <w:szCs w:val="18"/>
                    </w:rPr>
                    <w:t>排放口编号</w:t>
                  </w:r>
                </w:p>
              </w:tc>
              <w:tc>
                <w:tcPr>
                  <w:tcW w:w="2052" w:type="dxa"/>
                  <w:gridSpan w:val="2"/>
                  <w:vMerge w:val="restart"/>
                  <w:vAlign w:val="center"/>
                </w:tcPr>
                <w:p>
                  <w:pPr>
                    <w:pStyle w:val="123"/>
                    <w:rPr>
                      <w:color w:val="auto"/>
                      <w:sz w:val="18"/>
                      <w:szCs w:val="24"/>
                    </w:rPr>
                  </w:pPr>
                  <w:r>
                    <w:rPr>
                      <w:b/>
                      <w:color w:val="auto"/>
                      <w:sz w:val="18"/>
                      <w:szCs w:val="18"/>
                    </w:rPr>
                    <w:t>排放口地理坐标</w:t>
                  </w:r>
                </w:p>
              </w:tc>
              <w:tc>
                <w:tcPr>
                  <w:tcW w:w="801" w:type="dxa"/>
                  <w:vMerge w:val="restart"/>
                  <w:vAlign w:val="center"/>
                </w:tcPr>
                <w:p>
                  <w:pPr>
                    <w:pStyle w:val="123"/>
                    <w:rPr>
                      <w:b/>
                      <w:color w:val="auto"/>
                      <w:sz w:val="18"/>
                      <w:szCs w:val="18"/>
                    </w:rPr>
                  </w:pPr>
                  <w:r>
                    <w:rPr>
                      <w:b/>
                      <w:color w:val="auto"/>
                      <w:sz w:val="18"/>
                      <w:szCs w:val="18"/>
                    </w:rPr>
                    <w:t>废水排放量（万t/a）</w:t>
                  </w:r>
                </w:p>
              </w:tc>
              <w:tc>
                <w:tcPr>
                  <w:tcW w:w="630" w:type="dxa"/>
                  <w:vMerge w:val="restart"/>
                  <w:vAlign w:val="center"/>
                </w:tcPr>
                <w:p>
                  <w:pPr>
                    <w:pStyle w:val="123"/>
                    <w:rPr>
                      <w:b/>
                      <w:color w:val="auto"/>
                      <w:sz w:val="18"/>
                      <w:szCs w:val="18"/>
                    </w:rPr>
                  </w:pPr>
                  <w:r>
                    <w:rPr>
                      <w:b/>
                      <w:color w:val="auto"/>
                      <w:sz w:val="18"/>
                      <w:szCs w:val="18"/>
                    </w:rPr>
                    <w:t>排放去向</w:t>
                  </w:r>
                </w:p>
              </w:tc>
              <w:tc>
                <w:tcPr>
                  <w:tcW w:w="646" w:type="dxa"/>
                  <w:vMerge w:val="restart"/>
                  <w:vAlign w:val="center"/>
                </w:tcPr>
                <w:p>
                  <w:pPr>
                    <w:pStyle w:val="123"/>
                    <w:rPr>
                      <w:b/>
                      <w:color w:val="auto"/>
                      <w:sz w:val="18"/>
                      <w:szCs w:val="18"/>
                    </w:rPr>
                  </w:pPr>
                  <w:r>
                    <w:rPr>
                      <w:b/>
                      <w:color w:val="auto"/>
                      <w:sz w:val="18"/>
                      <w:szCs w:val="18"/>
                    </w:rPr>
                    <w:t>排放规律</w:t>
                  </w:r>
                </w:p>
              </w:tc>
              <w:tc>
                <w:tcPr>
                  <w:tcW w:w="615" w:type="dxa"/>
                  <w:vMerge w:val="restart"/>
                  <w:vAlign w:val="center"/>
                </w:tcPr>
                <w:p>
                  <w:pPr>
                    <w:pStyle w:val="123"/>
                    <w:rPr>
                      <w:b/>
                      <w:color w:val="auto"/>
                      <w:sz w:val="18"/>
                      <w:szCs w:val="18"/>
                    </w:rPr>
                  </w:pPr>
                  <w:r>
                    <w:rPr>
                      <w:b/>
                      <w:color w:val="auto"/>
                      <w:sz w:val="18"/>
                      <w:szCs w:val="18"/>
                    </w:rPr>
                    <w:t>间接排放时段</w:t>
                  </w:r>
                </w:p>
              </w:tc>
              <w:tc>
                <w:tcPr>
                  <w:tcW w:w="2375" w:type="dxa"/>
                  <w:gridSpan w:val="3"/>
                  <w:vAlign w:val="center"/>
                </w:tcPr>
                <w:p>
                  <w:pPr>
                    <w:pStyle w:val="123"/>
                    <w:rPr>
                      <w:color w:val="auto"/>
                      <w:sz w:val="18"/>
                      <w:szCs w:val="24"/>
                    </w:rPr>
                  </w:pPr>
                  <w:r>
                    <w:rPr>
                      <w:b/>
                      <w:color w:val="auto"/>
                      <w:sz w:val="18"/>
                      <w:szCs w:val="18"/>
                    </w:rPr>
                    <w:t>受纳污水处理厂信息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397" w:type="dxa"/>
                  <w:vMerge w:val="continue"/>
                  <w:vAlign w:val="center"/>
                </w:tcPr>
                <w:p>
                  <w:pPr>
                    <w:rPr>
                      <w:color w:val="auto"/>
                    </w:rPr>
                  </w:pPr>
                </w:p>
              </w:tc>
              <w:tc>
                <w:tcPr>
                  <w:tcW w:w="786" w:type="dxa"/>
                  <w:vMerge w:val="continue"/>
                  <w:vAlign w:val="center"/>
                </w:tcPr>
                <w:p>
                  <w:pPr>
                    <w:rPr>
                      <w:color w:val="auto"/>
                    </w:rPr>
                  </w:pPr>
                </w:p>
              </w:tc>
              <w:tc>
                <w:tcPr>
                  <w:tcW w:w="2052" w:type="dxa"/>
                  <w:gridSpan w:val="2"/>
                  <w:vMerge w:val="continue"/>
                  <w:vAlign w:val="center"/>
                </w:tcPr>
                <w:p>
                  <w:pPr>
                    <w:rPr>
                      <w:color w:val="auto"/>
                    </w:rPr>
                  </w:pPr>
                </w:p>
              </w:tc>
              <w:tc>
                <w:tcPr>
                  <w:tcW w:w="801" w:type="dxa"/>
                  <w:vMerge w:val="continue"/>
                  <w:vAlign w:val="center"/>
                </w:tcPr>
                <w:p>
                  <w:pPr>
                    <w:rPr>
                      <w:color w:val="auto"/>
                    </w:rPr>
                  </w:pPr>
                </w:p>
              </w:tc>
              <w:tc>
                <w:tcPr>
                  <w:tcW w:w="630" w:type="dxa"/>
                  <w:vMerge w:val="continue"/>
                  <w:vAlign w:val="center"/>
                </w:tcPr>
                <w:p>
                  <w:pPr>
                    <w:rPr>
                      <w:color w:val="auto"/>
                    </w:rPr>
                  </w:pPr>
                </w:p>
              </w:tc>
              <w:tc>
                <w:tcPr>
                  <w:tcW w:w="646" w:type="dxa"/>
                  <w:vMerge w:val="continue"/>
                  <w:vAlign w:val="center"/>
                </w:tcPr>
                <w:p>
                  <w:pPr>
                    <w:rPr>
                      <w:color w:val="auto"/>
                    </w:rPr>
                  </w:pPr>
                </w:p>
              </w:tc>
              <w:tc>
                <w:tcPr>
                  <w:tcW w:w="615" w:type="dxa"/>
                  <w:vMerge w:val="continue"/>
                  <w:vAlign w:val="center"/>
                </w:tcPr>
                <w:p>
                  <w:pPr>
                    <w:rPr>
                      <w:color w:val="auto"/>
                    </w:rPr>
                  </w:pPr>
                </w:p>
              </w:tc>
              <w:tc>
                <w:tcPr>
                  <w:tcW w:w="614" w:type="dxa"/>
                  <w:vAlign w:val="center"/>
                </w:tcPr>
                <w:p>
                  <w:pPr>
                    <w:pStyle w:val="123"/>
                    <w:rPr>
                      <w:b/>
                      <w:color w:val="auto"/>
                      <w:sz w:val="18"/>
                      <w:szCs w:val="18"/>
                    </w:rPr>
                  </w:pPr>
                  <w:r>
                    <w:rPr>
                      <w:b/>
                      <w:color w:val="auto"/>
                      <w:sz w:val="18"/>
                      <w:szCs w:val="18"/>
                    </w:rPr>
                    <w:t>名称</w:t>
                  </w:r>
                </w:p>
              </w:tc>
              <w:tc>
                <w:tcPr>
                  <w:tcW w:w="675" w:type="dxa"/>
                  <w:vAlign w:val="center"/>
                </w:tcPr>
                <w:p>
                  <w:pPr>
                    <w:pStyle w:val="123"/>
                    <w:rPr>
                      <w:b/>
                      <w:color w:val="auto"/>
                      <w:sz w:val="18"/>
                      <w:szCs w:val="18"/>
                    </w:rPr>
                  </w:pPr>
                  <w:r>
                    <w:rPr>
                      <w:b/>
                      <w:color w:val="auto"/>
                      <w:sz w:val="18"/>
                      <w:szCs w:val="18"/>
                    </w:rPr>
                    <w:t>污染物种类</w:t>
                  </w:r>
                </w:p>
              </w:tc>
              <w:tc>
                <w:tcPr>
                  <w:tcW w:w="1086" w:type="dxa"/>
                  <w:vAlign w:val="center"/>
                </w:tcPr>
                <w:p>
                  <w:pPr>
                    <w:pStyle w:val="123"/>
                    <w:rPr>
                      <w:b/>
                      <w:color w:val="auto"/>
                      <w:sz w:val="18"/>
                      <w:szCs w:val="18"/>
                    </w:rPr>
                  </w:pPr>
                  <w:r>
                    <w:rPr>
                      <w:b/>
                      <w:color w:val="auto"/>
                      <w:sz w:val="18"/>
                      <w:szCs w:val="18"/>
                    </w:rPr>
                    <w:t>国家或地方污染物排放标准浓度限值/（mg/L）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7" w:type="dxa"/>
                  <w:vAlign w:val="center"/>
                </w:tcPr>
                <w:p>
                  <w:pPr>
                    <w:pStyle w:val="474"/>
                    <w:spacing w:line="360" w:lineRule="auto"/>
                    <w:ind w:firstLine="0" w:firstLineChars="0"/>
                    <w:jc w:val="center"/>
                    <w:rPr>
                      <w:color w:val="auto"/>
                      <w:sz w:val="18"/>
                      <w:szCs w:val="24"/>
                    </w:rPr>
                  </w:pPr>
                  <w:r>
                    <w:rPr>
                      <w:color w:val="auto"/>
                      <w:sz w:val="18"/>
                      <w:szCs w:val="24"/>
                    </w:rPr>
                    <w:t>1</w:t>
                  </w:r>
                </w:p>
              </w:tc>
              <w:tc>
                <w:tcPr>
                  <w:tcW w:w="786" w:type="dxa"/>
                  <w:vMerge w:val="restart"/>
                  <w:vAlign w:val="center"/>
                </w:tcPr>
                <w:p>
                  <w:pPr>
                    <w:pStyle w:val="474"/>
                    <w:spacing w:line="240" w:lineRule="auto"/>
                    <w:ind w:firstLine="0" w:firstLineChars="0"/>
                    <w:jc w:val="center"/>
                    <w:rPr>
                      <w:color w:val="auto"/>
                      <w:sz w:val="18"/>
                      <w:szCs w:val="24"/>
                    </w:rPr>
                  </w:pPr>
                  <w:r>
                    <w:rPr>
                      <w:color w:val="auto"/>
                      <w:sz w:val="18"/>
                      <w:szCs w:val="24"/>
                    </w:rPr>
                    <w:t>DW001</w:t>
                  </w:r>
                </w:p>
              </w:tc>
              <w:tc>
                <w:tcPr>
                  <w:tcW w:w="1071" w:type="dxa"/>
                  <w:vMerge w:val="restart"/>
                  <w:vAlign w:val="center"/>
                </w:tcPr>
                <w:p>
                  <w:pPr>
                    <w:jc w:val="center"/>
                    <w:rPr>
                      <w:rFonts w:hint="default" w:eastAsia="宋体"/>
                      <w:color w:val="auto"/>
                      <w:szCs w:val="22"/>
                      <w:lang w:val="en-US" w:eastAsia="zh-CN"/>
                    </w:rPr>
                  </w:pPr>
                  <w:r>
                    <w:rPr>
                      <w:rFonts w:hint="eastAsia"/>
                      <w:color w:val="auto"/>
                      <w:szCs w:val="22"/>
                      <w:lang w:val="en-US" w:eastAsia="zh-CN"/>
                    </w:rPr>
                    <w:t>119.656665</w:t>
                  </w:r>
                </w:p>
              </w:tc>
              <w:tc>
                <w:tcPr>
                  <w:tcW w:w="981" w:type="dxa"/>
                  <w:vMerge w:val="restart"/>
                  <w:vAlign w:val="center"/>
                </w:tcPr>
                <w:p>
                  <w:pPr>
                    <w:jc w:val="center"/>
                    <w:rPr>
                      <w:rFonts w:hint="default" w:eastAsia="宋体"/>
                      <w:color w:val="auto"/>
                      <w:szCs w:val="22"/>
                      <w:lang w:val="en-US" w:eastAsia="zh-CN"/>
                    </w:rPr>
                  </w:pPr>
                  <w:r>
                    <w:rPr>
                      <w:rFonts w:hint="eastAsia"/>
                      <w:color w:val="auto"/>
                      <w:szCs w:val="22"/>
                      <w:lang w:val="en-US" w:eastAsia="zh-CN"/>
                    </w:rPr>
                    <w:t>31.756340</w:t>
                  </w:r>
                </w:p>
              </w:tc>
              <w:tc>
                <w:tcPr>
                  <w:tcW w:w="801" w:type="dxa"/>
                  <w:vMerge w:val="restart"/>
                  <w:vAlign w:val="center"/>
                </w:tcPr>
                <w:p>
                  <w:pPr>
                    <w:pStyle w:val="474"/>
                    <w:spacing w:line="240" w:lineRule="auto"/>
                    <w:ind w:firstLine="0" w:firstLineChars="0"/>
                    <w:jc w:val="center"/>
                    <w:rPr>
                      <w:rFonts w:hint="default" w:eastAsia="宋体"/>
                      <w:color w:val="auto"/>
                      <w:sz w:val="18"/>
                      <w:szCs w:val="24"/>
                      <w:lang w:val="en-US" w:eastAsia="zh-CN"/>
                    </w:rPr>
                  </w:pPr>
                  <w:r>
                    <w:rPr>
                      <w:rFonts w:hint="eastAsia"/>
                      <w:color w:val="auto"/>
                      <w:sz w:val="18"/>
                      <w:szCs w:val="24"/>
                    </w:rPr>
                    <w:t>0.0</w:t>
                  </w:r>
                  <w:r>
                    <w:rPr>
                      <w:rFonts w:hint="eastAsia"/>
                      <w:color w:val="auto"/>
                      <w:sz w:val="18"/>
                      <w:szCs w:val="24"/>
                      <w:lang w:val="en-US" w:eastAsia="zh-CN"/>
                    </w:rPr>
                    <w:t>12</w:t>
                  </w:r>
                </w:p>
              </w:tc>
              <w:tc>
                <w:tcPr>
                  <w:tcW w:w="630" w:type="dxa"/>
                  <w:vMerge w:val="restart"/>
                  <w:vAlign w:val="center"/>
                </w:tcPr>
                <w:p>
                  <w:pPr>
                    <w:pStyle w:val="474"/>
                    <w:spacing w:line="240" w:lineRule="auto"/>
                    <w:ind w:firstLine="0" w:firstLineChars="0"/>
                    <w:jc w:val="center"/>
                    <w:rPr>
                      <w:color w:val="auto"/>
                      <w:sz w:val="18"/>
                      <w:szCs w:val="24"/>
                    </w:rPr>
                  </w:pPr>
                  <w:r>
                    <w:rPr>
                      <w:color w:val="auto"/>
                      <w:sz w:val="18"/>
                      <w:szCs w:val="24"/>
                    </w:rPr>
                    <w:t>排放至金坛第二污水处理</w:t>
                  </w:r>
                </w:p>
              </w:tc>
              <w:tc>
                <w:tcPr>
                  <w:tcW w:w="646" w:type="dxa"/>
                  <w:vMerge w:val="restart"/>
                  <w:vAlign w:val="center"/>
                </w:tcPr>
                <w:p>
                  <w:pPr>
                    <w:pStyle w:val="474"/>
                    <w:spacing w:line="240" w:lineRule="auto"/>
                    <w:ind w:firstLine="0" w:firstLineChars="0"/>
                    <w:jc w:val="center"/>
                    <w:rPr>
                      <w:color w:val="auto"/>
                      <w:sz w:val="18"/>
                      <w:szCs w:val="24"/>
                    </w:rPr>
                  </w:pPr>
                  <w:r>
                    <w:rPr>
                      <w:rFonts w:hint="eastAsia"/>
                      <w:color w:val="auto"/>
                      <w:sz w:val="18"/>
                      <w:szCs w:val="24"/>
                    </w:rPr>
                    <w:t>间断</w:t>
                  </w:r>
                  <w:r>
                    <w:rPr>
                      <w:color w:val="auto"/>
                      <w:sz w:val="18"/>
                      <w:szCs w:val="24"/>
                    </w:rPr>
                    <w:t>排放，流量</w:t>
                  </w:r>
                  <w:r>
                    <w:rPr>
                      <w:rFonts w:hint="eastAsia"/>
                      <w:color w:val="auto"/>
                      <w:sz w:val="18"/>
                      <w:szCs w:val="24"/>
                    </w:rPr>
                    <w:t>不</w:t>
                  </w:r>
                  <w:r>
                    <w:rPr>
                      <w:color w:val="auto"/>
                      <w:sz w:val="18"/>
                      <w:szCs w:val="24"/>
                    </w:rPr>
                    <w:t>稳定</w:t>
                  </w:r>
                </w:p>
              </w:tc>
              <w:tc>
                <w:tcPr>
                  <w:tcW w:w="615" w:type="dxa"/>
                  <w:vMerge w:val="restart"/>
                  <w:vAlign w:val="center"/>
                </w:tcPr>
                <w:p>
                  <w:pPr>
                    <w:pStyle w:val="474"/>
                    <w:spacing w:line="240" w:lineRule="auto"/>
                    <w:ind w:firstLine="0" w:firstLineChars="0"/>
                    <w:jc w:val="center"/>
                    <w:rPr>
                      <w:color w:val="auto"/>
                      <w:sz w:val="18"/>
                      <w:szCs w:val="24"/>
                    </w:rPr>
                  </w:pPr>
                  <w:r>
                    <w:rPr>
                      <w:color w:val="auto"/>
                      <w:sz w:val="18"/>
                      <w:szCs w:val="24"/>
                    </w:rPr>
                    <w:t>/</w:t>
                  </w:r>
                </w:p>
              </w:tc>
              <w:tc>
                <w:tcPr>
                  <w:tcW w:w="614" w:type="dxa"/>
                  <w:vMerge w:val="restart"/>
                  <w:vAlign w:val="center"/>
                </w:tcPr>
                <w:p>
                  <w:pPr>
                    <w:pStyle w:val="474"/>
                    <w:spacing w:line="240" w:lineRule="auto"/>
                    <w:ind w:firstLine="0" w:firstLineChars="0"/>
                    <w:jc w:val="center"/>
                    <w:rPr>
                      <w:color w:val="auto"/>
                      <w:szCs w:val="24"/>
                    </w:rPr>
                  </w:pPr>
                  <w:r>
                    <w:rPr>
                      <w:color w:val="auto"/>
                      <w:sz w:val="18"/>
                    </w:rPr>
                    <w:t>金坛区第二污水处理厂</w:t>
                  </w:r>
                </w:p>
              </w:tc>
              <w:tc>
                <w:tcPr>
                  <w:tcW w:w="675" w:type="dxa"/>
                  <w:vAlign w:val="center"/>
                </w:tcPr>
                <w:p>
                  <w:pPr>
                    <w:pStyle w:val="474"/>
                    <w:spacing w:line="360" w:lineRule="auto"/>
                    <w:ind w:firstLine="0" w:firstLineChars="0"/>
                    <w:jc w:val="center"/>
                    <w:rPr>
                      <w:color w:val="auto"/>
                      <w:szCs w:val="24"/>
                    </w:rPr>
                  </w:pPr>
                  <w:r>
                    <w:rPr>
                      <w:color w:val="auto"/>
                      <w:sz w:val="18"/>
                      <w:szCs w:val="21"/>
                    </w:rPr>
                    <w:t>COD</w:t>
                  </w:r>
                </w:p>
              </w:tc>
              <w:tc>
                <w:tcPr>
                  <w:tcW w:w="1086" w:type="dxa"/>
                  <w:vAlign w:val="center"/>
                </w:tcPr>
                <w:p>
                  <w:pPr>
                    <w:pStyle w:val="474"/>
                    <w:spacing w:line="240" w:lineRule="auto"/>
                    <w:ind w:firstLine="0" w:firstLineChars="0"/>
                    <w:jc w:val="center"/>
                    <w:rPr>
                      <w:color w:val="auto"/>
                      <w:sz w:val="18"/>
                    </w:rPr>
                  </w:pPr>
                  <w:r>
                    <w:rPr>
                      <w:color w:val="auto"/>
                      <w:sz w:val="18"/>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7" w:type="dxa"/>
                  <w:vAlign w:val="center"/>
                </w:tcPr>
                <w:p>
                  <w:pPr>
                    <w:pStyle w:val="474"/>
                    <w:spacing w:line="360" w:lineRule="auto"/>
                    <w:ind w:firstLine="0" w:firstLineChars="0"/>
                    <w:jc w:val="center"/>
                    <w:rPr>
                      <w:color w:val="auto"/>
                      <w:sz w:val="18"/>
                      <w:szCs w:val="24"/>
                    </w:rPr>
                  </w:pPr>
                  <w:r>
                    <w:rPr>
                      <w:color w:val="auto"/>
                      <w:sz w:val="18"/>
                      <w:szCs w:val="24"/>
                    </w:rPr>
                    <w:t>2</w:t>
                  </w:r>
                </w:p>
              </w:tc>
              <w:tc>
                <w:tcPr>
                  <w:tcW w:w="786" w:type="dxa"/>
                  <w:vMerge w:val="continue"/>
                  <w:vAlign w:val="center"/>
                </w:tcPr>
                <w:p>
                  <w:pPr>
                    <w:rPr>
                      <w:color w:val="auto"/>
                    </w:rPr>
                  </w:pPr>
                </w:p>
              </w:tc>
              <w:tc>
                <w:tcPr>
                  <w:tcW w:w="1071" w:type="dxa"/>
                  <w:vMerge w:val="continue"/>
                  <w:vAlign w:val="center"/>
                </w:tcPr>
                <w:p>
                  <w:pPr>
                    <w:rPr>
                      <w:color w:val="auto"/>
                    </w:rPr>
                  </w:pPr>
                </w:p>
              </w:tc>
              <w:tc>
                <w:tcPr>
                  <w:tcW w:w="981" w:type="dxa"/>
                  <w:vMerge w:val="continue"/>
                  <w:vAlign w:val="center"/>
                </w:tcPr>
                <w:p>
                  <w:pPr>
                    <w:rPr>
                      <w:color w:val="auto"/>
                    </w:rPr>
                  </w:pPr>
                </w:p>
              </w:tc>
              <w:tc>
                <w:tcPr>
                  <w:tcW w:w="801" w:type="dxa"/>
                  <w:vMerge w:val="continue"/>
                  <w:vAlign w:val="center"/>
                </w:tcPr>
                <w:p>
                  <w:pPr>
                    <w:rPr>
                      <w:color w:val="auto"/>
                    </w:rPr>
                  </w:pPr>
                </w:p>
              </w:tc>
              <w:tc>
                <w:tcPr>
                  <w:tcW w:w="630" w:type="dxa"/>
                  <w:vMerge w:val="continue"/>
                  <w:vAlign w:val="center"/>
                </w:tcPr>
                <w:p>
                  <w:pPr>
                    <w:rPr>
                      <w:color w:val="auto"/>
                    </w:rPr>
                  </w:pPr>
                </w:p>
              </w:tc>
              <w:tc>
                <w:tcPr>
                  <w:tcW w:w="646" w:type="dxa"/>
                  <w:vMerge w:val="continue"/>
                  <w:vAlign w:val="center"/>
                </w:tcPr>
                <w:p>
                  <w:pPr>
                    <w:rPr>
                      <w:color w:val="auto"/>
                    </w:rPr>
                  </w:pPr>
                </w:p>
              </w:tc>
              <w:tc>
                <w:tcPr>
                  <w:tcW w:w="615" w:type="dxa"/>
                  <w:vMerge w:val="continue"/>
                  <w:vAlign w:val="center"/>
                </w:tcPr>
                <w:p>
                  <w:pPr>
                    <w:rPr>
                      <w:color w:val="auto"/>
                    </w:rPr>
                  </w:pPr>
                </w:p>
              </w:tc>
              <w:tc>
                <w:tcPr>
                  <w:tcW w:w="614" w:type="dxa"/>
                  <w:vMerge w:val="continue"/>
                  <w:vAlign w:val="center"/>
                </w:tcPr>
                <w:p>
                  <w:pPr>
                    <w:rPr>
                      <w:color w:val="auto"/>
                    </w:rPr>
                  </w:pPr>
                </w:p>
              </w:tc>
              <w:tc>
                <w:tcPr>
                  <w:tcW w:w="675" w:type="dxa"/>
                  <w:vAlign w:val="center"/>
                </w:tcPr>
                <w:p>
                  <w:pPr>
                    <w:pStyle w:val="474"/>
                    <w:spacing w:line="360" w:lineRule="auto"/>
                    <w:ind w:firstLine="0" w:firstLineChars="0"/>
                    <w:jc w:val="center"/>
                    <w:rPr>
                      <w:color w:val="auto"/>
                      <w:sz w:val="18"/>
                      <w:szCs w:val="21"/>
                    </w:rPr>
                  </w:pPr>
                  <w:r>
                    <w:rPr>
                      <w:color w:val="auto"/>
                      <w:sz w:val="18"/>
                      <w:szCs w:val="21"/>
                    </w:rPr>
                    <w:t>SS</w:t>
                  </w:r>
                </w:p>
              </w:tc>
              <w:tc>
                <w:tcPr>
                  <w:tcW w:w="1086" w:type="dxa"/>
                  <w:vAlign w:val="center"/>
                </w:tcPr>
                <w:p>
                  <w:pPr>
                    <w:pStyle w:val="474"/>
                    <w:spacing w:line="240" w:lineRule="auto"/>
                    <w:ind w:firstLine="0" w:firstLineChars="0"/>
                    <w:jc w:val="center"/>
                    <w:rPr>
                      <w:color w:val="auto"/>
                      <w:sz w:val="18"/>
                    </w:rPr>
                  </w:pPr>
                  <w:r>
                    <w:rPr>
                      <w:color w:val="auto"/>
                      <w:sz w:val="18"/>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7" w:type="dxa"/>
                  <w:vAlign w:val="center"/>
                </w:tcPr>
                <w:p>
                  <w:pPr>
                    <w:pStyle w:val="474"/>
                    <w:spacing w:line="360" w:lineRule="auto"/>
                    <w:ind w:firstLine="0" w:firstLineChars="0"/>
                    <w:jc w:val="center"/>
                    <w:rPr>
                      <w:color w:val="auto"/>
                      <w:sz w:val="18"/>
                      <w:szCs w:val="24"/>
                    </w:rPr>
                  </w:pPr>
                  <w:r>
                    <w:rPr>
                      <w:color w:val="auto"/>
                      <w:sz w:val="18"/>
                      <w:szCs w:val="24"/>
                    </w:rPr>
                    <w:t>3</w:t>
                  </w:r>
                </w:p>
              </w:tc>
              <w:tc>
                <w:tcPr>
                  <w:tcW w:w="786" w:type="dxa"/>
                  <w:vMerge w:val="continue"/>
                  <w:vAlign w:val="center"/>
                </w:tcPr>
                <w:p>
                  <w:pPr>
                    <w:rPr>
                      <w:color w:val="auto"/>
                    </w:rPr>
                  </w:pPr>
                </w:p>
              </w:tc>
              <w:tc>
                <w:tcPr>
                  <w:tcW w:w="1071" w:type="dxa"/>
                  <w:vMerge w:val="continue"/>
                  <w:vAlign w:val="center"/>
                </w:tcPr>
                <w:p>
                  <w:pPr>
                    <w:rPr>
                      <w:color w:val="auto"/>
                    </w:rPr>
                  </w:pPr>
                </w:p>
              </w:tc>
              <w:tc>
                <w:tcPr>
                  <w:tcW w:w="981" w:type="dxa"/>
                  <w:vMerge w:val="continue"/>
                  <w:vAlign w:val="center"/>
                </w:tcPr>
                <w:p>
                  <w:pPr>
                    <w:rPr>
                      <w:color w:val="auto"/>
                    </w:rPr>
                  </w:pPr>
                </w:p>
              </w:tc>
              <w:tc>
                <w:tcPr>
                  <w:tcW w:w="801" w:type="dxa"/>
                  <w:vMerge w:val="continue"/>
                  <w:vAlign w:val="center"/>
                </w:tcPr>
                <w:p>
                  <w:pPr>
                    <w:rPr>
                      <w:color w:val="auto"/>
                    </w:rPr>
                  </w:pPr>
                </w:p>
              </w:tc>
              <w:tc>
                <w:tcPr>
                  <w:tcW w:w="630" w:type="dxa"/>
                  <w:vMerge w:val="continue"/>
                  <w:vAlign w:val="center"/>
                </w:tcPr>
                <w:p>
                  <w:pPr>
                    <w:rPr>
                      <w:color w:val="auto"/>
                    </w:rPr>
                  </w:pPr>
                </w:p>
              </w:tc>
              <w:tc>
                <w:tcPr>
                  <w:tcW w:w="646" w:type="dxa"/>
                  <w:vMerge w:val="continue"/>
                  <w:vAlign w:val="center"/>
                </w:tcPr>
                <w:p>
                  <w:pPr>
                    <w:rPr>
                      <w:color w:val="auto"/>
                    </w:rPr>
                  </w:pPr>
                </w:p>
              </w:tc>
              <w:tc>
                <w:tcPr>
                  <w:tcW w:w="615" w:type="dxa"/>
                  <w:vMerge w:val="continue"/>
                  <w:vAlign w:val="center"/>
                </w:tcPr>
                <w:p>
                  <w:pPr>
                    <w:rPr>
                      <w:color w:val="auto"/>
                    </w:rPr>
                  </w:pPr>
                </w:p>
              </w:tc>
              <w:tc>
                <w:tcPr>
                  <w:tcW w:w="614" w:type="dxa"/>
                  <w:vMerge w:val="continue"/>
                  <w:vAlign w:val="center"/>
                </w:tcPr>
                <w:p>
                  <w:pPr>
                    <w:rPr>
                      <w:color w:val="auto"/>
                    </w:rPr>
                  </w:pPr>
                </w:p>
              </w:tc>
              <w:tc>
                <w:tcPr>
                  <w:tcW w:w="675" w:type="dxa"/>
                  <w:vAlign w:val="center"/>
                </w:tcPr>
                <w:p>
                  <w:pPr>
                    <w:pStyle w:val="474"/>
                    <w:spacing w:line="360" w:lineRule="auto"/>
                    <w:ind w:firstLine="0" w:firstLineChars="0"/>
                    <w:jc w:val="center"/>
                    <w:rPr>
                      <w:color w:val="auto"/>
                      <w:sz w:val="18"/>
                      <w:szCs w:val="21"/>
                    </w:rPr>
                  </w:pPr>
                  <w:r>
                    <w:rPr>
                      <w:color w:val="auto"/>
                      <w:sz w:val="18"/>
                      <w:szCs w:val="21"/>
                    </w:rPr>
                    <w:t>氨氮</w:t>
                  </w:r>
                </w:p>
              </w:tc>
              <w:tc>
                <w:tcPr>
                  <w:tcW w:w="1086" w:type="dxa"/>
                  <w:vAlign w:val="center"/>
                </w:tcPr>
                <w:p>
                  <w:pPr>
                    <w:pStyle w:val="474"/>
                    <w:spacing w:line="240" w:lineRule="auto"/>
                    <w:ind w:firstLine="0" w:firstLineChars="0"/>
                    <w:jc w:val="center"/>
                    <w:rPr>
                      <w:color w:val="auto"/>
                      <w:sz w:val="18"/>
                    </w:rPr>
                  </w:pPr>
                  <w:r>
                    <w:rPr>
                      <w:color w:val="auto"/>
                      <w:sz w:val="18"/>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7" w:type="dxa"/>
                  <w:vAlign w:val="center"/>
                </w:tcPr>
                <w:p>
                  <w:pPr>
                    <w:pStyle w:val="474"/>
                    <w:spacing w:line="360" w:lineRule="auto"/>
                    <w:ind w:firstLine="0" w:firstLineChars="0"/>
                    <w:jc w:val="center"/>
                    <w:rPr>
                      <w:color w:val="auto"/>
                      <w:sz w:val="18"/>
                      <w:szCs w:val="24"/>
                    </w:rPr>
                  </w:pPr>
                  <w:r>
                    <w:rPr>
                      <w:color w:val="auto"/>
                      <w:sz w:val="18"/>
                      <w:szCs w:val="24"/>
                    </w:rPr>
                    <w:t>4</w:t>
                  </w:r>
                </w:p>
              </w:tc>
              <w:tc>
                <w:tcPr>
                  <w:tcW w:w="786" w:type="dxa"/>
                  <w:vMerge w:val="continue"/>
                  <w:vAlign w:val="center"/>
                </w:tcPr>
                <w:p>
                  <w:pPr>
                    <w:rPr>
                      <w:color w:val="auto"/>
                    </w:rPr>
                  </w:pPr>
                </w:p>
              </w:tc>
              <w:tc>
                <w:tcPr>
                  <w:tcW w:w="1071" w:type="dxa"/>
                  <w:vMerge w:val="continue"/>
                  <w:vAlign w:val="center"/>
                </w:tcPr>
                <w:p>
                  <w:pPr>
                    <w:rPr>
                      <w:color w:val="auto"/>
                    </w:rPr>
                  </w:pPr>
                </w:p>
              </w:tc>
              <w:tc>
                <w:tcPr>
                  <w:tcW w:w="981" w:type="dxa"/>
                  <w:vMerge w:val="continue"/>
                  <w:vAlign w:val="center"/>
                </w:tcPr>
                <w:p>
                  <w:pPr>
                    <w:rPr>
                      <w:color w:val="auto"/>
                    </w:rPr>
                  </w:pPr>
                </w:p>
              </w:tc>
              <w:tc>
                <w:tcPr>
                  <w:tcW w:w="801" w:type="dxa"/>
                  <w:vMerge w:val="continue"/>
                  <w:vAlign w:val="center"/>
                </w:tcPr>
                <w:p>
                  <w:pPr>
                    <w:rPr>
                      <w:color w:val="auto"/>
                    </w:rPr>
                  </w:pPr>
                </w:p>
              </w:tc>
              <w:tc>
                <w:tcPr>
                  <w:tcW w:w="630" w:type="dxa"/>
                  <w:vMerge w:val="continue"/>
                  <w:vAlign w:val="center"/>
                </w:tcPr>
                <w:p>
                  <w:pPr>
                    <w:rPr>
                      <w:color w:val="auto"/>
                    </w:rPr>
                  </w:pPr>
                </w:p>
              </w:tc>
              <w:tc>
                <w:tcPr>
                  <w:tcW w:w="646" w:type="dxa"/>
                  <w:vMerge w:val="continue"/>
                  <w:vAlign w:val="center"/>
                </w:tcPr>
                <w:p>
                  <w:pPr>
                    <w:rPr>
                      <w:color w:val="auto"/>
                    </w:rPr>
                  </w:pPr>
                </w:p>
              </w:tc>
              <w:tc>
                <w:tcPr>
                  <w:tcW w:w="615" w:type="dxa"/>
                  <w:vMerge w:val="continue"/>
                  <w:vAlign w:val="center"/>
                </w:tcPr>
                <w:p>
                  <w:pPr>
                    <w:rPr>
                      <w:color w:val="auto"/>
                    </w:rPr>
                  </w:pPr>
                </w:p>
              </w:tc>
              <w:tc>
                <w:tcPr>
                  <w:tcW w:w="614" w:type="dxa"/>
                  <w:vMerge w:val="continue"/>
                  <w:vAlign w:val="center"/>
                </w:tcPr>
                <w:p>
                  <w:pPr>
                    <w:rPr>
                      <w:color w:val="auto"/>
                    </w:rPr>
                  </w:pPr>
                </w:p>
              </w:tc>
              <w:tc>
                <w:tcPr>
                  <w:tcW w:w="675" w:type="dxa"/>
                  <w:vAlign w:val="center"/>
                </w:tcPr>
                <w:p>
                  <w:pPr>
                    <w:pStyle w:val="474"/>
                    <w:spacing w:line="360" w:lineRule="auto"/>
                    <w:ind w:firstLine="0" w:firstLineChars="0"/>
                    <w:jc w:val="center"/>
                    <w:rPr>
                      <w:color w:val="auto"/>
                      <w:sz w:val="18"/>
                      <w:szCs w:val="21"/>
                    </w:rPr>
                  </w:pPr>
                  <w:r>
                    <w:rPr>
                      <w:color w:val="auto"/>
                      <w:sz w:val="18"/>
                      <w:szCs w:val="21"/>
                    </w:rPr>
                    <w:t>TP</w:t>
                  </w:r>
                </w:p>
              </w:tc>
              <w:tc>
                <w:tcPr>
                  <w:tcW w:w="1086" w:type="dxa"/>
                  <w:vAlign w:val="center"/>
                </w:tcPr>
                <w:p>
                  <w:pPr>
                    <w:pStyle w:val="474"/>
                    <w:spacing w:line="240" w:lineRule="auto"/>
                    <w:ind w:firstLine="0" w:firstLineChars="0"/>
                    <w:jc w:val="center"/>
                    <w:rPr>
                      <w:color w:val="auto"/>
                      <w:sz w:val="18"/>
                    </w:rPr>
                  </w:pPr>
                  <w:r>
                    <w:rPr>
                      <w:color w:val="auto"/>
                      <w:sz w:val="18"/>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97" w:type="dxa"/>
                  <w:vAlign w:val="center"/>
                </w:tcPr>
                <w:p>
                  <w:pPr>
                    <w:pStyle w:val="474"/>
                    <w:spacing w:line="360" w:lineRule="auto"/>
                    <w:ind w:firstLine="0" w:firstLineChars="0"/>
                    <w:jc w:val="center"/>
                    <w:rPr>
                      <w:color w:val="auto"/>
                      <w:sz w:val="18"/>
                      <w:szCs w:val="24"/>
                    </w:rPr>
                  </w:pPr>
                  <w:r>
                    <w:rPr>
                      <w:color w:val="auto"/>
                      <w:sz w:val="18"/>
                      <w:szCs w:val="24"/>
                    </w:rPr>
                    <w:t>5</w:t>
                  </w:r>
                </w:p>
              </w:tc>
              <w:tc>
                <w:tcPr>
                  <w:tcW w:w="786" w:type="dxa"/>
                  <w:vMerge w:val="continue"/>
                  <w:vAlign w:val="center"/>
                </w:tcPr>
                <w:p>
                  <w:pPr>
                    <w:rPr>
                      <w:color w:val="auto"/>
                    </w:rPr>
                  </w:pPr>
                </w:p>
              </w:tc>
              <w:tc>
                <w:tcPr>
                  <w:tcW w:w="1071" w:type="dxa"/>
                  <w:vMerge w:val="continue"/>
                  <w:vAlign w:val="center"/>
                </w:tcPr>
                <w:p>
                  <w:pPr>
                    <w:rPr>
                      <w:color w:val="auto"/>
                    </w:rPr>
                  </w:pPr>
                </w:p>
              </w:tc>
              <w:tc>
                <w:tcPr>
                  <w:tcW w:w="981" w:type="dxa"/>
                  <w:vMerge w:val="continue"/>
                  <w:vAlign w:val="center"/>
                </w:tcPr>
                <w:p>
                  <w:pPr>
                    <w:rPr>
                      <w:color w:val="auto"/>
                    </w:rPr>
                  </w:pPr>
                </w:p>
              </w:tc>
              <w:tc>
                <w:tcPr>
                  <w:tcW w:w="801" w:type="dxa"/>
                  <w:vMerge w:val="continue"/>
                  <w:vAlign w:val="center"/>
                </w:tcPr>
                <w:p>
                  <w:pPr>
                    <w:rPr>
                      <w:color w:val="auto"/>
                    </w:rPr>
                  </w:pPr>
                </w:p>
              </w:tc>
              <w:tc>
                <w:tcPr>
                  <w:tcW w:w="630" w:type="dxa"/>
                  <w:vMerge w:val="continue"/>
                  <w:vAlign w:val="center"/>
                </w:tcPr>
                <w:p>
                  <w:pPr>
                    <w:rPr>
                      <w:color w:val="auto"/>
                    </w:rPr>
                  </w:pPr>
                </w:p>
              </w:tc>
              <w:tc>
                <w:tcPr>
                  <w:tcW w:w="646" w:type="dxa"/>
                  <w:vMerge w:val="continue"/>
                  <w:vAlign w:val="center"/>
                </w:tcPr>
                <w:p>
                  <w:pPr>
                    <w:rPr>
                      <w:color w:val="auto"/>
                    </w:rPr>
                  </w:pPr>
                </w:p>
              </w:tc>
              <w:tc>
                <w:tcPr>
                  <w:tcW w:w="615" w:type="dxa"/>
                  <w:vMerge w:val="continue"/>
                  <w:vAlign w:val="center"/>
                </w:tcPr>
                <w:p>
                  <w:pPr>
                    <w:rPr>
                      <w:color w:val="auto"/>
                    </w:rPr>
                  </w:pPr>
                </w:p>
              </w:tc>
              <w:tc>
                <w:tcPr>
                  <w:tcW w:w="614" w:type="dxa"/>
                  <w:vMerge w:val="continue"/>
                  <w:vAlign w:val="center"/>
                </w:tcPr>
                <w:p>
                  <w:pPr>
                    <w:rPr>
                      <w:color w:val="auto"/>
                    </w:rPr>
                  </w:pPr>
                </w:p>
              </w:tc>
              <w:tc>
                <w:tcPr>
                  <w:tcW w:w="675" w:type="dxa"/>
                  <w:vAlign w:val="center"/>
                </w:tcPr>
                <w:p>
                  <w:pPr>
                    <w:pStyle w:val="474"/>
                    <w:spacing w:line="360" w:lineRule="auto"/>
                    <w:ind w:firstLine="0" w:firstLineChars="0"/>
                    <w:jc w:val="center"/>
                    <w:rPr>
                      <w:color w:val="auto"/>
                      <w:sz w:val="18"/>
                      <w:szCs w:val="21"/>
                    </w:rPr>
                  </w:pPr>
                  <w:r>
                    <w:rPr>
                      <w:color w:val="auto"/>
                      <w:sz w:val="18"/>
                      <w:szCs w:val="21"/>
                    </w:rPr>
                    <w:t>TN</w:t>
                  </w:r>
                </w:p>
              </w:tc>
              <w:tc>
                <w:tcPr>
                  <w:tcW w:w="1086" w:type="dxa"/>
                  <w:vAlign w:val="center"/>
                </w:tcPr>
                <w:p>
                  <w:pPr>
                    <w:pStyle w:val="474"/>
                    <w:spacing w:line="240" w:lineRule="auto"/>
                    <w:ind w:firstLine="0" w:firstLineChars="0"/>
                    <w:jc w:val="center"/>
                    <w:rPr>
                      <w:color w:val="auto"/>
                      <w:sz w:val="18"/>
                    </w:rPr>
                  </w:pPr>
                  <w:r>
                    <w:rPr>
                      <w:color w:val="auto"/>
                      <w:sz w:val="18"/>
                    </w:rPr>
                    <w:t>15</w:t>
                  </w:r>
                </w:p>
              </w:tc>
            </w:tr>
          </w:tbl>
          <w:p>
            <w:pPr>
              <w:pStyle w:val="474"/>
              <w:spacing w:line="360" w:lineRule="auto"/>
              <w:jc w:val="both"/>
              <w:rPr>
                <w:color w:val="auto"/>
                <w:szCs w:val="24"/>
              </w:rPr>
            </w:pPr>
            <w:r>
              <w:rPr>
                <w:color w:val="auto"/>
              </w:rPr>
              <w:t>2021年1月1日前，金坛区第二污水处理厂尾水排放执行《太湖地区城镇污水处理厂及重点工业行业主要水污染物排放限值》（DB32/1072-2007）中表2标准及《城镇污水处理厂污染物排放标准》（GB18918-2002）中表1一级A标准；2021年1月1号后金坛区第二污水处理厂尾水排放执行《太湖地区城镇污水处理厂及重点工业行业主要水污染物排放限值》（DB32/1072-20</w:t>
            </w:r>
            <w:r>
              <w:rPr>
                <w:rFonts w:hint="eastAsia"/>
                <w:color w:val="auto"/>
              </w:rPr>
              <w:t>18</w:t>
            </w:r>
            <w:r>
              <w:rPr>
                <w:color w:val="auto"/>
              </w:rPr>
              <w:t>）中表2标准及《城镇污水处理厂污染物排放标准》（GB18918-2002）中表1一级A标准</w:t>
            </w:r>
            <w:r>
              <w:rPr>
                <w:rFonts w:hint="eastAsia"/>
                <w:color w:val="auto"/>
              </w:rPr>
              <w:t>。</w:t>
            </w:r>
          </w:p>
          <w:p>
            <w:pPr>
              <w:pStyle w:val="474"/>
              <w:spacing w:line="360" w:lineRule="auto"/>
              <w:jc w:val="both"/>
              <w:rPr>
                <w:color w:val="auto"/>
              </w:rPr>
            </w:pPr>
            <w:r>
              <w:rPr>
                <w:color w:val="auto"/>
              </w:rPr>
              <w:t>项目废水排放情况详见下表。</w:t>
            </w:r>
          </w:p>
          <w:p>
            <w:pPr>
              <w:pStyle w:val="474"/>
              <w:spacing w:line="240" w:lineRule="auto"/>
              <w:ind w:firstLine="0" w:firstLineChars="0"/>
              <w:jc w:val="center"/>
              <w:rPr>
                <w:b/>
                <w:color w:val="auto"/>
                <w:sz w:val="21"/>
                <w:szCs w:val="21"/>
              </w:rPr>
            </w:pPr>
            <w:r>
              <w:rPr>
                <w:b/>
                <w:bCs/>
                <w:color w:val="auto"/>
                <w:sz w:val="21"/>
                <w:szCs w:val="21"/>
              </w:rPr>
              <w:t>表7-</w:t>
            </w:r>
            <w:r>
              <w:rPr>
                <w:rFonts w:hint="eastAsia"/>
                <w:b/>
                <w:bCs/>
                <w:color w:val="auto"/>
                <w:sz w:val="21"/>
                <w:szCs w:val="21"/>
                <w:lang w:val="en-US" w:eastAsia="zh-CN"/>
              </w:rPr>
              <w:t>20</w:t>
            </w:r>
            <w:r>
              <w:rPr>
                <w:b/>
                <w:bCs/>
                <w:color w:val="auto"/>
                <w:sz w:val="21"/>
                <w:szCs w:val="21"/>
              </w:rPr>
              <w:t xml:space="preserve">  </w:t>
            </w:r>
            <w:r>
              <w:rPr>
                <w:b/>
                <w:color w:val="auto"/>
                <w:sz w:val="21"/>
                <w:szCs w:val="21"/>
              </w:rPr>
              <w:t>废水污染物排放信息表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5"/>
              <w:gridCol w:w="1404"/>
              <w:gridCol w:w="1350"/>
              <w:gridCol w:w="1811"/>
              <w:gridCol w:w="1521"/>
              <w:gridCol w:w="15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5" w:type="dxa"/>
                  <w:vAlign w:val="center"/>
                </w:tcPr>
                <w:p>
                  <w:pPr>
                    <w:pStyle w:val="123"/>
                    <w:rPr>
                      <w:b/>
                      <w:color w:val="auto"/>
                    </w:rPr>
                  </w:pPr>
                  <w:r>
                    <w:rPr>
                      <w:b/>
                      <w:color w:val="auto"/>
                    </w:rPr>
                    <w:t>序号</w:t>
                  </w:r>
                </w:p>
              </w:tc>
              <w:tc>
                <w:tcPr>
                  <w:tcW w:w="1404" w:type="dxa"/>
                  <w:vAlign w:val="center"/>
                </w:tcPr>
                <w:p>
                  <w:pPr>
                    <w:pStyle w:val="123"/>
                    <w:rPr>
                      <w:b/>
                      <w:color w:val="auto"/>
                    </w:rPr>
                  </w:pPr>
                  <w:r>
                    <w:rPr>
                      <w:b/>
                      <w:color w:val="auto"/>
                    </w:rPr>
                    <w:t>排放口编号</w:t>
                  </w:r>
                </w:p>
              </w:tc>
              <w:tc>
                <w:tcPr>
                  <w:tcW w:w="1350" w:type="dxa"/>
                  <w:vAlign w:val="center"/>
                </w:tcPr>
                <w:p>
                  <w:pPr>
                    <w:pStyle w:val="123"/>
                    <w:rPr>
                      <w:b/>
                      <w:color w:val="auto"/>
                    </w:rPr>
                  </w:pPr>
                  <w:r>
                    <w:rPr>
                      <w:b/>
                      <w:color w:val="auto"/>
                    </w:rPr>
                    <w:t>污染物种类</w:t>
                  </w:r>
                </w:p>
              </w:tc>
              <w:tc>
                <w:tcPr>
                  <w:tcW w:w="1811" w:type="dxa"/>
                  <w:vAlign w:val="center"/>
                </w:tcPr>
                <w:p>
                  <w:pPr>
                    <w:pStyle w:val="123"/>
                    <w:rPr>
                      <w:b/>
                      <w:color w:val="auto"/>
                    </w:rPr>
                  </w:pPr>
                  <w:r>
                    <w:rPr>
                      <w:b/>
                      <w:color w:val="auto"/>
                    </w:rPr>
                    <w:t>排放浓度/（mg/L）</w:t>
                  </w:r>
                </w:p>
              </w:tc>
              <w:tc>
                <w:tcPr>
                  <w:tcW w:w="1521" w:type="dxa"/>
                  <w:vAlign w:val="center"/>
                </w:tcPr>
                <w:p>
                  <w:pPr>
                    <w:pStyle w:val="123"/>
                    <w:rPr>
                      <w:b/>
                      <w:color w:val="auto"/>
                    </w:rPr>
                  </w:pPr>
                  <w:r>
                    <w:rPr>
                      <w:b/>
                      <w:color w:val="auto"/>
                    </w:rPr>
                    <w:t>日排放量/（t/d）</w:t>
                  </w:r>
                </w:p>
              </w:tc>
              <w:tc>
                <w:tcPr>
                  <w:tcW w:w="1521" w:type="dxa"/>
                  <w:vAlign w:val="center"/>
                </w:tcPr>
                <w:p>
                  <w:pPr>
                    <w:pStyle w:val="123"/>
                    <w:rPr>
                      <w:b/>
                      <w:color w:val="auto"/>
                    </w:rPr>
                  </w:pPr>
                  <w:r>
                    <w:rPr>
                      <w:b/>
                      <w:color w:val="auto"/>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5" w:type="dxa"/>
                  <w:vAlign w:val="center"/>
                </w:tcPr>
                <w:p>
                  <w:pPr>
                    <w:pStyle w:val="474"/>
                    <w:spacing w:line="240" w:lineRule="auto"/>
                    <w:ind w:firstLine="0" w:firstLineChars="0"/>
                    <w:jc w:val="center"/>
                    <w:rPr>
                      <w:color w:val="auto"/>
                      <w:sz w:val="21"/>
                      <w:szCs w:val="21"/>
                    </w:rPr>
                  </w:pPr>
                  <w:r>
                    <w:rPr>
                      <w:color w:val="auto"/>
                      <w:sz w:val="21"/>
                      <w:szCs w:val="21"/>
                    </w:rPr>
                    <w:t>1</w:t>
                  </w:r>
                </w:p>
              </w:tc>
              <w:tc>
                <w:tcPr>
                  <w:tcW w:w="1404" w:type="dxa"/>
                  <w:vMerge w:val="restart"/>
                  <w:vAlign w:val="center"/>
                </w:tcPr>
                <w:p>
                  <w:pPr>
                    <w:pStyle w:val="474"/>
                    <w:spacing w:line="240" w:lineRule="auto"/>
                    <w:ind w:firstLine="0" w:firstLineChars="0"/>
                    <w:jc w:val="center"/>
                    <w:rPr>
                      <w:color w:val="auto"/>
                      <w:sz w:val="21"/>
                      <w:szCs w:val="21"/>
                    </w:rPr>
                  </w:pPr>
                  <w:r>
                    <w:rPr>
                      <w:color w:val="auto"/>
                      <w:sz w:val="21"/>
                      <w:szCs w:val="21"/>
                    </w:rPr>
                    <w:t>DW001</w:t>
                  </w:r>
                </w:p>
              </w:tc>
              <w:tc>
                <w:tcPr>
                  <w:tcW w:w="1350" w:type="dxa"/>
                  <w:vAlign w:val="center"/>
                </w:tcPr>
                <w:p>
                  <w:pPr>
                    <w:pStyle w:val="474"/>
                    <w:spacing w:line="240" w:lineRule="auto"/>
                    <w:ind w:firstLine="0" w:firstLineChars="0"/>
                    <w:jc w:val="center"/>
                    <w:rPr>
                      <w:color w:val="auto"/>
                      <w:sz w:val="21"/>
                      <w:szCs w:val="21"/>
                    </w:rPr>
                  </w:pPr>
                  <w:r>
                    <w:rPr>
                      <w:color w:val="auto"/>
                      <w:sz w:val="21"/>
                      <w:szCs w:val="21"/>
                    </w:rPr>
                    <w:t>COD</w:t>
                  </w:r>
                </w:p>
              </w:tc>
              <w:tc>
                <w:tcPr>
                  <w:tcW w:w="1811" w:type="dxa"/>
                  <w:vAlign w:val="center"/>
                </w:tcPr>
                <w:p>
                  <w:pPr>
                    <w:widowControl/>
                    <w:jc w:val="center"/>
                    <w:rPr>
                      <w:color w:val="auto"/>
                      <w:kern w:val="0"/>
                      <w:szCs w:val="21"/>
                    </w:rPr>
                  </w:pPr>
                  <w:r>
                    <w:rPr>
                      <w:color w:val="auto"/>
                      <w:szCs w:val="21"/>
                    </w:rPr>
                    <w:t>340</w:t>
                  </w:r>
                </w:p>
              </w:tc>
              <w:tc>
                <w:tcPr>
                  <w:tcW w:w="1521" w:type="dxa"/>
                  <w:vAlign w:val="center"/>
                </w:tcPr>
                <w:p>
                  <w:pPr>
                    <w:jc w:val="center"/>
                    <w:rPr>
                      <w:rFonts w:hint="eastAsia"/>
                      <w:color w:val="auto"/>
                      <w:szCs w:val="21"/>
                      <w:lang w:val="en-US" w:eastAsia="zh-CN"/>
                    </w:rPr>
                  </w:pPr>
                  <w:r>
                    <w:rPr>
                      <w:rFonts w:hint="eastAsia"/>
                      <w:color w:val="auto"/>
                      <w:szCs w:val="21"/>
                      <w:lang w:val="en-US" w:eastAsia="zh-CN"/>
                    </w:rPr>
                    <w:t>0.000137</w:t>
                  </w:r>
                </w:p>
              </w:tc>
              <w:tc>
                <w:tcPr>
                  <w:tcW w:w="1521" w:type="dxa"/>
                  <w:vAlign w:val="center"/>
                </w:tcPr>
                <w:p>
                  <w:pPr>
                    <w:jc w:val="center"/>
                    <w:rPr>
                      <w:color w:val="auto"/>
                      <w:szCs w:val="21"/>
                    </w:rPr>
                  </w:pPr>
                  <w:r>
                    <w:rPr>
                      <w:rFonts w:hint="eastAsia"/>
                      <w:color w:val="auto"/>
                      <w:szCs w:val="21"/>
                      <w:lang w:val="en-US" w:eastAsia="zh-CN"/>
                    </w:rPr>
                    <w:t>0.041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5" w:type="dxa"/>
                  <w:vAlign w:val="center"/>
                </w:tcPr>
                <w:p>
                  <w:pPr>
                    <w:pStyle w:val="474"/>
                    <w:spacing w:line="240" w:lineRule="auto"/>
                    <w:ind w:firstLine="0" w:firstLineChars="0"/>
                    <w:jc w:val="center"/>
                    <w:rPr>
                      <w:color w:val="auto"/>
                      <w:sz w:val="21"/>
                      <w:szCs w:val="21"/>
                    </w:rPr>
                  </w:pPr>
                  <w:r>
                    <w:rPr>
                      <w:color w:val="auto"/>
                      <w:sz w:val="21"/>
                      <w:szCs w:val="21"/>
                    </w:rPr>
                    <w:t>2</w:t>
                  </w:r>
                </w:p>
              </w:tc>
              <w:tc>
                <w:tcPr>
                  <w:tcW w:w="1404" w:type="dxa"/>
                  <w:vMerge w:val="continue"/>
                  <w:vAlign w:val="center"/>
                </w:tcPr>
                <w:p>
                  <w:pPr>
                    <w:rPr>
                      <w:color w:val="auto"/>
                      <w:szCs w:val="21"/>
                    </w:rPr>
                  </w:pPr>
                </w:p>
              </w:tc>
              <w:tc>
                <w:tcPr>
                  <w:tcW w:w="1350" w:type="dxa"/>
                  <w:vAlign w:val="center"/>
                </w:tcPr>
                <w:p>
                  <w:pPr>
                    <w:pStyle w:val="474"/>
                    <w:spacing w:line="240" w:lineRule="auto"/>
                    <w:ind w:firstLine="0" w:firstLineChars="0"/>
                    <w:jc w:val="center"/>
                    <w:rPr>
                      <w:color w:val="auto"/>
                      <w:sz w:val="21"/>
                      <w:szCs w:val="21"/>
                    </w:rPr>
                  </w:pPr>
                  <w:r>
                    <w:rPr>
                      <w:color w:val="auto"/>
                      <w:sz w:val="21"/>
                      <w:szCs w:val="21"/>
                    </w:rPr>
                    <w:t>SS</w:t>
                  </w:r>
                </w:p>
              </w:tc>
              <w:tc>
                <w:tcPr>
                  <w:tcW w:w="1811" w:type="dxa"/>
                  <w:vAlign w:val="center"/>
                </w:tcPr>
                <w:p>
                  <w:pPr>
                    <w:jc w:val="center"/>
                    <w:rPr>
                      <w:color w:val="auto"/>
                      <w:szCs w:val="21"/>
                    </w:rPr>
                  </w:pPr>
                  <w:r>
                    <w:rPr>
                      <w:color w:val="auto"/>
                      <w:szCs w:val="21"/>
                    </w:rPr>
                    <w:t>160</w:t>
                  </w:r>
                </w:p>
              </w:tc>
              <w:tc>
                <w:tcPr>
                  <w:tcW w:w="1521" w:type="dxa"/>
                  <w:vAlign w:val="center"/>
                </w:tcPr>
                <w:p>
                  <w:pPr>
                    <w:jc w:val="center"/>
                    <w:rPr>
                      <w:rFonts w:hint="eastAsia"/>
                      <w:color w:val="auto"/>
                      <w:szCs w:val="21"/>
                      <w:lang w:val="en-US" w:eastAsia="zh-CN"/>
                    </w:rPr>
                  </w:pPr>
                  <w:r>
                    <w:rPr>
                      <w:rFonts w:hint="eastAsia"/>
                      <w:color w:val="auto"/>
                      <w:szCs w:val="21"/>
                      <w:lang w:val="en-US" w:eastAsia="zh-CN"/>
                    </w:rPr>
                    <w:t>0.000063</w:t>
                  </w:r>
                </w:p>
              </w:tc>
              <w:tc>
                <w:tcPr>
                  <w:tcW w:w="1521" w:type="dxa"/>
                  <w:vAlign w:val="center"/>
                </w:tcPr>
                <w:p>
                  <w:pPr>
                    <w:jc w:val="center"/>
                    <w:rPr>
                      <w:color w:val="auto"/>
                      <w:szCs w:val="21"/>
                    </w:rPr>
                  </w:pPr>
                  <w:r>
                    <w:rPr>
                      <w:rFonts w:hint="eastAsia"/>
                      <w:color w:val="auto"/>
                      <w:szCs w:val="21"/>
                      <w:lang w:val="en-US" w:eastAsia="zh-CN"/>
                    </w:rPr>
                    <w:t>0.019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5" w:type="dxa"/>
                  <w:vAlign w:val="center"/>
                </w:tcPr>
                <w:p>
                  <w:pPr>
                    <w:pStyle w:val="474"/>
                    <w:spacing w:line="240" w:lineRule="auto"/>
                    <w:ind w:firstLine="0" w:firstLineChars="0"/>
                    <w:jc w:val="center"/>
                    <w:rPr>
                      <w:color w:val="auto"/>
                      <w:sz w:val="21"/>
                      <w:szCs w:val="21"/>
                    </w:rPr>
                  </w:pPr>
                  <w:r>
                    <w:rPr>
                      <w:color w:val="auto"/>
                      <w:sz w:val="21"/>
                      <w:szCs w:val="21"/>
                    </w:rPr>
                    <w:t>3</w:t>
                  </w:r>
                </w:p>
              </w:tc>
              <w:tc>
                <w:tcPr>
                  <w:tcW w:w="1404" w:type="dxa"/>
                  <w:vMerge w:val="continue"/>
                  <w:vAlign w:val="center"/>
                </w:tcPr>
                <w:p>
                  <w:pPr>
                    <w:rPr>
                      <w:color w:val="auto"/>
                      <w:szCs w:val="21"/>
                    </w:rPr>
                  </w:pPr>
                </w:p>
              </w:tc>
              <w:tc>
                <w:tcPr>
                  <w:tcW w:w="1350" w:type="dxa"/>
                  <w:vAlign w:val="center"/>
                </w:tcPr>
                <w:p>
                  <w:pPr>
                    <w:pStyle w:val="474"/>
                    <w:spacing w:line="240" w:lineRule="auto"/>
                    <w:ind w:firstLine="0" w:firstLineChars="0"/>
                    <w:jc w:val="center"/>
                    <w:rPr>
                      <w:color w:val="auto"/>
                      <w:sz w:val="21"/>
                      <w:szCs w:val="21"/>
                    </w:rPr>
                  </w:pPr>
                  <w:r>
                    <w:rPr>
                      <w:color w:val="auto"/>
                      <w:sz w:val="21"/>
                      <w:szCs w:val="21"/>
                    </w:rPr>
                    <w:t>氨氮</w:t>
                  </w:r>
                </w:p>
              </w:tc>
              <w:tc>
                <w:tcPr>
                  <w:tcW w:w="1811" w:type="dxa"/>
                  <w:vAlign w:val="center"/>
                </w:tcPr>
                <w:p>
                  <w:pPr>
                    <w:jc w:val="center"/>
                    <w:rPr>
                      <w:color w:val="auto"/>
                      <w:szCs w:val="21"/>
                    </w:rPr>
                  </w:pPr>
                  <w:r>
                    <w:rPr>
                      <w:color w:val="auto"/>
                      <w:szCs w:val="21"/>
                    </w:rPr>
                    <w:t>35</w:t>
                  </w:r>
                </w:p>
              </w:tc>
              <w:tc>
                <w:tcPr>
                  <w:tcW w:w="1521" w:type="dxa"/>
                  <w:vAlign w:val="center"/>
                </w:tcPr>
                <w:p>
                  <w:pPr>
                    <w:jc w:val="center"/>
                    <w:rPr>
                      <w:rFonts w:hint="eastAsia"/>
                      <w:color w:val="auto"/>
                      <w:szCs w:val="21"/>
                      <w:lang w:val="en-US" w:eastAsia="zh-CN"/>
                    </w:rPr>
                  </w:pPr>
                  <w:r>
                    <w:rPr>
                      <w:rFonts w:hint="eastAsia"/>
                      <w:color w:val="auto"/>
                      <w:szCs w:val="21"/>
                      <w:lang w:val="en-US" w:eastAsia="zh-CN"/>
                    </w:rPr>
                    <w:t>0.000014</w:t>
                  </w:r>
                </w:p>
              </w:tc>
              <w:tc>
                <w:tcPr>
                  <w:tcW w:w="1521" w:type="dxa"/>
                  <w:vAlign w:val="center"/>
                </w:tcPr>
                <w:p>
                  <w:pPr>
                    <w:jc w:val="center"/>
                    <w:rPr>
                      <w:color w:val="auto"/>
                      <w:szCs w:val="21"/>
                    </w:rPr>
                  </w:pPr>
                  <w:r>
                    <w:rPr>
                      <w:rFonts w:hint="eastAsia"/>
                      <w:color w:val="auto"/>
                      <w:szCs w:val="21"/>
                      <w:lang w:val="en-US" w:eastAsia="zh-CN"/>
                    </w:rPr>
                    <w:t>0.0042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5" w:type="dxa"/>
                  <w:vAlign w:val="center"/>
                </w:tcPr>
                <w:p>
                  <w:pPr>
                    <w:pStyle w:val="474"/>
                    <w:spacing w:line="240" w:lineRule="auto"/>
                    <w:ind w:firstLine="0" w:firstLineChars="0"/>
                    <w:jc w:val="center"/>
                    <w:rPr>
                      <w:color w:val="auto"/>
                      <w:sz w:val="21"/>
                      <w:szCs w:val="21"/>
                    </w:rPr>
                  </w:pPr>
                  <w:r>
                    <w:rPr>
                      <w:color w:val="auto"/>
                      <w:sz w:val="21"/>
                      <w:szCs w:val="21"/>
                    </w:rPr>
                    <w:t>4</w:t>
                  </w:r>
                </w:p>
              </w:tc>
              <w:tc>
                <w:tcPr>
                  <w:tcW w:w="1404" w:type="dxa"/>
                  <w:vMerge w:val="continue"/>
                  <w:vAlign w:val="center"/>
                </w:tcPr>
                <w:p>
                  <w:pPr>
                    <w:rPr>
                      <w:color w:val="auto"/>
                      <w:szCs w:val="21"/>
                    </w:rPr>
                  </w:pPr>
                </w:p>
              </w:tc>
              <w:tc>
                <w:tcPr>
                  <w:tcW w:w="1350" w:type="dxa"/>
                  <w:vAlign w:val="center"/>
                </w:tcPr>
                <w:p>
                  <w:pPr>
                    <w:pStyle w:val="474"/>
                    <w:spacing w:line="240" w:lineRule="auto"/>
                    <w:ind w:firstLine="0" w:firstLineChars="0"/>
                    <w:jc w:val="center"/>
                    <w:rPr>
                      <w:color w:val="auto"/>
                      <w:sz w:val="21"/>
                      <w:szCs w:val="21"/>
                    </w:rPr>
                  </w:pPr>
                  <w:r>
                    <w:rPr>
                      <w:color w:val="auto"/>
                      <w:sz w:val="21"/>
                      <w:szCs w:val="21"/>
                    </w:rPr>
                    <w:t>TP</w:t>
                  </w:r>
                </w:p>
              </w:tc>
              <w:tc>
                <w:tcPr>
                  <w:tcW w:w="1811" w:type="dxa"/>
                  <w:vAlign w:val="center"/>
                </w:tcPr>
                <w:p>
                  <w:pPr>
                    <w:jc w:val="center"/>
                    <w:rPr>
                      <w:color w:val="auto"/>
                      <w:szCs w:val="21"/>
                    </w:rPr>
                  </w:pPr>
                  <w:r>
                    <w:rPr>
                      <w:color w:val="auto"/>
                      <w:szCs w:val="21"/>
                    </w:rPr>
                    <w:t>3</w:t>
                  </w:r>
                </w:p>
              </w:tc>
              <w:tc>
                <w:tcPr>
                  <w:tcW w:w="1521" w:type="dxa"/>
                  <w:vAlign w:val="center"/>
                </w:tcPr>
                <w:p>
                  <w:pPr>
                    <w:jc w:val="center"/>
                    <w:rPr>
                      <w:rFonts w:hint="eastAsia"/>
                      <w:color w:val="auto"/>
                      <w:szCs w:val="21"/>
                      <w:lang w:val="en-US" w:eastAsia="zh-CN"/>
                    </w:rPr>
                  </w:pPr>
                  <w:r>
                    <w:rPr>
                      <w:rFonts w:hint="eastAsia"/>
                      <w:color w:val="auto"/>
                      <w:szCs w:val="21"/>
                      <w:lang w:val="en-US" w:eastAsia="zh-CN"/>
                    </w:rPr>
                    <w:t>0.000002</w:t>
                  </w:r>
                </w:p>
              </w:tc>
              <w:tc>
                <w:tcPr>
                  <w:tcW w:w="1521" w:type="dxa"/>
                  <w:vAlign w:val="center"/>
                </w:tcPr>
                <w:p>
                  <w:pPr>
                    <w:jc w:val="center"/>
                    <w:rPr>
                      <w:color w:val="auto"/>
                      <w:szCs w:val="21"/>
                    </w:rPr>
                  </w:pPr>
                  <w:r>
                    <w:rPr>
                      <w:rFonts w:hint="eastAsia"/>
                      <w:color w:val="auto"/>
                      <w:szCs w:val="21"/>
                      <w:lang w:val="en-US" w:eastAsia="zh-CN"/>
                    </w:rPr>
                    <w:t>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5" w:type="dxa"/>
                  <w:vAlign w:val="center"/>
                </w:tcPr>
                <w:p>
                  <w:pPr>
                    <w:pStyle w:val="474"/>
                    <w:spacing w:line="240" w:lineRule="auto"/>
                    <w:ind w:firstLine="0" w:firstLineChars="0"/>
                    <w:jc w:val="center"/>
                    <w:rPr>
                      <w:color w:val="auto"/>
                      <w:sz w:val="21"/>
                      <w:szCs w:val="21"/>
                    </w:rPr>
                  </w:pPr>
                  <w:r>
                    <w:rPr>
                      <w:color w:val="auto"/>
                      <w:sz w:val="21"/>
                      <w:szCs w:val="21"/>
                    </w:rPr>
                    <w:t>5</w:t>
                  </w:r>
                </w:p>
              </w:tc>
              <w:tc>
                <w:tcPr>
                  <w:tcW w:w="1404" w:type="dxa"/>
                  <w:vMerge w:val="continue"/>
                  <w:vAlign w:val="center"/>
                </w:tcPr>
                <w:p>
                  <w:pPr>
                    <w:rPr>
                      <w:color w:val="auto"/>
                      <w:szCs w:val="21"/>
                    </w:rPr>
                  </w:pPr>
                </w:p>
              </w:tc>
              <w:tc>
                <w:tcPr>
                  <w:tcW w:w="1350" w:type="dxa"/>
                  <w:vAlign w:val="center"/>
                </w:tcPr>
                <w:p>
                  <w:pPr>
                    <w:pStyle w:val="474"/>
                    <w:spacing w:line="240" w:lineRule="auto"/>
                    <w:ind w:firstLine="0" w:firstLineChars="0"/>
                    <w:jc w:val="center"/>
                    <w:rPr>
                      <w:color w:val="auto"/>
                      <w:sz w:val="21"/>
                      <w:szCs w:val="21"/>
                    </w:rPr>
                  </w:pPr>
                  <w:r>
                    <w:rPr>
                      <w:color w:val="auto"/>
                      <w:sz w:val="21"/>
                      <w:szCs w:val="21"/>
                    </w:rPr>
                    <w:t>TN</w:t>
                  </w:r>
                </w:p>
              </w:tc>
              <w:tc>
                <w:tcPr>
                  <w:tcW w:w="1811" w:type="dxa"/>
                  <w:vAlign w:val="center"/>
                </w:tcPr>
                <w:p>
                  <w:pPr>
                    <w:jc w:val="center"/>
                    <w:rPr>
                      <w:color w:val="auto"/>
                      <w:szCs w:val="21"/>
                    </w:rPr>
                  </w:pPr>
                  <w:r>
                    <w:rPr>
                      <w:rFonts w:hint="eastAsia"/>
                      <w:color w:val="auto"/>
                      <w:szCs w:val="21"/>
                    </w:rPr>
                    <w:t>50</w:t>
                  </w:r>
                </w:p>
              </w:tc>
              <w:tc>
                <w:tcPr>
                  <w:tcW w:w="1521" w:type="dxa"/>
                  <w:vAlign w:val="center"/>
                </w:tcPr>
                <w:p>
                  <w:pPr>
                    <w:jc w:val="center"/>
                    <w:rPr>
                      <w:rFonts w:hint="eastAsia"/>
                      <w:color w:val="auto"/>
                      <w:szCs w:val="21"/>
                      <w:lang w:val="en-US" w:eastAsia="zh-CN"/>
                    </w:rPr>
                  </w:pPr>
                  <w:r>
                    <w:rPr>
                      <w:rFonts w:hint="eastAsia"/>
                      <w:color w:val="auto"/>
                      <w:szCs w:val="21"/>
                      <w:lang w:val="en-US" w:eastAsia="zh-CN"/>
                    </w:rPr>
                    <w:t>0.000020</w:t>
                  </w:r>
                </w:p>
              </w:tc>
              <w:tc>
                <w:tcPr>
                  <w:tcW w:w="1521" w:type="dxa"/>
                  <w:vAlign w:val="center"/>
                </w:tcPr>
                <w:p>
                  <w:pPr>
                    <w:jc w:val="center"/>
                    <w:rPr>
                      <w:color w:val="auto"/>
                      <w:szCs w:val="21"/>
                    </w:rPr>
                  </w:pPr>
                  <w:r>
                    <w:rPr>
                      <w:rFonts w:hint="eastAsia"/>
                      <w:color w:val="auto"/>
                      <w:szCs w:val="21"/>
                      <w:lang w:val="en-US" w:eastAsia="zh-CN"/>
                    </w:rPr>
                    <w:t>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2109" w:type="dxa"/>
                  <w:gridSpan w:val="2"/>
                  <w:vMerge w:val="restart"/>
                  <w:vAlign w:val="center"/>
                </w:tcPr>
                <w:p>
                  <w:pPr>
                    <w:pStyle w:val="474"/>
                    <w:spacing w:line="240" w:lineRule="auto"/>
                    <w:ind w:firstLine="0" w:firstLineChars="0"/>
                    <w:jc w:val="center"/>
                    <w:rPr>
                      <w:color w:val="auto"/>
                      <w:sz w:val="21"/>
                      <w:szCs w:val="21"/>
                    </w:rPr>
                  </w:pPr>
                  <w:r>
                    <w:rPr>
                      <w:color w:val="auto"/>
                      <w:sz w:val="21"/>
                      <w:szCs w:val="21"/>
                    </w:rPr>
                    <w:t>全厂排放口合计</w:t>
                  </w:r>
                </w:p>
              </w:tc>
              <w:tc>
                <w:tcPr>
                  <w:tcW w:w="4682" w:type="dxa"/>
                  <w:gridSpan w:val="3"/>
                  <w:vAlign w:val="center"/>
                </w:tcPr>
                <w:p>
                  <w:pPr>
                    <w:pStyle w:val="474"/>
                    <w:spacing w:line="240" w:lineRule="auto"/>
                    <w:ind w:firstLine="0" w:firstLineChars="0"/>
                    <w:jc w:val="center"/>
                    <w:rPr>
                      <w:color w:val="auto"/>
                      <w:kern w:val="2"/>
                      <w:sz w:val="21"/>
                      <w:szCs w:val="21"/>
                    </w:rPr>
                  </w:pPr>
                  <w:r>
                    <w:rPr>
                      <w:color w:val="auto"/>
                      <w:kern w:val="2"/>
                      <w:sz w:val="21"/>
                      <w:szCs w:val="21"/>
                    </w:rPr>
                    <w:t>COD</w:t>
                  </w:r>
                </w:p>
              </w:tc>
              <w:tc>
                <w:tcPr>
                  <w:tcW w:w="1521" w:type="dxa"/>
                  <w:vAlign w:val="center"/>
                </w:tcPr>
                <w:p>
                  <w:pPr>
                    <w:jc w:val="center"/>
                    <w:rPr>
                      <w:color w:val="auto"/>
                      <w:szCs w:val="21"/>
                    </w:rPr>
                  </w:pPr>
                  <w:r>
                    <w:rPr>
                      <w:rFonts w:hint="eastAsia"/>
                      <w:color w:val="auto"/>
                      <w:szCs w:val="21"/>
                      <w:lang w:val="en-US" w:eastAsia="zh-CN"/>
                    </w:rPr>
                    <w:t>0.041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09" w:type="dxa"/>
                  <w:gridSpan w:val="2"/>
                  <w:vMerge w:val="continue"/>
                  <w:vAlign w:val="center"/>
                </w:tcPr>
                <w:p>
                  <w:pPr>
                    <w:rPr>
                      <w:color w:val="auto"/>
                      <w:szCs w:val="21"/>
                    </w:rPr>
                  </w:pPr>
                </w:p>
              </w:tc>
              <w:tc>
                <w:tcPr>
                  <w:tcW w:w="4682" w:type="dxa"/>
                  <w:gridSpan w:val="3"/>
                  <w:vAlign w:val="center"/>
                </w:tcPr>
                <w:p>
                  <w:pPr>
                    <w:pStyle w:val="474"/>
                    <w:spacing w:line="240" w:lineRule="auto"/>
                    <w:ind w:firstLine="0" w:firstLineChars="0"/>
                    <w:jc w:val="center"/>
                    <w:rPr>
                      <w:color w:val="auto"/>
                      <w:kern w:val="2"/>
                      <w:sz w:val="21"/>
                      <w:szCs w:val="21"/>
                    </w:rPr>
                  </w:pPr>
                  <w:r>
                    <w:rPr>
                      <w:color w:val="auto"/>
                      <w:kern w:val="2"/>
                      <w:sz w:val="21"/>
                      <w:szCs w:val="21"/>
                    </w:rPr>
                    <w:t>SS</w:t>
                  </w:r>
                </w:p>
              </w:tc>
              <w:tc>
                <w:tcPr>
                  <w:tcW w:w="1521" w:type="dxa"/>
                  <w:vAlign w:val="center"/>
                </w:tcPr>
                <w:p>
                  <w:pPr>
                    <w:jc w:val="center"/>
                    <w:rPr>
                      <w:color w:val="auto"/>
                      <w:szCs w:val="21"/>
                    </w:rPr>
                  </w:pPr>
                  <w:r>
                    <w:rPr>
                      <w:rFonts w:hint="eastAsia"/>
                      <w:color w:val="auto"/>
                      <w:szCs w:val="21"/>
                      <w:lang w:val="en-US" w:eastAsia="zh-CN"/>
                    </w:rPr>
                    <w:t>0.019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09" w:type="dxa"/>
                  <w:gridSpan w:val="2"/>
                  <w:vMerge w:val="continue"/>
                  <w:vAlign w:val="center"/>
                </w:tcPr>
                <w:p>
                  <w:pPr>
                    <w:rPr>
                      <w:color w:val="auto"/>
                      <w:szCs w:val="21"/>
                    </w:rPr>
                  </w:pPr>
                </w:p>
              </w:tc>
              <w:tc>
                <w:tcPr>
                  <w:tcW w:w="4682" w:type="dxa"/>
                  <w:gridSpan w:val="3"/>
                  <w:vAlign w:val="center"/>
                </w:tcPr>
                <w:p>
                  <w:pPr>
                    <w:pStyle w:val="474"/>
                    <w:spacing w:line="240" w:lineRule="auto"/>
                    <w:ind w:firstLine="0" w:firstLineChars="0"/>
                    <w:jc w:val="center"/>
                    <w:rPr>
                      <w:color w:val="auto"/>
                      <w:kern w:val="2"/>
                      <w:sz w:val="21"/>
                      <w:szCs w:val="21"/>
                    </w:rPr>
                  </w:pPr>
                  <w:r>
                    <w:rPr>
                      <w:color w:val="auto"/>
                      <w:kern w:val="2"/>
                      <w:sz w:val="21"/>
                      <w:szCs w:val="21"/>
                    </w:rPr>
                    <w:t>氨氮</w:t>
                  </w:r>
                </w:p>
              </w:tc>
              <w:tc>
                <w:tcPr>
                  <w:tcW w:w="1521" w:type="dxa"/>
                  <w:vAlign w:val="center"/>
                </w:tcPr>
                <w:p>
                  <w:pPr>
                    <w:jc w:val="center"/>
                    <w:rPr>
                      <w:color w:val="auto"/>
                      <w:szCs w:val="21"/>
                    </w:rPr>
                  </w:pPr>
                  <w:r>
                    <w:rPr>
                      <w:rFonts w:hint="eastAsia"/>
                      <w:color w:val="auto"/>
                      <w:szCs w:val="21"/>
                      <w:lang w:val="en-US" w:eastAsia="zh-CN"/>
                    </w:rPr>
                    <w:t>0.0042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09" w:type="dxa"/>
                  <w:gridSpan w:val="2"/>
                  <w:vMerge w:val="continue"/>
                  <w:vAlign w:val="center"/>
                </w:tcPr>
                <w:p>
                  <w:pPr>
                    <w:rPr>
                      <w:color w:val="auto"/>
                      <w:szCs w:val="21"/>
                    </w:rPr>
                  </w:pPr>
                </w:p>
              </w:tc>
              <w:tc>
                <w:tcPr>
                  <w:tcW w:w="4682" w:type="dxa"/>
                  <w:gridSpan w:val="3"/>
                  <w:vAlign w:val="center"/>
                </w:tcPr>
                <w:p>
                  <w:pPr>
                    <w:pStyle w:val="474"/>
                    <w:spacing w:line="240" w:lineRule="auto"/>
                    <w:ind w:firstLine="0" w:firstLineChars="0"/>
                    <w:jc w:val="center"/>
                    <w:rPr>
                      <w:color w:val="auto"/>
                      <w:kern w:val="2"/>
                      <w:sz w:val="21"/>
                      <w:szCs w:val="21"/>
                    </w:rPr>
                  </w:pPr>
                  <w:r>
                    <w:rPr>
                      <w:color w:val="auto"/>
                      <w:kern w:val="2"/>
                      <w:sz w:val="21"/>
                      <w:szCs w:val="21"/>
                    </w:rPr>
                    <w:t>TP</w:t>
                  </w:r>
                </w:p>
              </w:tc>
              <w:tc>
                <w:tcPr>
                  <w:tcW w:w="1521" w:type="dxa"/>
                  <w:vAlign w:val="center"/>
                </w:tcPr>
                <w:p>
                  <w:pPr>
                    <w:jc w:val="center"/>
                    <w:rPr>
                      <w:color w:val="auto"/>
                      <w:szCs w:val="21"/>
                    </w:rPr>
                  </w:pPr>
                  <w:r>
                    <w:rPr>
                      <w:rFonts w:hint="eastAsia"/>
                      <w:color w:val="auto"/>
                      <w:szCs w:val="21"/>
                      <w:lang w:val="en-US" w:eastAsia="zh-CN"/>
                    </w:rPr>
                    <w:t>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09" w:type="dxa"/>
                  <w:gridSpan w:val="2"/>
                  <w:vMerge w:val="continue"/>
                  <w:vAlign w:val="center"/>
                </w:tcPr>
                <w:p>
                  <w:pPr>
                    <w:rPr>
                      <w:color w:val="auto"/>
                      <w:szCs w:val="21"/>
                    </w:rPr>
                  </w:pPr>
                </w:p>
              </w:tc>
              <w:tc>
                <w:tcPr>
                  <w:tcW w:w="4682" w:type="dxa"/>
                  <w:gridSpan w:val="3"/>
                  <w:vAlign w:val="center"/>
                </w:tcPr>
                <w:p>
                  <w:pPr>
                    <w:pStyle w:val="474"/>
                    <w:spacing w:line="240" w:lineRule="auto"/>
                    <w:ind w:firstLine="0" w:firstLineChars="0"/>
                    <w:jc w:val="center"/>
                    <w:rPr>
                      <w:color w:val="auto"/>
                      <w:kern w:val="2"/>
                      <w:sz w:val="21"/>
                      <w:szCs w:val="21"/>
                    </w:rPr>
                  </w:pPr>
                  <w:r>
                    <w:rPr>
                      <w:color w:val="auto"/>
                      <w:kern w:val="2"/>
                      <w:sz w:val="21"/>
                      <w:szCs w:val="21"/>
                    </w:rPr>
                    <w:t>TN</w:t>
                  </w:r>
                </w:p>
              </w:tc>
              <w:tc>
                <w:tcPr>
                  <w:tcW w:w="1521" w:type="dxa"/>
                  <w:vAlign w:val="center"/>
                </w:tcPr>
                <w:p>
                  <w:pPr>
                    <w:jc w:val="center"/>
                    <w:rPr>
                      <w:color w:val="auto"/>
                      <w:szCs w:val="21"/>
                    </w:rPr>
                  </w:pPr>
                  <w:r>
                    <w:rPr>
                      <w:rFonts w:hint="eastAsia"/>
                      <w:color w:val="auto"/>
                      <w:szCs w:val="21"/>
                      <w:lang w:val="en-US" w:eastAsia="zh-CN"/>
                    </w:rPr>
                    <w:t>0.006</w:t>
                  </w:r>
                </w:p>
              </w:tc>
            </w:tr>
          </w:tbl>
          <w:p>
            <w:pPr>
              <w:pStyle w:val="474"/>
              <w:spacing w:line="360" w:lineRule="auto"/>
              <w:rPr>
                <w:color w:val="auto"/>
              </w:rPr>
            </w:pPr>
            <w:r>
              <w:rPr>
                <w:color w:val="auto"/>
              </w:rPr>
              <w:t>综上，</w:t>
            </w:r>
            <w:r>
              <w:rPr>
                <w:bCs/>
                <w:color w:val="auto"/>
              </w:rPr>
              <w:t>项目所在地已满足接管城市污水处理厂条件</w:t>
            </w:r>
            <w:r>
              <w:rPr>
                <w:rFonts w:hint="eastAsia"/>
                <w:bCs/>
                <w:color w:val="auto"/>
                <w:szCs w:val="22"/>
              </w:rPr>
              <w:t>（详见附图）</w:t>
            </w:r>
            <w:r>
              <w:rPr>
                <w:bCs/>
                <w:color w:val="auto"/>
                <w:szCs w:val="22"/>
              </w:rPr>
              <w:t>，</w:t>
            </w:r>
            <w:r>
              <w:rPr>
                <w:bCs/>
                <w:color w:val="auto"/>
              </w:rPr>
              <w:t>且项目废水经化粪池处理后可满足污水处理厂接管标准。</w:t>
            </w:r>
            <w:r>
              <w:rPr>
                <w:color w:val="auto"/>
              </w:rPr>
              <w:t>引用金坛区第二污水处理厂环评结论可知，废水经污水处理厂处理达标排放后对地表水环境影响较小。因此本次评价认为本项目对地表水环境影响是可以接受的。</w:t>
            </w:r>
          </w:p>
          <w:p>
            <w:pPr>
              <w:ind w:firstLine="480" w:firstLineChars="200"/>
              <w:rPr>
                <w:b/>
                <w:bCs/>
                <w:snapToGrid w:val="0"/>
                <w:color w:val="auto"/>
                <w:kern w:val="0"/>
                <w:sz w:val="24"/>
              </w:rPr>
            </w:pPr>
            <w:r>
              <w:rPr>
                <w:rFonts w:hint="eastAsia"/>
                <w:b/>
                <w:color w:val="auto"/>
                <w:sz w:val="24"/>
              </w:rPr>
              <w:t>（3）</w:t>
            </w:r>
            <w:r>
              <w:rPr>
                <w:rFonts w:hint="eastAsia"/>
                <w:b/>
                <w:bCs/>
                <w:snapToGrid w:val="0"/>
                <w:color w:val="auto"/>
                <w:kern w:val="0"/>
                <w:sz w:val="24"/>
              </w:rPr>
              <w:t>地表水</w:t>
            </w:r>
            <w:r>
              <w:rPr>
                <w:b/>
                <w:bCs/>
                <w:snapToGrid w:val="0"/>
                <w:color w:val="auto"/>
                <w:kern w:val="0"/>
                <w:sz w:val="24"/>
              </w:rPr>
              <w:t>环境影响评价自查表</w:t>
            </w:r>
          </w:p>
          <w:p>
            <w:pPr>
              <w:spacing w:line="360" w:lineRule="auto"/>
              <w:ind w:firstLine="480" w:firstLineChars="200"/>
              <w:rPr>
                <w:bCs/>
                <w:snapToGrid w:val="0"/>
                <w:color w:val="auto"/>
                <w:kern w:val="0"/>
                <w:sz w:val="24"/>
              </w:rPr>
            </w:pPr>
            <w:r>
              <w:rPr>
                <w:rFonts w:hint="eastAsia"/>
                <w:bCs/>
                <w:color w:val="auto"/>
                <w:sz w:val="24"/>
              </w:rPr>
              <w:t>本项目</w:t>
            </w:r>
            <w:r>
              <w:rPr>
                <w:rFonts w:hint="eastAsia"/>
                <w:bCs/>
                <w:snapToGrid w:val="0"/>
                <w:color w:val="auto"/>
                <w:kern w:val="0"/>
                <w:sz w:val="24"/>
              </w:rPr>
              <w:t>地表水</w:t>
            </w:r>
            <w:r>
              <w:rPr>
                <w:bCs/>
                <w:snapToGrid w:val="0"/>
                <w:color w:val="auto"/>
                <w:kern w:val="0"/>
                <w:sz w:val="24"/>
              </w:rPr>
              <w:t>环境影响评价自查表</w:t>
            </w:r>
            <w:r>
              <w:rPr>
                <w:rFonts w:hint="eastAsia"/>
                <w:bCs/>
                <w:snapToGrid w:val="0"/>
                <w:color w:val="auto"/>
                <w:kern w:val="0"/>
                <w:sz w:val="24"/>
              </w:rPr>
              <w:t>见下表。</w:t>
            </w:r>
          </w:p>
          <w:p>
            <w:pPr>
              <w:jc w:val="center"/>
              <w:rPr>
                <w:b/>
                <w:bCs/>
                <w:snapToGrid w:val="0"/>
                <w:color w:val="auto"/>
                <w:kern w:val="0"/>
                <w:szCs w:val="21"/>
              </w:rPr>
            </w:pPr>
            <w:r>
              <w:rPr>
                <w:rFonts w:hint="eastAsia"/>
                <w:b/>
                <w:bCs/>
                <w:snapToGrid w:val="0"/>
                <w:color w:val="auto"/>
                <w:kern w:val="0"/>
                <w:szCs w:val="21"/>
              </w:rPr>
              <w:t>表7-</w:t>
            </w:r>
            <w:r>
              <w:rPr>
                <w:rFonts w:hint="eastAsia"/>
                <w:b/>
                <w:bCs/>
                <w:snapToGrid w:val="0"/>
                <w:color w:val="auto"/>
                <w:kern w:val="0"/>
                <w:szCs w:val="21"/>
                <w:lang w:val="en-US" w:eastAsia="zh-CN"/>
              </w:rPr>
              <w:t>21</w:t>
            </w:r>
            <w:r>
              <w:rPr>
                <w:rFonts w:hint="eastAsia"/>
                <w:b/>
                <w:bCs/>
                <w:snapToGrid w:val="0"/>
                <w:color w:val="auto"/>
                <w:kern w:val="0"/>
                <w:szCs w:val="21"/>
              </w:rPr>
              <w:t>地表水</w:t>
            </w:r>
            <w:r>
              <w:rPr>
                <w:b/>
                <w:bCs/>
                <w:snapToGrid w:val="0"/>
                <w:color w:val="auto"/>
                <w:kern w:val="0"/>
                <w:szCs w:val="21"/>
              </w:rPr>
              <w:t>环境影响评价自查表</w:t>
            </w:r>
          </w:p>
          <w:tbl>
            <w:tblPr>
              <w:tblStyle w:val="5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404"/>
              <w:gridCol w:w="1249"/>
              <w:gridCol w:w="312"/>
              <w:gridCol w:w="53"/>
              <w:gridCol w:w="467"/>
              <w:gridCol w:w="418"/>
              <w:gridCol w:w="624"/>
              <w:gridCol w:w="626"/>
              <w:gridCol w:w="182"/>
              <w:gridCol w:w="232"/>
              <w:gridCol w:w="786"/>
              <w:gridCol w:w="49"/>
              <w:gridCol w:w="124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75" w:type="dxa"/>
                  <w:gridSpan w:val="2"/>
                  <w:tcBorders>
                    <w:tl2br w:val="nil"/>
                    <w:tr2bl w:val="nil"/>
                  </w:tcBorders>
                  <w:vAlign w:val="center"/>
                </w:tcPr>
                <w:p>
                  <w:pPr>
                    <w:jc w:val="center"/>
                    <w:rPr>
                      <w:b/>
                      <w:color w:val="auto"/>
                      <w:sz w:val="18"/>
                      <w:szCs w:val="18"/>
                    </w:rPr>
                  </w:pPr>
                  <w:r>
                    <w:rPr>
                      <w:b/>
                      <w:color w:val="auto"/>
                      <w:sz w:val="18"/>
                      <w:szCs w:val="18"/>
                    </w:rPr>
                    <w:t>工作内容</w:t>
                  </w:r>
                </w:p>
              </w:tc>
              <w:tc>
                <w:tcPr>
                  <w:tcW w:w="6247" w:type="dxa"/>
                  <w:gridSpan w:val="12"/>
                  <w:tcBorders>
                    <w:tl2br w:val="nil"/>
                    <w:tr2bl w:val="nil"/>
                  </w:tcBorders>
                  <w:vAlign w:val="center"/>
                </w:tcPr>
                <w:p>
                  <w:pPr>
                    <w:jc w:val="center"/>
                    <w:rPr>
                      <w:b/>
                      <w:color w:val="auto"/>
                      <w:sz w:val="18"/>
                      <w:szCs w:val="18"/>
                    </w:rPr>
                  </w:pPr>
                  <w:r>
                    <w:rPr>
                      <w:b/>
                      <w:color w:val="auto"/>
                      <w:sz w:val="18"/>
                      <w:szCs w:val="18"/>
                    </w:rPr>
                    <w:t>自查项目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识</w:t>
                  </w:r>
                </w:p>
                <w:p>
                  <w:pPr>
                    <w:jc w:val="center"/>
                    <w:rPr>
                      <w:color w:val="auto"/>
                      <w:sz w:val="18"/>
                      <w:szCs w:val="18"/>
                    </w:rPr>
                  </w:pPr>
                  <w:r>
                    <w:rPr>
                      <w:rFonts w:hint="eastAsia"/>
                      <w:color w:val="auto"/>
                      <w:sz w:val="18"/>
                      <w:szCs w:val="18"/>
                    </w:rPr>
                    <w:t>别</w:t>
                  </w:r>
                </w:p>
              </w:tc>
              <w:tc>
                <w:tcPr>
                  <w:tcW w:w="1404" w:type="dxa"/>
                  <w:tcBorders>
                    <w:tl2br w:val="nil"/>
                    <w:tr2bl w:val="nil"/>
                  </w:tcBorders>
                  <w:vAlign w:val="center"/>
                </w:tcPr>
                <w:p>
                  <w:pPr>
                    <w:jc w:val="center"/>
                    <w:rPr>
                      <w:color w:val="auto"/>
                      <w:sz w:val="18"/>
                      <w:szCs w:val="18"/>
                    </w:rPr>
                  </w:pPr>
                  <w:r>
                    <w:rPr>
                      <w:rFonts w:hint="eastAsia"/>
                      <w:color w:val="auto"/>
                      <w:sz w:val="18"/>
                      <w:szCs w:val="18"/>
                    </w:rPr>
                    <w:t>影响类型</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水污染影响型 </w:t>
                  </w:r>
                  <w:r>
                    <w:rPr>
                      <w:color w:val="auto"/>
                      <w:sz w:val="18"/>
                      <w:szCs w:val="18"/>
                    </w:rPr>
                    <w:sym w:font="Wingdings 2" w:char="0052"/>
                  </w:r>
                  <w:r>
                    <w:rPr>
                      <w:rFonts w:hint="eastAsia"/>
                      <w:color w:val="auto"/>
                      <w:sz w:val="18"/>
                      <w:szCs w:val="18"/>
                    </w:rPr>
                    <w:t>；水文要素影响型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水环境保护目标</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饮用水水源保护区 □；饮用水取水口 □；涉水的自然保护区 □；重要湿地 □； </w:t>
                  </w:r>
                </w:p>
                <w:p>
                  <w:pPr>
                    <w:jc w:val="left"/>
                    <w:rPr>
                      <w:color w:val="auto"/>
                      <w:sz w:val="18"/>
                      <w:szCs w:val="18"/>
                    </w:rPr>
                  </w:pPr>
                  <w:r>
                    <w:rPr>
                      <w:rFonts w:hint="eastAsia"/>
                      <w:color w:val="auto"/>
                      <w:sz w:val="18"/>
                      <w:szCs w:val="18"/>
                    </w:rPr>
                    <w:t>重点保护与珍稀水生生物的栖息地 □；重要水生生物的自然产卵场及索饵场、越冬场和洄游通道、天然渔场等渔业水体 □；涉水的风景名胜区 □；其他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影响途径</w:t>
                  </w:r>
                </w:p>
              </w:tc>
              <w:tc>
                <w:tcPr>
                  <w:tcW w:w="3123" w:type="dxa"/>
                  <w:gridSpan w:val="6"/>
                  <w:tcBorders>
                    <w:tl2br w:val="nil"/>
                    <w:tr2bl w:val="nil"/>
                  </w:tcBorders>
                  <w:vAlign w:val="center"/>
                </w:tcPr>
                <w:p>
                  <w:pPr>
                    <w:jc w:val="center"/>
                    <w:rPr>
                      <w:color w:val="auto"/>
                      <w:sz w:val="18"/>
                      <w:szCs w:val="18"/>
                    </w:rPr>
                  </w:pPr>
                  <w:r>
                    <w:rPr>
                      <w:color w:val="auto"/>
                      <w:sz w:val="18"/>
                      <w:szCs w:val="18"/>
                    </w:rPr>
                    <w:t>水污染影响型</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水文要素影响型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3123" w:type="dxa"/>
                  <w:gridSpan w:val="6"/>
                  <w:tcBorders>
                    <w:tl2br w:val="nil"/>
                    <w:tr2bl w:val="nil"/>
                  </w:tcBorders>
                  <w:vAlign w:val="center"/>
                </w:tcPr>
                <w:p>
                  <w:pPr>
                    <w:jc w:val="left"/>
                    <w:rPr>
                      <w:color w:val="auto"/>
                      <w:sz w:val="18"/>
                      <w:szCs w:val="18"/>
                    </w:rPr>
                  </w:pPr>
                  <w:r>
                    <w:rPr>
                      <w:rFonts w:hint="eastAsia"/>
                      <w:color w:val="auto"/>
                      <w:sz w:val="18"/>
                      <w:szCs w:val="18"/>
                    </w:rPr>
                    <w:t xml:space="preserve">直接排放 □；间接排放 </w:t>
                  </w:r>
                  <w:r>
                    <w:rPr>
                      <w:color w:val="auto"/>
                      <w:sz w:val="18"/>
                      <w:szCs w:val="18"/>
                    </w:rPr>
                    <w:sym w:font="Wingdings 2" w:char="0052"/>
                  </w:r>
                  <w:r>
                    <w:rPr>
                      <w:rFonts w:hint="eastAsia"/>
                      <w:color w:val="auto"/>
                      <w:sz w:val="18"/>
                      <w:szCs w:val="18"/>
                    </w:rPr>
                    <w:t>；其他 □</w:t>
                  </w:r>
                </w:p>
              </w:tc>
              <w:tc>
                <w:tcPr>
                  <w:tcW w:w="3124" w:type="dxa"/>
                  <w:gridSpan w:val="6"/>
                  <w:tcBorders>
                    <w:tl2br w:val="nil"/>
                    <w:tr2bl w:val="nil"/>
                  </w:tcBorders>
                  <w:vAlign w:val="center"/>
                </w:tcPr>
                <w:p>
                  <w:pPr>
                    <w:jc w:val="left"/>
                    <w:rPr>
                      <w:color w:val="auto"/>
                      <w:sz w:val="18"/>
                      <w:szCs w:val="18"/>
                    </w:rPr>
                  </w:pPr>
                  <w:r>
                    <w:rPr>
                      <w:rFonts w:hint="eastAsia"/>
                      <w:color w:val="auto"/>
                      <w:sz w:val="18"/>
                      <w:szCs w:val="18"/>
                    </w:rPr>
                    <w:t>水温 □；径流 □；水域面积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影响因子</w:t>
                  </w:r>
                </w:p>
              </w:tc>
              <w:tc>
                <w:tcPr>
                  <w:tcW w:w="3123" w:type="dxa"/>
                  <w:gridSpan w:val="6"/>
                  <w:tcBorders>
                    <w:tl2br w:val="nil"/>
                    <w:tr2bl w:val="nil"/>
                  </w:tcBorders>
                  <w:vAlign w:val="center"/>
                </w:tcPr>
                <w:p>
                  <w:pPr>
                    <w:jc w:val="left"/>
                    <w:rPr>
                      <w:color w:val="auto"/>
                      <w:sz w:val="18"/>
                      <w:szCs w:val="18"/>
                    </w:rPr>
                  </w:pPr>
                  <w:r>
                    <w:rPr>
                      <w:rFonts w:hint="eastAsia"/>
                      <w:color w:val="auto"/>
                      <w:sz w:val="18"/>
                      <w:szCs w:val="18"/>
                    </w:rPr>
                    <w:t>持久性污染物 □；有毒有害污染物 □；非持久性污染物 □；</w:t>
                  </w:r>
                </w:p>
                <w:p>
                  <w:pPr>
                    <w:jc w:val="left"/>
                    <w:rPr>
                      <w:color w:val="auto"/>
                      <w:sz w:val="18"/>
                      <w:szCs w:val="18"/>
                    </w:rPr>
                  </w:pPr>
                  <w:r>
                    <w:rPr>
                      <w:rFonts w:hint="eastAsia"/>
                      <w:color w:val="auto"/>
                      <w:sz w:val="18"/>
                      <w:szCs w:val="18"/>
                    </w:rPr>
                    <w:t xml:space="preserve">pH值 □；热污染 □；富营养化 </w:t>
                  </w:r>
                  <w:r>
                    <w:rPr>
                      <w:color w:val="auto"/>
                      <w:sz w:val="18"/>
                      <w:szCs w:val="18"/>
                    </w:rPr>
                    <w:sym w:font="Wingdings 2" w:char="0052"/>
                  </w:r>
                  <w:r>
                    <w:rPr>
                      <w:rFonts w:hint="eastAsia"/>
                      <w:color w:val="auto"/>
                      <w:sz w:val="18"/>
                      <w:szCs w:val="18"/>
                    </w:rPr>
                    <w:t>；其他 □</w:t>
                  </w:r>
                </w:p>
              </w:tc>
              <w:tc>
                <w:tcPr>
                  <w:tcW w:w="3124" w:type="dxa"/>
                  <w:gridSpan w:val="6"/>
                  <w:tcBorders>
                    <w:tl2br w:val="nil"/>
                    <w:tr2bl w:val="nil"/>
                  </w:tcBorders>
                  <w:vAlign w:val="center"/>
                </w:tcPr>
                <w:p>
                  <w:pPr>
                    <w:jc w:val="left"/>
                    <w:rPr>
                      <w:color w:val="auto"/>
                      <w:sz w:val="18"/>
                      <w:szCs w:val="18"/>
                    </w:rPr>
                  </w:pPr>
                  <w:r>
                    <w:rPr>
                      <w:rFonts w:hint="eastAsia"/>
                      <w:color w:val="auto"/>
                      <w:sz w:val="18"/>
                      <w:szCs w:val="18"/>
                    </w:rPr>
                    <w:t>水温 □；水位（水深） □；流速 □；流量 □；其他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75" w:type="dxa"/>
                  <w:gridSpan w:val="2"/>
                  <w:vMerge w:val="restart"/>
                  <w:tcBorders>
                    <w:tl2br w:val="nil"/>
                    <w:tr2bl w:val="nil"/>
                  </w:tcBorders>
                  <w:vAlign w:val="center"/>
                </w:tcPr>
                <w:p>
                  <w:pPr>
                    <w:jc w:val="center"/>
                    <w:rPr>
                      <w:color w:val="auto"/>
                      <w:sz w:val="18"/>
                      <w:szCs w:val="18"/>
                    </w:rPr>
                  </w:pPr>
                  <w:r>
                    <w:rPr>
                      <w:color w:val="auto"/>
                      <w:sz w:val="18"/>
                      <w:szCs w:val="18"/>
                    </w:rPr>
                    <w:t>评价等级</w:t>
                  </w:r>
                </w:p>
              </w:tc>
              <w:tc>
                <w:tcPr>
                  <w:tcW w:w="3123" w:type="dxa"/>
                  <w:gridSpan w:val="6"/>
                  <w:tcBorders>
                    <w:tl2br w:val="nil"/>
                    <w:tr2bl w:val="nil"/>
                  </w:tcBorders>
                  <w:vAlign w:val="center"/>
                </w:tcPr>
                <w:p>
                  <w:pPr>
                    <w:jc w:val="center"/>
                    <w:rPr>
                      <w:color w:val="auto"/>
                      <w:sz w:val="18"/>
                      <w:szCs w:val="18"/>
                    </w:rPr>
                  </w:pPr>
                  <w:r>
                    <w:rPr>
                      <w:color w:val="auto"/>
                      <w:sz w:val="18"/>
                      <w:szCs w:val="18"/>
                    </w:rPr>
                    <w:t>水污染影响型</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水文要素影响型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75" w:type="dxa"/>
                  <w:gridSpan w:val="2"/>
                  <w:vMerge w:val="continue"/>
                  <w:tcBorders>
                    <w:tl2br w:val="nil"/>
                    <w:tr2bl w:val="nil"/>
                  </w:tcBorders>
                  <w:vAlign w:val="center"/>
                </w:tcPr>
                <w:p>
                  <w:pPr>
                    <w:jc w:val="center"/>
                    <w:rPr>
                      <w:color w:val="auto"/>
                      <w:sz w:val="18"/>
                      <w:szCs w:val="18"/>
                    </w:rPr>
                  </w:pPr>
                </w:p>
              </w:tc>
              <w:tc>
                <w:tcPr>
                  <w:tcW w:w="3123" w:type="dxa"/>
                  <w:gridSpan w:val="6"/>
                  <w:tcBorders>
                    <w:tl2br w:val="nil"/>
                    <w:tr2bl w:val="nil"/>
                  </w:tcBorders>
                  <w:vAlign w:val="center"/>
                </w:tcPr>
                <w:p>
                  <w:pPr>
                    <w:jc w:val="left"/>
                    <w:rPr>
                      <w:color w:val="auto"/>
                      <w:sz w:val="18"/>
                      <w:szCs w:val="18"/>
                    </w:rPr>
                  </w:pPr>
                  <w:r>
                    <w:rPr>
                      <w:rFonts w:hint="eastAsia"/>
                      <w:color w:val="auto"/>
                      <w:sz w:val="18"/>
                      <w:szCs w:val="18"/>
                    </w:rPr>
                    <w:t xml:space="preserve">一级 □；二级 □；三级A □；三级B </w:t>
                  </w:r>
                  <w:r>
                    <w:rPr>
                      <w:color w:val="auto"/>
                      <w:sz w:val="18"/>
                      <w:szCs w:val="18"/>
                    </w:rPr>
                    <w:sym w:font="Wingdings 2" w:char="0052"/>
                  </w:r>
                </w:p>
              </w:tc>
              <w:tc>
                <w:tcPr>
                  <w:tcW w:w="3124" w:type="dxa"/>
                  <w:gridSpan w:val="6"/>
                  <w:tcBorders>
                    <w:tl2br w:val="nil"/>
                    <w:tr2bl w:val="nil"/>
                  </w:tcBorders>
                  <w:vAlign w:val="center"/>
                </w:tcPr>
                <w:p>
                  <w:pPr>
                    <w:jc w:val="left"/>
                    <w:rPr>
                      <w:color w:val="auto"/>
                      <w:sz w:val="18"/>
                      <w:szCs w:val="18"/>
                    </w:rPr>
                  </w:pPr>
                  <w:r>
                    <w:rPr>
                      <w:rFonts w:hint="eastAsia"/>
                      <w:color w:val="auto"/>
                      <w:sz w:val="18"/>
                      <w:szCs w:val="18"/>
                    </w:rPr>
                    <w:t>一级 □；二级 □；三级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现</w:t>
                  </w:r>
                </w:p>
                <w:p>
                  <w:pPr>
                    <w:jc w:val="center"/>
                    <w:rPr>
                      <w:color w:val="auto"/>
                      <w:sz w:val="18"/>
                      <w:szCs w:val="18"/>
                    </w:rPr>
                  </w:pPr>
                  <w:r>
                    <w:rPr>
                      <w:rFonts w:hint="eastAsia"/>
                      <w:color w:val="auto"/>
                      <w:sz w:val="18"/>
                      <w:szCs w:val="18"/>
                    </w:rPr>
                    <w:t>状</w:t>
                  </w:r>
                </w:p>
                <w:p>
                  <w:pPr>
                    <w:jc w:val="center"/>
                    <w:rPr>
                      <w:color w:val="auto"/>
                      <w:sz w:val="18"/>
                      <w:szCs w:val="18"/>
                    </w:rPr>
                  </w:pPr>
                  <w:r>
                    <w:rPr>
                      <w:rFonts w:hint="eastAsia"/>
                      <w:color w:val="auto"/>
                      <w:sz w:val="18"/>
                      <w:szCs w:val="18"/>
                    </w:rPr>
                    <w:t>调</w:t>
                  </w:r>
                </w:p>
                <w:p>
                  <w:pPr>
                    <w:jc w:val="center"/>
                    <w:rPr>
                      <w:color w:val="auto"/>
                      <w:sz w:val="18"/>
                      <w:szCs w:val="18"/>
                    </w:rPr>
                  </w:pPr>
                  <w:r>
                    <w:rPr>
                      <w:rFonts w:hint="eastAsia"/>
                      <w:color w:val="auto"/>
                      <w:sz w:val="18"/>
                      <w:szCs w:val="18"/>
                    </w:rPr>
                    <w:t>查</w:t>
                  </w: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区域污染源</w:t>
                  </w:r>
                </w:p>
              </w:tc>
              <w:tc>
                <w:tcPr>
                  <w:tcW w:w="3123" w:type="dxa"/>
                  <w:gridSpan w:val="6"/>
                  <w:tcBorders>
                    <w:tl2br w:val="nil"/>
                    <w:tr2bl w:val="nil"/>
                  </w:tcBorders>
                  <w:vAlign w:val="center"/>
                </w:tcPr>
                <w:p>
                  <w:pPr>
                    <w:jc w:val="center"/>
                    <w:rPr>
                      <w:color w:val="auto"/>
                      <w:sz w:val="18"/>
                      <w:szCs w:val="18"/>
                    </w:rPr>
                  </w:pPr>
                  <w:r>
                    <w:rPr>
                      <w:rFonts w:hint="eastAsia"/>
                      <w:color w:val="auto"/>
                      <w:sz w:val="18"/>
                      <w:szCs w:val="18"/>
                    </w:rPr>
                    <w:t>调查项目</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数据来源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1561" w:type="dxa"/>
                  <w:gridSpan w:val="2"/>
                  <w:tcBorders>
                    <w:tl2br w:val="nil"/>
                    <w:tr2bl w:val="nil"/>
                  </w:tcBorders>
                  <w:vAlign w:val="center"/>
                </w:tcPr>
                <w:p>
                  <w:pPr>
                    <w:jc w:val="left"/>
                    <w:rPr>
                      <w:color w:val="auto"/>
                      <w:sz w:val="18"/>
                      <w:szCs w:val="18"/>
                    </w:rPr>
                  </w:pPr>
                  <w:r>
                    <w:rPr>
                      <w:rFonts w:hint="eastAsia"/>
                      <w:color w:val="auto"/>
                      <w:sz w:val="18"/>
                      <w:szCs w:val="18"/>
                    </w:rPr>
                    <w:t>已建 □；在建 □；拟建 □；其他 □</w:t>
                  </w:r>
                </w:p>
              </w:tc>
              <w:tc>
                <w:tcPr>
                  <w:tcW w:w="1562" w:type="dxa"/>
                  <w:gridSpan w:val="4"/>
                  <w:tcBorders>
                    <w:tl2br w:val="nil"/>
                    <w:tr2bl w:val="nil"/>
                  </w:tcBorders>
                  <w:vAlign w:val="center"/>
                </w:tcPr>
                <w:p>
                  <w:pPr>
                    <w:jc w:val="left"/>
                    <w:rPr>
                      <w:color w:val="auto"/>
                      <w:sz w:val="18"/>
                      <w:szCs w:val="18"/>
                    </w:rPr>
                  </w:pPr>
                  <w:r>
                    <w:rPr>
                      <w:rFonts w:hint="eastAsia"/>
                      <w:color w:val="auto"/>
                      <w:sz w:val="18"/>
                      <w:szCs w:val="18"/>
                    </w:rPr>
                    <w:t>拟替代的污染源□</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排污许可证 □；环评 □；环保验收 □；既有实测 □；现场监测 □；入河排放口数据 □；其他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受影响水体水环境质量</w:t>
                  </w:r>
                </w:p>
              </w:tc>
              <w:tc>
                <w:tcPr>
                  <w:tcW w:w="3123" w:type="dxa"/>
                  <w:gridSpan w:val="6"/>
                  <w:tcBorders>
                    <w:tl2br w:val="nil"/>
                    <w:tr2bl w:val="nil"/>
                  </w:tcBorders>
                  <w:vAlign w:val="center"/>
                </w:tcPr>
                <w:p>
                  <w:pPr>
                    <w:jc w:val="center"/>
                    <w:rPr>
                      <w:color w:val="auto"/>
                      <w:sz w:val="18"/>
                      <w:szCs w:val="18"/>
                    </w:rPr>
                  </w:pPr>
                  <w:r>
                    <w:rPr>
                      <w:rFonts w:hint="eastAsia"/>
                      <w:color w:val="auto"/>
                      <w:sz w:val="18"/>
                      <w:szCs w:val="18"/>
                    </w:rPr>
                    <w:t>调查时期</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数据来源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3123" w:type="dxa"/>
                  <w:gridSpan w:val="6"/>
                  <w:tcBorders>
                    <w:tl2br w:val="nil"/>
                    <w:tr2bl w:val="nil"/>
                  </w:tcBorders>
                  <w:vAlign w:val="center"/>
                </w:tcPr>
                <w:p>
                  <w:pPr>
                    <w:jc w:val="left"/>
                    <w:rPr>
                      <w:color w:val="auto"/>
                      <w:sz w:val="18"/>
                      <w:szCs w:val="18"/>
                    </w:rPr>
                  </w:pPr>
                  <w:r>
                    <w:rPr>
                      <w:rFonts w:hint="eastAsia"/>
                      <w:color w:val="auto"/>
                      <w:sz w:val="18"/>
                      <w:szCs w:val="18"/>
                    </w:rPr>
                    <w:t>丰水期 □；平水期 □；枯水期 □；冰封期 □</w:t>
                  </w:r>
                </w:p>
                <w:p>
                  <w:pPr>
                    <w:jc w:val="left"/>
                    <w:rPr>
                      <w:color w:val="auto"/>
                      <w:sz w:val="18"/>
                      <w:szCs w:val="18"/>
                    </w:rPr>
                  </w:pPr>
                  <w:r>
                    <w:rPr>
                      <w:rFonts w:hint="eastAsia"/>
                      <w:color w:val="auto"/>
                      <w:sz w:val="18"/>
                      <w:szCs w:val="18"/>
                    </w:rPr>
                    <w:t xml:space="preserve">春季 □；夏季 □；秋季 □；冬季 □ </w:t>
                  </w:r>
                </w:p>
              </w:tc>
              <w:tc>
                <w:tcPr>
                  <w:tcW w:w="3124" w:type="dxa"/>
                  <w:gridSpan w:val="6"/>
                  <w:tcBorders>
                    <w:tl2br w:val="nil"/>
                    <w:tr2bl w:val="nil"/>
                  </w:tcBorders>
                  <w:vAlign w:val="center"/>
                </w:tcPr>
                <w:p>
                  <w:pPr>
                    <w:rPr>
                      <w:color w:val="auto"/>
                      <w:sz w:val="18"/>
                      <w:szCs w:val="18"/>
                    </w:rPr>
                  </w:pPr>
                  <w:r>
                    <w:rPr>
                      <w:rFonts w:hint="eastAsia"/>
                      <w:color w:val="auto"/>
                      <w:sz w:val="18"/>
                      <w:szCs w:val="18"/>
                    </w:rPr>
                    <w:t>生态环境保护主管部门 □；补充监测 □；其他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区域水资源开发利用状况</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未开发 □；开发量 40%以下 □；开发量 40%以上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水文情势调查</w:t>
                  </w:r>
                </w:p>
              </w:tc>
              <w:tc>
                <w:tcPr>
                  <w:tcW w:w="3123" w:type="dxa"/>
                  <w:gridSpan w:val="6"/>
                  <w:tcBorders>
                    <w:tl2br w:val="nil"/>
                    <w:tr2bl w:val="nil"/>
                  </w:tcBorders>
                  <w:vAlign w:val="center"/>
                </w:tcPr>
                <w:p>
                  <w:pPr>
                    <w:jc w:val="center"/>
                    <w:rPr>
                      <w:color w:val="auto"/>
                      <w:sz w:val="18"/>
                      <w:szCs w:val="18"/>
                    </w:rPr>
                  </w:pPr>
                  <w:r>
                    <w:rPr>
                      <w:rFonts w:hint="eastAsia"/>
                      <w:color w:val="auto"/>
                      <w:sz w:val="18"/>
                      <w:szCs w:val="18"/>
                    </w:rPr>
                    <w:t>调查时期</w:t>
                  </w:r>
                </w:p>
              </w:tc>
              <w:tc>
                <w:tcPr>
                  <w:tcW w:w="3124" w:type="dxa"/>
                  <w:gridSpan w:val="6"/>
                  <w:tcBorders>
                    <w:tl2br w:val="nil"/>
                    <w:tr2bl w:val="nil"/>
                  </w:tcBorders>
                  <w:vAlign w:val="center"/>
                </w:tcPr>
                <w:p>
                  <w:pPr>
                    <w:jc w:val="center"/>
                    <w:rPr>
                      <w:color w:val="auto"/>
                      <w:sz w:val="18"/>
                      <w:szCs w:val="18"/>
                    </w:rPr>
                  </w:pPr>
                  <w:r>
                    <w:rPr>
                      <w:rFonts w:hint="eastAsia"/>
                      <w:color w:val="auto"/>
                      <w:sz w:val="18"/>
                      <w:szCs w:val="18"/>
                    </w:rPr>
                    <w:t>数据来源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3123" w:type="dxa"/>
                  <w:gridSpan w:val="6"/>
                  <w:tcBorders>
                    <w:tl2br w:val="nil"/>
                    <w:tr2bl w:val="nil"/>
                  </w:tcBorders>
                  <w:vAlign w:val="center"/>
                </w:tcPr>
                <w:p>
                  <w:pPr>
                    <w:jc w:val="left"/>
                    <w:rPr>
                      <w:color w:val="auto"/>
                      <w:sz w:val="18"/>
                      <w:szCs w:val="18"/>
                    </w:rPr>
                  </w:pPr>
                  <w:r>
                    <w:rPr>
                      <w:rFonts w:hint="eastAsia"/>
                      <w:color w:val="auto"/>
                      <w:sz w:val="18"/>
                      <w:szCs w:val="18"/>
                    </w:rPr>
                    <w:t>丰水期 □；平水期 □；枯水期 □；冰封期</w:t>
                  </w:r>
                </w:p>
                <w:p>
                  <w:pPr>
                    <w:jc w:val="left"/>
                    <w:rPr>
                      <w:color w:val="auto"/>
                      <w:sz w:val="18"/>
                      <w:szCs w:val="18"/>
                    </w:rPr>
                  </w:pPr>
                  <w:r>
                    <w:rPr>
                      <w:rFonts w:hint="eastAsia"/>
                      <w:color w:val="auto"/>
                      <w:sz w:val="18"/>
                      <w:szCs w:val="18"/>
                    </w:rPr>
                    <w:t xml:space="preserve">春季 □；夏季 □；秋季 </w:t>
                  </w:r>
                  <w:r>
                    <w:rPr>
                      <w:rFonts w:hint="eastAsia"/>
                      <w:color w:val="auto"/>
                      <w:sz w:val="18"/>
                      <w:szCs w:val="18"/>
                    </w:rPr>
                    <w:sym w:font="Wingdings 2" w:char="00A3"/>
                  </w:r>
                  <w:r>
                    <w:rPr>
                      <w:rFonts w:hint="eastAsia"/>
                      <w:color w:val="auto"/>
                      <w:sz w:val="18"/>
                      <w:szCs w:val="18"/>
                    </w:rPr>
                    <w:t>；冬季 □</w:t>
                  </w:r>
                </w:p>
              </w:tc>
              <w:tc>
                <w:tcPr>
                  <w:tcW w:w="3124" w:type="dxa"/>
                  <w:gridSpan w:val="6"/>
                  <w:tcBorders>
                    <w:tl2br w:val="nil"/>
                    <w:tr2bl w:val="nil"/>
                  </w:tcBorders>
                  <w:vAlign w:val="center"/>
                </w:tcPr>
                <w:p>
                  <w:pPr>
                    <w:jc w:val="left"/>
                    <w:rPr>
                      <w:color w:val="auto"/>
                      <w:sz w:val="18"/>
                      <w:szCs w:val="18"/>
                    </w:rPr>
                  </w:pPr>
                  <w:r>
                    <w:rPr>
                      <w:rFonts w:hint="eastAsia"/>
                      <w:color w:val="auto"/>
                      <w:sz w:val="18"/>
                      <w:szCs w:val="18"/>
                    </w:rPr>
                    <w:t xml:space="preserve">水行政主管部门 □；补充监测 □；其他 </w:t>
                  </w:r>
                  <w:r>
                    <w:rPr>
                      <w:color w:val="auto"/>
                      <w:sz w:val="18"/>
                      <w:szCs w:val="18"/>
                    </w:rPr>
                    <w:sym w:font="Wingdings 2" w:char="0052"/>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补充监测</w:t>
                  </w:r>
                </w:p>
              </w:tc>
              <w:tc>
                <w:tcPr>
                  <w:tcW w:w="2081" w:type="dxa"/>
                  <w:gridSpan w:val="4"/>
                  <w:tcBorders>
                    <w:tl2br w:val="nil"/>
                    <w:tr2bl w:val="nil"/>
                  </w:tcBorders>
                  <w:vAlign w:val="center"/>
                </w:tcPr>
                <w:p>
                  <w:pPr>
                    <w:jc w:val="center"/>
                    <w:rPr>
                      <w:color w:val="auto"/>
                      <w:sz w:val="18"/>
                      <w:szCs w:val="18"/>
                    </w:rPr>
                  </w:pPr>
                  <w:r>
                    <w:rPr>
                      <w:rFonts w:hint="eastAsia"/>
                      <w:color w:val="auto"/>
                      <w:sz w:val="18"/>
                      <w:szCs w:val="18"/>
                    </w:rPr>
                    <w:t>监测时期</w:t>
                  </w:r>
                </w:p>
              </w:tc>
              <w:tc>
                <w:tcPr>
                  <w:tcW w:w="2082" w:type="dxa"/>
                  <w:gridSpan w:val="5"/>
                  <w:tcBorders>
                    <w:tl2br w:val="nil"/>
                    <w:tr2bl w:val="nil"/>
                  </w:tcBorders>
                  <w:vAlign w:val="center"/>
                </w:tcPr>
                <w:p>
                  <w:pPr>
                    <w:jc w:val="center"/>
                    <w:rPr>
                      <w:color w:val="auto"/>
                      <w:sz w:val="18"/>
                      <w:szCs w:val="18"/>
                    </w:rPr>
                  </w:pPr>
                  <w:r>
                    <w:rPr>
                      <w:rFonts w:hint="eastAsia"/>
                      <w:color w:val="auto"/>
                      <w:sz w:val="18"/>
                      <w:szCs w:val="18"/>
                    </w:rPr>
                    <w:t>监测因子</w:t>
                  </w:r>
                </w:p>
              </w:tc>
              <w:tc>
                <w:tcPr>
                  <w:tcW w:w="2084" w:type="dxa"/>
                  <w:gridSpan w:val="3"/>
                  <w:tcBorders>
                    <w:tl2br w:val="nil"/>
                    <w:tr2bl w:val="nil"/>
                  </w:tcBorders>
                  <w:vAlign w:val="center"/>
                </w:tcPr>
                <w:p>
                  <w:pPr>
                    <w:jc w:val="center"/>
                    <w:rPr>
                      <w:color w:val="auto"/>
                      <w:sz w:val="18"/>
                      <w:szCs w:val="18"/>
                    </w:rPr>
                  </w:pPr>
                  <w:r>
                    <w:rPr>
                      <w:rFonts w:hint="eastAsia"/>
                      <w:color w:val="auto"/>
                      <w:sz w:val="18"/>
                      <w:szCs w:val="18"/>
                    </w:rPr>
                    <w:t>监测断面或点位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left"/>
                    <w:rPr>
                      <w:color w:val="auto"/>
                      <w:sz w:val="18"/>
                      <w:szCs w:val="18"/>
                    </w:rPr>
                  </w:pPr>
                  <w:r>
                    <w:rPr>
                      <w:rFonts w:hint="eastAsia"/>
                      <w:color w:val="auto"/>
                      <w:sz w:val="18"/>
                      <w:szCs w:val="18"/>
                    </w:rPr>
                    <w:t xml:space="preserve">丰水期 □；平水期 □；枯水期 □；冰封期 □ </w:t>
                  </w:r>
                </w:p>
                <w:p>
                  <w:pPr>
                    <w:jc w:val="left"/>
                    <w:rPr>
                      <w:color w:val="auto"/>
                      <w:sz w:val="18"/>
                      <w:szCs w:val="18"/>
                    </w:rPr>
                  </w:pPr>
                  <w:r>
                    <w:rPr>
                      <w:rFonts w:hint="eastAsia"/>
                      <w:color w:val="auto"/>
                      <w:sz w:val="18"/>
                      <w:szCs w:val="18"/>
                    </w:rPr>
                    <w:t xml:space="preserve">春季 </w:t>
                  </w:r>
                  <w:r>
                    <w:rPr>
                      <w:rFonts w:hint="eastAsia"/>
                      <w:color w:val="auto"/>
                      <w:sz w:val="18"/>
                      <w:szCs w:val="18"/>
                    </w:rPr>
                    <w:sym w:font="Wingdings 2" w:char="00A3"/>
                  </w:r>
                  <w:r>
                    <w:rPr>
                      <w:rFonts w:hint="eastAsia"/>
                      <w:color w:val="auto"/>
                      <w:sz w:val="18"/>
                      <w:szCs w:val="18"/>
                    </w:rPr>
                    <w:t xml:space="preserve">；夏季 □；秋季 </w:t>
                  </w:r>
                  <w:r>
                    <w:rPr>
                      <w:rFonts w:hint="eastAsia"/>
                      <w:color w:val="auto"/>
                      <w:sz w:val="18"/>
                      <w:szCs w:val="18"/>
                    </w:rPr>
                    <w:sym w:font="Wingdings 2" w:char="0052"/>
                  </w:r>
                  <w:r>
                    <w:rPr>
                      <w:rFonts w:hint="eastAsia"/>
                      <w:color w:val="auto"/>
                      <w:sz w:val="18"/>
                      <w:szCs w:val="18"/>
                    </w:rPr>
                    <w:t xml:space="preserve">；冬季 </w:t>
                  </w:r>
                  <w:r>
                    <w:rPr>
                      <w:color w:val="auto"/>
                      <w:sz w:val="18"/>
                      <w:szCs w:val="18"/>
                    </w:rPr>
                    <w:sym w:font="Wingdings 2" w:char="00A3"/>
                  </w:r>
                </w:p>
              </w:tc>
              <w:tc>
                <w:tcPr>
                  <w:tcW w:w="2082" w:type="dxa"/>
                  <w:gridSpan w:val="5"/>
                  <w:tcBorders>
                    <w:tl2br w:val="nil"/>
                    <w:tr2bl w:val="nil"/>
                  </w:tcBorders>
                  <w:vAlign w:val="center"/>
                </w:tcPr>
                <w:p>
                  <w:pPr>
                    <w:jc w:val="center"/>
                    <w:rPr>
                      <w:color w:val="auto"/>
                      <w:sz w:val="18"/>
                      <w:szCs w:val="18"/>
                    </w:rPr>
                  </w:pPr>
                  <w:r>
                    <w:rPr>
                      <w:rFonts w:hint="eastAsia"/>
                      <w:color w:val="auto"/>
                      <w:sz w:val="18"/>
                      <w:szCs w:val="18"/>
                    </w:rPr>
                    <w:t>（</w:t>
                  </w:r>
                  <w:r>
                    <w:rPr>
                      <w:rFonts w:hint="eastAsia"/>
                      <w:color w:val="auto"/>
                      <w:sz w:val="18"/>
                      <w:szCs w:val="18"/>
                      <w:lang w:val="en-GB"/>
                    </w:rPr>
                    <w:t>pH、COD、氨氮、总磷、</w:t>
                  </w:r>
                  <w:r>
                    <w:rPr>
                      <w:color w:val="auto"/>
                      <w:sz w:val="18"/>
                      <w:szCs w:val="18"/>
                      <w:lang w:val="en-GB"/>
                    </w:rPr>
                    <w:t>石油类</w:t>
                  </w:r>
                  <w:r>
                    <w:rPr>
                      <w:rFonts w:hint="eastAsia"/>
                      <w:color w:val="auto"/>
                      <w:sz w:val="18"/>
                      <w:szCs w:val="18"/>
                    </w:rPr>
                    <w:t>）</w:t>
                  </w:r>
                </w:p>
              </w:tc>
              <w:tc>
                <w:tcPr>
                  <w:tcW w:w="2084" w:type="dxa"/>
                  <w:gridSpan w:val="3"/>
                  <w:tcBorders>
                    <w:tl2br w:val="nil"/>
                    <w:tr2bl w:val="nil"/>
                  </w:tcBorders>
                  <w:vAlign w:val="center"/>
                </w:tcPr>
                <w:p>
                  <w:pPr>
                    <w:jc w:val="center"/>
                    <w:rPr>
                      <w:color w:val="auto"/>
                      <w:sz w:val="18"/>
                      <w:szCs w:val="18"/>
                    </w:rPr>
                  </w:pPr>
                  <w:r>
                    <w:rPr>
                      <w:rFonts w:hint="eastAsia"/>
                      <w:color w:val="auto"/>
                      <w:sz w:val="18"/>
                      <w:szCs w:val="18"/>
                    </w:rPr>
                    <w:t>监测断面或点位个数</w:t>
                  </w:r>
                </w:p>
                <w:p>
                  <w:pPr>
                    <w:jc w:val="center"/>
                    <w:rPr>
                      <w:color w:val="auto"/>
                      <w:sz w:val="18"/>
                      <w:szCs w:val="18"/>
                    </w:rPr>
                  </w:pPr>
                  <w:r>
                    <w:rPr>
                      <w:rFonts w:hint="eastAsia"/>
                      <w:color w:val="auto"/>
                      <w:sz w:val="18"/>
                      <w:szCs w:val="18"/>
                    </w:rPr>
                    <w:t xml:space="preserve">（2）个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现</w:t>
                  </w:r>
                </w:p>
                <w:p>
                  <w:pPr>
                    <w:jc w:val="center"/>
                    <w:rPr>
                      <w:color w:val="auto"/>
                      <w:sz w:val="18"/>
                      <w:szCs w:val="18"/>
                    </w:rPr>
                  </w:pPr>
                  <w:r>
                    <w:rPr>
                      <w:rFonts w:hint="eastAsia"/>
                      <w:color w:val="auto"/>
                      <w:sz w:val="18"/>
                      <w:szCs w:val="18"/>
                    </w:rPr>
                    <w:t>状</w:t>
                  </w:r>
                </w:p>
                <w:p>
                  <w:pPr>
                    <w:jc w:val="center"/>
                    <w:rPr>
                      <w:color w:val="auto"/>
                      <w:sz w:val="18"/>
                      <w:szCs w:val="18"/>
                    </w:rPr>
                  </w:pPr>
                  <w:r>
                    <w:rPr>
                      <w:rFonts w:hint="eastAsia"/>
                      <w:color w:val="auto"/>
                      <w:sz w:val="18"/>
                      <w:szCs w:val="18"/>
                    </w:rPr>
                    <w:t>评</w:t>
                  </w:r>
                </w:p>
                <w:p>
                  <w:pPr>
                    <w:jc w:val="center"/>
                    <w:rPr>
                      <w:color w:val="auto"/>
                      <w:sz w:val="18"/>
                      <w:szCs w:val="18"/>
                    </w:rPr>
                  </w:pPr>
                  <w:r>
                    <w:rPr>
                      <w:rFonts w:hint="eastAsia"/>
                      <w:color w:val="auto"/>
                      <w:sz w:val="18"/>
                      <w:szCs w:val="18"/>
                    </w:rPr>
                    <w:t>价</w:t>
                  </w:r>
                </w:p>
              </w:tc>
              <w:tc>
                <w:tcPr>
                  <w:tcW w:w="1404" w:type="dxa"/>
                  <w:tcBorders>
                    <w:tl2br w:val="nil"/>
                    <w:tr2bl w:val="nil"/>
                  </w:tcBorders>
                  <w:vAlign w:val="center"/>
                </w:tcPr>
                <w:p>
                  <w:pPr>
                    <w:jc w:val="center"/>
                    <w:rPr>
                      <w:color w:val="auto"/>
                      <w:sz w:val="18"/>
                      <w:szCs w:val="18"/>
                    </w:rPr>
                  </w:pPr>
                  <w:r>
                    <w:rPr>
                      <w:rFonts w:hint="eastAsia"/>
                      <w:color w:val="auto"/>
                      <w:sz w:val="18"/>
                      <w:szCs w:val="18"/>
                    </w:rPr>
                    <w:t>评价范围</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河流：长度（1.5）km；湖库、河口及近岸海域：面积（/）km</w:t>
                  </w:r>
                  <w:r>
                    <w:rPr>
                      <w:rFonts w:hint="eastAsia"/>
                      <w:color w:val="auto"/>
                      <w:sz w:val="18"/>
                      <w:szCs w:val="18"/>
                      <w:vertAlign w:val="superscript"/>
                    </w:rPr>
                    <w:t>2</w:t>
                  </w:r>
                  <w:r>
                    <w:rPr>
                      <w:rFonts w:hint="eastAsia"/>
                      <w:color w:val="auto"/>
                      <w:sz w:val="18"/>
                      <w:szCs w:val="18"/>
                    </w:rPr>
                    <w:t xml:space="preserve">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评价因子</w:t>
                  </w:r>
                </w:p>
              </w:tc>
              <w:tc>
                <w:tcPr>
                  <w:tcW w:w="6247" w:type="dxa"/>
                  <w:gridSpan w:val="12"/>
                  <w:tcBorders>
                    <w:tl2br w:val="nil"/>
                    <w:tr2bl w:val="nil"/>
                  </w:tcBorders>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评价标准</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河流、湖库、河口：Ⅰ类 □；Ⅱ类 □；Ⅲ类 □；Ⅳ类 </w:t>
                  </w:r>
                  <w:r>
                    <w:rPr>
                      <w:rFonts w:hint="eastAsia"/>
                      <w:color w:val="auto"/>
                      <w:sz w:val="18"/>
                      <w:szCs w:val="18"/>
                    </w:rPr>
                    <w:sym w:font="Wingdings 2" w:char="0052"/>
                  </w:r>
                  <w:r>
                    <w:rPr>
                      <w:rFonts w:hint="eastAsia"/>
                      <w:color w:val="auto"/>
                      <w:sz w:val="18"/>
                      <w:szCs w:val="18"/>
                    </w:rPr>
                    <w:t xml:space="preserve">；Ⅴ类 □ </w:t>
                  </w:r>
                </w:p>
                <w:p>
                  <w:pPr>
                    <w:jc w:val="left"/>
                    <w:rPr>
                      <w:color w:val="auto"/>
                      <w:sz w:val="18"/>
                      <w:szCs w:val="18"/>
                    </w:rPr>
                  </w:pPr>
                  <w:r>
                    <w:rPr>
                      <w:rFonts w:hint="eastAsia"/>
                      <w:color w:val="auto"/>
                      <w:sz w:val="18"/>
                      <w:szCs w:val="18"/>
                    </w:rPr>
                    <w:t xml:space="preserve">近岸海域：第一类 □；第二类 □；第三类 □；第四类 □ </w:t>
                  </w:r>
                </w:p>
                <w:p>
                  <w:pPr>
                    <w:jc w:val="left"/>
                    <w:rPr>
                      <w:color w:val="auto"/>
                      <w:sz w:val="18"/>
                      <w:szCs w:val="18"/>
                    </w:rPr>
                  </w:pPr>
                  <w:r>
                    <w:rPr>
                      <w:rFonts w:hint="eastAsia"/>
                      <w:color w:val="auto"/>
                      <w:sz w:val="18"/>
                      <w:szCs w:val="18"/>
                    </w:rPr>
                    <w:t xml:space="preserve">规划年评价标准（/）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评价时期</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丰水期 □；平水期 □；枯水期 □；冰封期 □ </w:t>
                  </w:r>
                </w:p>
                <w:p>
                  <w:pPr>
                    <w:jc w:val="left"/>
                    <w:rPr>
                      <w:color w:val="auto"/>
                      <w:sz w:val="18"/>
                      <w:szCs w:val="18"/>
                    </w:rPr>
                  </w:pPr>
                  <w:r>
                    <w:rPr>
                      <w:rFonts w:hint="eastAsia"/>
                      <w:color w:val="auto"/>
                      <w:sz w:val="18"/>
                      <w:szCs w:val="18"/>
                    </w:rPr>
                    <w:t xml:space="preserve">春季 </w:t>
                  </w:r>
                  <w:r>
                    <w:rPr>
                      <w:rFonts w:hint="eastAsia"/>
                      <w:color w:val="auto"/>
                      <w:sz w:val="18"/>
                      <w:szCs w:val="18"/>
                    </w:rPr>
                    <w:sym w:font="Wingdings 2" w:char="00A3"/>
                  </w:r>
                  <w:r>
                    <w:rPr>
                      <w:rFonts w:hint="eastAsia"/>
                      <w:color w:val="auto"/>
                      <w:sz w:val="18"/>
                      <w:szCs w:val="18"/>
                    </w:rPr>
                    <w:t xml:space="preserve">；夏季 □；秋季 </w:t>
                  </w:r>
                  <w:r>
                    <w:rPr>
                      <w:rFonts w:hint="eastAsia"/>
                      <w:color w:val="auto"/>
                      <w:sz w:val="18"/>
                      <w:szCs w:val="18"/>
                    </w:rPr>
                    <w:sym w:font="Wingdings 2" w:char="0052"/>
                  </w:r>
                  <w:r>
                    <w:rPr>
                      <w:rFonts w:hint="eastAsia"/>
                      <w:color w:val="auto"/>
                      <w:sz w:val="18"/>
                      <w:szCs w:val="18"/>
                    </w:rPr>
                    <w:t xml:space="preserve">；冬季 </w:t>
                  </w:r>
                  <w:r>
                    <w:rPr>
                      <w:color w:val="auto"/>
                      <w:sz w:val="18"/>
                      <w:szCs w:val="18"/>
                    </w:rPr>
                    <w:sym w:font="Wingdings 2" w:char="00A3"/>
                  </w:r>
                  <w:r>
                    <w:rPr>
                      <w:rFonts w:hint="eastAsia"/>
                      <w:color w:val="auto"/>
                      <w:sz w:val="18"/>
                      <w:szCs w:val="18"/>
                    </w:rPr>
                    <w:t xml:space="preserve">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评价结论</w:t>
                  </w:r>
                </w:p>
              </w:tc>
              <w:tc>
                <w:tcPr>
                  <w:tcW w:w="4949" w:type="dxa"/>
                  <w:gridSpan w:val="10"/>
                  <w:tcBorders>
                    <w:tl2br w:val="nil"/>
                    <w:tr2bl w:val="nil"/>
                  </w:tcBorders>
                  <w:vAlign w:val="center"/>
                </w:tcPr>
                <w:p>
                  <w:pPr>
                    <w:jc w:val="left"/>
                    <w:rPr>
                      <w:color w:val="auto"/>
                      <w:sz w:val="18"/>
                      <w:szCs w:val="18"/>
                    </w:rPr>
                  </w:pPr>
                  <w:r>
                    <w:rPr>
                      <w:rFonts w:hint="eastAsia"/>
                      <w:color w:val="auto"/>
                      <w:sz w:val="18"/>
                      <w:szCs w:val="18"/>
                    </w:rPr>
                    <w:t xml:space="preserve">水环境功能区或水功能区、近岸海域环境功能区水质达标状况 □：达标 </w:t>
                  </w:r>
                  <w:r>
                    <w:rPr>
                      <w:color w:val="auto"/>
                      <w:sz w:val="18"/>
                      <w:szCs w:val="18"/>
                    </w:rPr>
                    <w:sym w:font="Wingdings 2" w:char="0052"/>
                  </w:r>
                  <w:r>
                    <w:rPr>
                      <w:rFonts w:hint="eastAsia"/>
                      <w:color w:val="auto"/>
                      <w:sz w:val="18"/>
                      <w:szCs w:val="18"/>
                    </w:rPr>
                    <w:t xml:space="preserve">；不达标 □ </w:t>
                  </w:r>
                </w:p>
                <w:p>
                  <w:pPr>
                    <w:jc w:val="left"/>
                    <w:rPr>
                      <w:color w:val="auto"/>
                      <w:sz w:val="18"/>
                      <w:szCs w:val="18"/>
                    </w:rPr>
                  </w:pPr>
                  <w:r>
                    <w:rPr>
                      <w:rFonts w:hint="eastAsia"/>
                      <w:color w:val="auto"/>
                      <w:sz w:val="18"/>
                      <w:szCs w:val="18"/>
                    </w:rPr>
                    <w:t xml:space="preserve">水环境控制单元或断面水质达标状况 □：达标 </w:t>
                  </w:r>
                  <w:r>
                    <w:rPr>
                      <w:color w:val="auto"/>
                      <w:sz w:val="18"/>
                      <w:szCs w:val="18"/>
                    </w:rPr>
                    <w:sym w:font="Wingdings 2" w:char="0052"/>
                  </w:r>
                  <w:r>
                    <w:rPr>
                      <w:rFonts w:hint="eastAsia"/>
                      <w:color w:val="auto"/>
                      <w:sz w:val="18"/>
                      <w:szCs w:val="18"/>
                    </w:rPr>
                    <w:t>；不达标 □</w:t>
                  </w:r>
                </w:p>
                <w:p>
                  <w:pPr>
                    <w:jc w:val="left"/>
                    <w:rPr>
                      <w:color w:val="auto"/>
                      <w:sz w:val="18"/>
                      <w:szCs w:val="18"/>
                    </w:rPr>
                  </w:pPr>
                  <w:r>
                    <w:rPr>
                      <w:rFonts w:hint="eastAsia"/>
                      <w:color w:val="auto"/>
                      <w:sz w:val="18"/>
                      <w:szCs w:val="18"/>
                    </w:rPr>
                    <w:t xml:space="preserve">水环境保护目标质量状况 □：达标 □；不达标 □ </w:t>
                  </w:r>
                </w:p>
                <w:p>
                  <w:pPr>
                    <w:jc w:val="left"/>
                    <w:rPr>
                      <w:color w:val="auto"/>
                      <w:sz w:val="18"/>
                      <w:szCs w:val="18"/>
                    </w:rPr>
                  </w:pPr>
                  <w:r>
                    <w:rPr>
                      <w:rFonts w:hint="eastAsia"/>
                      <w:color w:val="auto"/>
                      <w:sz w:val="18"/>
                      <w:szCs w:val="18"/>
                    </w:rPr>
                    <w:t xml:space="preserve">对照断面、控制断面等代表性断面的水质状况 □：达标 </w:t>
                  </w:r>
                  <w:r>
                    <w:rPr>
                      <w:color w:val="auto"/>
                      <w:sz w:val="18"/>
                      <w:szCs w:val="18"/>
                    </w:rPr>
                    <w:sym w:font="Wingdings 2" w:char="0052"/>
                  </w:r>
                  <w:r>
                    <w:rPr>
                      <w:rFonts w:hint="eastAsia"/>
                      <w:color w:val="auto"/>
                      <w:sz w:val="18"/>
                      <w:szCs w:val="18"/>
                    </w:rPr>
                    <w:t>；不达标 □</w:t>
                  </w:r>
                </w:p>
                <w:p>
                  <w:pPr>
                    <w:jc w:val="left"/>
                    <w:rPr>
                      <w:color w:val="auto"/>
                      <w:sz w:val="18"/>
                      <w:szCs w:val="18"/>
                    </w:rPr>
                  </w:pPr>
                  <w:r>
                    <w:rPr>
                      <w:rFonts w:hint="eastAsia"/>
                      <w:color w:val="auto"/>
                      <w:sz w:val="18"/>
                      <w:szCs w:val="18"/>
                    </w:rPr>
                    <w:t xml:space="preserve">底泥污染评价 □ </w:t>
                  </w:r>
                </w:p>
                <w:p>
                  <w:pPr>
                    <w:jc w:val="left"/>
                    <w:rPr>
                      <w:color w:val="auto"/>
                      <w:sz w:val="18"/>
                      <w:szCs w:val="18"/>
                    </w:rPr>
                  </w:pPr>
                  <w:r>
                    <w:rPr>
                      <w:rFonts w:hint="eastAsia"/>
                      <w:color w:val="auto"/>
                      <w:sz w:val="18"/>
                      <w:szCs w:val="18"/>
                    </w:rPr>
                    <w:t xml:space="preserve">水资源与开发利用程度及其水文情势评价 □ </w:t>
                  </w:r>
                </w:p>
                <w:p>
                  <w:pPr>
                    <w:jc w:val="left"/>
                    <w:rPr>
                      <w:color w:val="auto"/>
                      <w:sz w:val="18"/>
                      <w:szCs w:val="18"/>
                    </w:rPr>
                  </w:pPr>
                  <w:r>
                    <w:rPr>
                      <w:rFonts w:hint="eastAsia"/>
                      <w:color w:val="auto"/>
                      <w:sz w:val="18"/>
                      <w:szCs w:val="18"/>
                    </w:rPr>
                    <w:t xml:space="preserve">水环境质量回顾评价 □ </w:t>
                  </w:r>
                </w:p>
                <w:p>
                  <w:pPr>
                    <w:jc w:val="left"/>
                    <w:rPr>
                      <w:color w:val="auto"/>
                      <w:sz w:val="18"/>
                      <w:szCs w:val="18"/>
                    </w:rPr>
                  </w:pPr>
                  <w:r>
                    <w:rPr>
                      <w:rFonts w:hint="eastAsia"/>
                      <w:color w:val="auto"/>
                      <w:sz w:val="18"/>
                      <w:szCs w:val="18"/>
                    </w:rPr>
                    <w:t>流域（区域）水资源（包括水能资源）与开发利用总体状况、生态流量管理要求与现状满足程度、建设项目占用水域空间的水流状况与河湖演变状况 □</w:t>
                  </w:r>
                </w:p>
              </w:tc>
              <w:tc>
                <w:tcPr>
                  <w:tcW w:w="1298" w:type="dxa"/>
                  <w:gridSpan w:val="2"/>
                  <w:tcBorders>
                    <w:tl2br w:val="nil"/>
                    <w:tr2bl w:val="nil"/>
                  </w:tcBorders>
                  <w:vAlign w:val="center"/>
                </w:tcPr>
                <w:p>
                  <w:pPr>
                    <w:jc w:val="center"/>
                    <w:rPr>
                      <w:color w:val="auto"/>
                      <w:sz w:val="18"/>
                      <w:szCs w:val="18"/>
                    </w:rPr>
                  </w:pPr>
                  <w:r>
                    <w:rPr>
                      <w:rFonts w:hint="eastAsia"/>
                      <w:color w:val="auto"/>
                      <w:sz w:val="18"/>
                      <w:szCs w:val="18"/>
                    </w:rPr>
                    <w:t xml:space="preserve">达标区 </w:t>
                  </w:r>
                  <w:r>
                    <w:rPr>
                      <w:color w:val="auto"/>
                      <w:sz w:val="18"/>
                      <w:szCs w:val="18"/>
                    </w:rPr>
                    <w:sym w:font="Wingdings 2" w:char="0052"/>
                  </w:r>
                  <w:r>
                    <w:rPr>
                      <w:rFonts w:hint="eastAsia"/>
                      <w:color w:val="auto"/>
                      <w:sz w:val="18"/>
                      <w:szCs w:val="18"/>
                    </w:rPr>
                    <w:t xml:space="preserve"> </w:t>
                  </w:r>
                </w:p>
                <w:p>
                  <w:pPr>
                    <w:jc w:val="center"/>
                    <w:rPr>
                      <w:color w:val="auto"/>
                      <w:sz w:val="18"/>
                      <w:szCs w:val="18"/>
                    </w:rPr>
                  </w:pPr>
                  <w:r>
                    <w:rPr>
                      <w:rFonts w:hint="eastAsia"/>
                      <w:color w:val="auto"/>
                      <w:sz w:val="18"/>
                      <w:szCs w:val="18"/>
                    </w:rPr>
                    <w:t>不达标区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预</w:t>
                  </w:r>
                </w:p>
                <w:p>
                  <w:pPr>
                    <w:jc w:val="center"/>
                    <w:rPr>
                      <w:color w:val="auto"/>
                      <w:sz w:val="18"/>
                      <w:szCs w:val="18"/>
                    </w:rPr>
                  </w:pPr>
                  <w:r>
                    <w:rPr>
                      <w:rFonts w:hint="eastAsia"/>
                      <w:color w:val="auto"/>
                      <w:sz w:val="18"/>
                      <w:szCs w:val="18"/>
                    </w:rPr>
                    <w:t>测</w:t>
                  </w:r>
                </w:p>
              </w:tc>
              <w:tc>
                <w:tcPr>
                  <w:tcW w:w="1404" w:type="dxa"/>
                  <w:tcBorders>
                    <w:tl2br w:val="nil"/>
                    <w:tr2bl w:val="nil"/>
                  </w:tcBorders>
                  <w:vAlign w:val="center"/>
                </w:tcPr>
                <w:p>
                  <w:pPr>
                    <w:jc w:val="center"/>
                    <w:rPr>
                      <w:color w:val="auto"/>
                      <w:sz w:val="18"/>
                      <w:szCs w:val="18"/>
                    </w:rPr>
                  </w:pPr>
                  <w:r>
                    <w:rPr>
                      <w:rFonts w:hint="eastAsia"/>
                      <w:color w:val="auto"/>
                      <w:sz w:val="18"/>
                      <w:szCs w:val="18"/>
                    </w:rPr>
                    <w:t>预测范围</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河流：长度（/）km；湖库、河口及近岸海域：面积（/）km</w:t>
                  </w:r>
                  <w:r>
                    <w:rPr>
                      <w:rFonts w:hint="eastAsia"/>
                      <w:color w:val="auto"/>
                      <w:sz w:val="18"/>
                      <w:szCs w:val="18"/>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预测因子</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预测时期</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丰水期 □；平水期 □；枯水期 □；冰封期 □</w:t>
                  </w:r>
                </w:p>
                <w:p>
                  <w:pPr>
                    <w:jc w:val="left"/>
                    <w:rPr>
                      <w:color w:val="auto"/>
                      <w:sz w:val="18"/>
                      <w:szCs w:val="18"/>
                    </w:rPr>
                  </w:pPr>
                  <w:r>
                    <w:rPr>
                      <w:rFonts w:hint="eastAsia"/>
                      <w:color w:val="auto"/>
                      <w:sz w:val="18"/>
                      <w:szCs w:val="18"/>
                    </w:rPr>
                    <w:t xml:space="preserve">春季 □；夏季 □；秋季 □；冬季 □ </w:t>
                  </w:r>
                </w:p>
                <w:p>
                  <w:pPr>
                    <w:jc w:val="left"/>
                    <w:rPr>
                      <w:color w:val="auto"/>
                      <w:sz w:val="18"/>
                      <w:szCs w:val="18"/>
                    </w:rPr>
                  </w:pPr>
                  <w:r>
                    <w:rPr>
                      <w:rFonts w:hint="eastAsia"/>
                      <w:color w:val="auto"/>
                      <w:sz w:val="18"/>
                      <w:szCs w:val="18"/>
                    </w:rPr>
                    <w:t>设计水文条件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预测情景</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建设期 □；生产运行期 □；服务期满后 □ </w:t>
                  </w:r>
                </w:p>
                <w:p>
                  <w:pPr>
                    <w:jc w:val="left"/>
                    <w:rPr>
                      <w:color w:val="auto"/>
                      <w:sz w:val="18"/>
                      <w:szCs w:val="18"/>
                    </w:rPr>
                  </w:pPr>
                  <w:r>
                    <w:rPr>
                      <w:rFonts w:hint="eastAsia"/>
                      <w:color w:val="auto"/>
                      <w:sz w:val="18"/>
                      <w:szCs w:val="18"/>
                    </w:rPr>
                    <w:t xml:space="preserve">正常工况 □；非正常工况 □ </w:t>
                  </w:r>
                </w:p>
                <w:p>
                  <w:pPr>
                    <w:jc w:val="left"/>
                    <w:rPr>
                      <w:color w:val="auto"/>
                      <w:sz w:val="18"/>
                      <w:szCs w:val="18"/>
                    </w:rPr>
                  </w:pPr>
                  <w:r>
                    <w:rPr>
                      <w:rFonts w:hint="eastAsia"/>
                      <w:color w:val="auto"/>
                      <w:sz w:val="18"/>
                      <w:szCs w:val="18"/>
                    </w:rPr>
                    <w:t xml:space="preserve">污染控制和减缓措施方案 □ </w:t>
                  </w:r>
                </w:p>
                <w:p>
                  <w:pPr>
                    <w:jc w:val="left"/>
                    <w:rPr>
                      <w:color w:val="auto"/>
                      <w:sz w:val="18"/>
                      <w:szCs w:val="18"/>
                    </w:rPr>
                  </w:pPr>
                  <w:r>
                    <w:rPr>
                      <w:rFonts w:hint="eastAsia"/>
                      <w:color w:val="auto"/>
                      <w:sz w:val="18"/>
                      <w:szCs w:val="18"/>
                    </w:rPr>
                    <w:t>区（流）域环境质量改善目标要求情景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预测方法</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数值解 □：解析解 □；其他 □ </w:t>
                  </w:r>
                </w:p>
                <w:p>
                  <w:pPr>
                    <w:jc w:val="left"/>
                    <w:rPr>
                      <w:color w:val="auto"/>
                      <w:sz w:val="18"/>
                      <w:szCs w:val="18"/>
                    </w:rPr>
                  </w:pPr>
                  <w:r>
                    <w:rPr>
                      <w:rFonts w:hint="eastAsia"/>
                      <w:color w:val="auto"/>
                      <w:sz w:val="18"/>
                      <w:szCs w:val="18"/>
                    </w:rPr>
                    <w:t>导则推荐模式 □：其他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评</w:t>
                  </w:r>
                </w:p>
                <w:p>
                  <w:pPr>
                    <w:jc w:val="center"/>
                    <w:rPr>
                      <w:color w:val="auto"/>
                      <w:sz w:val="18"/>
                      <w:szCs w:val="18"/>
                    </w:rPr>
                  </w:pPr>
                  <w:r>
                    <w:rPr>
                      <w:rFonts w:hint="eastAsia"/>
                      <w:color w:val="auto"/>
                      <w:sz w:val="18"/>
                      <w:szCs w:val="18"/>
                    </w:rPr>
                    <w:t>价</w:t>
                  </w:r>
                </w:p>
              </w:tc>
              <w:tc>
                <w:tcPr>
                  <w:tcW w:w="1404" w:type="dxa"/>
                  <w:tcBorders>
                    <w:tl2br w:val="nil"/>
                    <w:tr2bl w:val="nil"/>
                  </w:tcBorders>
                  <w:vAlign w:val="center"/>
                </w:tcPr>
                <w:p>
                  <w:pPr>
                    <w:jc w:val="center"/>
                    <w:rPr>
                      <w:color w:val="auto"/>
                      <w:sz w:val="18"/>
                      <w:szCs w:val="18"/>
                    </w:rPr>
                  </w:pPr>
                  <w:r>
                    <w:rPr>
                      <w:rFonts w:hint="eastAsia"/>
                      <w:color w:val="auto"/>
                      <w:sz w:val="18"/>
                      <w:szCs w:val="18"/>
                    </w:rPr>
                    <w:t>水污染控制和水环境影响减缓措</w:t>
                  </w:r>
                </w:p>
                <w:p>
                  <w:pPr>
                    <w:jc w:val="center"/>
                    <w:rPr>
                      <w:color w:val="auto"/>
                      <w:sz w:val="18"/>
                      <w:szCs w:val="18"/>
                    </w:rPr>
                  </w:pPr>
                  <w:r>
                    <w:rPr>
                      <w:rFonts w:hint="eastAsia"/>
                      <w:color w:val="auto"/>
                      <w:sz w:val="18"/>
                      <w:szCs w:val="18"/>
                    </w:rPr>
                    <w:t>施有效性评价</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区（流）域水环境质量改善目标 □；替代削减源 □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水环境影响评价</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 xml:space="preserve">排放口混合区外满足水环境管理要求 </w:t>
                  </w:r>
                  <w:r>
                    <w:rPr>
                      <w:color w:val="auto"/>
                      <w:sz w:val="18"/>
                      <w:szCs w:val="18"/>
                    </w:rPr>
                    <w:sym w:font="Wingdings 2" w:char="0052"/>
                  </w:r>
                  <w:r>
                    <w:rPr>
                      <w:rFonts w:hint="eastAsia"/>
                      <w:color w:val="auto"/>
                      <w:sz w:val="18"/>
                      <w:szCs w:val="18"/>
                    </w:rPr>
                    <w:t xml:space="preserve"> </w:t>
                  </w:r>
                </w:p>
                <w:p>
                  <w:pPr>
                    <w:jc w:val="left"/>
                    <w:rPr>
                      <w:color w:val="auto"/>
                      <w:sz w:val="18"/>
                      <w:szCs w:val="18"/>
                    </w:rPr>
                  </w:pPr>
                  <w:r>
                    <w:rPr>
                      <w:rFonts w:hint="eastAsia"/>
                      <w:color w:val="auto"/>
                      <w:sz w:val="18"/>
                      <w:szCs w:val="18"/>
                    </w:rPr>
                    <w:t xml:space="preserve">水环境功能区或水功能区、近岸海域环境功能区水质达标 □ </w:t>
                  </w:r>
                </w:p>
                <w:p>
                  <w:pPr>
                    <w:jc w:val="left"/>
                    <w:rPr>
                      <w:color w:val="auto"/>
                      <w:sz w:val="18"/>
                      <w:szCs w:val="18"/>
                    </w:rPr>
                  </w:pPr>
                  <w:r>
                    <w:rPr>
                      <w:rFonts w:hint="eastAsia"/>
                      <w:color w:val="auto"/>
                      <w:sz w:val="18"/>
                      <w:szCs w:val="18"/>
                    </w:rPr>
                    <w:t xml:space="preserve">满足水环境保护目标水域水环境质量要求 □ </w:t>
                  </w:r>
                </w:p>
                <w:p>
                  <w:pPr>
                    <w:jc w:val="left"/>
                    <w:rPr>
                      <w:color w:val="auto"/>
                      <w:sz w:val="18"/>
                      <w:szCs w:val="18"/>
                    </w:rPr>
                  </w:pPr>
                  <w:r>
                    <w:rPr>
                      <w:rFonts w:hint="eastAsia"/>
                      <w:color w:val="auto"/>
                      <w:sz w:val="18"/>
                      <w:szCs w:val="18"/>
                    </w:rPr>
                    <w:t xml:space="preserve">水环境控制单元或断面水质达标 □ </w:t>
                  </w:r>
                </w:p>
                <w:p>
                  <w:pPr>
                    <w:jc w:val="left"/>
                    <w:rPr>
                      <w:color w:val="auto"/>
                      <w:sz w:val="18"/>
                      <w:szCs w:val="18"/>
                    </w:rPr>
                  </w:pPr>
                  <w:r>
                    <w:rPr>
                      <w:rFonts w:hint="eastAsia"/>
                      <w:color w:val="auto"/>
                      <w:sz w:val="18"/>
                      <w:szCs w:val="18"/>
                    </w:rPr>
                    <w:t xml:space="preserve">满足重点水污染物排放总量控制指标要求，重点行业建设项目， 主要污染物排放满足等量或减量替代要求 □ </w:t>
                  </w:r>
                </w:p>
                <w:p>
                  <w:pPr>
                    <w:jc w:val="left"/>
                    <w:rPr>
                      <w:color w:val="auto"/>
                      <w:sz w:val="18"/>
                      <w:szCs w:val="18"/>
                    </w:rPr>
                  </w:pPr>
                  <w:r>
                    <w:rPr>
                      <w:rFonts w:hint="eastAsia"/>
                      <w:color w:val="auto"/>
                      <w:sz w:val="18"/>
                      <w:szCs w:val="18"/>
                    </w:rPr>
                    <w:t xml:space="preserve">满足区（流）域水环境质量改善目标要求 □ </w:t>
                  </w:r>
                </w:p>
                <w:p>
                  <w:pPr>
                    <w:jc w:val="left"/>
                    <w:rPr>
                      <w:color w:val="auto"/>
                      <w:sz w:val="18"/>
                      <w:szCs w:val="18"/>
                    </w:rPr>
                  </w:pPr>
                  <w:r>
                    <w:rPr>
                      <w:rFonts w:hint="eastAsia"/>
                      <w:color w:val="auto"/>
                      <w:sz w:val="18"/>
                      <w:szCs w:val="18"/>
                    </w:rPr>
                    <w:t xml:space="preserve">水文要素影响型建设项目同时应包括水文情势变化评价、主要水文特征值影响评价、生态流量符合性评价 □ </w:t>
                  </w:r>
                </w:p>
                <w:p>
                  <w:pPr>
                    <w:jc w:val="left"/>
                    <w:rPr>
                      <w:color w:val="auto"/>
                      <w:sz w:val="18"/>
                      <w:szCs w:val="18"/>
                    </w:rPr>
                  </w:pPr>
                  <w:r>
                    <w:rPr>
                      <w:rFonts w:hint="eastAsia"/>
                      <w:color w:val="auto"/>
                      <w:sz w:val="18"/>
                      <w:szCs w:val="18"/>
                    </w:rPr>
                    <w:t xml:space="preserve">对于新设或调整入河（湖库、近岸海域）排放口的建设项目，应包括排放口设置的环境合理性评价 □ </w:t>
                  </w:r>
                </w:p>
                <w:p>
                  <w:pPr>
                    <w:jc w:val="left"/>
                    <w:rPr>
                      <w:color w:val="auto"/>
                      <w:sz w:val="18"/>
                      <w:szCs w:val="18"/>
                    </w:rPr>
                  </w:pPr>
                  <w:r>
                    <w:rPr>
                      <w:rFonts w:hint="eastAsia"/>
                      <w:color w:val="auto"/>
                      <w:sz w:val="18"/>
                      <w:szCs w:val="18"/>
                    </w:rPr>
                    <w:t>满足生态保护红线、水环境质量底线、资源利用上线和环境准入清单管理要求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污染源排放量核算</w:t>
                  </w:r>
                </w:p>
              </w:tc>
              <w:tc>
                <w:tcPr>
                  <w:tcW w:w="2081" w:type="dxa"/>
                  <w:gridSpan w:val="4"/>
                  <w:tcBorders>
                    <w:tl2br w:val="nil"/>
                    <w:tr2bl w:val="nil"/>
                  </w:tcBorders>
                  <w:vAlign w:val="center"/>
                </w:tcPr>
                <w:p>
                  <w:pPr>
                    <w:jc w:val="center"/>
                    <w:rPr>
                      <w:color w:val="auto"/>
                      <w:sz w:val="18"/>
                      <w:szCs w:val="18"/>
                    </w:rPr>
                  </w:pPr>
                  <w:r>
                    <w:rPr>
                      <w:rFonts w:hint="eastAsia"/>
                      <w:color w:val="auto"/>
                      <w:sz w:val="18"/>
                      <w:szCs w:val="18"/>
                    </w:rPr>
                    <w:t>污染物名称</w:t>
                  </w:r>
                </w:p>
              </w:tc>
              <w:tc>
                <w:tcPr>
                  <w:tcW w:w="2082" w:type="dxa"/>
                  <w:gridSpan w:val="5"/>
                  <w:tcBorders>
                    <w:tl2br w:val="nil"/>
                    <w:tr2bl w:val="nil"/>
                  </w:tcBorders>
                  <w:vAlign w:val="center"/>
                </w:tcPr>
                <w:p>
                  <w:pPr>
                    <w:jc w:val="center"/>
                    <w:rPr>
                      <w:color w:val="auto"/>
                      <w:sz w:val="18"/>
                      <w:szCs w:val="18"/>
                    </w:rPr>
                  </w:pPr>
                  <w:r>
                    <w:rPr>
                      <w:rFonts w:hint="eastAsia"/>
                      <w:color w:val="auto"/>
                      <w:sz w:val="18"/>
                      <w:szCs w:val="18"/>
                    </w:rPr>
                    <w:t>排放量/（t/a）</w:t>
                  </w:r>
                </w:p>
              </w:tc>
              <w:tc>
                <w:tcPr>
                  <w:tcW w:w="2084" w:type="dxa"/>
                  <w:gridSpan w:val="3"/>
                  <w:tcBorders>
                    <w:tl2br w:val="nil"/>
                    <w:tr2bl w:val="nil"/>
                  </w:tcBorders>
                  <w:vAlign w:val="center"/>
                </w:tcPr>
                <w:p>
                  <w:pPr>
                    <w:jc w:val="center"/>
                    <w:rPr>
                      <w:color w:val="auto"/>
                      <w:sz w:val="18"/>
                      <w:szCs w:val="18"/>
                    </w:rPr>
                  </w:pPr>
                  <w:r>
                    <w:rPr>
                      <w:rFonts w:hint="eastAsia"/>
                      <w:color w:val="auto"/>
                      <w:sz w:val="18"/>
                      <w:szCs w:val="18"/>
                    </w:rPr>
                    <w:t>排放浓度/（mg/L）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center"/>
                    <w:rPr>
                      <w:color w:val="auto"/>
                      <w:szCs w:val="21"/>
                    </w:rPr>
                  </w:pPr>
                  <w:r>
                    <w:rPr>
                      <w:color w:val="auto"/>
                      <w:szCs w:val="21"/>
                    </w:rPr>
                    <w:t>COD</w:t>
                  </w:r>
                </w:p>
              </w:tc>
              <w:tc>
                <w:tcPr>
                  <w:tcW w:w="2082" w:type="dxa"/>
                  <w:gridSpan w:val="5"/>
                  <w:tcBorders>
                    <w:tl2br w:val="nil"/>
                    <w:tr2bl w:val="nil"/>
                  </w:tcBorders>
                  <w:vAlign w:val="center"/>
                </w:tcPr>
                <w:p>
                  <w:pPr>
                    <w:jc w:val="center"/>
                    <w:rPr>
                      <w:rFonts w:hint="eastAsia"/>
                      <w:color w:val="auto"/>
                      <w:szCs w:val="21"/>
                    </w:rPr>
                  </w:pPr>
                  <w:r>
                    <w:rPr>
                      <w:rFonts w:hint="eastAsia"/>
                      <w:color w:val="auto"/>
                      <w:szCs w:val="21"/>
                      <w:lang w:val="en-US" w:eastAsia="zh-CN"/>
                    </w:rPr>
                    <w:t>0.041</w:t>
                  </w:r>
                </w:p>
              </w:tc>
              <w:tc>
                <w:tcPr>
                  <w:tcW w:w="2084" w:type="dxa"/>
                  <w:gridSpan w:val="3"/>
                  <w:tcBorders>
                    <w:tl2br w:val="nil"/>
                    <w:tr2bl w:val="nil"/>
                  </w:tcBorders>
                  <w:vAlign w:val="center"/>
                </w:tcPr>
                <w:p>
                  <w:pPr>
                    <w:jc w:val="center"/>
                    <w:rPr>
                      <w:color w:val="auto"/>
                      <w:szCs w:val="21"/>
                    </w:rPr>
                  </w:pPr>
                  <w:r>
                    <w:rPr>
                      <w:rFonts w:hint="eastAsia"/>
                      <w:color w:val="auto"/>
                      <w:szCs w:val="21"/>
                    </w:rPr>
                    <w:t>340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center"/>
                    <w:rPr>
                      <w:color w:val="auto"/>
                      <w:szCs w:val="21"/>
                    </w:rPr>
                  </w:pPr>
                  <w:r>
                    <w:rPr>
                      <w:color w:val="auto"/>
                      <w:szCs w:val="21"/>
                    </w:rPr>
                    <w:t>SS</w:t>
                  </w:r>
                </w:p>
              </w:tc>
              <w:tc>
                <w:tcPr>
                  <w:tcW w:w="2082" w:type="dxa"/>
                  <w:gridSpan w:val="5"/>
                  <w:tcBorders>
                    <w:tl2br w:val="nil"/>
                    <w:tr2bl w:val="nil"/>
                  </w:tcBorders>
                  <w:vAlign w:val="center"/>
                </w:tcPr>
                <w:p>
                  <w:pPr>
                    <w:jc w:val="center"/>
                    <w:rPr>
                      <w:rFonts w:hint="eastAsia"/>
                      <w:color w:val="auto"/>
                      <w:szCs w:val="21"/>
                    </w:rPr>
                  </w:pPr>
                  <w:r>
                    <w:rPr>
                      <w:rFonts w:hint="eastAsia"/>
                      <w:color w:val="auto"/>
                      <w:szCs w:val="21"/>
                      <w:lang w:val="en-US" w:eastAsia="zh-CN"/>
                    </w:rPr>
                    <w:t>0.019</w:t>
                  </w:r>
                </w:p>
              </w:tc>
              <w:tc>
                <w:tcPr>
                  <w:tcW w:w="2084" w:type="dxa"/>
                  <w:gridSpan w:val="3"/>
                  <w:tcBorders>
                    <w:tl2br w:val="nil"/>
                    <w:tr2bl w:val="nil"/>
                  </w:tcBorders>
                  <w:vAlign w:val="center"/>
                </w:tcPr>
                <w:p>
                  <w:pPr>
                    <w:jc w:val="center"/>
                    <w:rPr>
                      <w:color w:val="auto"/>
                      <w:szCs w:val="21"/>
                    </w:rPr>
                  </w:pPr>
                  <w:r>
                    <w:rPr>
                      <w:rFonts w:hint="eastAsia"/>
                      <w:color w:val="auto"/>
                      <w:szCs w:val="21"/>
                    </w:rPr>
                    <w:t>160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center"/>
                    <w:rPr>
                      <w:color w:val="auto"/>
                      <w:szCs w:val="21"/>
                    </w:rPr>
                  </w:pPr>
                  <w:r>
                    <w:rPr>
                      <w:color w:val="auto"/>
                      <w:szCs w:val="21"/>
                    </w:rPr>
                    <w:t>氨氮</w:t>
                  </w:r>
                </w:p>
              </w:tc>
              <w:tc>
                <w:tcPr>
                  <w:tcW w:w="2082" w:type="dxa"/>
                  <w:gridSpan w:val="5"/>
                  <w:tcBorders>
                    <w:tl2br w:val="nil"/>
                    <w:tr2bl w:val="nil"/>
                  </w:tcBorders>
                  <w:vAlign w:val="center"/>
                </w:tcPr>
                <w:p>
                  <w:pPr>
                    <w:jc w:val="center"/>
                    <w:rPr>
                      <w:rFonts w:hint="eastAsia"/>
                      <w:color w:val="auto"/>
                      <w:szCs w:val="21"/>
                    </w:rPr>
                  </w:pPr>
                  <w:r>
                    <w:rPr>
                      <w:rFonts w:hint="eastAsia"/>
                      <w:color w:val="auto"/>
                      <w:szCs w:val="21"/>
                      <w:lang w:val="en-US" w:eastAsia="zh-CN"/>
                    </w:rPr>
                    <w:t>0.0042</w:t>
                  </w:r>
                </w:p>
              </w:tc>
              <w:tc>
                <w:tcPr>
                  <w:tcW w:w="2084" w:type="dxa"/>
                  <w:gridSpan w:val="3"/>
                  <w:tcBorders>
                    <w:tl2br w:val="nil"/>
                    <w:tr2bl w:val="nil"/>
                  </w:tcBorders>
                  <w:vAlign w:val="center"/>
                </w:tcPr>
                <w:p>
                  <w:pPr>
                    <w:jc w:val="center"/>
                    <w:rPr>
                      <w:color w:val="auto"/>
                      <w:szCs w:val="21"/>
                    </w:rPr>
                  </w:pPr>
                  <w:r>
                    <w:rPr>
                      <w:color w:val="auto"/>
                      <w:szCs w:val="21"/>
                    </w:rPr>
                    <w:t>3</w:t>
                  </w:r>
                  <w:r>
                    <w:rPr>
                      <w:rFonts w:hint="eastAsia"/>
                      <w:color w:val="auto"/>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center"/>
                    <w:rPr>
                      <w:color w:val="auto"/>
                      <w:szCs w:val="21"/>
                    </w:rPr>
                  </w:pPr>
                  <w:r>
                    <w:rPr>
                      <w:color w:val="auto"/>
                      <w:szCs w:val="21"/>
                    </w:rPr>
                    <w:t>TP</w:t>
                  </w:r>
                </w:p>
              </w:tc>
              <w:tc>
                <w:tcPr>
                  <w:tcW w:w="2082" w:type="dxa"/>
                  <w:gridSpan w:val="5"/>
                  <w:tcBorders>
                    <w:tl2br w:val="nil"/>
                    <w:tr2bl w:val="nil"/>
                  </w:tcBorders>
                  <w:vAlign w:val="center"/>
                </w:tcPr>
                <w:p>
                  <w:pPr>
                    <w:jc w:val="center"/>
                    <w:rPr>
                      <w:rFonts w:hint="eastAsia"/>
                      <w:color w:val="auto"/>
                      <w:szCs w:val="21"/>
                    </w:rPr>
                  </w:pPr>
                  <w:r>
                    <w:rPr>
                      <w:rFonts w:hint="eastAsia"/>
                      <w:color w:val="auto"/>
                      <w:szCs w:val="21"/>
                      <w:lang w:val="en-US" w:eastAsia="zh-CN"/>
                    </w:rPr>
                    <w:t>0.0006</w:t>
                  </w:r>
                </w:p>
              </w:tc>
              <w:tc>
                <w:tcPr>
                  <w:tcW w:w="2084" w:type="dxa"/>
                  <w:gridSpan w:val="3"/>
                  <w:tcBorders>
                    <w:tl2br w:val="nil"/>
                    <w:tr2bl w:val="nil"/>
                  </w:tcBorders>
                  <w:vAlign w:val="center"/>
                </w:tcPr>
                <w:p>
                  <w:pPr>
                    <w:jc w:val="center"/>
                    <w:rPr>
                      <w:color w:val="auto"/>
                      <w:szCs w:val="21"/>
                    </w:rPr>
                  </w:pPr>
                  <w:r>
                    <w:rPr>
                      <w:color w:val="auto"/>
                      <w:szCs w:val="21"/>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2081" w:type="dxa"/>
                  <w:gridSpan w:val="4"/>
                  <w:tcBorders>
                    <w:tl2br w:val="nil"/>
                    <w:tr2bl w:val="nil"/>
                  </w:tcBorders>
                  <w:vAlign w:val="center"/>
                </w:tcPr>
                <w:p>
                  <w:pPr>
                    <w:jc w:val="center"/>
                    <w:rPr>
                      <w:color w:val="auto"/>
                      <w:szCs w:val="21"/>
                    </w:rPr>
                  </w:pPr>
                  <w:r>
                    <w:rPr>
                      <w:color w:val="auto"/>
                      <w:szCs w:val="21"/>
                    </w:rPr>
                    <w:t>TN</w:t>
                  </w:r>
                </w:p>
              </w:tc>
              <w:tc>
                <w:tcPr>
                  <w:tcW w:w="2082" w:type="dxa"/>
                  <w:gridSpan w:val="5"/>
                  <w:tcBorders>
                    <w:tl2br w:val="nil"/>
                    <w:tr2bl w:val="nil"/>
                  </w:tcBorders>
                  <w:vAlign w:val="center"/>
                </w:tcPr>
                <w:p>
                  <w:pPr>
                    <w:jc w:val="center"/>
                    <w:rPr>
                      <w:rFonts w:hint="eastAsia"/>
                      <w:color w:val="auto"/>
                      <w:szCs w:val="21"/>
                    </w:rPr>
                  </w:pPr>
                  <w:r>
                    <w:rPr>
                      <w:rFonts w:hint="eastAsia"/>
                      <w:color w:val="auto"/>
                      <w:szCs w:val="21"/>
                      <w:lang w:val="en-US" w:eastAsia="zh-CN"/>
                    </w:rPr>
                    <w:t>0.006</w:t>
                  </w:r>
                </w:p>
              </w:tc>
              <w:tc>
                <w:tcPr>
                  <w:tcW w:w="2084" w:type="dxa"/>
                  <w:gridSpan w:val="3"/>
                  <w:tcBorders>
                    <w:tl2br w:val="nil"/>
                    <w:tr2bl w:val="nil"/>
                  </w:tcBorders>
                  <w:vAlign w:val="center"/>
                </w:tcPr>
                <w:p>
                  <w:pPr>
                    <w:jc w:val="center"/>
                    <w:rPr>
                      <w:color w:val="auto"/>
                      <w:szCs w:val="21"/>
                    </w:rPr>
                  </w:pPr>
                  <w:r>
                    <w:rPr>
                      <w:rFonts w:hint="eastAsia"/>
                      <w:color w:val="auto"/>
                      <w:szCs w:val="21"/>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替代源排放情况</w:t>
                  </w:r>
                </w:p>
              </w:tc>
              <w:tc>
                <w:tcPr>
                  <w:tcW w:w="1249" w:type="dxa"/>
                  <w:tcBorders>
                    <w:tl2br w:val="nil"/>
                    <w:tr2bl w:val="nil"/>
                  </w:tcBorders>
                  <w:vAlign w:val="center"/>
                </w:tcPr>
                <w:p>
                  <w:pPr>
                    <w:jc w:val="center"/>
                    <w:rPr>
                      <w:color w:val="auto"/>
                      <w:sz w:val="18"/>
                      <w:szCs w:val="18"/>
                    </w:rPr>
                  </w:pPr>
                  <w:r>
                    <w:rPr>
                      <w:rFonts w:hint="eastAsia"/>
                      <w:color w:val="auto"/>
                      <w:sz w:val="18"/>
                      <w:szCs w:val="18"/>
                    </w:rPr>
                    <w:t>污染源名称</w:t>
                  </w:r>
                </w:p>
              </w:tc>
              <w:tc>
                <w:tcPr>
                  <w:tcW w:w="1250" w:type="dxa"/>
                  <w:gridSpan w:val="4"/>
                  <w:tcBorders>
                    <w:tl2br w:val="nil"/>
                    <w:tr2bl w:val="nil"/>
                  </w:tcBorders>
                  <w:vAlign w:val="center"/>
                </w:tcPr>
                <w:p>
                  <w:pPr>
                    <w:jc w:val="center"/>
                    <w:rPr>
                      <w:color w:val="auto"/>
                      <w:spacing w:val="-10"/>
                      <w:sz w:val="18"/>
                      <w:szCs w:val="18"/>
                    </w:rPr>
                  </w:pPr>
                  <w:r>
                    <w:rPr>
                      <w:rFonts w:hint="eastAsia"/>
                      <w:color w:val="auto"/>
                      <w:spacing w:val="-10"/>
                      <w:sz w:val="18"/>
                      <w:szCs w:val="18"/>
                    </w:rPr>
                    <w:t>排污许可证编号</w:t>
                  </w:r>
                </w:p>
              </w:tc>
              <w:tc>
                <w:tcPr>
                  <w:tcW w:w="1250" w:type="dxa"/>
                  <w:gridSpan w:val="2"/>
                  <w:tcBorders>
                    <w:tl2br w:val="nil"/>
                    <w:tr2bl w:val="nil"/>
                  </w:tcBorders>
                  <w:vAlign w:val="center"/>
                </w:tcPr>
                <w:p>
                  <w:pPr>
                    <w:jc w:val="center"/>
                    <w:rPr>
                      <w:color w:val="auto"/>
                      <w:sz w:val="18"/>
                      <w:szCs w:val="18"/>
                    </w:rPr>
                  </w:pPr>
                  <w:r>
                    <w:rPr>
                      <w:rFonts w:hint="eastAsia"/>
                      <w:color w:val="auto"/>
                      <w:sz w:val="18"/>
                      <w:szCs w:val="18"/>
                    </w:rPr>
                    <w:t>污染物名称</w:t>
                  </w:r>
                </w:p>
              </w:tc>
              <w:tc>
                <w:tcPr>
                  <w:tcW w:w="1249" w:type="dxa"/>
                  <w:gridSpan w:val="4"/>
                  <w:tcBorders>
                    <w:tl2br w:val="nil"/>
                    <w:tr2bl w:val="nil"/>
                  </w:tcBorders>
                  <w:vAlign w:val="center"/>
                </w:tcPr>
                <w:p>
                  <w:pPr>
                    <w:jc w:val="center"/>
                    <w:rPr>
                      <w:color w:val="auto"/>
                      <w:sz w:val="18"/>
                      <w:szCs w:val="18"/>
                    </w:rPr>
                  </w:pPr>
                  <w:r>
                    <w:rPr>
                      <w:rFonts w:hint="eastAsia"/>
                      <w:color w:val="auto"/>
                      <w:sz w:val="18"/>
                      <w:szCs w:val="18"/>
                    </w:rPr>
                    <w:t>排放量/（t/a）</w:t>
                  </w:r>
                </w:p>
              </w:tc>
              <w:tc>
                <w:tcPr>
                  <w:tcW w:w="1249" w:type="dxa"/>
                  <w:tcBorders>
                    <w:tl2br w:val="nil"/>
                    <w:tr2bl w:val="nil"/>
                  </w:tcBorders>
                  <w:vAlign w:val="center"/>
                </w:tcPr>
                <w:p>
                  <w:pPr>
                    <w:jc w:val="center"/>
                    <w:rPr>
                      <w:color w:val="auto"/>
                      <w:sz w:val="18"/>
                      <w:szCs w:val="18"/>
                    </w:rPr>
                  </w:pPr>
                  <w:r>
                    <w:rPr>
                      <w:rFonts w:hint="eastAsia"/>
                      <w:color w:val="auto"/>
                      <w:sz w:val="18"/>
                      <w:szCs w:val="18"/>
                    </w:rPr>
                    <w:t>排放浓度/（mg/L）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1249" w:type="dxa"/>
                  <w:tcBorders>
                    <w:tl2br w:val="nil"/>
                    <w:tr2bl w:val="nil"/>
                  </w:tcBorders>
                </w:tcPr>
                <w:p>
                  <w:pPr>
                    <w:jc w:val="center"/>
                    <w:rPr>
                      <w:color w:val="auto"/>
                    </w:rPr>
                  </w:pPr>
                  <w:r>
                    <w:rPr>
                      <w:rFonts w:hint="eastAsia"/>
                      <w:color w:val="auto"/>
                      <w:sz w:val="18"/>
                      <w:szCs w:val="18"/>
                    </w:rPr>
                    <w:t>/</w:t>
                  </w:r>
                </w:p>
              </w:tc>
              <w:tc>
                <w:tcPr>
                  <w:tcW w:w="1250" w:type="dxa"/>
                  <w:gridSpan w:val="4"/>
                  <w:tcBorders>
                    <w:tl2br w:val="nil"/>
                    <w:tr2bl w:val="nil"/>
                  </w:tcBorders>
                </w:tcPr>
                <w:p>
                  <w:pPr>
                    <w:jc w:val="center"/>
                    <w:rPr>
                      <w:color w:val="auto"/>
                    </w:rPr>
                  </w:pPr>
                  <w:r>
                    <w:rPr>
                      <w:rFonts w:hint="eastAsia"/>
                      <w:color w:val="auto"/>
                      <w:sz w:val="18"/>
                      <w:szCs w:val="18"/>
                    </w:rPr>
                    <w:t>/</w:t>
                  </w:r>
                </w:p>
              </w:tc>
              <w:tc>
                <w:tcPr>
                  <w:tcW w:w="1250" w:type="dxa"/>
                  <w:gridSpan w:val="2"/>
                  <w:tcBorders>
                    <w:tl2br w:val="nil"/>
                    <w:tr2bl w:val="nil"/>
                  </w:tcBorders>
                </w:tcPr>
                <w:p>
                  <w:pPr>
                    <w:jc w:val="center"/>
                    <w:rPr>
                      <w:color w:val="auto"/>
                    </w:rPr>
                  </w:pPr>
                  <w:r>
                    <w:rPr>
                      <w:rFonts w:hint="eastAsia"/>
                      <w:color w:val="auto"/>
                      <w:sz w:val="18"/>
                      <w:szCs w:val="18"/>
                    </w:rPr>
                    <w:t>/</w:t>
                  </w:r>
                </w:p>
              </w:tc>
              <w:tc>
                <w:tcPr>
                  <w:tcW w:w="1249" w:type="dxa"/>
                  <w:gridSpan w:val="4"/>
                  <w:tcBorders>
                    <w:tl2br w:val="nil"/>
                    <w:tr2bl w:val="nil"/>
                  </w:tcBorders>
                </w:tcPr>
                <w:p>
                  <w:pPr>
                    <w:jc w:val="center"/>
                    <w:rPr>
                      <w:color w:val="auto"/>
                    </w:rPr>
                  </w:pPr>
                  <w:r>
                    <w:rPr>
                      <w:rFonts w:hint="eastAsia"/>
                      <w:color w:val="auto"/>
                      <w:sz w:val="18"/>
                      <w:szCs w:val="18"/>
                    </w:rPr>
                    <w:t>/</w:t>
                  </w:r>
                </w:p>
              </w:tc>
              <w:tc>
                <w:tcPr>
                  <w:tcW w:w="1249" w:type="dxa"/>
                  <w:tcBorders>
                    <w:tl2br w:val="nil"/>
                    <w:tr2bl w:val="nil"/>
                  </w:tcBorders>
                </w:tcPr>
                <w:p>
                  <w:pPr>
                    <w:jc w:val="center"/>
                    <w:rPr>
                      <w:color w:val="auto"/>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生态流量确定</w:t>
                  </w:r>
                </w:p>
              </w:tc>
              <w:tc>
                <w:tcPr>
                  <w:tcW w:w="6247" w:type="dxa"/>
                  <w:gridSpan w:val="12"/>
                  <w:tcBorders>
                    <w:tl2br w:val="nil"/>
                    <w:tr2bl w:val="nil"/>
                  </w:tcBorders>
                  <w:vAlign w:val="center"/>
                </w:tcPr>
                <w:p>
                  <w:pPr>
                    <w:jc w:val="left"/>
                    <w:rPr>
                      <w:color w:val="auto"/>
                      <w:sz w:val="18"/>
                      <w:szCs w:val="18"/>
                    </w:rPr>
                  </w:pPr>
                  <w:r>
                    <w:rPr>
                      <w:rFonts w:hint="eastAsia"/>
                      <w:color w:val="auto"/>
                      <w:sz w:val="18"/>
                      <w:szCs w:val="18"/>
                    </w:rPr>
                    <w:t>生态流量：一般水期（ ）m</w:t>
                  </w:r>
                  <w:r>
                    <w:rPr>
                      <w:rFonts w:hint="eastAsia"/>
                      <w:color w:val="auto"/>
                      <w:sz w:val="18"/>
                      <w:szCs w:val="18"/>
                      <w:vertAlign w:val="superscript"/>
                    </w:rPr>
                    <w:t>3</w:t>
                  </w:r>
                  <w:r>
                    <w:rPr>
                      <w:rFonts w:hint="eastAsia"/>
                      <w:color w:val="auto"/>
                      <w:sz w:val="18"/>
                      <w:szCs w:val="18"/>
                    </w:rPr>
                    <w:t>/s；鱼类繁殖期（ ）m</w:t>
                  </w:r>
                  <w:r>
                    <w:rPr>
                      <w:rFonts w:hint="eastAsia"/>
                      <w:color w:val="auto"/>
                      <w:sz w:val="18"/>
                      <w:szCs w:val="18"/>
                      <w:vertAlign w:val="superscript"/>
                    </w:rPr>
                    <w:t>3</w:t>
                  </w:r>
                  <w:r>
                    <w:rPr>
                      <w:rFonts w:hint="eastAsia"/>
                      <w:color w:val="auto"/>
                      <w:sz w:val="18"/>
                      <w:szCs w:val="18"/>
                    </w:rPr>
                    <w:t>/s；其他（ ）m</w:t>
                  </w:r>
                  <w:r>
                    <w:rPr>
                      <w:rFonts w:hint="eastAsia"/>
                      <w:color w:val="auto"/>
                      <w:sz w:val="18"/>
                      <w:szCs w:val="18"/>
                      <w:vertAlign w:val="superscript"/>
                    </w:rPr>
                    <w:t>3</w:t>
                  </w:r>
                  <w:r>
                    <w:rPr>
                      <w:rFonts w:hint="eastAsia"/>
                      <w:color w:val="auto"/>
                      <w:sz w:val="18"/>
                      <w:szCs w:val="18"/>
                    </w:rPr>
                    <w:t xml:space="preserve">/s </w:t>
                  </w:r>
                </w:p>
                <w:p>
                  <w:pPr>
                    <w:jc w:val="left"/>
                    <w:rPr>
                      <w:color w:val="auto"/>
                      <w:sz w:val="18"/>
                      <w:szCs w:val="18"/>
                    </w:rPr>
                  </w:pPr>
                  <w:r>
                    <w:rPr>
                      <w:rFonts w:hint="eastAsia"/>
                      <w:color w:val="auto"/>
                      <w:sz w:val="18"/>
                      <w:szCs w:val="18"/>
                    </w:rPr>
                    <w:t>生态水位：一般水期（ ）m；鱼类繁殖期（ ）m；其他（ ）m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restart"/>
                  <w:tcBorders>
                    <w:tl2br w:val="nil"/>
                    <w:tr2bl w:val="nil"/>
                  </w:tcBorders>
                  <w:vAlign w:val="center"/>
                </w:tcPr>
                <w:p>
                  <w:pPr>
                    <w:jc w:val="center"/>
                    <w:rPr>
                      <w:color w:val="auto"/>
                      <w:sz w:val="18"/>
                      <w:szCs w:val="18"/>
                    </w:rPr>
                  </w:pPr>
                  <w:r>
                    <w:rPr>
                      <w:rFonts w:hint="eastAsia"/>
                      <w:color w:val="auto"/>
                      <w:sz w:val="18"/>
                      <w:szCs w:val="18"/>
                    </w:rPr>
                    <w:t>防</w:t>
                  </w:r>
                </w:p>
                <w:p>
                  <w:pPr>
                    <w:jc w:val="center"/>
                    <w:rPr>
                      <w:color w:val="auto"/>
                      <w:sz w:val="18"/>
                      <w:szCs w:val="18"/>
                    </w:rPr>
                  </w:pPr>
                  <w:r>
                    <w:rPr>
                      <w:rFonts w:hint="eastAsia"/>
                      <w:color w:val="auto"/>
                      <w:sz w:val="18"/>
                      <w:szCs w:val="18"/>
                    </w:rPr>
                    <w:t>治</w:t>
                  </w:r>
                </w:p>
                <w:p>
                  <w:pPr>
                    <w:jc w:val="center"/>
                    <w:rPr>
                      <w:color w:val="auto"/>
                      <w:sz w:val="18"/>
                      <w:szCs w:val="18"/>
                    </w:rPr>
                  </w:pPr>
                  <w:r>
                    <w:rPr>
                      <w:rFonts w:hint="eastAsia"/>
                      <w:color w:val="auto"/>
                      <w:sz w:val="18"/>
                      <w:szCs w:val="18"/>
                    </w:rPr>
                    <w:t>措</w:t>
                  </w:r>
                </w:p>
                <w:p>
                  <w:pPr>
                    <w:jc w:val="center"/>
                    <w:rPr>
                      <w:color w:val="auto"/>
                      <w:sz w:val="18"/>
                      <w:szCs w:val="18"/>
                    </w:rPr>
                  </w:pPr>
                  <w:r>
                    <w:rPr>
                      <w:rFonts w:hint="eastAsia"/>
                      <w:color w:val="auto"/>
                      <w:sz w:val="18"/>
                      <w:szCs w:val="18"/>
                    </w:rPr>
                    <w:t>施</w:t>
                  </w:r>
                </w:p>
              </w:tc>
              <w:tc>
                <w:tcPr>
                  <w:tcW w:w="1404" w:type="dxa"/>
                  <w:tcBorders>
                    <w:tl2br w:val="nil"/>
                    <w:tr2bl w:val="nil"/>
                  </w:tcBorders>
                  <w:vAlign w:val="center"/>
                </w:tcPr>
                <w:p>
                  <w:pPr>
                    <w:jc w:val="center"/>
                    <w:rPr>
                      <w:color w:val="auto"/>
                      <w:sz w:val="18"/>
                      <w:szCs w:val="18"/>
                    </w:rPr>
                  </w:pPr>
                  <w:r>
                    <w:rPr>
                      <w:rFonts w:hint="eastAsia"/>
                      <w:color w:val="auto"/>
                      <w:sz w:val="18"/>
                      <w:szCs w:val="18"/>
                    </w:rPr>
                    <w:t>环保措施</w:t>
                  </w:r>
                </w:p>
              </w:tc>
              <w:tc>
                <w:tcPr>
                  <w:tcW w:w="6247" w:type="dxa"/>
                  <w:gridSpan w:val="12"/>
                  <w:tcBorders>
                    <w:tl2br w:val="nil"/>
                    <w:tr2bl w:val="nil"/>
                  </w:tcBorders>
                  <w:vAlign w:val="center"/>
                </w:tcPr>
                <w:p>
                  <w:pPr>
                    <w:jc w:val="center"/>
                    <w:rPr>
                      <w:color w:val="auto"/>
                      <w:sz w:val="18"/>
                      <w:szCs w:val="18"/>
                    </w:rPr>
                  </w:pPr>
                  <w:r>
                    <w:rPr>
                      <w:rFonts w:hint="eastAsia"/>
                      <w:color w:val="auto"/>
                      <w:sz w:val="18"/>
                      <w:szCs w:val="18"/>
                    </w:rPr>
                    <w:t xml:space="preserve">污水处理设施 </w:t>
                  </w:r>
                  <w:r>
                    <w:rPr>
                      <w:color w:val="auto"/>
                      <w:sz w:val="18"/>
                      <w:szCs w:val="18"/>
                    </w:rPr>
                    <w:sym w:font="Wingdings 2" w:char="0052"/>
                  </w:r>
                  <w:r>
                    <w:rPr>
                      <w:rFonts w:hint="eastAsia"/>
                      <w:color w:val="auto"/>
                      <w:sz w:val="18"/>
                      <w:szCs w:val="18"/>
                    </w:rPr>
                    <w:t xml:space="preserve">；水文减缓设施 □；生态流量保障设施 □；区域削减 □；依托其他工程措施 □；其他 □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restart"/>
                  <w:tcBorders>
                    <w:tl2br w:val="nil"/>
                    <w:tr2bl w:val="nil"/>
                  </w:tcBorders>
                  <w:vAlign w:val="center"/>
                </w:tcPr>
                <w:p>
                  <w:pPr>
                    <w:jc w:val="center"/>
                    <w:rPr>
                      <w:color w:val="auto"/>
                      <w:sz w:val="18"/>
                      <w:szCs w:val="18"/>
                    </w:rPr>
                  </w:pPr>
                  <w:r>
                    <w:rPr>
                      <w:rFonts w:hint="eastAsia"/>
                      <w:color w:val="auto"/>
                      <w:sz w:val="18"/>
                      <w:szCs w:val="18"/>
                    </w:rPr>
                    <w:t>监测计划</w:t>
                  </w:r>
                </w:p>
              </w:tc>
              <w:tc>
                <w:tcPr>
                  <w:tcW w:w="1614" w:type="dxa"/>
                  <w:gridSpan w:val="3"/>
                  <w:tcBorders>
                    <w:tl2br w:val="nil"/>
                    <w:tr2bl w:val="nil"/>
                  </w:tcBorders>
                  <w:vAlign w:val="center"/>
                </w:tcPr>
                <w:p>
                  <w:pPr>
                    <w:jc w:val="left"/>
                    <w:rPr>
                      <w:color w:val="auto"/>
                      <w:sz w:val="18"/>
                      <w:szCs w:val="18"/>
                    </w:rPr>
                  </w:pPr>
                </w:p>
              </w:tc>
              <w:tc>
                <w:tcPr>
                  <w:tcW w:w="2317" w:type="dxa"/>
                  <w:gridSpan w:val="5"/>
                  <w:tcBorders>
                    <w:tl2br w:val="nil"/>
                    <w:tr2bl w:val="nil"/>
                  </w:tcBorders>
                  <w:vAlign w:val="center"/>
                </w:tcPr>
                <w:p>
                  <w:pPr>
                    <w:jc w:val="center"/>
                    <w:rPr>
                      <w:color w:val="auto"/>
                      <w:sz w:val="18"/>
                      <w:szCs w:val="18"/>
                    </w:rPr>
                  </w:pPr>
                  <w:r>
                    <w:rPr>
                      <w:rFonts w:hint="eastAsia"/>
                      <w:color w:val="auto"/>
                      <w:sz w:val="18"/>
                      <w:szCs w:val="18"/>
                    </w:rPr>
                    <w:t>环境质量</w:t>
                  </w:r>
                </w:p>
              </w:tc>
              <w:tc>
                <w:tcPr>
                  <w:tcW w:w="2316" w:type="dxa"/>
                  <w:gridSpan w:val="4"/>
                  <w:tcBorders>
                    <w:tl2br w:val="nil"/>
                    <w:tr2bl w:val="nil"/>
                  </w:tcBorders>
                  <w:vAlign w:val="center"/>
                </w:tcPr>
                <w:p>
                  <w:pPr>
                    <w:jc w:val="center"/>
                    <w:rPr>
                      <w:color w:val="auto"/>
                      <w:sz w:val="18"/>
                      <w:szCs w:val="18"/>
                    </w:rPr>
                  </w:pPr>
                  <w:r>
                    <w:rPr>
                      <w:rFonts w:hint="eastAsia"/>
                      <w:color w:val="auto"/>
                      <w:sz w:val="18"/>
                      <w:szCs w:val="18"/>
                    </w:rPr>
                    <w:t>污染源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1614" w:type="dxa"/>
                  <w:gridSpan w:val="3"/>
                  <w:tcBorders>
                    <w:tl2br w:val="nil"/>
                    <w:tr2bl w:val="nil"/>
                  </w:tcBorders>
                  <w:vAlign w:val="center"/>
                </w:tcPr>
                <w:p>
                  <w:pPr>
                    <w:jc w:val="center"/>
                    <w:rPr>
                      <w:color w:val="auto"/>
                      <w:sz w:val="18"/>
                      <w:szCs w:val="18"/>
                    </w:rPr>
                  </w:pPr>
                  <w:r>
                    <w:rPr>
                      <w:rFonts w:hint="eastAsia"/>
                      <w:color w:val="auto"/>
                      <w:sz w:val="18"/>
                      <w:szCs w:val="18"/>
                    </w:rPr>
                    <w:t>监测方式</w:t>
                  </w:r>
                </w:p>
              </w:tc>
              <w:tc>
                <w:tcPr>
                  <w:tcW w:w="2317" w:type="dxa"/>
                  <w:gridSpan w:val="5"/>
                  <w:tcBorders>
                    <w:tl2br w:val="nil"/>
                    <w:tr2bl w:val="nil"/>
                  </w:tcBorders>
                  <w:vAlign w:val="center"/>
                </w:tcPr>
                <w:p>
                  <w:pPr>
                    <w:jc w:val="center"/>
                    <w:rPr>
                      <w:color w:val="auto"/>
                      <w:sz w:val="18"/>
                      <w:szCs w:val="18"/>
                    </w:rPr>
                  </w:pPr>
                  <w:r>
                    <w:rPr>
                      <w:rFonts w:hint="eastAsia"/>
                      <w:color w:val="auto"/>
                      <w:sz w:val="18"/>
                      <w:szCs w:val="18"/>
                    </w:rPr>
                    <w:t>手动 □；自动 □；无监测 □</w:t>
                  </w:r>
                </w:p>
              </w:tc>
              <w:tc>
                <w:tcPr>
                  <w:tcW w:w="2316" w:type="dxa"/>
                  <w:gridSpan w:val="4"/>
                  <w:tcBorders>
                    <w:tl2br w:val="nil"/>
                    <w:tr2bl w:val="nil"/>
                  </w:tcBorders>
                  <w:vAlign w:val="center"/>
                </w:tcPr>
                <w:p>
                  <w:pPr>
                    <w:jc w:val="center"/>
                    <w:rPr>
                      <w:color w:val="auto"/>
                      <w:sz w:val="18"/>
                      <w:szCs w:val="18"/>
                    </w:rPr>
                  </w:pPr>
                  <w:r>
                    <w:rPr>
                      <w:rFonts w:hint="eastAsia"/>
                      <w:color w:val="auto"/>
                      <w:sz w:val="18"/>
                      <w:szCs w:val="18"/>
                    </w:rPr>
                    <w:t xml:space="preserve">手动 </w:t>
                  </w:r>
                  <w:r>
                    <w:rPr>
                      <w:color w:val="auto"/>
                      <w:sz w:val="18"/>
                      <w:szCs w:val="18"/>
                    </w:rPr>
                    <w:sym w:font="Wingdings 2" w:char="0052"/>
                  </w:r>
                  <w:r>
                    <w:rPr>
                      <w:rFonts w:hint="eastAsia"/>
                      <w:color w:val="auto"/>
                      <w:sz w:val="18"/>
                      <w:szCs w:val="18"/>
                    </w:rPr>
                    <w:t>；自动 □；无监测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1614" w:type="dxa"/>
                  <w:gridSpan w:val="3"/>
                  <w:tcBorders>
                    <w:tl2br w:val="nil"/>
                    <w:tr2bl w:val="nil"/>
                  </w:tcBorders>
                  <w:vAlign w:val="center"/>
                </w:tcPr>
                <w:p>
                  <w:pPr>
                    <w:jc w:val="center"/>
                    <w:rPr>
                      <w:color w:val="auto"/>
                      <w:sz w:val="18"/>
                      <w:szCs w:val="18"/>
                    </w:rPr>
                  </w:pPr>
                  <w:r>
                    <w:rPr>
                      <w:rFonts w:hint="eastAsia"/>
                      <w:color w:val="auto"/>
                      <w:sz w:val="18"/>
                      <w:szCs w:val="18"/>
                    </w:rPr>
                    <w:t>监测点位</w:t>
                  </w:r>
                </w:p>
              </w:tc>
              <w:tc>
                <w:tcPr>
                  <w:tcW w:w="2317" w:type="dxa"/>
                  <w:gridSpan w:val="5"/>
                  <w:tcBorders>
                    <w:tl2br w:val="nil"/>
                    <w:tr2bl w:val="nil"/>
                  </w:tcBorders>
                  <w:vAlign w:val="center"/>
                </w:tcPr>
                <w:p>
                  <w:pPr>
                    <w:jc w:val="center"/>
                    <w:rPr>
                      <w:color w:val="auto"/>
                      <w:sz w:val="18"/>
                      <w:szCs w:val="18"/>
                    </w:rPr>
                  </w:pPr>
                  <w:r>
                    <w:rPr>
                      <w:rFonts w:hint="eastAsia"/>
                      <w:color w:val="auto"/>
                      <w:sz w:val="18"/>
                      <w:szCs w:val="18"/>
                    </w:rPr>
                    <w:t>/</w:t>
                  </w:r>
                </w:p>
              </w:tc>
              <w:tc>
                <w:tcPr>
                  <w:tcW w:w="2316" w:type="dxa"/>
                  <w:gridSpan w:val="4"/>
                  <w:tcBorders>
                    <w:tl2br w:val="nil"/>
                    <w:tr2bl w:val="nil"/>
                  </w:tcBorders>
                  <w:vAlign w:val="center"/>
                </w:tcPr>
                <w:p>
                  <w:pPr>
                    <w:jc w:val="center"/>
                    <w:rPr>
                      <w:color w:val="auto"/>
                      <w:sz w:val="18"/>
                      <w:szCs w:val="18"/>
                    </w:rPr>
                  </w:pPr>
                  <w:r>
                    <w:rPr>
                      <w:rFonts w:hint="eastAsia"/>
                      <w:color w:val="auto"/>
                      <w:sz w:val="18"/>
                      <w:szCs w:val="18"/>
                    </w:rPr>
                    <w:t>厂区污水总排口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vMerge w:val="continue"/>
                  <w:tcBorders>
                    <w:tl2br w:val="nil"/>
                    <w:tr2bl w:val="nil"/>
                  </w:tcBorders>
                  <w:vAlign w:val="center"/>
                </w:tcPr>
                <w:p>
                  <w:pPr>
                    <w:jc w:val="center"/>
                    <w:rPr>
                      <w:color w:val="auto"/>
                      <w:sz w:val="18"/>
                      <w:szCs w:val="18"/>
                    </w:rPr>
                  </w:pPr>
                </w:p>
              </w:tc>
              <w:tc>
                <w:tcPr>
                  <w:tcW w:w="1614" w:type="dxa"/>
                  <w:gridSpan w:val="3"/>
                  <w:tcBorders>
                    <w:tl2br w:val="nil"/>
                    <w:tr2bl w:val="nil"/>
                  </w:tcBorders>
                  <w:vAlign w:val="center"/>
                </w:tcPr>
                <w:p>
                  <w:pPr>
                    <w:jc w:val="center"/>
                    <w:rPr>
                      <w:color w:val="auto"/>
                      <w:sz w:val="18"/>
                      <w:szCs w:val="18"/>
                    </w:rPr>
                  </w:pPr>
                  <w:r>
                    <w:rPr>
                      <w:rFonts w:hint="eastAsia"/>
                      <w:color w:val="auto"/>
                      <w:sz w:val="18"/>
                      <w:szCs w:val="18"/>
                    </w:rPr>
                    <w:t>监测因子</w:t>
                  </w:r>
                </w:p>
              </w:tc>
              <w:tc>
                <w:tcPr>
                  <w:tcW w:w="2317" w:type="dxa"/>
                  <w:gridSpan w:val="5"/>
                  <w:tcBorders>
                    <w:tl2br w:val="nil"/>
                    <w:tr2bl w:val="nil"/>
                  </w:tcBorders>
                  <w:vAlign w:val="center"/>
                </w:tcPr>
                <w:p>
                  <w:pPr>
                    <w:jc w:val="center"/>
                    <w:rPr>
                      <w:color w:val="auto"/>
                      <w:sz w:val="18"/>
                      <w:szCs w:val="18"/>
                    </w:rPr>
                  </w:pPr>
                  <w:r>
                    <w:rPr>
                      <w:rFonts w:hint="eastAsia"/>
                      <w:color w:val="auto"/>
                      <w:sz w:val="18"/>
                      <w:szCs w:val="18"/>
                    </w:rPr>
                    <w:t>/</w:t>
                  </w:r>
                </w:p>
              </w:tc>
              <w:tc>
                <w:tcPr>
                  <w:tcW w:w="2316" w:type="dxa"/>
                  <w:gridSpan w:val="4"/>
                  <w:tcBorders>
                    <w:tl2br w:val="nil"/>
                    <w:tr2bl w:val="nil"/>
                  </w:tcBorders>
                  <w:vAlign w:val="center"/>
                </w:tcPr>
                <w:p>
                  <w:pPr>
                    <w:jc w:val="center"/>
                    <w:rPr>
                      <w:color w:val="auto"/>
                      <w:sz w:val="18"/>
                      <w:szCs w:val="18"/>
                    </w:rPr>
                  </w:pPr>
                  <w:r>
                    <w:rPr>
                      <w:rFonts w:hint="eastAsia"/>
                      <w:color w:val="auto"/>
                      <w:sz w:val="18"/>
                      <w:szCs w:val="18"/>
                    </w:rPr>
                    <w:t>水量、C</w:t>
                  </w:r>
                  <w:r>
                    <w:rPr>
                      <w:color w:val="auto"/>
                      <w:sz w:val="18"/>
                      <w:szCs w:val="18"/>
                    </w:rPr>
                    <w:t>OD</w:t>
                  </w:r>
                  <w:r>
                    <w:rPr>
                      <w:rFonts w:hint="eastAsia"/>
                      <w:color w:val="auto"/>
                      <w:sz w:val="18"/>
                      <w:szCs w:val="18"/>
                    </w:rPr>
                    <w:t>、S</w:t>
                  </w:r>
                  <w:r>
                    <w:rPr>
                      <w:color w:val="auto"/>
                      <w:sz w:val="18"/>
                      <w:szCs w:val="18"/>
                    </w:rPr>
                    <w:t>S</w:t>
                  </w:r>
                  <w:r>
                    <w:rPr>
                      <w:rFonts w:hint="eastAsia"/>
                      <w:color w:val="auto"/>
                      <w:sz w:val="18"/>
                      <w:szCs w:val="18"/>
                    </w:rPr>
                    <w:t>、</w:t>
                  </w:r>
                  <w:r>
                    <w:rPr>
                      <w:color w:val="auto"/>
                      <w:sz w:val="18"/>
                      <w:szCs w:val="18"/>
                    </w:rPr>
                    <w:t>氨氮</w:t>
                  </w:r>
                  <w:r>
                    <w:rPr>
                      <w:rFonts w:hint="eastAsia"/>
                      <w:color w:val="auto"/>
                      <w:sz w:val="18"/>
                      <w:szCs w:val="18"/>
                    </w:rPr>
                    <w:t>、T</w:t>
                  </w:r>
                  <w:r>
                    <w:rPr>
                      <w:color w:val="auto"/>
                      <w:sz w:val="18"/>
                      <w:szCs w:val="18"/>
                    </w:rPr>
                    <w:t>P</w:t>
                  </w:r>
                  <w:r>
                    <w:rPr>
                      <w:rFonts w:hint="eastAsia"/>
                      <w:color w:val="auto"/>
                      <w:sz w:val="18"/>
                      <w:szCs w:val="18"/>
                    </w:rPr>
                    <w:t>、T</w:t>
                  </w:r>
                  <w:r>
                    <w:rPr>
                      <w:color w:val="auto"/>
                      <w:sz w:val="18"/>
                      <w:szCs w:val="18"/>
                    </w:rPr>
                    <w:t>N</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71" w:type="dxa"/>
                  <w:vMerge w:val="continue"/>
                  <w:tcBorders>
                    <w:tl2br w:val="nil"/>
                    <w:tr2bl w:val="nil"/>
                  </w:tcBorders>
                  <w:vAlign w:val="center"/>
                </w:tcPr>
                <w:p>
                  <w:pPr>
                    <w:jc w:val="center"/>
                    <w:rPr>
                      <w:color w:val="auto"/>
                      <w:sz w:val="18"/>
                      <w:szCs w:val="18"/>
                    </w:rPr>
                  </w:pPr>
                </w:p>
              </w:tc>
              <w:tc>
                <w:tcPr>
                  <w:tcW w:w="1404" w:type="dxa"/>
                  <w:tcBorders>
                    <w:tl2br w:val="nil"/>
                    <w:tr2bl w:val="nil"/>
                  </w:tcBorders>
                  <w:vAlign w:val="center"/>
                </w:tcPr>
                <w:p>
                  <w:pPr>
                    <w:jc w:val="center"/>
                    <w:rPr>
                      <w:color w:val="auto"/>
                      <w:sz w:val="18"/>
                      <w:szCs w:val="18"/>
                    </w:rPr>
                  </w:pPr>
                  <w:r>
                    <w:rPr>
                      <w:rFonts w:hint="eastAsia"/>
                      <w:color w:val="auto"/>
                      <w:sz w:val="18"/>
                      <w:szCs w:val="18"/>
                    </w:rPr>
                    <w:t>污染物排放清单</w:t>
                  </w:r>
                </w:p>
              </w:tc>
              <w:tc>
                <w:tcPr>
                  <w:tcW w:w="6247" w:type="dxa"/>
                  <w:gridSpan w:val="12"/>
                  <w:tcBorders>
                    <w:tl2br w:val="nil"/>
                    <w:tr2bl w:val="nil"/>
                  </w:tcBorders>
                  <w:vAlign w:val="center"/>
                </w:tcPr>
                <w:p>
                  <w:pPr>
                    <w:jc w:val="center"/>
                    <w:rPr>
                      <w:color w:val="auto"/>
                      <w:sz w:val="18"/>
                      <w:szCs w:val="18"/>
                    </w:rPr>
                  </w:pPr>
                  <w:r>
                    <w:rPr>
                      <w:rFonts w:hint="eastAsia"/>
                      <w:color w:val="auto"/>
                      <w:sz w:val="18"/>
                      <w:szCs w:val="18"/>
                    </w:rPr>
                    <w:t>详见表7-11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75" w:type="dxa"/>
                  <w:gridSpan w:val="2"/>
                  <w:tcBorders>
                    <w:tl2br w:val="nil"/>
                    <w:tr2bl w:val="nil"/>
                  </w:tcBorders>
                  <w:vAlign w:val="center"/>
                </w:tcPr>
                <w:p>
                  <w:pPr>
                    <w:jc w:val="center"/>
                    <w:rPr>
                      <w:color w:val="auto"/>
                      <w:sz w:val="18"/>
                      <w:szCs w:val="18"/>
                    </w:rPr>
                  </w:pPr>
                  <w:r>
                    <w:rPr>
                      <w:rFonts w:hint="eastAsia"/>
                      <w:color w:val="auto"/>
                      <w:sz w:val="18"/>
                      <w:szCs w:val="18"/>
                    </w:rPr>
                    <w:t>评价结论</w:t>
                  </w:r>
                </w:p>
              </w:tc>
              <w:tc>
                <w:tcPr>
                  <w:tcW w:w="6247" w:type="dxa"/>
                  <w:gridSpan w:val="12"/>
                  <w:tcBorders>
                    <w:tl2br w:val="nil"/>
                    <w:tr2bl w:val="nil"/>
                  </w:tcBorders>
                  <w:vAlign w:val="center"/>
                </w:tcPr>
                <w:p>
                  <w:pPr>
                    <w:jc w:val="center"/>
                    <w:rPr>
                      <w:color w:val="auto"/>
                      <w:sz w:val="18"/>
                      <w:szCs w:val="18"/>
                    </w:rPr>
                  </w:pPr>
                  <w:r>
                    <w:rPr>
                      <w:rFonts w:hint="eastAsia"/>
                      <w:color w:val="auto"/>
                      <w:sz w:val="18"/>
                      <w:szCs w:val="18"/>
                    </w:rPr>
                    <w:t xml:space="preserve">可以接受 </w:t>
                  </w:r>
                  <w:r>
                    <w:rPr>
                      <w:color w:val="auto"/>
                      <w:sz w:val="18"/>
                      <w:szCs w:val="18"/>
                    </w:rPr>
                    <w:sym w:font="Wingdings 2" w:char="0052"/>
                  </w:r>
                  <w:r>
                    <w:rPr>
                      <w:rFonts w:hint="eastAsia"/>
                      <w:color w:val="auto"/>
                      <w:sz w:val="18"/>
                      <w:szCs w:val="18"/>
                    </w:rPr>
                    <w:t>；不可以接受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14"/>
                  <w:tcBorders>
                    <w:tl2br w:val="nil"/>
                    <w:tr2bl w:val="nil"/>
                  </w:tcBorders>
                  <w:vAlign w:val="center"/>
                </w:tcPr>
                <w:p>
                  <w:pPr>
                    <w:rPr>
                      <w:color w:val="auto"/>
                      <w:sz w:val="18"/>
                      <w:szCs w:val="18"/>
                    </w:rPr>
                  </w:pPr>
                  <w:r>
                    <w:rPr>
                      <w:rFonts w:hint="eastAsia"/>
                      <w:color w:val="auto"/>
                      <w:sz w:val="18"/>
                      <w:szCs w:val="18"/>
                    </w:rPr>
                    <w:t xml:space="preserve">注：“□”为勾选项，可√；“（ ）”为内容填写项；“备注”为其他补充内容。 </w:t>
                  </w:r>
                </w:p>
              </w:tc>
            </w:tr>
          </w:tbl>
          <w:p>
            <w:pPr>
              <w:pStyle w:val="474"/>
              <w:spacing w:line="360" w:lineRule="auto"/>
              <w:rPr>
                <w:color w:val="auto"/>
              </w:rPr>
            </w:pPr>
          </w:p>
        </w:tc>
      </w:tr>
    </w:tbl>
    <w:p>
      <w:pPr>
        <w:spacing w:line="360" w:lineRule="auto"/>
        <w:ind w:firstLine="480" w:firstLineChars="200"/>
        <w:rPr>
          <w:b/>
          <w:color w:val="auto"/>
          <w:sz w:val="24"/>
          <w:szCs w:val="24"/>
        </w:rPr>
        <w:sectPr>
          <w:pgSz w:w="11906" w:h="16838"/>
          <w:pgMar w:top="1599" w:right="1559" w:bottom="278" w:left="1678" w:header="851" w:footer="992" w:gutter="0"/>
          <w:pgBorders>
            <w:top w:val="none" w:sz="0" w:space="0"/>
            <w:left w:val="none" w:sz="0" w:space="0"/>
            <w:bottom w:val="none" w:sz="0" w:space="0"/>
            <w:right w:val="none" w:sz="0" w:space="0"/>
          </w:pgBorders>
          <w:cols w:space="720" w:num="1"/>
          <w:docGrid w:type="linesAndChars" w:linePitch="312" w:charSpace="0"/>
        </w:sectPr>
      </w:pPr>
    </w:p>
    <w:tbl>
      <w:tblPr>
        <w:tblStyle w:val="56"/>
        <w:tblW w:w="841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1" w:type="dxa"/>
          <w:bottom w:w="0" w:type="dxa"/>
          <w:right w:w="51" w:type="dxa"/>
        </w:tblCellMar>
      </w:tblPr>
      <w:tblGrid>
        <w:gridCol w:w="841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3426" w:hRule="atLeast"/>
          <w:jc w:val="center"/>
        </w:trPr>
        <w:tc>
          <w:tcPr>
            <w:tcW w:w="8414" w:type="dxa"/>
            <w:tcBorders>
              <w:top w:val="single" w:color="auto" w:sz="6" w:space="0"/>
              <w:bottom w:val="single" w:color="auto" w:sz="12" w:space="0"/>
            </w:tcBorders>
          </w:tcPr>
          <w:p>
            <w:pPr>
              <w:spacing w:line="360" w:lineRule="auto"/>
              <w:ind w:firstLine="480" w:firstLineChars="200"/>
              <w:rPr>
                <w:b/>
                <w:color w:val="auto"/>
                <w:sz w:val="24"/>
              </w:rPr>
            </w:pPr>
            <w:r>
              <w:rPr>
                <w:b/>
                <w:color w:val="auto"/>
                <w:sz w:val="24"/>
              </w:rPr>
              <w:t>3、声环境影响分析</w:t>
            </w:r>
          </w:p>
          <w:p>
            <w:pPr>
              <w:tabs>
                <w:tab w:val="left" w:pos="6962"/>
              </w:tabs>
              <w:spacing w:line="360" w:lineRule="auto"/>
              <w:ind w:firstLine="480" w:firstLineChars="200"/>
              <w:rPr>
                <w:bCs/>
                <w:color w:val="auto"/>
                <w:sz w:val="24"/>
                <w:szCs w:val="24"/>
              </w:rPr>
            </w:pPr>
            <w:r>
              <w:rPr>
                <w:rFonts w:hint="eastAsia"/>
                <w:bCs/>
                <w:color w:val="auto"/>
                <w:sz w:val="24"/>
                <w:szCs w:val="24"/>
              </w:rPr>
              <w:t>（1）评价等级判定</w:t>
            </w:r>
          </w:p>
          <w:p>
            <w:pPr>
              <w:spacing w:line="360" w:lineRule="auto"/>
              <w:ind w:firstLine="480"/>
              <w:rPr>
                <w:color w:val="auto"/>
                <w:sz w:val="24"/>
                <w:szCs w:val="24"/>
              </w:rPr>
            </w:pPr>
            <w:r>
              <w:rPr>
                <w:color w:val="auto"/>
                <w:sz w:val="24"/>
                <w:szCs w:val="24"/>
              </w:rPr>
              <w:t>根据《环境影响评价技术导则—声环境》（HJ</w:t>
            </w:r>
            <w:r>
              <w:rPr>
                <w:rFonts w:hint="eastAsia"/>
                <w:color w:val="auto"/>
                <w:sz w:val="24"/>
                <w:szCs w:val="24"/>
              </w:rPr>
              <w:t>2.4</w:t>
            </w:r>
            <w:r>
              <w:rPr>
                <w:color w:val="auto"/>
                <w:sz w:val="24"/>
                <w:szCs w:val="24"/>
              </w:rPr>
              <w:t>-200</w:t>
            </w:r>
            <w:r>
              <w:rPr>
                <w:rFonts w:hint="eastAsia"/>
                <w:color w:val="auto"/>
                <w:sz w:val="24"/>
                <w:szCs w:val="24"/>
              </w:rPr>
              <w:t>9</w:t>
            </w:r>
            <w:r>
              <w:rPr>
                <w:color w:val="auto"/>
                <w:sz w:val="24"/>
                <w:szCs w:val="24"/>
              </w:rPr>
              <w:t>）判定本项目声环境评价工作等级：</w:t>
            </w:r>
          </w:p>
          <w:p>
            <w:pPr>
              <w:spacing w:line="360" w:lineRule="auto"/>
              <w:ind w:firstLine="480"/>
              <w:rPr>
                <w:color w:val="auto"/>
                <w:sz w:val="24"/>
                <w:szCs w:val="24"/>
              </w:rPr>
            </w:pPr>
            <w:r>
              <w:rPr>
                <w:color w:val="auto"/>
                <w:sz w:val="24"/>
                <w:szCs w:val="24"/>
              </w:rPr>
              <w:t>建设项目</w:t>
            </w:r>
            <w:r>
              <w:rPr>
                <w:rFonts w:hint="eastAsia"/>
                <w:color w:val="auto"/>
                <w:sz w:val="24"/>
                <w:szCs w:val="24"/>
              </w:rPr>
              <w:t>所在地属于</w:t>
            </w:r>
            <w:r>
              <w:rPr>
                <w:rFonts w:hint="eastAsia"/>
                <w:color w:val="auto"/>
                <w:sz w:val="24"/>
                <w:szCs w:val="24"/>
                <w:lang w:val="en-US" w:eastAsia="zh-CN"/>
              </w:rPr>
              <w:t>2</w:t>
            </w:r>
            <w:r>
              <w:rPr>
                <w:rFonts w:hint="eastAsia"/>
                <w:color w:val="auto"/>
                <w:sz w:val="24"/>
                <w:szCs w:val="24"/>
              </w:rPr>
              <w:t>类声环境功能区</w:t>
            </w:r>
            <w:r>
              <w:rPr>
                <w:color w:val="auto"/>
                <w:sz w:val="24"/>
                <w:szCs w:val="24"/>
              </w:rPr>
              <w:t>，项目建成前后噪声级增加不大（小于3dB(A)），根据环境噪声评价等级表</w:t>
            </w:r>
            <w:r>
              <w:rPr>
                <w:rFonts w:hint="eastAsia"/>
                <w:color w:val="auto"/>
                <w:sz w:val="24"/>
                <w:szCs w:val="24"/>
              </w:rPr>
              <w:t>7-</w:t>
            </w:r>
            <w:r>
              <w:rPr>
                <w:rFonts w:hint="eastAsia"/>
                <w:color w:val="auto"/>
                <w:sz w:val="24"/>
                <w:szCs w:val="24"/>
                <w:lang w:val="en-US" w:eastAsia="zh-CN"/>
              </w:rPr>
              <w:t>20</w:t>
            </w:r>
            <w:r>
              <w:rPr>
                <w:color w:val="auto"/>
                <w:sz w:val="24"/>
                <w:szCs w:val="24"/>
              </w:rPr>
              <w:t>，确定声环境影响评价等级为</w:t>
            </w:r>
            <w:r>
              <w:rPr>
                <w:rFonts w:hint="eastAsia"/>
                <w:color w:val="auto"/>
                <w:sz w:val="24"/>
                <w:szCs w:val="24"/>
                <w:lang w:val="en-US" w:eastAsia="zh-CN"/>
              </w:rPr>
              <w:t>三级</w:t>
            </w:r>
            <w:r>
              <w:rPr>
                <w:rFonts w:hint="eastAsia"/>
                <w:color w:val="auto"/>
                <w:sz w:val="24"/>
                <w:szCs w:val="24"/>
              </w:rPr>
              <w:t>，项目</w:t>
            </w:r>
            <w:r>
              <w:rPr>
                <w:rFonts w:hint="eastAsia"/>
                <w:color w:val="auto"/>
                <w:sz w:val="24"/>
                <w:szCs w:val="24"/>
                <w:lang w:val="en-US" w:eastAsia="zh-CN"/>
              </w:rPr>
              <w:t>只</w:t>
            </w:r>
            <w:r>
              <w:rPr>
                <w:rFonts w:hint="eastAsia"/>
                <w:color w:val="auto"/>
                <w:sz w:val="24"/>
                <w:szCs w:val="24"/>
              </w:rPr>
              <w:t>需进行</w:t>
            </w:r>
            <w:r>
              <w:rPr>
                <w:rFonts w:hint="eastAsia"/>
                <w:color w:val="auto"/>
                <w:sz w:val="24"/>
                <w:szCs w:val="24"/>
                <w:lang w:val="en-US" w:eastAsia="zh-CN"/>
              </w:rPr>
              <w:t>简要</w:t>
            </w:r>
            <w:r>
              <w:rPr>
                <w:rFonts w:hint="eastAsia"/>
                <w:color w:val="auto"/>
                <w:sz w:val="24"/>
                <w:szCs w:val="24"/>
              </w:rPr>
              <w:t>评价</w:t>
            </w:r>
            <w:r>
              <w:rPr>
                <w:color w:val="auto"/>
                <w:sz w:val="24"/>
                <w:szCs w:val="24"/>
              </w:rPr>
              <w:t>。</w:t>
            </w:r>
          </w:p>
          <w:p>
            <w:pPr>
              <w:ind w:firstLine="422"/>
              <w:jc w:val="center"/>
              <w:rPr>
                <w:b/>
                <w:color w:val="auto"/>
                <w:szCs w:val="21"/>
              </w:rPr>
            </w:pPr>
            <w:r>
              <w:rPr>
                <w:b/>
                <w:color w:val="auto"/>
                <w:szCs w:val="21"/>
              </w:rPr>
              <w:t>表</w:t>
            </w:r>
            <w:r>
              <w:rPr>
                <w:rFonts w:hint="eastAsia"/>
                <w:b/>
                <w:color w:val="auto"/>
                <w:szCs w:val="21"/>
              </w:rPr>
              <w:t>7-</w:t>
            </w:r>
            <w:r>
              <w:rPr>
                <w:rFonts w:hint="eastAsia"/>
                <w:b/>
                <w:color w:val="auto"/>
                <w:szCs w:val="21"/>
                <w:lang w:val="en-US" w:eastAsia="zh-CN"/>
              </w:rPr>
              <w:t>22</w:t>
            </w:r>
            <w:r>
              <w:rPr>
                <w:b/>
                <w:color w:val="auto"/>
                <w:szCs w:val="21"/>
              </w:rPr>
              <w:t xml:space="preserve"> 声环境影响评价等级表</w:t>
            </w:r>
          </w:p>
          <w:tbl>
            <w:tblPr>
              <w:tblStyle w:val="56"/>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
            <w:tblGrid>
              <w:gridCol w:w="2906"/>
              <w:gridCol w:w="2199"/>
              <w:gridCol w:w="1590"/>
              <w:gridCol w:w="15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6" w:type="dxa"/>
                  <w:bottom w:w="0" w:type="dxa"/>
                  <w:right w:w="6" w:type="dxa"/>
                </w:tblCellMar>
              </w:tblPrEx>
              <w:trPr>
                <w:jc w:val="center"/>
              </w:trPr>
              <w:tc>
                <w:tcPr>
                  <w:tcW w:w="1753" w:type="pct"/>
                  <w:tcBorders>
                    <w:top w:val="single" w:color="auto" w:sz="12" w:space="0"/>
                    <w:left w:val="nil"/>
                  </w:tcBorders>
                  <w:vAlign w:val="center"/>
                </w:tcPr>
                <w:p>
                  <w:pPr>
                    <w:jc w:val="center"/>
                    <w:rPr>
                      <w:b/>
                      <w:bCs/>
                      <w:color w:val="auto"/>
                      <w:szCs w:val="21"/>
                    </w:rPr>
                  </w:pPr>
                  <w:r>
                    <w:rPr>
                      <w:b/>
                      <w:bCs/>
                      <w:color w:val="auto"/>
                      <w:szCs w:val="21"/>
                    </w:rPr>
                    <w:t>项目</w:t>
                  </w:r>
                </w:p>
              </w:tc>
              <w:tc>
                <w:tcPr>
                  <w:tcW w:w="1326" w:type="pct"/>
                  <w:tcBorders>
                    <w:top w:val="single" w:color="auto" w:sz="12" w:space="0"/>
                  </w:tcBorders>
                  <w:vAlign w:val="center"/>
                </w:tcPr>
                <w:p>
                  <w:pPr>
                    <w:jc w:val="center"/>
                    <w:rPr>
                      <w:b/>
                      <w:bCs/>
                      <w:color w:val="auto"/>
                      <w:szCs w:val="21"/>
                    </w:rPr>
                  </w:pPr>
                  <w:r>
                    <w:rPr>
                      <w:b/>
                      <w:bCs/>
                      <w:color w:val="auto"/>
                      <w:szCs w:val="21"/>
                    </w:rPr>
                    <w:t>一级</w:t>
                  </w:r>
                </w:p>
              </w:tc>
              <w:tc>
                <w:tcPr>
                  <w:tcW w:w="959" w:type="pct"/>
                  <w:tcBorders>
                    <w:top w:val="single" w:color="auto" w:sz="12" w:space="0"/>
                  </w:tcBorders>
                  <w:vAlign w:val="center"/>
                </w:tcPr>
                <w:p>
                  <w:pPr>
                    <w:jc w:val="center"/>
                    <w:rPr>
                      <w:b/>
                      <w:bCs/>
                      <w:color w:val="auto"/>
                      <w:szCs w:val="21"/>
                    </w:rPr>
                  </w:pPr>
                  <w:r>
                    <w:rPr>
                      <w:b/>
                      <w:bCs/>
                      <w:color w:val="auto"/>
                      <w:szCs w:val="21"/>
                    </w:rPr>
                    <w:t>二级</w:t>
                  </w:r>
                </w:p>
              </w:tc>
              <w:tc>
                <w:tcPr>
                  <w:tcW w:w="961" w:type="pct"/>
                  <w:tcBorders>
                    <w:top w:val="single" w:color="auto" w:sz="12" w:space="0"/>
                    <w:right w:val="nil"/>
                  </w:tcBorders>
                  <w:shd w:val="clear" w:color="auto" w:fill="auto"/>
                  <w:vAlign w:val="center"/>
                </w:tcPr>
                <w:p>
                  <w:pPr>
                    <w:jc w:val="center"/>
                    <w:rPr>
                      <w:b/>
                      <w:bCs/>
                      <w:color w:val="auto"/>
                      <w:szCs w:val="21"/>
                    </w:rPr>
                  </w:pPr>
                  <w:r>
                    <w:rPr>
                      <w:b/>
                      <w:bCs/>
                      <w:color w:val="auto"/>
                      <w:szCs w:val="21"/>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6" w:type="dxa"/>
                  <w:bottom w:w="0" w:type="dxa"/>
                  <w:right w:w="6" w:type="dxa"/>
                </w:tblCellMar>
              </w:tblPrEx>
              <w:trPr>
                <w:jc w:val="center"/>
              </w:trPr>
              <w:tc>
                <w:tcPr>
                  <w:tcW w:w="1753" w:type="pct"/>
                  <w:tcBorders>
                    <w:left w:val="nil"/>
                  </w:tcBorders>
                  <w:shd w:val="clear" w:color="auto" w:fill="auto"/>
                  <w:vAlign w:val="center"/>
                </w:tcPr>
                <w:p>
                  <w:pPr>
                    <w:jc w:val="center"/>
                    <w:rPr>
                      <w:bCs/>
                      <w:color w:val="auto"/>
                      <w:szCs w:val="21"/>
                    </w:rPr>
                  </w:pPr>
                  <w:r>
                    <w:rPr>
                      <w:bCs/>
                      <w:color w:val="auto"/>
                      <w:szCs w:val="21"/>
                    </w:rPr>
                    <w:t>项目所在地声环境功能</w:t>
                  </w:r>
                </w:p>
              </w:tc>
              <w:tc>
                <w:tcPr>
                  <w:tcW w:w="1326" w:type="pct"/>
                  <w:shd w:val="clear" w:color="auto" w:fill="auto"/>
                  <w:vAlign w:val="center"/>
                </w:tcPr>
                <w:p>
                  <w:pPr>
                    <w:jc w:val="center"/>
                    <w:rPr>
                      <w:bCs/>
                      <w:color w:val="auto"/>
                      <w:szCs w:val="21"/>
                    </w:rPr>
                  </w:pPr>
                  <w:r>
                    <w:rPr>
                      <w:bCs/>
                      <w:color w:val="auto"/>
                      <w:szCs w:val="21"/>
                    </w:rPr>
                    <w:t>0类</w:t>
                  </w:r>
                </w:p>
              </w:tc>
              <w:tc>
                <w:tcPr>
                  <w:tcW w:w="959" w:type="pct"/>
                  <w:shd w:val="clear" w:color="auto" w:fill="F1F1F1" w:themeFill="background1" w:themeFillShade="F2"/>
                  <w:vAlign w:val="center"/>
                </w:tcPr>
                <w:p>
                  <w:pPr>
                    <w:jc w:val="center"/>
                    <w:rPr>
                      <w:bCs/>
                      <w:color w:val="auto"/>
                      <w:szCs w:val="21"/>
                    </w:rPr>
                  </w:pPr>
                  <w:r>
                    <w:rPr>
                      <w:bCs/>
                      <w:color w:val="auto"/>
                      <w:szCs w:val="21"/>
                    </w:rPr>
                    <w:t>1类、2类</w:t>
                  </w:r>
                </w:p>
              </w:tc>
              <w:tc>
                <w:tcPr>
                  <w:tcW w:w="961" w:type="pct"/>
                  <w:tcBorders>
                    <w:right w:val="nil"/>
                  </w:tcBorders>
                  <w:shd w:val="clear" w:color="auto" w:fill="auto"/>
                  <w:vAlign w:val="center"/>
                </w:tcPr>
                <w:p>
                  <w:pPr>
                    <w:jc w:val="center"/>
                    <w:rPr>
                      <w:bCs/>
                      <w:color w:val="auto"/>
                      <w:szCs w:val="21"/>
                    </w:rPr>
                  </w:pPr>
                  <w:r>
                    <w:rPr>
                      <w:bCs/>
                      <w:color w:val="auto"/>
                      <w:szCs w:val="21"/>
                    </w:rPr>
                    <w:t>3类、4类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6" w:type="dxa"/>
                  <w:bottom w:w="0" w:type="dxa"/>
                  <w:right w:w="6" w:type="dxa"/>
                </w:tblCellMar>
              </w:tblPrEx>
              <w:trPr>
                <w:trHeight w:val="292" w:hRule="atLeast"/>
                <w:jc w:val="center"/>
              </w:trPr>
              <w:tc>
                <w:tcPr>
                  <w:tcW w:w="1753" w:type="pct"/>
                  <w:tcBorders>
                    <w:left w:val="nil"/>
                  </w:tcBorders>
                  <w:shd w:val="clear" w:color="auto" w:fill="auto"/>
                  <w:vAlign w:val="center"/>
                </w:tcPr>
                <w:p>
                  <w:pPr>
                    <w:jc w:val="center"/>
                    <w:rPr>
                      <w:bCs/>
                      <w:color w:val="auto"/>
                      <w:szCs w:val="21"/>
                    </w:rPr>
                  </w:pPr>
                  <w:r>
                    <w:rPr>
                      <w:bCs/>
                      <w:color w:val="auto"/>
                      <w:szCs w:val="21"/>
                    </w:rPr>
                    <w:t>建设前后</w:t>
                  </w:r>
                  <w:r>
                    <w:rPr>
                      <w:rFonts w:hint="eastAsia"/>
                      <w:bCs/>
                      <w:color w:val="auto"/>
                      <w:szCs w:val="21"/>
                    </w:rPr>
                    <w:t>敏感目标</w:t>
                  </w:r>
                  <w:r>
                    <w:rPr>
                      <w:bCs/>
                      <w:color w:val="auto"/>
                      <w:szCs w:val="21"/>
                    </w:rPr>
                    <w:t>噪声增加量</w:t>
                  </w:r>
                </w:p>
              </w:tc>
              <w:tc>
                <w:tcPr>
                  <w:tcW w:w="1326" w:type="pct"/>
                  <w:shd w:val="clear" w:color="auto" w:fill="auto"/>
                  <w:vAlign w:val="center"/>
                </w:tcPr>
                <w:p>
                  <w:pPr>
                    <w:jc w:val="center"/>
                    <w:rPr>
                      <w:bCs/>
                      <w:color w:val="auto"/>
                      <w:szCs w:val="21"/>
                    </w:rPr>
                  </w:pPr>
                  <w:r>
                    <w:rPr>
                      <w:bCs/>
                      <w:color w:val="auto"/>
                      <w:szCs w:val="21"/>
                    </w:rPr>
                    <w:t>＞5dB(A)</w:t>
                  </w:r>
                </w:p>
              </w:tc>
              <w:tc>
                <w:tcPr>
                  <w:tcW w:w="959" w:type="pct"/>
                  <w:shd w:val="clear" w:color="auto" w:fill="auto"/>
                  <w:vAlign w:val="center"/>
                </w:tcPr>
                <w:p>
                  <w:pPr>
                    <w:jc w:val="center"/>
                    <w:rPr>
                      <w:bCs/>
                      <w:color w:val="auto"/>
                      <w:szCs w:val="21"/>
                    </w:rPr>
                  </w:pPr>
                  <w:r>
                    <w:rPr>
                      <w:bCs/>
                      <w:color w:val="auto"/>
                      <w:szCs w:val="21"/>
                    </w:rPr>
                    <w:t>3～5dB(A)</w:t>
                  </w:r>
                </w:p>
              </w:tc>
              <w:tc>
                <w:tcPr>
                  <w:tcW w:w="961" w:type="pct"/>
                  <w:tcBorders>
                    <w:right w:val="nil"/>
                  </w:tcBorders>
                  <w:shd w:val="clear" w:color="auto" w:fill="F1F1F1" w:themeFill="background1" w:themeFillShade="F2"/>
                  <w:vAlign w:val="center"/>
                </w:tcPr>
                <w:p>
                  <w:pPr>
                    <w:jc w:val="center"/>
                    <w:rPr>
                      <w:bCs/>
                      <w:color w:val="auto"/>
                      <w:szCs w:val="21"/>
                    </w:rPr>
                  </w:pPr>
                  <w:r>
                    <w:rPr>
                      <w:bCs/>
                      <w:color w:val="auto"/>
                      <w:szCs w:val="21"/>
                    </w:rPr>
                    <w:t>＜3dB(A)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6" w:type="dxa"/>
                  <w:bottom w:w="0" w:type="dxa"/>
                  <w:right w:w="6" w:type="dxa"/>
                </w:tblCellMar>
              </w:tblPrEx>
              <w:trPr>
                <w:trHeight w:val="317" w:hRule="atLeast"/>
                <w:jc w:val="center"/>
              </w:trPr>
              <w:tc>
                <w:tcPr>
                  <w:tcW w:w="1753" w:type="pct"/>
                  <w:tcBorders>
                    <w:left w:val="nil"/>
                  </w:tcBorders>
                  <w:shd w:val="clear" w:color="auto" w:fill="auto"/>
                  <w:vAlign w:val="center"/>
                </w:tcPr>
                <w:p>
                  <w:pPr>
                    <w:jc w:val="center"/>
                    <w:rPr>
                      <w:bCs/>
                      <w:color w:val="auto"/>
                      <w:szCs w:val="21"/>
                    </w:rPr>
                  </w:pPr>
                  <w:r>
                    <w:rPr>
                      <w:bCs/>
                      <w:color w:val="auto"/>
                      <w:szCs w:val="21"/>
                    </w:rPr>
                    <w:t>建设前后受影响人口变化情况</w:t>
                  </w:r>
                </w:p>
              </w:tc>
              <w:tc>
                <w:tcPr>
                  <w:tcW w:w="1326" w:type="pct"/>
                  <w:shd w:val="clear" w:color="auto" w:fill="auto"/>
                  <w:vAlign w:val="center"/>
                </w:tcPr>
                <w:p>
                  <w:pPr>
                    <w:jc w:val="center"/>
                    <w:rPr>
                      <w:bCs/>
                      <w:color w:val="auto"/>
                      <w:szCs w:val="21"/>
                    </w:rPr>
                  </w:pPr>
                  <w:r>
                    <w:rPr>
                      <w:bCs/>
                      <w:color w:val="auto"/>
                      <w:szCs w:val="21"/>
                    </w:rPr>
                    <w:t>显著增多</w:t>
                  </w:r>
                </w:p>
              </w:tc>
              <w:tc>
                <w:tcPr>
                  <w:tcW w:w="959" w:type="pct"/>
                  <w:shd w:val="clear" w:color="auto" w:fill="auto"/>
                  <w:vAlign w:val="center"/>
                </w:tcPr>
                <w:p>
                  <w:pPr>
                    <w:jc w:val="center"/>
                    <w:rPr>
                      <w:bCs/>
                      <w:color w:val="auto"/>
                      <w:szCs w:val="21"/>
                    </w:rPr>
                  </w:pPr>
                  <w:r>
                    <w:rPr>
                      <w:bCs/>
                      <w:color w:val="auto"/>
                      <w:szCs w:val="21"/>
                    </w:rPr>
                    <w:t>增加较多</w:t>
                  </w:r>
                </w:p>
              </w:tc>
              <w:tc>
                <w:tcPr>
                  <w:tcW w:w="961" w:type="pct"/>
                  <w:tcBorders>
                    <w:right w:val="nil"/>
                  </w:tcBorders>
                  <w:shd w:val="clear" w:color="auto" w:fill="F1F1F1" w:themeFill="background1" w:themeFillShade="F2"/>
                  <w:vAlign w:val="center"/>
                </w:tcPr>
                <w:p>
                  <w:pPr>
                    <w:jc w:val="center"/>
                    <w:rPr>
                      <w:bCs/>
                      <w:color w:val="auto"/>
                      <w:szCs w:val="21"/>
                    </w:rPr>
                  </w:pPr>
                  <w:r>
                    <w:rPr>
                      <w:bCs/>
                      <w:color w:val="auto"/>
                      <w:szCs w:val="21"/>
                    </w:rPr>
                    <w:t>变化不大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6" w:type="dxa"/>
                  <w:bottom w:w="0" w:type="dxa"/>
                  <w:right w:w="6" w:type="dxa"/>
                </w:tblCellMar>
              </w:tblPrEx>
              <w:trPr>
                <w:trHeight w:val="77" w:hRule="atLeast"/>
                <w:jc w:val="center"/>
              </w:trPr>
              <w:tc>
                <w:tcPr>
                  <w:tcW w:w="1753" w:type="pct"/>
                  <w:tcBorders>
                    <w:left w:val="nil"/>
                    <w:bottom w:val="single" w:color="auto" w:sz="12" w:space="0"/>
                  </w:tcBorders>
                  <w:vAlign w:val="center"/>
                </w:tcPr>
                <w:p>
                  <w:pPr>
                    <w:jc w:val="center"/>
                    <w:rPr>
                      <w:bCs/>
                      <w:color w:val="auto"/>
                      <w:szCs w:val="21"/>
                    </w:rPr>
                  </w:pPr>
                  <w:r>
                    <w:rPr>
                      <w:bCs/>
                      <w:color w:val="auto"/>
                      <w:szCs w:val="21"/>
                    </w:rPr>
                    <w:t>其它</w:t>
                  </w:r>
                </w:p>
              </w:tc>
              <w:tc>
                <w:tcPr>
                  <w:tcW w:w="3246" w:type="pct"/>
                  <w:gridSpan w:val="3"/>
                  <w:tcBorders>
                    <w:bottom w:val="single" w:color="auto" w:sz="12" w:space="0"/>
                    <w:right w:val="nil"/>
                  </w:tcBorders>
                  <w:vAlign w:val="center"/>
                </w:tcPr>
                <w:p>
                  <w:pPr>
                    <w:jc w:val="center"/>
                    <w:rPr>
                      <w:bCs/>
                      <w:color w:val="auto"/>
                      <w:szCs w:val="21"/>
                    </w:rPr>
                  </w:pPr>
                  <w:r>
                    <w:rPr>
                      <w:bCs/>
                      <w:color w:val="auto"/>
                      <w:szCs w:val="21"/>
                    </w:rPr>
                    <w:t>如建设项目符合两个以上级别的划分原则，按较高级别的评价等级评价</w:t>
                  </w:r>
                </w:p>
              </w:tc>
            </w:tr>
          </w:tbl>
          <w:p>
            <w:pPr>
              <w:tabs>
                <w:tab w:val="left" w:pos="6962"/>
              </w:tabs>
              <w:spacing w:line="360" w:lineRule="auto"/>
              <w:ind w:firstLine="480" w:firstLineChars="200"/>
              <w:rPr>
                <w:bCs/>
                <w:color w:val="auto"/>
                <w:sz w:val="24"/>
              </w:rPr>
            </w:pPr>
            <w:r>
              <w:rPr>
                <w:bCs/>
                <w:color w:val="auto"/>
                <w:sz w:val="24"/>
              </w:rPr>
              <w:t>（</w:t>
            </w:r>
            <w:r>
              <w:rPr>
                <w:rFonts w:hint="eastAsia"/>
                <w:bCs/>
                <w:color w:val="auto"/>
                <w:sz w:val="24"/>
              </w:rPr>
              <w:t>2</w:t>
            </w:r>
            <w:r>
              <w:rPr>
                <w:bCs/>
                <w:color w:val="auto"/>
                <w:sz w:val="24"/>
              </w:rPr>
              <w:t>）噪声源</w:t>
            </w:r>
          </w:p>
          <w:p>
            <w:pPr>
              <w:tabs>
                <w:tab w:val="left" w:pos="6962"/>
              </w:tabs>
              <w:spacing w:line="360" w:lineRule="auto"/>
              <w:ind w:firstLine="480" w:firstLineChars="200"/>
              <w:rPr>
                <w:bCs/>
                <w:color w:val="auto"/>
                <w:sz w:val="24"/>
                <w:szCs w:val="24"/>
              </w:rPr>
            </w:pPr>
            <w:r>
              <w:rPr>
                <w:bCs/>
                <w:color w:val="auto"/>
                <w:sz w:val="24"/>
                <w:szCs w:val="24"/>
              </w:rPr>
              <w:t>本项目主要噪声设备为本项目主要噪声设备为</w:t>
            </w:r>
            <w:r>
              <w:rPr>
                <w:rFonts w:hint="eastAsia"/>
                <w:bCs/>
                <w:color w:val="auto"/>
                <w:sz w:val="24"/>
                <w:szCs w:val="24"/>
              </w:rPr>
              <w:t>数控龙门镗铣床、</w:t>
            </w:r>
            <w:r>
              <w:rPr>
                <w:rFonts w:hint="eastAsia"/>
                <w:bCs/>
                <w:color w:val="auto"/>
                <w:sz w:val="24"/>
                <w:szCs w:val="24"/>
                <w:lang w:val="en-US" w:eastAsia="zh-CN"/>
              </w:rPr>
              <w:t>摇臂钻</w:t>
            </w:r>
            <w:r>
              <w:rPr>
                <w:rFonts w:hint="eastAsia"/>
                <w:bCs/>
                <w:color w:val="auto"/>
                <w:sz w:val="24"/>
                <w:szCs w:val="24"/>
              </w:rPr>
              <w:t>、</w:t>
            </w:r>
            <w:r>
              <w:rPr>
                <w:rFonts w:hint="eastAsia"/>
                <w:bCs/>
                <w:color w:val="auto"/>
                <w:sz w:val="24"/>
                <w:szCs w:val="24"/>
                <w:lang w:val="en-US" w:eastAsia="zh-CN"/>
              </w:rPr>
              <w:t>抛丸机</w:t>
            </w:r>
            <w:r>
              <w:rPr>
                <w:rFonts w:hint="eastAsia"/>
                <w:bCs/>
                <w:color w:val="auto"/>
                <w:sz w:val="24"/>
                <w:szCs w:val="24"/>
              </w:rPr>
              <w:t>、</w:t>
            </w:r>
            <w:r>
              <w:rPr>
                <w:rFonts w:hint="eastAsia"/>
                <w:bCs/>
                <w:color w:val="auto"/>
                <w:sz w:val="24"/>
                <w:szCs w:val="24"/>
                <w:lang w:val="en-US" w:eastAsia="zh-CN"/>
              </w:rPr>
              <w:t>喷砂机、</w:t>
            </w:r>
            <w:r>
              <w:rPr>
                <w:rFonts w:hint="eastAsia"/>
                <w:bCs/>
                <w:color w:val="auto"/>
                <w:sz w:val="24"/>
                <w:szCs w:val="24"/>
              </w:rPr>
              <w:t>风机</w:t>
            </w:r>
            <w:r>
              <w:rPr>
                <w:bCs/>
                <w:color w:val="auto"/>
                <w:sz w:val="24"/>
                <w:szCs w:val="24"/>
              </w:rPr>
              <w:t>等设备运行噪声，噪声值在80~9</w:t>
            </w:r>
            <w:r>
              <w:rPr>
                <w:rFonts w:hint="eastAsia"/>
                <w:bCs/>
                <w:color w:val="auto"/>
                <w:sz w:val="24"/>
                <w:szCs w:val="24"/>
              </w:rPr>
              <w:t>0</w:t>
            </w:r>
            <w:r>
              <w:rPr>
                <w:bCs/>
                <w:color w:val="auto"/>
                <w:sz w:val="24"/>
                <w:szCs w:val="24"/>
              </w:rPr>
              <w:t>dB（A）之间。</w:t>
            </w:r>
          </w:p>
          <w:p>
            <w:pPr>
              <w:spacing w:line="360" w:lineRule="auto"/>
              <w:ind w:firstLine="480" w:firstLineChars="200"/>
              <w:rPr>
                <w:color w:val="auto"/>
                <w:sz w:val="24"/>
              </w:rPr>
            </w:pPr>
            <w:r>
              <w:rPr>
                <w:color w:val="auto"/>
                <w:sz w:val="24"/>
              </w:rPr>
              <w:t>（</w:t>
            </w:r>
            <w:r>
              <w:rPr>
                <w:rFonts w:hint="eastAsia"/>
                <w:color w:val="auto"/>
                <w:sz w:val="24"/>
              </w:rPr>
              <w:t>3</w:t>
            </w:r>
            <w:r>
              <w:rPr>
                <w:color w:val="auto"/>
                <w:sz w:val="24"/>
              </w:rPr>
              <w:t>）预测模式</w:t>
            </w:r>
          </w:p>
          <w:p>
            <w:pPr>
              <w:spacing w:line="360" w:lineRule="auto"/>
              <w:ind w:firstLine="480" w:firstLineChars="200"/>
              <w:rPr>
                <w:color w:val="auto"/>
                <w:kern w:val="0"/>
                <w:sz w:val="24"/>
              </w:rPr>
            </w:pPr>
            <w:r>
              <w:rPr>
                <w:rFonts w:hint="eastAsia" w:ascii="宋体" w:hAnsi="宋体" w:cs="宋体"/>
                <w:color w:val="auto"/>
                <w:sz w:val="24"/>
              </w:rPr>
              <w:t>①</w:t>
            </w:r>
            <w:r>
              <w:rPr>
                <w:color w:val="auto"/>
                <w:sz w:val="24"/>
              </w:rPr>
              <w:t xml:space="preserve"> </w:t>
            </w:r>
            <w:r>
              <w:rPr>
                <w:color w:val="auto"/>
                <w:kern w:val="0"/>
                <w:sz w:val="24"/>
              </w:rPr>
              <w:t>声级</w:t>
            </w:r>
            <w:r>
              <w:rPr>
                <w:color w:val="auto"/>
                <w:sz w:val="24"/>
              </w:rPr>
              <w:t>计算</w:t>
            </w:r>
          </w:p>
          <w:p>
            <w:pPr>
              <w:spacing w:line="360" w:lineRule="auto"/>
              <w:ind w:firstLine="480" w:firstLineChars="200"/>
              <w:rPr>
                <w:color w:val="auto"/>
                <w:kern w:val="0"/>
                <w:sz w:val="24"/>
              </w:rPr>
            </w:pPr>
            <w:r>
              <w:rPr>
                <w:color w:val="auto"/>
                <w:kern w:val="0"/>
                <w:sz w:val="24"/>
              </w:rPr>
              <w:t>建设项目</w:t>
            </w:r>
            <w:r>
              <w:rPr>
                <w:color w:val="auto"/>
                <w:sz w:val="24"/>
              </w:rPr>
              <w:t>声源</w:t>
            </w:r>
            <w:r>
              <w:rPr>
                <w:color w:val="auto"/>
                <w:kern w:val="0"/>
                <w:sz w:val="24"/>
              </w:rPr>
              <w:t>在预测点产生的等效声级贡献值(L</w:t>
            </w:r>
            <w:r>
              <w:rPr>
                <w:i/>
                <w:iCs/>
                <w:color w:val="auto"/>
                <w:kern w:val="0"/>
                <w:sz w:val="24"/>
              </w:rPr>
              <w:t>eq g</w:t>
            </w:r>
            <w:r>
              <w:rPr>
                <w:color w:val="auto"/>
                <w:kern w:val="0"/>
                <w:sz w:val="24"/>
              </w:rPr>
              <w:t>)计算公式：</w:t>
            </w:r>
          </w:p>
          <w:p>
            <w:pPr>
              <w:spacing w:line="360" w:lineRule="auto"/>
              <w:jc w:val="center"/>
              <w:rPr>
                <w:color w:val="auto"/>
                <w:sz w:val="24"/>
              </w:rPr>
            </w:pPr>
            <w:r>
              <w:rPr>
                <w:rFonts w:hint="eastAsia"/>
                <w:color w:val="auto"/>
                <w:position w:val="-36"/>
                <w:sz w:val="24"/>
              </w:rPr>
              <w:object>
                <v:shape id="_x0000_i1028" o:spt="75" type="#_x0000_t75" style="height:30pt;width:88.9pt;" o:ole="t" filled="f" o:preferrelative="t" stroked="f" coordsize="21600,21600">
                  <v:path/>
                  <v:fill on="f" focussize="0,0"/>
                  <v:stroke on="f" joinstyle="miter"/>
                  <v:imagedata r:id="rId29" o:title=""/>
                  <o:lock v:ext="edit" aspectratio="t"/>
                  <w10:wrap type="none"/>
                  <w10:anchorlock/>
                </v:shape>
                <o:OLEObject Type="Embed" ProgID="Equation.3" ShapeID="_x0000_i1028" DrawAspect="Content" ObjectID="_1468075728" r:id="rId28">
                  <o:LockedField>false</o:LockedField>
                </o:OLEObject>
              </w:object>
            </w:r>
          </w:p>
          <w:p>
            <w:pPr>
              <w:spacing w:line="360" w:lineRule="auto"/>
              <w:ind w:firstLine="480" w:firstLineChars="200"/>
              <w:rPr>
                <w:color w:val="auto"/>
                <w:sz w:val="24"/>
              </w:rPr>
            </w:pPr>
            <w:r>
              <w:rPr>
                <w:color w:val="auto"/>
                <w:sz w:val="24"/>
              </w:rPr>
              <w:t>式中：</w:t>
            </w:r>
            <w:r>
              <w:rPr>
                <w:i/>
                <w:color w:val="auto"/>
                <w:sz w:val="24"/>
              </w:rPr>
              <w:t>L</w:t>
            </w:r>
            <w:r>
              <w:rPr>
                <w:color w:val="auto"/>
                <w:sz w:val="24"/>
                <w:vertAlign w:val="subscript"/>
              </w:rPr>
              <w:t>eqg</w:t>
            </w:r>
            <w:r>
              <w:rPr>
                <w:color w:val="auto"/>
                <w:sz w:val="24"/>
              </w:rPr>
              <w:t>—建设项目声源在预测点的等效声级贡献值，dB(A)；</w:t>
            </w:r>
          </w:p>
          <w:p>
            <w:pPr>
              <w:spacing w:line="360" w:lineRule="auto"/>
              <w:ind w:firstLine="1200" w:firstLineChars="500"/>
              <w:rPr>
                <w:color w:val="auto"/>
                <w:sz w:val="24"/>
              </w:rPr>
            </w:pPr>
            <w:r>
              <w:rPr>
                <w:i/>
                <w:color w:val="auto"/>
                <w:sz w:val="24"/>
              </w:rPr>
              <w:t>L</w:t>
            </w:r>
            <w:r>
              <w:rPr>
                <w:color w:val="auto"/>
                <w:sz w:val="24"/>
                <w:vertAlign w:val="subscript"/>
              </w:rPr>
              <w:t xml:space="preserve">Ai </w:t>
            </w:r>
            <w:r>
              <w:rPr>
                <w:color w:val="auto"/>
                <w:sz w:val="24"/>
              </w:rPr>
              <w:t>— i声源在预测点产生的A 声级，dB(A)；</w:t>
            </w:r>
          </w:p>
          <w:p>
            <w:pPr>
              <w:spacing w:line="360" w:lineRule="auto"/>
              <w:ind w:firstLine="1200" w:firstLineChars="500"/>
              <w:rPr>
                <w:color w:val="auto"/>
                <w:sz w:val="24"/>
              </w:rPr>
            </w:pPr>
            <w:r>
              <w:rPr>
                <w:i/>
                <w:color w:val="auto"/>
                <w:sz w:val="24"/>
              </w:rPr>
              <w:t>T</w:t>
            </w:r>
            <w:r>
              <w:rPr>
                <w:color w:val="auto"/>
                <w:sz w:val="24"/>
              </w:rPr>
              <w:t xml:space="preserve"> —预测计算的时间段，s；</w:t>
            </w:r>
          </w:p>
          <w:p>
            <w:pPr>
              <w:spacing w:line="360" w:lineRule="auto"/>
              <w:ind w:firstLine="1200" w:firstLineChars="500"/>
              <w:rPr>
                <w:color w:val="auto"/>
                <w:sz w:val="24"/>
              </w:rPr>
            </w:pPr>
            <w:r>
              <w:rPr>
                <w:i/>
                <w:color w:val="auto"/>
                <w:sz w:val="24"/>
              </w:rPr>
              <w:t>t</w:t>
            </w:r>
            <w:r>
              <w:rPr>
                <w:i/>
                <w:color w:val="auto"/>
                <w:sz w:val="24"/>
                <w:vertAlign w:val="subscript"/>
              </w:rPr>
              <w:t>i</w:t>
            </w:r>
            <w:r>
              <w:rPr>
                <w:color w:val="auto"/>
                <w:sz w:val="24"/>
              </w:rPr>
              <w:t>— i声源在T 时段内的运行时间，s。</w:t>
            </w:r>
          </w:p>
          <w:p>
            <w:pPr>
              <w:spacing w:line="360" w:lineRule="auto"/>
              <w:ind w:firstLine="480" w:firstLineChars="200"/>
              <w:rPr>
                <w:color w:val="auto"/>
                <w:kern w:val="0"/>
                <w:sz w:val="24"/>
              </w:rPr>
            </w:pPr>
            <w:r>
              <w:rPr>
                <w:rFonts w:hint="eastAsia" w:ascii="宋体" w:hAnsi="宋体" w:cs="宋体"/>
                <w:color w:val="auto"/>
                <w:sz w:val="24"/>
              </w:rPr>
              <w:t>②</w:t>
            </w:r>
            <w:r>
              <w:rPr>
                <w:color w:val="auto"/>
                <w:sz w:val="24"/>
              </w:rPr>
              <w:t xml:space="preserve"> </w:t>
            </w:r>
            <w:r>
              <w:rPr>
                <w:color w:val="auto"/>
                <w:kern w:val="0"/>
                <w:sz w:val="24"/>
              </w:rPr>
              <w:t>预测点的预测</w:t>
            </w:r>
            <w:r>
              <w:rPr>
                <w:color w:val="auto"/>
                <w:sz w:val="24"/>
              </w:rPr>
              <w:t>等效</w:t>
            </w:r>
            <w:r>
              <w:rPr>
                <w:color w:val="auto"/>
                <w:kern w:val="0"/>
                <w:sz w:val="24"/>
              </w:rPr>
              <w:t>声级(</w:t>
            </w:r>
            <w:r>
              <w:rPr>
                <w:i/>
                <w:iCs/>
                <w:color w:val="auto"/>
                <w:kern w:val="0"/>
                <w:sz w:val="24"/>
              </w:rPr>
              <w:t xml:space="preserve">L eq </w:t>
            </w:r>
            <w:r>
              <w:rPr>
                <w:color w:val="auto"/>
                <w:kern w:val="0"/>
                <w:sz w:val="24"/>
              </w:rPr>
              <w:t>)计算公式</w:t>
            </w:r>
          </w:p>
          <w:p>
            <w:pPr>
              <w:spacing w:line="360" w:lineRule="auto"/>
              <w:jc w:val="center"/>
              <w:rPr>
                <w:color w:val="auto"/>
                <w:sz w:val="24"/>
              </w:rPr>
            </w:pPr>
            <w:r>
              <w:rPr>
                <w:color w:val="auto"/>
                <w:position w:val="-14"/>
                <w:sz w:val="24"/>
              </w:rPr>
              <w:object>
                <v:shape id="_x0000_i1029" o:spt="75" type="#_x0000_t75" style="height:21.25pt;width:150.55pt;" o:ole="t" filled="f" o:preferrelative="t" stroked="f" coordsize="21600,21600">
                  <v:path/>
                  <v:fill on="f" focussize="0,0"/>
                  <v:stroke on="f" joinstyle="miter"/>
                  <v:imagedata r:id="rId31" o:title=""/>
                  <o:lock v:ext="edit" aspectratio="t"/>
                  <w10:wrap type="none"/>
                  <w10:anchorlock/>
                </v:shape>
                <o:OLEObject Type="Embed" ProgID="Equation.3" ShapeID="_x0000_i1029" DrawAspect="Content" ObjectID="_1468075729" r:id="rId30">
                  <o:LockedField>false</o:LockedField>
                </o:OLEObject>
              </w:object>
            </w:r>
          </w:p>
          <w:p>
            <w:pPr>
              <w:spacing w:line="360" w:lineRule="auto"/>
              <w:ind w:firstLine="480" w:firstLineChars="200"/>
              <w:rPr>
                <w:color w:val="auto"/>
                <w:kern w:val="0"/>
                <w:sz w:val="24"/>
              </w:rPr>
            </w:pPr>
            <w:r>
              <w:rPr>
                <w:color w:val="auto"/>
                <w:kern w:val="0"/>
                <w:sz w:val="24"/>
              </w:rPr>
              <w:t>式中：</w:t>
            </w:r>
            <w:r>
              <w:rPr>
                <w:i/>
                <w:iCs/>
                <w:color w:val="auto"/>
                <w:kern w:val="0"/>
                <w:sz w:val="24"/>
              </w:rPr>
              <w:t>L</w:t>
            </w:r>
            <w:r>
              <w:rPr>
                <w:i/>
                <w:iCs/>
                <w:color w:val="auto"/>
                <w:kern w:val="0"/>
                <w:sz w:val="24"/>
                <w:vertAlign w:val="subscript"/>
              </w:rPr>
              <w:t xml:space="preserve"> eq g</w:t>
            </w:r>
            <w:r>
              <w:rPr>
                <w:i/>
                <w:iCs/>
                <w:color w:val="auto"/>
                <w:kern w:val="0"/>
                <w:sz w:val="24"/>
              </w:rPr>
              <w:t xml:space="preserve"> </w:t>
            </w:r>
            <w:r>
              <w:rPr>
                <w:color w:val="auto"/>
                <w:kern w:val="0"/>
                <w:sz w:val="24"/>
              </w:rPr>
              <w:t>—建设项目声源在预测点的</w:t>
            </w:r>
            <w:r>
              <w:rPr>
                <w:color w:val="auto"/>
                <w:sz w:val="24"/>
              </w:rPr>
              <w:t>等效</w:t>
            </w:r>
            <w:r>
              <w:rPr>
                <w:color w:val="auto"/>
                <w:kern w:val="0"/>
                <w:sz w:val="24"/>
              </w:rPr>
              <w:t>声级贡献值，dB(A)；</w:t>
            </w:r>
          </w:p>
          <w:p>
            <w:pPr>
              <w:spacing w:line="360" w:lineRule="auto"/>
              <w:ind w:firstLine="1200" w:firstLineChars="500"/>
              <w:rPr>
                <w:color w:val="auto"/>
                <w:kern w:val="0"/>
                <w:sz w:val="24"/>
              </w:rPr>
            </w:pPr>
            <w:r>
              <w:rPr>
                <w:i/>
                <w:iCs/>
                <w:color w:val="auto"/>
                <w:kern w:val="0"/>
                <w:sz w:val="24"/>
              </w:rPr>
              <w:t>L</w:t>
            </w:r>
            <w:r>
              <w:rPr>
                <w:i/>
                <w:iCs/>
                <w:color w:val="auto"/>
                <w:kern w:val="0"/>
                <w:sz w:val="24"/>
                <w:vertAlign w:val="subscript"/>
              </w:rPr>
              <w:t xml:space="preserve"> eqb</w:t>
            </w:r>
            <w:r>
              <w:rPr>
                <w:i/>
                <w:iCs/>
                <w:color w:val="auto"/>
                <w:kern w:val="0"/>
                <w:sz w:val="24"/>
              </w:rPr>
              <w:t xml:space="preserve"> </w:t>
            </w:r>
            <w:r>
              <w:rPr>
                <w:color w:val="auto"/>
                <w:kern w:val="0"/>
                <w:sz w:val="24"/>
              </w:rPr>
              <w:t>— 预测点的</w:t>
            </w:r>
            <w:r>
              <w:rPr>
                <w:color w:val="auto"/>
                <w:sz w:val="24"/>
              </w:rPr>
              <w:t>背景值</w:t>
            </w:r>
            <w:r>
              <w:rPr>
                <w:color w:val="auto"/>
                <w:kern w:val="0"/>
                <w:sz w:val="24"/>
              </w:rPr>
              <w:t>，dB(A)</w:t>
            </w:r>
          </w:p>
          <w:p>
            <w:pPr>
              <w:spacing w:line="360" w:lineRule="auto"/>
              <w:ind w:firstLine="480" w:firstLineChars="200"/>
              <w:rPr>
                <w:color w:val="auto"/>
                <w:sz w:val="24"/>
              </w:rPr>
            </w:pPr>
            <w:r>
              <w:rPr>
                <w:rFonts w:hint="eastAsia" w:ascii="宋体" w:hAnsi="宋体" w:cs="宋体"/>
                <w:color w:val="auto"/>
                <w:sz w:val="24"/>
              </w:rPr>
              <w:t>③</w:t>
            </w:r>
            <w:r>
              <w:rPr>
                <w:color w:val="auto"/>
                <w:sz w:val="24"/>
              </w:rPr>
              <w:t xml:space="preserve"> 户外声传播衰减计算</w:t>
            </w:r>
          </w:p>
          <w:p>
            <w:pPr>
              <w:spacing w:line="360" w:lineRule="auto"/>
              <w:ind w:firstLine="480" w:firstLineChars="200"/>
              <w:rPr>
                <w:color w:val="auto"/>
                <w:sz w:val="24"/>
              </w:rPr>
            </w:pPr>
            <w:r>
              <w:rPr>
                <w:color w:val="auto"/>
                <w:sz w:val="24"/>
              </w:rPr>
              <w:t>a.户外声传播衰减包括几何发散（</w:t>
            </w:r>
            <w:r>
              <w:rPr>
                <w:i/>
                <w:color w:val="auto"/>
                <w:sz w:val="24"/>
              </w:rPr>
              <w:t>A</w:t>
            </w:r>
            <w:r>
              <w:rPr>
                <w:color w:val="auto"/>
                <w:sz w:val="24"/>
                <w:vertAlign w:val="subscript"/>
              </w:rPr>
              <w:t>div</w:t>
            </w:r>
            <w:r>
              <w:rPr>
                <w:color w:val="auto"/>
                <w:sz w:val="24"/>
              </w:rPr>
              <w:t>）、大气吸收（</w:t>
            </w:r>
            <w:r>
              <w:rPr>
                <w:i/>
                <w:color w:val="auto"/>
                <w:sz w:val="24"/>
              </w:rPr>
              <w:t>A</w:t>
            </w:r>
            <w:r>
              <w:rPr>
                <w:color w:val="auto"/>
                <w:sz w:val="24"/>
                <w:vertAlign w:val="subscript"/>
              </w:rPr>
              <w:t>atm</w:t>
            </w:r>
            <w:r>
              <w:rPr>
                <w:color w:val="auto"/>
                <w:sz w:val="24"/>
              </w:rPr>
              <w:t>）、地面效应（</w:t>
            </w:r>
            <w:r>
              <w:rPr>
                <w:i/>
                <w:color w:val="auto"/>
                <w:sz w:val="24"/>
              </w:rPr>
              <w:t>A</w:t>
            </w:r>
            <w:r>
              <w:rPr>
                <w:color w:val="auto"/>
                <w:sz w:val="24"/>
                <w:vertAlign w:val="subscript"/>
              </w:rPr>
              <w:t>gr</w:t>
            </w:r>
            <w:r>
              <w:rPr>
                <w:color w:val="auto"/>
                <w:sz w:val="24"/>
              </w:rPr>
              <w:t>）、屏障屏蔽（</w:t>
            </w:r>
            <w:r>
              <w:rPr>
                <w:i/>
                <w:color w:val="auto"/>
                <w:sz w:val="24"/>
              </w:rPr>
              <w:t>A</w:t>
            </w:r>
            <w:r>
              <w:rPr>
                <w:color w:val="auto"/>
                <w:sz w:val="24"/>
                <w:vertAlign w:val="subscript"/>
              </w:rPr>
              <w:t>bar</w:t>
            </w:r>
            <w:r>
              <w:rPr>
                <w:color w:val="auto"/>
                <w:sz w:val="24"/>
              </w:rPr>
              <w:t>）、其他多方面效应（</w:t>
            </w:r>
            <w:r>
              <w:rPr>
                <w:i/>
                <w:color w:val="auto"/>
                <w:sz w:val="24"/>
              </w:rPr>
              <w:t>A</w:t>
            </w:r>
            <w:r>
              <w:rPr>
                <w:color w:val="auto"/>
                <w:sz w:val="24"/>
                <w:vertAlign w:val="subscript"/>
              </w:rPr>
              <w:t>misc</w:t>
            </w:r>
            <w:r>
              <w:rPr>
                <w:color w:val="auto"/>
                <w:sz w:val="24"/>
              </w:rPr>
              <w:t>）引起的衰减。在已知距离无指向性点声源参考点 r</w:t>
            </w:r>
            <w:r>
              <w:rPr>
                <w:color w:val="auto"/>
                <w:sz w:val="24"/>
                <w:vertAlign w:val="subscript"/>
              </w:rPr>
              <w:t>0</w:t>
            </w:r>
            <w:r>
              <w:rPr>
                <w:color w:val="auto"/>
                <w:sz w:val="24"/>
              </w:rPr>
              <w:t>处的倍频带（用63Hz到8KHz的8个标称倍频带中心频率）声压级</w:t>
            </w:r>
            <w:r>
              <w:rPr>
                <w:i/>
                <w:color w:val="auto"/>
                <w:sz w:val="24"/>
              </w:rPr>
              <w:t>L</w:t>
            </w:r>
            <w:r>
              <w:rPr>
                <w:i/>
                <w:color w:val="auto"/>
                <w:sz w:val="24"/>
                <w:vertAlign w:val="subscript"/>
              </w:rPr>
              <w:t>p</w:t>
            </w:r>
            <w:r>
              <w:rPr>
                <w:color w:val="auto"/>
                <w:sz w:val="24"/>
              </w:rPr>
              <w:t>(r</w:t>
            </w:r>
            <w:r>
              <w:rPr>
                <w:color w:val="auto"/>
                <w:sz w:val="24"/>
                <w:vertAlign w:val="subscript"/>
              </w:rPr>
              <w:t>0</w:t>
            </w:r>
            <w:r>
              <w:rPr>
                <w:color w:val="auto"/>
                <w:sz w:val="24"/>
              </w:rPr>
              <w:t>)和计算出参考点(r</w:t>
            </w:r>
            <w:r>
              <w:rPr>
                <w:color w:val="auto"/>
                <w:sz w:val="24"/>
                <w:vertAlign w:val="subscript"/>
              </w:rPr>
              <w:t>0</w:t>
            </w:r>
            <w:r>
              <w:rPr>
                <w:color w:val="auto"/>
                <w:sz w:val="24"/>
              </w:rPr>
              <w:t>)和预测点(r)处之间的户外声传播衰减后，预测点8 个倍频带声压级可用下式计算：</w:t>
            </w:r>
          </w:p>
          <w:p>
            <w:pPr>
              <w:spacing w:before="60" w:after="60" w:line="360" w:lineRule="auto"/>
              <w:jc w:val="center"/>
              <w:rPr>
                <w:color w:val="auto"/>
                <w:sz w:val="24"/>
              </w:rPr>
            </w:pPr>
            <w:r>
              <w:rPr>
                <w:color w:val="auto"/>
                <w:position w:val="-14"/>
                <w:sz w:val="24"/>
              </w:rPr>
              <w:object>
                <v:shape id="_x0000_i1030" o:spt="75" type="#_x0000_t75" style="height:19.1pt;width:227.45pt;" o:ole="t" filled="f" o:preferrelative="t" stroked="f" coordsize="21600,21600">
                  <v:path/>
                  <v:fill on="f" focussize="0,0"/>
                  <v:stroke on="f" joinstyle="miter"/>
                  <v:imagedata r:id="rId33" o:title=""/>
                  <o:lock v:ext="edit" aspectratio="t"/>
                  <w10:wrap type="none"/>
                  <w10:anchorlock/>
                </v:shape>
                <o:OLEObject Type="Embed" ProgID="Equation.3" ShapeID="_x0000_i1030" DrawAspect="Content" ObjectID="_1468075730" r:id="rId32">
                  <o:LockedField>false</o:LockedField>
                </o:OLEObject>
              </w:object>
            </w:r>
          </w:p>
          <w:p>
            <w:pPr>
              <w:spacing w:line="360" w:lineRule="auto"/>
              <w:ind w:firstLine="480" w:firstLineChars="200"/>
              <w:rPr>
                <w:color w:val="auto"/>
                <w:sz w:val="24"/>
              </w:rPr>
            </w:pPr>
            <w:r>
              <w:rPr>
                <w:color w:val="auto"/>
                <w:sz w:val="24"/>
              </w:rPr>
              <w:t>b.预测点的A声级</w:t>
            </w:r>
            <w:r>
              <w:rPr>
                <w:i/>
                <w:color w:val="auto"/>
                <w:sz w:val="24"/>
              </w:rPr>
              <w:t>L</w:t>
            </w:r>
            <w:r>
              <w:rPr>
                <w:i/>
                <w:color w:val="auto"/>
                <w:sz w:val="24"/>
                <w:vertAlign w:val="subscript"/>
              </w:rPr>
              <w:t>A</w:t>
            </w:r>
            <w:r>
              <w:rPr>
                <w:color w:val="auto"/>
                <w:sz w:val="24"/>
              </w:rPr>
              <w:t>(r)可按下式计算，即将8个倍频带声压级合成，计算出预测点的A声级(</w:t>
            </w:r>
            <w:r>
              <w:rPr>
                <w:i/>
                <w:color w:val="auto"/>
                <w:sz w:val="24"/>
              </w:rPr>
              <w:t>L</w:t>
            </w:r>
            <w:r>
              <w:rPr>
                <w:i/>
                <w:color w:val="auto"/>
                <w:sz w:val="24"/>
                <w:vertAlign w:val="subscript"/>
              </w:rPr>
              <w:t>A</w:t>
            </w:r>
            <w:r>
              <w:rPr>
                <w:color w:val="auto"/>
                <w:sz w:val="24"/>
              </w:rPr>
              <w:t>(r))。</w:t>
            </w:r>
          </w:p>
          <w:p>
            <w:pPr>
              <w:spacing w:line="360" w:lineRule="auto"/>
              <w:ind w:firstLine="480" w:firstLineChars="200"/>
              <w:jc w:val="center"/>
              <w:rPr>
                <w:color w:val="auto"/>
                <w:sz w:val="24"/>
              </w:rPr>
            </w:pPr>
            <w:r>
              <w:rPr>
                <w:rFonts w:hint="eastAsia"/>
                <w:color w:val="auto"/>
                <w:position w:val="-28"/>
                <w:sz w:val="24"/>
              </w:rPr>
              <w:object>
                <v:shape id="_x0000_i1031" o:spt="75" type="#_x0000_t75" style="height:33.8pt;width:147.8pt;" o:ole="t" filled="f" o:preferrelative="t" stroked="f" coordsize="21600,21600">
                  <v:path/>
                  <v:fill on="f" focussize="0,0"/>
                  <v:stroke on="f" joinstyle="miter"/>
                  <v:imagedata r:id="rId35" o:title=""/>
                  <o:lock v:ext="edit" aspectratio="t"/>
                  <w10:wrap type="none"/>
                  <w10:anchorlock/>
                </v:shape>
                <o:OLEObject Type="Embed" ProgID="Equation.3" ShapeID="_x0000_i1031" DrawAspect="Content" ObjectID="_1468075731" r:id="rId34">
                  <o:LockedField>false</o:LockedField>
                </o:OLEObject>
              </w:object>
            </w:r>
          </w:p>
          <w:p>
            <w:pPr>
              <w:spacing w:line="360" w:lineRule="auto"/>
              <w:ind w:firstLine="480" w:firstLineChars="200"/>
              <w:rPr>
                <w:color w:val="auto"/>
                <w:sz w:val="24"/>
              </w:rPr>
            </w:pPr>
            <w:r>
              <w:rPr>
                <w:color w:val="auto"/>
                <w:sz w:val="24"/>
              </w:rPr>
              <w:t>式中：</w:t>
            </w:r>
            <w:r>
              <w:rPr>
                <w:i/>
                <w:color w:val="auto"/>
                <w:sz w:val="24"/>
              </w:rPr>
              <w:t>L</w:t>
            </w:r>
            <w:r>
              <w:rPr>
                <w:i/>
                <w:color w:val="auto"/>
                <w:sz w:val="24"/>
                <w:vertAlign w:val="subscript"/>
              </w:rPr>
              <w:t xml:space="preserve"> </w:t>
            </w:r>
            <w:r>
              <w:rPr>
                <w:color w:val="auto"/>
                <w:sz w:val="24"/>
                <w:vertAlign w:val="subscript"/>
              </w:rPr>
              <w:t>Pi</w:t>
            </w:r>
            <w:r>
              <w:rPr>
                <w:color w:val="auto"/>
                <w:sz w:val="24"/>
              </w:rPr>
              <w:t xml:space="preserve"> (r)—预测点（r）处，第</w:t>
            </w:r>
            <w:r>
              <w:rPr>
                <w:i/>
                <w:color w:val="auto"/>
                <w:sz w:val="24"/>
              </w:rPr>
              <w:t>i</w:t>
            </w:r>
            <w:r>
              <w:rPr>
                <w:color w:val="auto"/>
                <w:sz w:val="24"/>
              </w:rPr>
              <w:t xml:space="preserve"> 倍频带声压级，dB；</w:t>
            </w:r>
          </w:p>
          <w:p>
            <w:pPr>
              <w:spacing w:line="360" w:lineRule="auto"/>
              <w:ind w:firstLine="1200" w:firstLineChars="500"/>
              <w:rPr>
                <w:color w:val="auto"/>
                <w:sz w:val="24"/>
              </w:rPr>
            </w:pPr>
            <w:r>
              <w:rPr>
                <w:color w:val="auto"/>
                <w:sz w:val="24"/>
              </w:rPr>
              <w:t>Δ</w:t>
            </w:r>
            <w:r>
              <w:rPr>
                <w:i/>
                <w:color w:val="auto"/>
                <w:sz w:val="24"/>
              </w:rPr>
              <w:t>Li</w:t>
            </w:r>
            <w:r>
              <w:rPr>
                <w:color w:val="auto"/>
                <w:sz w:val="24"/>
              </w:rPr>
              <w:t>—第</w:t>
            </w:r>
            <w:r>
              <w:rPr>
                <w:i/>
                <w:color w:val="auto"/>
                <w:sz w:val="24"/>
              </w:rPr>
              <w:t>i</w:t>
            </w:r>
            <w:r>
              <w:rPr>
                <w:color w:val="auto"/>
                <w:sz w:val="24"/>
              </w:rPr>
              <w:t>倍频带的 A计权网络修正值，dB。</w:t>
            </w:r>
          </w:p>
          <w:p>
            <w:pPr>
              <w:spacing w:line="360" w:lineRule="auto"/>
              <w:ind w:firstLine="480" w:firstLineChars="200"/>
              <w:rPr>
                <w:color w:val="auto"/>
                <w:sz w:val="24"/>
              </w:rPr>
            </w:pPr>
            <w:r>
              <w:rPr>
                <w:color w:val="auto"/>
                <w:sz w:val="24"/>
              </w:rPr>
              <w:t>（</w:t>
            </w:r>
            <w:r>
              <w:rPr>
                <w:rFonts w:hint="eastAsia"/>
                <w:color w:val="auto"/>
                <w:sz w:val="24"/>
              </w:rPr>
              <w:t>4</w:t>
            </w:r>
            <w:r>
              <w:rPr>
                <w:color w:val="auto"/>
                <w:sz w:val="24"/>
              </w:rPr>
              <w:t>）预测结果及评价</w:t>
            </w:r>
          </w:p>
          <w:p>
            <w:pPr>
              <w:spacing w:line="360" w:lineRule="auto"/>
              <w:ind w:firstLine="480" w:firstLineChars="200"/>
              <w:rPr>
                <w:color w:val="auto"/>
                <w:sz w:val="24"/>
              </w:rPr>
            </w:pPr>
            <w:r>
              <w:rPr>
                <w:color w:val="auto"/>
                <w:sz w:val="24"/>
              </w:rPr>
              <w:t>选择东、南、西、北四个厂界作为预测点，进行噪声影响预测，具体预测结果见表7-</w:t>
            </w:r>
            <w:r>
              <w:rPr>
                <w:rFonts w:hint="eastAsia"/>
                <w:color w:val="auto"/>
                <w:sz w:val="24"/>
              </w:rPr>
              <w:t>2</w:t>
            </w:r>
            <w:r>
              <w:rPr>
                <w:rFonts w:hint="eastAsia"/>
                <w:color w:val="auto"/>
                <w:sz w:val="24"/>
                <w:lang w:val="en-US" w:eastAsia="zh-CN"/>
              </w:rPr>
              <w:t>3</w:t>
            </w:r>
            <w:r>
              <w:rPr>
                <w:color w:val="auto"/>
                <w:sz w:val="24"/>
              </w:rPr>
              <w:t>。</w:t>
            </w:r>
          </w:p>
          <w:p>
            <w:pPr>
              <w:snapToGrid w:val="0"/>
              <w:jc w:val="center"/>
              <w:rPr>
                <w:b/>
                <w:color w:val="auto"/>
                <w:szCs w:val="21"/>
              </w:rPr>
            </w:pPr>
            <w:r>
              <w:rPr>
                <w:b/>
                <w:color w:val="auto"/>
                <w:szCs w:val="21"/>
              </w:rPr>
              <w:t>表7-</w:t>
            </w:r>
            <w:r>
              <w:rPr>
                <w:rFonts w:hint="eastAsia"/>
                <w:b/>
                <w:color w:val="auto"/>
                <w:szCs w:val="21"/>
              </w:rPr>
              <w:t>2</w:t>
            </w:r>
            <w:r>
              <w:rPr>
                <w:rFonts w:hint="eastAsia"/>
                <w:b/>
                <w:color w:val="auto"/>
                <w:szCs w:val="21"/>
                <w:lang w:val="en-US" w:eastAsia="zh-CN"/>
              </w:rPr>
              <w:t>3</w:t>
            </w:r>
            <w:r>
              <w:rPr>
                <w:b/>
                <w:color w:val="auto"/>
                <w:szCs w:val="21"/>
              </w:rPr>
              <w:t xml:space="preserve"> 项目各声源与厂界</w:t>
            </w:r>
            <w:r>
              <w:rPr>
                <w:rFonts w:hint="eastAsia"/>
                <w:b/>
                <w:color w:val="auto"/>
                <w:szCs w:val="21"/>
                <w:lang w:val="en-US" w:eastAsia="zh-CN"/>
              </w:rPr>
              <w:t>的</w:t>
            </w:r>
            <w:r>
              <w:rPr>
                <w:b/>
                <w:color w:val="auto"/>
                <w:szCs w:val="21"/>
              </w:rPr>
              <w:t>距离</w:t>
            </w:r>
          </w:p>
          <w:tbl>
            <w:tblPr>
              <w:tblStyle w:val="56"/>
              <w:tblW w:w="4998"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961"/>
              <w:gridCol w:w="1274"/>
              <w:gridCol w:w="1382"/>
              <w:gridCol w:w="1144"/>
              <w:gridCol w:w="913"/>
              <w:gridCol w:w="916"/>
              <w:gridCol w:w="973"/>
              <w:gridCol w:w="746"/>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声源位置</w:t>
                  </w:r>
                </w:p>
              </w:tc>
              <w:tc>
                <w:tcPr>
                  <w:tcW w:w="766"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噪声源</w:t>
                  </w:r>
                </w:p>
              </w:tc>
              <w:tc>
                <w:tcPr>
                  <w:tcW w:w="831"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降噪后源强</w:t>
                  </w:r>
                  <w:r>
                    <w:rPr>
                      <w:rFonts w:hint="eastAsia"/>
                      <w:b/>
                      <w:snapToGrid w:val="0"/>
                      <w:color w:val="auto"/>
                      <w:kern w:val="0"/>
                      <w:szCs w:val="21"/>
                    </w:rPr>
                    <w:t>（</w:t>
                  </w:r>
                  <w:r>
                    <w:rPr>
                      <w:b/>
                      <w:color w:val="auto"/>
                      <w:szCs w:val="21"/>
                    </w:rPr>
                    <w:t>dB(A)</w:t>
                  </w:r>
                  <w:r>
                    <w:rPr>
                      <w:rFonts w:hint="eastAsia"/>
                      <w:b/>
                      <w:snapToGrid w:val="0"/>
                      <w:color w:val="auto"/>
                      <w:kern w:val="0"/>
                      <w:szCs w:val="21"/>
                    </w:rPr>
                    <w:t>）</w:t>
                  </w:r>
                </w:p>
              </w:tc>
              <w:tc>
                <w:tcPr>
                  <w:tcW w:w="688"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数量（台/套）</w:t>
                  </w:r>
                </w:p>
              </w:tc>
              <w:tc>
                <w:tcPr>
                  <w:tcW w:w="549"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东厂界</w:t>
                  </w:r>
                </w:p>
                <w:p>
                  <w:pPr>
                    <w:jc w:val="center"/>
                    <w:rPr>
                      <w:b/>
                      <w:snapToGrid w:val="0"/>
                      <w:color w:val="auto"/>
                      <w:kern w:val="0"/>
                      <w:szCs w:val="21"/>
                    </w:rPr>
                  </w:pPr>
                  <w:r>
                    <w:rPr>
                      <w:b/>
                      <w:snapToGrid w:val="0"/>
                      <w:color w:val="auto"/>
                      <w:kern w:val="0"/>
                      <w:szCs w:val="21"/>
                    </w:rPr>
                    <w:t>m</w:t>
                  </w:r>
                </w:p>
              </w:tc>
              <w:tc>
                <w:tcPr>
                  <w:tcW w:w="551"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南厂界</w:t>
                  </w:r>
                </w:p>
                <w:p>
                  <w:pPr>
                    <w:jc w:val="center"/>
                    <w:rPr>
                      <w:b/>
                      <w:snapToGrid w:val="0"/>
                      <w:color w:val="auto"/>
                      <w:kern w:val="0"/>
                      <w:szCs w:val="21"/>
                    </w:rPr>
                  </w:pPr>
                  <w:r>
                    <w:rPr>
                      <w:b/>
                      <w:snapToGrid w:val="0"/>
                      <w:color w:val="auto"/>
                      <w:kern w:val="0"/>
                      <w:szCs w:val="21"/>
                    </w:rPr>
                    <w:t>m</w:t>
                  </w:r>
                </w:p>
              </w:tc>
              <w:tc>
                <w:tcPr>
                  <w:tcW w:w="585"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西厂界</w:t>
                  </w:r>
                </w:p>
                <w:p>
                  <w:pPr>
                    <w:jc w:val="center"/>
                    <w:rPr>
                      <w:b/>
                      <w:snapToGrid w:val="0"/>
                      <w:color w:val="auto"/>
                      <w:kern w:val="0"/>
                      <w:szCs w:val="21"/>
                    </w:rPr>
                  </w:pPr>
                  <w:r>
                    <w:rPr>
                      <w:b/>
                      <w:snapToGrid w:val="0"/>
                      <w:color w:val="auto"/>
                      <w:kern w:val="0"/>
                      <w:szCs w:val="21"/>
                    </w:rPr>
                    <w:t>m</w:t>
                  </w:r>
                </w:p>
              </w:tc>
              <w:tc>
                <w:tcPr>
                  <w:tcW w:w="448"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北厂界</w:t>
                  </w:r>
                </w:p>
                <w:p>
                  <w:pPr>
                    <w:jc w:val="center"/>
                    <w:rPr>
                      <w:b/>
                      <w:snapToGrid w:val="0"/>
                      <w:color w:val="auto"/>
                      <w:kern w:val="0"/>
                      <w:szCs w:val="21"/>
                    </w:rPr>
                  </w:pPr>
                  <w:r>
                    <w:rPr>
                      <w:b/>
                      <w:snapToGrid w:val="0"/>
                      <w:color w:val="auto"/>
                      <w:kern w:val="0"/>
                      <w:szCs w:val="21"/>
                    </w:rPr>
                    <w:t>m</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578" w:type="pct"/>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数控龙门镗铣床</w:t>
                  </w:r>
                </w:p>
              </w:tc>
              <w:tc>
                <w:tcPr>
                  <w:tcW w:w="831" w:type="pct"/>
                  <w:tcMar>
                    <w:top w:w="28" w:type="dxa"/>
                    <w:left w:w="28" w:type="dxa"/>
                    <w:bottom w:w="28" w:type="dxa"/>
                    <w:right w:w="28" w:type="dxa"/>
                  </w:tcMar>
                  <w:vAlign w:val="center"/>
                </w:tcPr>
                <w:p>
                  <w:pPr>
                    <w:keepNext w:val="0"/>
                    <w:keepLines w:val="0"/>
                    <w:widowControl/>
                    <w:suppressLineNumbers w:val="0"/>
                    <w:jc w:val="center"/>
                    <w:textAlignment w:val="bottom"/>
                    <w:rPr>
                      <w:rFonts w:hint="default" w:ascii="Times New Roman" w:hAnsi="Times New Roman" w:cs="Times New Roman" w:eastAsiaTheme="minorEastAsia"/>
                      <w:color w:val="auto"/>
                      <w:spacing w:val="-10"/>
                      <w:kern w:val="0"/>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74.77</w:t>
                  </w:r>
                </w:p>
              </w:tc>
              <w:tc>
                <w:tcPr>
                  <w:tcW w:w="688" w:type="pct"/>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3</w:t>
                  </w:r>
                </w:p>
              </w:tc>
              <w:tc>
                <w:tcPr>
                  <w:tcW w:w="549"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45</w:t>
                  </w:r>
                </w:p>
              </w:tc>
              <w:tc>
                <w:tcPr>
                  <w:tcW w:w="551"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155</w:t>
                  </w:r>
                </w:p>
              </w:tc>
              <w:tc>
                <w:tcPr>
                  <w:tcW w:w="585"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40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eastAsia="zh-CN"/>
                    </w:rPr>
                    <w:t>摇臂钻</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73.01</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2</w:t>
                  </w:r>
                </w:p>
              </w:tc>
              <w:tc>
                <w:tcPr>
                  <w:tcW w:w="549"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45</w:t>
                  </w:r>
                </w:p>
              </w:tc>
              <w:tc>
                <w:tcPr>
                  <w:tcW w:w="551"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130</w:t>
                  </w:r>
                </w:p>
              </w:tc>
              <w:tc>
                <w:tcPr>
                  <w:tcW w:w="585"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65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喷砂</w:t>
                  </w:r>
                  <w:r>
                    <w:rPr>
                      <w:rFonts w:hint="eastAsia"/>
                      <w:color w:val="auto"/>
                      <w:szCs w:val="21"/>
                      <w:lang w:val="en-US" w:eastAsia="zh-CN"/>
                    </w:rPr>
                    <w:t>机</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60</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1</w:t>
                  </w:r>
                </w:p>
              </w:tc>
              <w:tc>
                <w:tcPr>
                  <w:tcW w:w="549" w:type="pct"/>
                  <w:tcMar>
                    <w:top w:w="28" w:type="dxa"/>
                    <w:left w:w="28" w:type="dxa"/>
                    <w:bottom w:w="28" w:type="dxa"/>
                    <w:right w:w="28" w:type="dxa"/>
                  </w:tcMar>
                  <w:vAlign w:val="center"/>
                </w:tcPr>
                <w:p>
                  <w:pPr>
                    <w:jc w:val="center"/>
                    <w:rPr>
                      <w:bCs/>
                      <w:snapToGrid w:val="0"/>
                      <w:color w:val="auto"/>
                      <w:kern w:val="0"/>
                      <w:szCs w:val="21"/>
                    </w:rPr>
                  </w:pPr>
                  <w:r>
                    <w:rPr>
                      <w:rFonts w:hint="eastAsia"/>
                      <w:bCs/>
                      <w:snapToGrid w:val="0"/>
                      <w:color w:val="auto"/>
                      <w:kern w:val="0"/>
                      <w:szCs w:val="21"/>
                      <w:lang w:val="en-US" w:eastAsia="zh-CN"/>
                    </w:rPr>
                    <w:t>45</w:t>
                  </w:r>
                </w:p>
              </w:tc>
              <w:tc>
                <w:tcPr>
                  <w:tcW w:w="551" w:type="pct"/>
                  <w:tcMar>
                    <w:top w:w="28" w:type="dxa"/>
                    <w:left w:w="28" w:type="dxa"/>
                    <w:bottom w:w="28" w:type="dxa"/>
                    <w:right w:w="28" w:type="dxa"/>
                  </w:tcMar>
                  <w:vAlign w:val="center"/>
                </w:tcPr>
                <w:p>
                  <w:pPr>
                    <w:jc w:val="center"/>
                    <w:rPr>
                      <w:rFonts w:hint="default"/>
                      <w:bCs/>
                      <w:snapToGrid w:val="0"/>
                      <w:color w:val="auto"/>
                      <w:kern w:val="0"/>
                      <w:szCs w:val="21"/>
                      <w:lang w:val="en-US"/>
                    </w:rPr>
                  </w:pPr>
                  <w:r>
                    <w:rPr>
                      <w:rFonts w:hint="eastAsia"/>
                      <w:bCs/>
                      <w:snapToGrid w:val="0"/>
                      <w:color w:val="auto"/>
                      <w:kern w:val="0"/>
                      <w:szCs w:val="21"/>
                      <w:lang w:val="en-US" w:eastAsia="zh-CN"/>
                    </w:rPr>
                    <w:t>120</w:t>
                  </w:r>
                </w:p>
              </w:tc>
              <w:tc>
                <w:tcPr>
                  <w:tcW w:w="585" w:type="pct"/>
                  <w:tcMar>
                    <w:top w:w="28" w:type="dxa"/>
                    <w:left w:w="28" w:type="dxa"/>
                    <w:bottom w:w="28" w:type="dxa"/>
                    <w:right w:w="28" w:type="dxa"/>
                  </w:tcMar>
                  <w:vAlign w:val="center"/>
                </w:tcPr>
                <w:p>
                  <w:pPr>
                    <w:jc w:val="center"/>
                    <w:rPr>
                      <w:bCs/>
                      <w:snapToGrid w:val="0"/>
                      <w:color w:val="auto"/>
                      <w:kern w:val="0"/>
                      <w:szCs w:val="21"/>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bCs/>
                      <w:snapToGrid w:val="0"/>
                      <w:color w:val="auto"/>
                      <w:kern w:val="0"/>
                      <w:szCs w:val="21"/>
                      <w:lang w:val="en-US"/>
                    </w:rPr>
                  </w:pPr>
                  <w:r>
                    <w:rPr>
                      <w:rFonts w:hint="eastAsia"/>
                      <w:bCs/>
                      <w:snapToGrid w:val="0"/>
                      <w:color w:val="auto"/>
                      <w:kern w:val="0"/>
                      <w:szCs w:val="21"/>
                      <w:lang w:val="en-US" w:eastAsia="zh-CN"/>
                    </w:rPr>
                    <w:t>75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抛丸机</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60</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1</w:t>
                  </w:r>
                </w:p>
              </w:tc>
              <w:tc>
                <w:tcPr>
                  <w:tcW w:w="549" w:type="pct"/>
                  <w:tcMar>
                    <w:top w:w="28" w:type="dxa"/>
                    <w:left w:w="28" w:type="dxa"/>
                    <w:bottom w:w="28" w:type="dxa"/>
                    <w:right w:w="28" w:type="dxa"/>
                  </w:tcMar>
                  <w:vAlign w:val="center"/>
                </w:tcPr>
                <w:p>
                  <w:pPr>
                    <w:jc w:val="center"/>
                    <w:rPr>
                      <w:bCs/>
                      <w:snapToGrid w:val="0"/>
                      <w:color w:val="auto"/>
                      <w:kern w:val="0"/>
                      <w:szCs w:val="21"/>
                    </w:rPr>
                  </w:pPr>
                  <w:r>
                    <w:rPr>
                      <w:rFonts w:hint="eastAsia"/>
                      <w:bCs/>
                      <w:snapToGrid w:val="0"/>
                      <w:color w:val="auto"/>
                      <w:kern w:val="0"/>
                      <w:szCs w:val="21"/>
                      <w:lang w:val="en-US" w:eastAsia="zh-CN"/>
                    </w:rPr>
                    <w:t>45</w:t>
                  </w:r>
                </w:p>
              </w:tc>
              <w:tc>
                <w:tcPr>
                  <w:tcW w:w="551" w:type="pct"/>
                  <w:tcMar>
                    <w:top w:w="28" w:type="dxa"/>
                    <w:left w:w="28" w:type="dxa"/>
                    <w:bottom w:w="28" w:type="dxa"/>
                    <w:right w:w="28" w:type="dxa"/>
                  </w:tcMar>
                  <w:vAlign w:val="center"/>
                </w:tcPr>
                <w:p>
                  <w:pPr>
                    <w:jc w:val="center"/>
                    <w:rPr>
                      <w:rFonts w:hint="default"/>
                      <w:bCs/>
                      <w:snapToGrid w:val="0"/>
                      <w:color w:val="auto"/>
                      <w:kern w:val="0"/>
                      <w:szCs w:val="21"/>
                      <w:lang w:val="en-US"/>
                    </w:rPr>
                  </w:pPr>
                  <w:r>
                    <w:rPr>
                      <w:rFonts w:hint="eastAsia"/>
                      <w:bCs/>
                      <w:snapToGrid w:val="0"/>
                      <w:color w:val="auto"/>
                      <w:kern w:val="0"/>
                      <w:szCs w:val="21"/>
                      <w:lang w:val="en-US" w:eastAsia="zh-CN"/>
                    </w:rPr>
                    <w:t>105</w:t>
                  </w:r>
                </w:p>
              </w:tc>
              <w:tc>
                <w:tcPr>
                  <w:tcW w:w="585" w:type="pct"/>
                  <w:tcMar>
                    <w:top w:w="28" w:type="dxa"/>
                    <w:left w:w="28" w:type="dxa"/>
                    <w:bottom w:w="28" w:type="dxa"/>
                    <w:right w:w="28" w:type="dxa"/>
                  </w:tcMar>
                  <w:vAlign w:val="center"/>
                </w:tcPr>
                <w:p>
                  <w:pPr>
                    <w:jc w:val="center"/>
                    <w:rPr>
                      <w:bCs/>
                      <w:snapToGrid w:val="0"/>
                      <w:color w:val="auto"/>
                      <w:kern w:val="0"/>
                      <w:szCs w:val="21"/>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bCs/>
                      <w:snapToGrid w:val="0"/>
                      <w:color w:val="auto"/>
                      <w:kern w:val="0"/>
                      <w:szCs w:val="21"/>
                      <w:lang w:val="en-US"/>
                    </w:rPr>
                  </w:pPr>
                  <w:r>
                    <w:rPr>
                      <w:rFonts w:hint="eastAsia"/>
                      <w:bCs/>
                      <w:snapToGrid w:val="0"/>
                      <w:color w:val="auto"/>
                      <w:kern w:val="0"/>
                      <w:szCs w:val="21"/>
                      <w:lang w:val="en-US" w:eastAsia="zh-CN"/>
                    </w:rPr>
                    <w:t>84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喷锌机</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55</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1</w:t>
                  </w:r>
                </w:p>
              </w:tc>
              <w:tc>
                <w:tcPr>
                  <w:tcW w:w="549"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25</w:t>
                  </w:r>
                </w:p>
              </w:tc>
              <w:tc>
                <w:tcPr>
                  <w:tcW w:w="551"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130</w:t>
                  </w:r>
                </w:p>
              </w:tc>
              <w:tc>
                <w:tcPr>
                  <w:tcW w:w="585"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cs="Times New Roman"/>
                      <w:bCs/>
                      <w:snapToGrid w:val="0"/>
                      <w:color w:val="auto"/>
                      <w:kern w:val="0"/>
                      <w:sz w:val="21"/>
                      <w:szCs w:val="21"/>
                      <w:lang w:val="en-US" w:eastAsia="zh-CN" w:bidi="ar-SA"/>
                    </w:rPr>
                    <w:t>85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喷枪</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56.02</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4</w:t>
                  </w:r>
                </w:p>
              </w:tc>
              <w:tc>
                <w:tcPr>
                  <w:tcW w:w="549"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25</w:t>
                  </w:r>
                </w:p>
              </w:tc>
              <w:tc>
                <w:tcPr>
                  <w:tcW w:w="551"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110</w:t>
                  </w:r>
                </w:p>
              </w:tc>
              <w:tc>
                <w:tcPr>
                  <w:tcW w:w="585"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86</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default" w:eastAsia="宋体"/>
                      <w:color w:val="auto"/>
                      <w:szCs w:val="21"/>
                      <w:lang w:val="en-US" w:eastAsia="zh-CN"/>
                    </w:rPr>
                  </w:pPr>
                  <w:r>
                    <w:rPr>
                      <w:rFonts w:hint="eastAsia"/>
                      <w:color w:val="auto"/>
                      <w:szCs w:val="21"/>
                      <w:lang w:val="en-US" w:eastAsia="zh-CN"/>
                    </w:rPr>
                    <w:t>空压机组</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65</w:t>
                  </w:r>
                </w:p>
              </w:tc>
              <w:tc>
                <w:tcPr>
                  <w:tcW w:w="688" w:type="pct"/>
                  <w:tcMar>
                    <w:top w:w="28" w:type="dxa"/>
                    <w:left w:w="28" w:type="dxa"/>
                    <w:bottom w:w="28" w:type="dxa"/>
                    <w:right w:w="28" w:type="dxa"/>
                  </w:tcMar>
                  <w:vAlign w:val="center"/>
                </w:tcPr>
                <w:p>
                  <w:pPr>
                    <w:widowControl/>
                    <w:jc w:val="center"/>
                    <w:textAlignment w:val="center"/>
                    <w:rPr>
                      <w:rFonts w:hint="eastAsia" w:eastAsia="宋体"/>
                      <w:bCs/>
                      <w:snapToGrid w:val="0"/>
                      <w:color w:val="auto"/>
                      <w:kern w:val="0"/>
                      <w:szCs w:val="21"/>
                      <w:lang w:val="en-US" w:eastAsia="zh-CN"/>
                    </w:rPr>
                  </w:pPr>
                  <w:r>
                    <w:rPr>
                      <w:rFonts w:hint="eastAsia"/>
                      <w:bCs/>
                      <w:snapToGrid w:val="0"/>
                      <w:color w:val="auto"/>
                      <w:kern w:val="0"/>
                      <w:szCs w:val="21"/>
                      <w:lang w:val="en-US" w:eastAsia="zh-CN"/>
                    </w:rPr>
                    <w:t>1</w:t>
                  </w:r>
                </w:p>
              </w:tc>
              <w:tc>
                <w:tcPr>
                  <w:tcW w:w="549"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45</w:t>
                  </w:r>
                </w:p>
              </w:tc>
              <w:tc>
                <w:tcPr>
                  <w:tcW w:w="551"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155</w:t>
                  </w:r>
                </w:p>
              </w:tc>
              <w:tc>
                <w:tcPr>
                  <w:tcW w:w="585"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40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66" w:type="pct"/>
                  <w:tcMar>
                    <w:top w:w="28" w:type="dxa"/>
                    <w:left w:w="28" w:type="dxa"/>
                    <w:bottom w:w="28" w:type="dxa"/>
                    <w:right w:w="28" w:type="dxa"/>
                  </w:tcMar>
                  <w:vAlign w:val="center"/>
                </w:tcPr>
                <w:p>
                  <w:pPr>
                    <w:widowControl/>
                    <w:jc w:val="center"/>
                    <w:textAlignment w:val="center"/>
                    <w:rPr>
                      <w:rFonts w:hint="eastAsia" w:eastAsia="宋体"/>
                      <w:color w:val="auto"/>
                      <w:szCs w:val="21"/>
                      <w:lang w:val="en-US" w:eastAsia="zh-CN"/>
                    </w:rPr>
                  </w:pPr>
                  <w:r>
                    <w:rPr>
                      <w:rFonts w:hint="eastAsia"/>
                      <w:color w:val="auto"/>
                      <w:szCs w:val="21"/>
                      <w:lang w:val="en-US" w:eastAsia="zh-CN"/>
                    </w:rPr>
                    <w:t>风机</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75</w:t>
                  </w:r>
                </w:p>
              </w:tc>
              <w:tc>
                <w:tcPr>
                  <w:tcW w:w="688" w:type="pct"/>
                  <w:tcMar>
                    <w:top w:w="28" w:type="dxa"/>
                    <w:left w:w="28" w:type="dxa"/>
                    <w:bottom w:w="28" w:type="dxa"/>
                    <w:right w:w="28" w:type="dxa"/>
                  </w:tcMar>
                  <w:vAlign w:val="center"/>
                </w:tcPr>
                <w:p>
                  <w:pPr>
                    <w:widowControl/>
                    <w:jc w:val="center"/>
                    <w:textAlignment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10</w:t>
                  </w:r>
                </w:p>
              </w:tc>
              <w:tc>
                <w:tcPr>
                  <w:tcW w:w="549"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20</w:t>
                  </w:r>
                </w:p>
              </w:tc>
              <w:tc>
                <w:tcPr>
                  <w:tcW w:w="551"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110</w:t>
                  </w:r>
                </w:p>
              </w:tc>
              <w:tc>
                <w:tcPr>
                  <w:tcW w:w="585"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40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8" w:type="pct"/>
                  <w:tcMar>
                    <w:top w:w="28" w:type="dxa"/>
                    <w:left w:w="28" w:type="dxa"/>
                    <w:bottom w:w="28" w:type="dxa"/>
                    <w:right w:w="28" w:type="dxa"/>
                  </w:tcMar>
                  <w:vAlign w:val="center"/>
                </w:tcPr>
                <w:p>
                  <w:pPr>
                    <w:widowControl/>
                    <w:jc w:val="center"/>
                    <w:textAlignment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生产车间</w:t>
                  </w:r>
                </w:p>
              </w:tc>
              <w:tc>
                <w:tcPr>
                  <w:tcW w:w="766" w:type="pct"/>
                  <w:tcMar>
                    <w:top w:w="28" w:type="dxa"/>
                    <w:left w:w="28" w:type="dxa"/>
                    <w:bottom w:w="28" w:type="dxa"/>
                    <w:right w:w="28" w:type="dxa"/>
                  </w:tcMar>
                  <w:vAlign w:val="center"/>
                </w:tcPr>
                <w:p>
                  <w:pPr>
                    <w:widowControl/>
                    <w:jc w:val="center"/>
                    <w:textAlignment w:val="center"/>
                    <w:rPr>
                      <w:rFonts w:hint="eastAsia"/>
                      <w:color w:val="auto"/>
                      <w:szCs w:val="21"/>
                      <w:lang w:val="en-US" w:eastAsia="zh-CN"/>
                    </w:rPr>
                  </w:pPr>
                  <w:r>
                    <w:rPr>
                      <w:rFonts w:hint="eastAsia"/>
                      <w:bCs/>
                      <w:snapToGrid w:val="0"/>
                      <w:color w:val="auto"/>
                      <w:kern w:val="0"/>
                      <w:szCs w:val="21"/>
                      <w:lang w:val="en-US" w:eastAsia="zh-CN"/>
                    </w:rPr>
                    <w:t>水泵</w:t>
                  </w:r>
                </w:p>
              </w:tc>
              <w:tc>
                <w:tcPr>
                  <w:tcW w:w="831" w:type="pct"/>
                  <w:tcMar>
                    <w:top w:w="28" w:type="dxa"/>
                    <w:left w:w="28" w:type="dxa"/>
                    <w:bottom w:w="28" w:type="dxa"/>
                    <w:right w:w="28" w:type="dxa"/>
                  </w:tcMar>
                  <w:vAlign w:val="bottom"/>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70</w:t>
                  </w:r>
                </w:p>
              </w:tc>
              <w:tc>
                <w:tcPr>
                  <w:tcW w:w="688" w:type="pct"/>
                  <w:tcMar>
                    <w:top w:w="28" w:type="dxa"/>
                    <w:left w:w="28" w:type="dxa"/>
                    <w:bottom w:w="28" w:type="dxa"/>
                    <w:right w:w="28" w:type="dxa"/>
                  </w:tcMar>
                  <w:vAlign w:val="center"/>
                </w:tcPr>
                <w:p>
                  <w:pPr>
                    <w:widowControl/>
                    <w:jc w:val="center"/>
                    <w:textAlignment w:val="center"/>
                    <w:rPr>
                      <w:rFonts w:hint="default"/>
                      <w:bCs/>
                      <w:snapToGrid w:val="0"/>
                      <w:color w:val="auto"/>
                      <w:kern w:val="0"/>
                      <w:szCs w:val="21"/>
                      <w:lang w:val="en-US" w:eastAsia="zh-CN"/>
                    </w:rPr>
                  </w:pPr>
                  <w:r>
                    <w:rPr>
                      <w:rFonts w:hint="eastAsia"/>
                      <w:bCs/>
                      <w:snapToGrid w:val="0"/>
                      <w:color w:val="auto"/>
                      <w:kern w:val="0"/>
                      <w:szCs w:val="21"/>
                      <w:lang w:val="en-US" w:eastAsia="zh-CN"/>
                    </w:rPr>
                    <w:t>1</w:t>
                  </w:r>
                </w:p>
              </w:tc>
              <w:tc>
                <w:tcPr>
                  <w:tcW w:w="549"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43</w:t>
                  </w:r>
                </w:p>
              </w:tc>
              <w:tc>
                <w:tcPr>
                  <w:tcW w:w="551"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135</w:t>
                  </w:r>
                </w:p>
              </w:tc>
              <w:tc>
                <w:tcPr>
                  <w:tcW w:w="585"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30</w:t>
                  </w:r>
                </w:p>
              </w:tc>
              <w:tc>
                <w:tcPr>
                  <w:tcW w:w="448" w:type="pct"/>
                  <w:tcMar>
                    <w:top w:w="28" w:type="dxa"/>
                    <w:left w:w="28" w:type="dxa"/>
                    <w:bottom w:w="28" w:type="dxa"/>
                    <w:right w:w="28" w:type="dxa"/>
                  </w:tcMar>
                  <w:vAlign w:val="center"/>
                </w:tcPr>
                <w:p>
                  <w:pPr>
                    <w:jc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68</w:t>
                  </w:r>
                </w:p>
              </w:tc>
            </w:tr>
          </w:tbl>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p>
          <w:p>
            <w:pPr>
              <w:snapToGrid w:val="0"/>
              <w:jc w:val="center"/>
              <w:rPr>
                <w:b/>
                <w:color w:val="auto"/>
                <w:szCs w:val="21"/>
              </w:rPr>
            </w:pPr>
            <w:r>
              <w:rPr>
                <w:b/>
                <w:color w:val="auto"/>
                <w:szCs w:val="21"/>
              </w:rPr>
              <w:t>表7-</w:t>
            </w:r>
            <w:r>
              <w:rPr>
                <w:rFonts w:hint="eastAsia"/>
                <w:b/>
                <w:color w:val="auto"/>
                <w:szCs w:val="21"/>
              </w:rPr>
              <w:t>2</w:t>
            </w:r>
            <w:r>
              <w:rPr>
                <w:rFonts w:hint="eastAsia"/>
                <w:b/>
                <w:color w:val="auto"/>
                <w:szCs w:val="21"/>
                <w:lang w:val="en-US" w:eastAsia="zh-CN"/>
              </w:rPr>
              <w:t>4</w:t>
            </w:r>
            <w:r>
              <w:rPr>
                <w:b/>
                <w:color w:val="auto"/>
                <w:szCs w:val="21"/>
              </w:rPr>
              <w:t>项目厂界</w:t>
            </w:r>
            <w:r>
              <w:rPr>
                <w:rFonts w:hint="eastAsia"/>
                <w:b/>
                <w:color w:val="auto"/>
                <w:szCs w:val="21"/>
              </w:rPr>
              <w:t>、敏感点</w:t>
            </w:r>
            <w:r>
              <w:rPr>
                <w:b/>
                <w:color w:val="auto"/>
                <w:szCs w:val="21"/>
              </w:rPr>
              <w:t>噪声影响预测一览表（单位：dB(A)）</w:t>
            </w:r>
          </w:p>
          <w:tbl>
            <w:tblPr>
              <w:tblStyle w:val="56"/>
              <w:tblW w:w="4998"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949"/>
              <w:gridCol w:w="876"/>
              <w:gridCol w:w="404"/>
              <w:gridCol w:w="878"/>
              <w:gridCol w:w="753"/>
              <w:gridCol w:w="949"/>
              <w:gridCol w:w="875"/>
              <w:gridCol w:w="875"/>
              <w:gridCol w:w="875"/>
              <w:gridCol w:w="875"/>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571"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声源位置</w:t>
                  </w:r>
                </w:p>
              </w:tc>
              <w:tc>
                <w:tcPr>
                  <w:tcW w:w="770" w:type="pct"/>
                  <w:gridSpan w:val="2"/>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噪声源</w:t>
                  </w:r>
                </w:p>
              </w:tc>
              <w:tc>
                <w:tcPr>
                  <w:tcW w:w="528"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数量</w:t>
                  </w:r>
                </w:p>
                <w:p>
                  <w:pPr>
                    <w:jc w:val="center"/>
                    <w:rPr>
                      <w:b/>
                      <w:snapToGrid w:val="0"/>
                      <w:color w:val="auto"/>
                      <w:kern w:val="0"/>
                      <w:szCs w:val="21"/>
                    </w:rPr>
                  </w:pPr>
                  <w:r>
                    <w:rPr>
                      <w:b/>
                      <w:snapToGrid w:val="0"/>
                      <w:color w:val="auto"/>
                      <w:kern w:val="0"/>
                      <w:szCs w:val="21"/>
                    </w:rPr>
                    <w:t>（台/套）</w:t>
                  </w:r>
                </w:p>
              </w:tc>
              <w:tc>
                <w:tcPr>
                  <w:tcW w:w="453"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多台噪声值</w:t>
                  </w:r>
                </w:p>
              </w:tc>
              <w:tc>
                <w:tcPr>
                  <w:tcW w:w="569"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降噪后源强</w:t>
                  </w:r>
                </w:p>
              </w:tc>
              <w:tc>
                <w:tcPr>
                  <w:tcW w:w="526"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东厂界</w:t>
                  </w:r>
                </w:p>
              </w:tc>
              <w:tc>
                <w:tcPr>
                  <w:tcW w:w="526"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南厂界</w:t>
                  </w:r>
                </w:p>
              </w:tc>
              <w:tc>
                <w:tcPr>
                  <w:tcW w:w="526" w:type="pct"/>
                  <w:tcMar>
                    <w:top w:w="28" w:type="dxa"/>
                    <w:left w:w="28" w:type="dxa"/>
                    <w:bottom w:w="28" w:type="dxa"/>
                    <w:right w:w="28" w:type="dxa"/>
                  </w:tcMar>
                  <w:vAlign w:val="center"/>
                </w:tcPr>
                <w:p>
                  <w:pPr>
                    <w:jc w:val="center"/>
                    <w:rPr>
                      <w:b/>
                      <w:snapToGrid w:val="0"/>
                      <w:color w:val="auto"/>
                      <w:kern w:val="0"/>
                      <w:szCs w:val="21"/>
                    </w:rPr>
                  </w:pPr>
                  <w:r>
                    <w:rPr>
                      <w:b/>
                      <w:snapToGrid w:val="0"/>
                      <w:color w:val="auto"/>
                      <w:kern w:val="0"/>
                      <w:szCs w:val="21"/>
                    </w:rPr>
                    <w:t>西厂界</w:t>
                  </w:r>
                </w:p>
              </w:tc>
              <w:tc>
                <w:tcPr>
                  <w:tcW w:w="526" w:type="pct"/>
                  <w:tcMar>
                    <w:top w:w="28" w:type="dxa"/>
                    <w:left w:w="28" w:type="dxa"/>
                    <w:bottom w:w="28" w:type="dxa"/>
                    <w:right w:w="28" w:type="dxa"/>
                  </w:tcMar>
                  <w:vAlign w:val="center"/>
                </w:tcPr>
                <w:p>
                  <w:pPr>
                    <w:jc w:val="center"/>
                    <w:rPr>
                      <w:bCs/>
                      <w:snapToGrid w:val="0"/>
                      <w:color w:val="auto"/>
                      <w:kern w:val="0"/>
                      <w:szCs w:val="21"/>
                    </w:rPr>
                  </w:pPr>
                  <w:r>
                    <w:rPr>
                      <w:b/>
                      <w:snapToGrid w:val="0"/>
                      <w:color w:val="auto"/>
                      <w:kern w:val="0"/>
                      <w:szCs w:val="21"/>
                    </w:rPr>
                    <w:t>北厂界</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color w:val="auto"/>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color w:val="auto"/>
                      <w:szCs w:val="21"/>
                    </w:rPr>
                  </w:pPr>
                  <w:r>
                    <w:rPr>
                      <w:rFonts w:hint="eastAsia"/>
                      <w:color w:val="auto"/>
                      <w:szCs w:val="21"/>
                      <w:lang w:eastAsia="zh-CN"/>
                    </w:rPr>
                    <w:t>数控龙门镗铣床</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3</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pacing w:val="-10"/>
                      <w:kern w:val="0"/>
                      <w:szCs w:val="21"/>
                      <w:lang w:val="en-US" w:eastAsia="zh-CN"/>
                    </w:rPr>
                    <w:t>99.77</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74.77</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41.7</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31.0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45.2</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42.7</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olor w:val="auto"/>
                      <w:szCs w:val="21"/>
                      <w:lang w:eastAsia="zh-CN"/>
                    </w:rPr>
                    <w:t>摇臂钻</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2</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pacing w:val="-10"/>
                      <w:kern w:val="0"/>
                      <w:szCs w:val="21"/>
                      <w:lang w:val="en-US" w:eastAsia="zh-CN"/>
                    </w:rPr>
                    <w:t>98.01</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73.01</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39.9</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30.7</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43.5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36.8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olor w:val="auto"/>
                      <w:szCs w:val="21"/>
                      <w:lang w:eastAsia="zh-CN"/>
                    </w:rPr>
                    <w:t>喷砂</w:t>
                  </w:r>
                  <w:r>
                    <w:rPr>
                      <w:rFonts w:hint="eastAsia"/>
                      <w:color w:val="auto"/>
                      <w:szCs w:val="21"/>
                      <w:lang w:val="en-US" w:eastAsia="zh-CN"/>
                    </w:rPr>
                    <w:t>机</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w:t>
                  </w:r>
                </w:p>
              </w:tc>
              <w:tc>
                <w:tcPr>
                  <w:tcW w:w="453" w:type="pct"/>
                  <w:shd w:val="clear" w:color="auto" w:fill="auto"/>
                  <w:tcMar>
                    <w:top w:w="28" w:type="dxa"/>
                    <w:left w:w="28" w:type="dxa"/>
                    <w:bottom w:w="28" w:type="dxa"/>
                    <w:right w:w="28" w:type="dxa"/>
                  </w:tcMar>
                  <w:vAlign w:val="center"/>
                </w:tcPr>
                <w:p>
                  <w:pPr>
                    <w:pStyle w:val="174"/>
                    <w:spacing w:line="240" w:lineRule="auto"/>
                    <w:jc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zCs w:val="21"/>
                      <w:lang w:val="en-US" w:eastAsia="zh-CN"/>
                    </w:rPr>
                    <w:t>90</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ascii="Times New Roman" w:hAnsi="Times New Roman" w:cs="Times New Roman" w:eastAsiaTheme="minorEastAsia"/>
                      <w:color w:val="auto"/>
                      <w:spacing w:val="-10"/>
                      <w:kern w:val="0"/>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60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26.9</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18.4</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30.5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22.5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olor w:val="auto"/>
                      <w:szCs w:val="21"/>
                      <w:lang w:val="en-US" w:eastAsia="zh-CN"/>
                    </w:rPr>
                    <w:t>抛丸机</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w:t>
                  </w:r>
                </w:p>
              </w:tc>
              <w:tc>
                <w:tcPr>
                  <w:tcW w:w="453" w:type="pct"/>
                  <w:shd w:val="clear" w:color="auto" w:fill="auto"/>
                  <w:tcMar>
                    <w:top w:w="28" w:type="dxa"/>
                    <w:left w:w="28" w:type="dxa"/>
                    <w:bottom w:w="28" w:type="dxa"/>
                    <w:right w:w="28" w:type="dxa"/>
                  </w:tcMar>
                  <w:vAlign w:val="center"/>
                </w:tcPr>
                <w:p>
                  <w:pPr>
                    <w:pStyle w:val="174"/>
                    <w:spacing w:line="240" w:lineRule="auto"/>
                    <w:jc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zCs w:val="21"/>
                      <w:lang w:val="en-US" w:eastAsia="zh-CN"/>
                    </w:rPr>
                    <w:t>90</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ascii="Times New Roman" w:hAnsi="Times New Roman" w:cs="Times New Roman" w:eastAsiaTheme="minorEastAsia"/>
                      <w:color w:val="auto"/>
                      <w:spacing w:val="-10"/>
                      <w:kern w:val="0"/>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60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26.9</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19.6</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30.5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21.5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s="Times New Roman"/>
                      <w:color w:val="auto"/>
                      <w:kern w:val="2"/>
                      <w:sz w:val="21"/>
                      <w:szCs w:val="21"/>
                      <w:lang w:val="en-US" w:eastAsia="zh-CN" w:bidi="ar-SA"/>
                    </w:rPr>
                    <w:t>喷锌机</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w:t>
                  </w:r>
                </w:p>
              </w:tc>
              <w:tc>
                <w:tcPr>
                  <w:tcW w:w="453" w:type="pct"/>
                  <w:shd w:val="clear" w:color="auto" w:fill="auto"/>
                  <w:tcMar>
                    <w:top w:w="28" w:type="dxa"/>
                    <w:left w:w="28" w:type="dxa"/>
                    <w:bottom w:w="28" w:type="dxa"/>
                    <w:right w:w="28" w:type="dxa"/>
                  </w:tcMar>
                  <w:vAlign w:val="center"/>
                </w:tcPr>
                <w:p>
                  <w:pPr>
                    <w:pStyle w:val="174"/>
                    <w:spacing w:line="240" w:lineRule="auto"/>
                    <w:jc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zCs w:val="21"/>
                      <w:lang w:val="en-US" w:eastAsia="zh-CN"/>
                    </w:rPr>
                    <w:t>85</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ascii="Times New Roman" w:hAnsi="Times New Roman" w:cs="Times New Roman" w:eastAsiaTheme="minorEastAsia"/>
                      <w:color w:val="auto"/>
                      <w:spacing w:val="-10"/>
                      <w:kern w:val="0"/>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55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27.0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12.7</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25.5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16.4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s="Times New Roman"/>
                      <w:color w:val="auto"/>
                      <w:kern w:val="2"/>
                      <w:sz w:val="21"/>
                      <w:szCs w:val="21"/>
                      <w:lang w:val="en-US" w:eastAsia="zh-CN" w:bidi="ar-SA"/>
                    </w:rPr>
                    <w:t>喷枪</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4</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pacing w:val="-10"/>
                      <w:kern w:val="0"/>
                      <w:szCs w:val="21"/>
                      <w:lang w:val="en-US" w:eastAsia="zh-CN"/>
                    </w:rPr>
                    <w:t>86.02</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56.02</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28.1</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15.2</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26.5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17.3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olor w:val="auto"/>
                      <w:szCs w:val="21"/>
                      <w:lang w:val="en-US" w:eastAsia="zh-CN"/>
                    </w:rPr>
                    <w:t>空压机组</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eastAsia"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pacing w:val="-10"/>
                      <w:kern w:val="0"/>
                      <w:szCs w:val="21"/>
                      <w:lang w:val="en-US" w:eastAsia="zh-CN"/>
                    </w:rPr>
                    <w:t>90</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65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31.9</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21.2</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35.5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33.0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bCs/>
                      <w:snapToGrid w:val="0"/>
                      <w:color w:val="auto"/>
                      <w:kern w:val="0"/>
                      <w:szCs w:val="21"/>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bCs/>
                      <w:snapToGrid w:val="0"/>
                      <w:color w:val="auto"/>
                      <w:kern w:val="0"/>
                      <w:szCs w:val="21"/>
                    </w:rPr>
                  </w:pPr>
                  <w:r>
                    <w:rPr>
                      <w:rFonts w:hint="eastAsia"/>
                      <w:color w:val="auto"/>
                      <w:szCs w:val="21"/>
                      <w:lang w:val="en-US" w:eastAsia="zh-CN"/>
                    </w:rPr>
                    <w:t>风机</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eastAsia="宋体" w:cs="Times New Roman"/>
                      <w:bCs/>
                      <w:snapToGrid w:val="0"/>
                      <w:color w:val="auto"/>
                      <w:kern w:val="0"/>
                      <w:sz w:val="21"/>
                      <w:szCs w:val="21"/>
                      <w:lang w:val="en-US" w:eastAsia="zh-CN" w:bidi="ar-SA"/>
                    </w:rPr>
                  </w:pPr>
                  <w:r>
                    <w:rPr>
                      <w:rFonts w:hint="eastAsia"/>
                      <w:bCs/>
                      <w:snapToGrid w:val="0"/>
                      <w:color w:val="auto"/>
                      <w:kern w:val="0"/>
                      <w:szCs w:val="21"/>
                      <w:lang w:val="en-US" w:eastAsia="zh-CN"/>
                    </w:rPr>
                    <w:t>10</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ascii="Times New Roman" w:hAnsi="Times New Roman" w:cs="Times New Roman" w:eastAsiaTheme="minorEastAsia"/>
                      <w:color w:val="auto"/>
                      <w:spacing w:val="-10"/>
                      <w:kern w:val="0"/>
                      <w:sz w:val="21"/>
                      <w:szCs w:val="21"/>
                      <w:lang w:val="en-US" w:eastAsia="zh-CN" w:bidi="ar-SA"/>
                    </w:rPr>
                  </w:pPr>
                  <w:r>
                    <w:rPr>
                      <w:rFonts w:hint="eastAsia" w:eastAsiaTheme="minorEastAsia"/>
                      <w:color w:val="auto"/>
                      <w:spacing w:val="-10"/>
                      <w:kern w:val="0"/>
                      <w:szCs w:val="21"/>
                      <w:lang w:val="en-US" w:eastAsia="zh-CN"/>
                    </w:rPr>
                    <w:t>100</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75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49.0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34.2</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45.5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43.0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571" w:type="pct"/>
                  <w:shd w:val="clear" w:color="auto" w:fill="auto"/>
                  <w:tcMar>
                    <w:top w:w="28" w:type="dxa"/>
                    <w:left w:w="28" w:type="dxa"/>
                    <w:bottom w:w="28" w:type="dxa"/>
                    <w:right w:w="28" w:type="dxa"/>
                  </w:tcMar>
                  <w:vAlign w:val="center"/>
                </w:tcPr>
                <w:p>
                  <w:pPr>
                    <w:widowControl/>
                    <w:jc w:val="center"/>
                    <w:textAlignment w:val="center"/>
                    <w:rPr>
                      <w:rFonts w:hint="default" w:eastAsia="宋体"/>
                      <w:bCs/>
                      <w:snapToGrid w:val="0"/>
                      <w:color w:val="auto"/>
                      <w:kern w:val="0"/>
                      <w:szCs w:val="21"/>
                      <w:lang w:val="en-US" w:eastAsia="zh-CN"/>
                    </w:rPr>
                  </w:pPr>
                  <w:r>
                    <w:rPr>
                      <w:rFonts w:hint="eastAsia"/>
                      <w:bCs/>
                      <w:snapToGrid w:val="0"/>
                      <w:color w:val="auto"/>
                      <w:kern w:val="0"/>
                      <w:szCs w:val="21"/>
                      <w:lang w:val="en-US" w:eastAsia="zh-CN"/>
                    </w:rPr>
                    <w:t>生产车间</w:t>
                  </w:r>
                </w:p>
              </w:tc>
              <w:tc>
                <w:tcPr>
                  <w:tcW w:w="770" w:type="pct"/>
                  <w:gridSpan w:val="2"/>
                  <w:shd w:val="clear" w:color="auto" w:fill="auto"/>
                  <w:tcMar>
                    <w:top w:w="28" w:type="dxa"/>
                    <w:left w:w="28" w:type="dxa"/>
                    <w:bottom w:w="28" w:type="dxa"/>
                    <w:right w:w="28" w:type="dxa"/>
                  </w:tcMar>
                  <w:vAlign w:val="center"/>
                </w:tcPr>
                <w:p>
                  <w:pPr>
                    <w:widowControl/>
                    <w:jc w:val="center"/>
                    <w:textAlignment w:val="center"/>
                    <w:rPr>
                      <w:rFonts w:hint="default"/>
                      <w:color w:val="auto"/>
                      <w:szCs w:val="21"/>
                      <w:lang w:val="en-US" w:eastAsia="zh-CN"/>
                    </w:rPr>
                  </w:pPr>
                  <w:r>
                    <w:rPr>
                      <w:rFonts w:hint="eastAsia"/>
                      <w:color w:val="auto"/>
                      <w:szCs w:val="21"/>
                      <w:lang w:val="en-US" w:eastAsia="zh-CN"/>
                    </w:rPr>
                    <w:t>水泵</w:t>
                  </w:r>
                </w:p>
              </w:tc>
              <w:tc>
                <w:tcPr>
                  <w:tcW w:w="528" w:type="pct"/>
                  <w:shd w:val="clear" w:color="auto" w:fill="auto"/>
                  <w:tcMar>
                    <w:top w:w="28" w:type="dxa"/>
                    <w:left w:w="28" w:type="dxa"/>
                    <w:bottom w:w="28" w:type="dxa"/>
                    <w:right w:w="28" w:type="dxa"/>
                  </w:tcMar>
                  <w:vAlign w:val="center"/>
                </w:tcPr>
                <w:p>
                  <w:pPr>
                    <w:widowControl/>
                    <w:jc w:val="center"/>
                    <w:textAlignment w:val="center"/>
                    <w:rPr>
                      <w:rFonts w:hint="default"/>
                      <w:bCs/>
                      <w:snapToGrid w:val="0"/>
                      <w:color w:val="auto"/>
                      <w:kern w:val="0"/>
                      <w:szCs w:val="21"/>
                      <w:lang w:val="en-US" w:eastAsia="zh-CN"/>
                    </w:rPr>
                  </w:pPr>
                  <w:r>
                    <w:rPr>
                      <w:rFonts w:hint="eastAsia"/>
                      <w:bCs/>
                      <w:snapToGrid w:val="0"/>
                      <w:color w:val="auto"/>
                      <w:kern w:val="0"/>
                      <w:szCs w:val="21"/>
                      <w:lang w:val="en-US" w:eastAsia="zh-CN"/>
                    </w:rPr>
                    <w:t>1</w:t>
                  </w:r>
                </w:p>
              </w:tc>
              <w:tc>
                <w:tcPr>
                  <w:tcW w:w="453" w:type="pct"/>
                  <w:shd w:val="clear" w:color="auto" w:fill="auto"/>
                  <w:tcMar>
                    <w:top w:w="28" w:type="dxa"/>
                    <w:left w:w="28" w:type="dxa"/>
                    <w:bottom w:w="28" w:type="dxa"/>
                    <w:right w:w="28" w:type="dxa"/>
                  </w:tcMar>
                  <w:vAlign w:val="center"/>
                </w:tcPr>
                <w:p>
                  <w:pPr>
                    <w:widowControl/>
                    <w:jc w:val="center"/>
                    <w:textAlignment w:val="center"/>
                    <w:rPr>
                      <w:rFonts w:hint="default" w:eastAsiaTheme="minorEastAsia"/>
                      <w:color w:val="auto"/>
                      <w:spacing w:val="-10"/>
                      <w:kern w:val="0"/>
                      <w:szCs w:val="21"/>
                      <w:lang w:val="en-US" w:eastAsia="zh-CN"/>
                    </w:rPr>
                  </w:pPr>
                  <w:r>
                    <w:rPr>
                      <w:rFonts w:hint="eastAsia" w:eastAsiaTheme="minorEastAsia"/>
                      <w:color w:val="auto"/>
                      <w:spacing w:val="-10"/>
                      <w:kern w:val="0"/>
                      <w:szCs w:val="21"/>
                      <w:lang w:val="en-US" w:eastAsia="zh-CN"/>
                    </w:rPr>
                    <w:t>95</w:t>
                  </w:r>
                </w:p>
              </w:tc>
              <w:tc>
                <w:tcPr>
                  <w:tcW w:w="569" w:type="pct"/>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hint="default" w:eastAsiaTheme="minorEastAsia"/>
                      <w:color w:val="auto"/>
                      <w:spacing w:val="-10"/>
                      <w:kern w:val="0"/>
                      <w:szCs w:val="21"/>
                      <w:lang w:val="en-US" w:eastAsia="zh-CN"/>
                    </w:rPr>
                  </w:pPr>
                  <w:r>
                    <w:rPr>
                      <w:rFonts w:hint="default" w:ascii="Times New Roman" w:hAnsi="Times New Roman" w:eastAsia="宋体" w:cs="Times New Roman"/>
                      <w:i w:val="0"/>
                      <w:color w:val="auto"/>
                      <w:kern w:val="0"/>
                      <w:sz w:val="21"/>
                      <w:szCs w:val="21"/>
                      <w:u w:val="none"/>
                      <w:lang w:val="en-US" w:eastAsia="zh-CN" w:bidi="ar"/>
                    </w:rPr>
                    <w:t>70</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37.3</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27.4</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40.5</w:t>
                  </w:r>
                </w:p>
              </w:tc>
              <w:tc>
                <w:tcPr>
                  <w:tcW w:w="875" w:type="dxa"/>
                  <w:shd w:val="clear" w:color="auto" w:fill="auto"/>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default" w:ascii="Times New Roman" w:hAnsi="Times New Roman" w:eastAsia="宋体" w:cs="Times New Roman"/>
                      <w:i w:val="0"/>
                      <w:color w:val="auto"/>
                      <w:kern w:val="0"/>
                      <w:sz w:val="21"/>
                      <w:szCs w:val="21"/>
                      <w:u w:val="none"/>
                      <w:lang w:val="en-US" w:eastAsia="zh-CN" w:bidi="ar"/>
                    </w:rPr>
                    <w:t>33.3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2893" w:type="pct"/>
                  <w:gridSpan w:val="6"/>
                  <w:tcMar>
                    <w:top w:w="28" w:type="dxa"/>
                    <w:left w:w="28" w:type="dxa"/>
                    <w:bottom w:w="28" w:type="dxa"/>
                    <w:right w:w="28" w:type="dxa"/>
                  </w:tcMar>
                  <w:vAlign w:val="center"/>
                </w:tcPr>
                <w:p>
                  <w:pPr>
                    <w:jc w:val="center"/>
                    <w:rPr>
                      <w:color w:val="auto"/>
                      <w:spacing w:val="-10"/>
                      <w:kern w:val="0"/>
                      <w:szCs w:val="21"/>
                    </w:rPr>
                  </w:pPr>
                  <w:r>
                    <w:rPr>
                      <w:color w:val="auto"/>
                      <w:spacing w:val="-10"/>
                      <w:kern w:val="0"/>
                      <w:szCs w:val="21"/>
                    </w:rPr>
                    <w:t>影响预测值</w:t>
                  </w:r>
                </w:p>
              </w:tc>
              <w:tc>
                <w:tcPr>
                  <w:tcW w:w="875" w:type="dxa"/>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eastAsia" w:ascii="Times New Roman" w:hAnsi="Times New Roman" w:eastAsia="宋体" w:cs="Times New Roman"/>
                      <w:i w:val="0"/>
                      <w:color w:val="auto"/>
                      <w:kern w:val="0"/>
                      <w:sz w:val="21"/>
                      <w:szCs w:val="21"/>
                      <w:u w:val="none"/>
                      <w:lang w:val="en-US" w:eastAsia="zh-CN" w:bidi="ar"/>
                    </w:rPr>
                    <w:t>50.5</w:t>
                  </w:r>
                </w:p>
              </w:tc>
              <w:tc>
                <w:tcPr>
                  <w:tcW w:w="875" w:type="dxa"/>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eastAsia" w:ascii="Times New Roman" w:hAnsi="Times New Roman" w:eastAsia="宋体" w:cs="Times New Roman"/>
                      <w:i w:val="0"/>
                      <w:color w:val="auto"/>
                      <w:kern w:val="0"/>
                      <w:sz w:val="21"/>
                      <w:szCs w:val="21"/>
                      <w:u w:val="none"/>
                      <w:lang w:val="en-US" w:eastAsia="zh-CN" w:bidi="ar"/>
                    </w:rPr>
                    <w:t>37.7</w:t>
                  </w:r>
                </w:p>
              </w:tc>
              <w:tc>
                <w:tcPr>
                  <w:tcW w:w="875" w:type="dxa"/>
                  <w:tcMar>
                    <w:top w:w="28" w:type="dxa"/>
                    <w:left w:w="28" w:type="dxa"/>
                    <w:bottom w:w="28" w:type="dxa"/>
                    <w:right w:w="28" w:type="dxa"/>
                  </w:tcMar>
                  <w:vAlign w:val="center"/>
                </w:tcPr>
                <w:p>
                  <w:pPr>
                    <w:keepNext w:val="0"/>
                    <w:keepLines w:val="0"/>
                    <w:widowControl/>
                    <w:suppressLineNumbers w:val="0"/>
                    <w:jc w:val="center"/>
                    <w:textAlignment w:val="bottom"/>
                    <w:rPr>
                      <w:rFonts w:eastAsiaTheme="minorEastAsia"/>
                      <w:color w:val="auto"/>
                      <w:spacing w:val="-10"/>
                      <w:kern w:val="0"/>
                      <w:szCs w:val="21"/>
                    </w:rPr>
                  </w:pPr>
                  <w:r>
                    <w:rPr>
                      <w:rFonts w:hint="eastAsia" w:ascii="Times New Roman" w:hAnsi="Times New Roman" w:eastAsia="宋体" w:cs="Times New Roman"/>
                      <w:i w:val="0"/>
                      <w:color w:val="auto"/>
                      <w:kern w:val="0"/>
                      <w:sz w:val="21"/>
                      <w:szCs w:val="21"/>
                      <w:u w:val="none"/>
                      <w:lang w:val="en-US" w:eastAsia="zh-CN" w:bidi="ar"/>
                    </w:rPr>
                    <w:t>50.3</w:t>
                  </w:r>
                </w:p>
              </w:tc>
              <w:tc>
                <w:tcPr>
                  <w:tcW w:w="875" w:type="dxa"/>
                  <w:vAlign w:val="center"/>
                </w:tcPr>
                <w:p>
                  <w:pPr>
                    <w:keepNext w:val="0"/>
                    <w:keepLines w:val="0"/>
                    <w:widowControl/>
                    <w:suppressLineNumbers w:val="0"/>
                    <w:jc w:val="center"/>
                    <w:textAlignment w:val="bottom"/>
                    <w:rPr>
                      <w:rFonts w:eastAsiaTheme="minorEastAsia"/>
                      <w:color w:val="auto"/>
                      <w:spacing w:val="-10"/>
                      <w:kern w:val="0"/>
                      <w:szCs w:val="21"/>
                    </w:rPr>
                  </w:pPr>
                  <w:r>
                    <w:rPr>
                      <w:rFonts w:hint="eastAsia" w:ascii="Times New Roman" w:hAnsi="Times New Roman" w:eastAsia="宋体" w:cs="Times New Roman"/>
                      <w:i w:val="0"/>
                      <w:color w:val="auto"/>
                      <w:kern w:val="0"/>
                      <w:sz w:val="21"/>
                      <w:szCs w:val="21"/>
                      <w:u w:val="none"/>
                      <w:lang w:val="en-US" w:eastAsia="zh-CN" w:bidi="ar"/>
                    </w:rPr>
                    <w:t>46.8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1098" w:type="pct"/>
                  <w:gridSpan w:val="2"/>
                  <w:tcMar>
                    <w:top w:w="28" w:type="dxa"/>
                    <w:left w:w="28" w:type="dxa"/>
                    <w:bottom w:w="28" w:type="dxa"/>
                    <w:right w:w="28" w:type="dxa"/>
                  </w:tcMar>
                  <w:vAlign w:val="center"/>
                </w:tcPr>
                <w:p>
                  <w:pPr>
                    <w:jc w:val="center"/>
                    <w:rPr>
                      <w:snapToGrid w:val="0"/>
                      <w:color w:val="auto"/>
                      <w:kern w:val="0"/>
                      <w:szCs w:val="21"/>
                    </w:rPr>
                  </w:pPr>
                  <w:r>
                    <w:rPr>
                      <w:snapToGrid w:val="0"/>
                      <w:color w:val="auto"/>
                      <w:kern w:val="0"/>
                      <w:szCs w:val="21"/>
                    </w:rPr>
                    <w:t>背景值</w:t>
                  </w:r>
                </w:p>
              </w:tc>
              <w:tc>
                <w:tcPr>
                  <w:tcW w:w="1795" w:type="pct"/>
                  <w:gridSpan w:val="4"/>
                  <w:vAlign w:val="center"/>
                </w:tcPr>
                <w:p>
                  <w:pPr>
                    <w:jc w:val="center"/>
                    <w:rPr>
                      <w:snapToGrid w:val="0"/>
                      <w:color w:val="auto"/>
                      <w:kern w:val="0"/>
                      <w:szCs w:val="21"/>
                    </w:rPr>
                  </w:pPr>
                  <w:r>
                    <w:rPr>
                      <w:snapToGrid w:val="0"/>
                      <w:color w:val="auto"/>
                      <w:kern w:val="0"/>
                      <w:szCs w:val="21"/>
                    </w:rPr>
                    <w:t>昼间</w:t>
                  </w:r>
                </w:p>
              </w:tc>
              <w:tc>
                <w:tcPr>
                  <w:tcW w:w="526" w:type="pct"/>
                  <w:tcMar>
                    <w:top w:w="28" w:type="dxa"/>
                    <w:left w:w="28" w:type="dxa"/>
                    <w:bottom w:w="28" w:type="dxa"/>
                    <w:right w:w="28" w:type="dxa"/>
                  </w:tcMar>
                  <w:vAlign w:val="center"/>
                </w:tcPr>
                <w:p>
                  <w:pPr>
                    <w:widowControl/>
                    <w:jc w:val="center"/>
                    <w:textAlignment w:val="center"/>
                    <w:rPr>
                      <w:rFonts w:hint="default" w:eastAsia="宋体"/>
                      <w:color w:val="auto"/>
                      <w:spacing w:val="-10"/>
                      <w:kern w:val="0"/>
                      <w:szCs w:val="21"/>
                      <w:lang w:val="en-US" w:eastAsia="zh-CN"/>
                    </w:rPr>
                  </w:pPr>
                  <w:r>
                    <w:rPr>
                      <w:rFonts w:hint="eastAsia"/>
                      <w:color w:val="auto"/>
                      <w:spacing w:val="-10"/>
                      <w:kern w:val="0"/>
                      <w:szCs w:val="21"/>
                      <w:lang w:val="en-US" w:eastAsia="zh-CN"/>
                    </w:rPr>
                    <w:t>55</w:t>
                  </w:r>
                </w:p>
              </w:tc>
              <w:tc>
                <w:tcPr>
                  <w:tcW w:w="526" w:type="pct"/>
                  <w:tcMar>
                    <w:top w:w="28" w:type="dxa"/>
                    <w:left w:w="28" w:type="dxa"/>
                    <w:bottom w:w="28" w:type="dxa"/>
                    <w:right w:w="28" w:type="dxa"/>
                  </w:tcMar>
                  <w:vAlign w:val="center"/>
                </w:tcPr>
                <w:p>
                  <w:pPr>
                    <w:widowControl/>
                    <w:jc w:val="center"/>
                    <w:textAlignment w:val="top"/>
                    <w:rPr>
                      <w:rFonts w:hint="default" w:eastAsia="宋体"/>
                      <w:color w:val="auto"/>
                      <w:spacing w:val="-10"/>
                      <w:kern w:val="0"/>
                      <w:szCs w:val="21"/>
                      <w:lang w:val="en-US" w:eastAsia="zh-CN"/>
                    </w:rPr>
                  </w:pPr>
                  <w:r>
                    <w:rPr>
                      <w:rFonts w:hint="eastAsia"/>
                      <w:color w:val="auto"/>
                      <w:spacing w:val="-10"/>
                      <w:kern w:val="0"/>
                      <w:szCs w:val="21"/>
                      <w:lang w:val="en-US" w:eastAsia="zh-CN"/>
                    </w:rPr>
                    <w:t>54</w:t>
                  </w:r>
                </w:p>
              </w:tc>
              <w:tc>
                <w:tcPr>
                  <w:tcW w:w="526" w:type="pct"/>
                  <w:tcMar>
                    <w:top w:w="28" w:type="dxa"/>
                    <w:left w:w="28" w:type="dxa"/>
                    <w:bottom w:w="28" w:type="dxa"/>
                    <w:right w:w="28" w:type="dxa"/>
                  </w:tcMar>
                  <w:vAlign w:val="center"/>
                </w:tcPr>
                <w:p>
                  <w:pPr>
                    <w:widowControl/>
                    <w:jc w:val="center"/>
                    <w:textAlignment w:val="bottom"/>
                    <w:rPr>
                      <w:rFonts w:hint="default" w:eastAsia="宋体"/>
                      <w:color w:val="auto"/>
                      <w:spacing w:val="-10"/>
                      <w:kern w:val="0"/>
                      <w:szCs w:val="21"/>
                      <w:lang w:val="en-US" w:eastAsia="zh-CN"/>
                    </w:rPr>
                  </w:pPr>
                  <w:r>
                    <w:rPr>
                      <w:rFonts w:hint="eastAsia"/>
                      <w:color w:val="auto"/>
                      <w:spacing w:val="-10"/>
                      <w:kern w:val="0"/>
                      <w:szCs w:val="21"/>
                      <w:lang w:val="en-US" w:eastAsia="zh-CN"/>
                    </w:rPr>
                    <w:t>54</w:t>
                  </w:r>
                </w:p>
              </w:tc>
              <w:tc>
                <w:tcPr>
                  <w:tcW w:w="526" w:type="pct"/>
                  <w:vAlign w:val="center"/>
                </w:tcPr>
                <w:p>
                  <w:pPr>
                    <w:widowControl/>
                    <w:jc w:val="center"/>
                    <w:textAlignment w:val="top"/>
                    <w:rPr>
                      <w:rFonts w:hint="default" w:eastAsia="宋体"/>
                      <w:color w:val="auto"/>
                      <w:spacing w:val="-10"/>
                      <w:kern w:val="0"/>
                      <w:szCs w:val="21"/>
                      <w:lang w:val="en-US" w:eastAsia="zh-CN"/>
                    </w:rPr>
                  </w:pPr>
                  <w:r>
                    <w:rPr>
                      <w:rFonts w:hint="eastAsia"/>
                      <w:color w:val="auto"/>
                      <w:spacing w:val="-10"/>
                      <w:kern w:val="0"/>
                      <w:szCs w:val="21"/>
                      <w:lang w:val="en-US" w:eastAsia="zh-CN"/>
                    </w:rPr>
                    <w:t>53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1098" w:type="pct"/>
                  <w:gridSpan w:val="2"/>
                  <w:shd w:val="clear" w:color="auto" w:fill="auto"/>
                  <w:tcMar>
                    <w:top w:w="28" w:type="dxa"/>
                    <w:left w:w="28" w:type="dxa"/>
                    <w:bottom w:w="28" w:type="dxa"/>
                    <w:right w:w="28" w:type="dxa"/>
                  </w:tcMar>
                  <w:vAlign w:val="center"/>
                </w:tcPr>
                <w:p>
                  <w:pPr>
                    <w:jc w:val="center"/>
                    <w:rPr>
                      <w:snapToGrid w:val="0"/>
                      <w:color w:val="auto"/>
                      <w:kern w:val="0"/>
                      <w:szCs w:val="21"/>
                    </w:rPr>
                  </w:pPr>
                  <w:r>
                    <w:rPr>
                      <w:snapToGrid w:val="0"/>
                      <w:color w:val="auto"/>
                      <w:kern w:val="0"/>
                      <w:szCs w:val="21"/>
                    </w:rPr>
                    <w:t>叠加值</w:t>
                  </w:r>
                </w:p>
              </w:tc>
              <w:tc>
                <w:tcPr>
                  <w:tcW w:w="1795" w:type="pct"/>
                  <w:gridSpan w:val="4"/>
                  <w:shd w:val="clear" w:color="auto" w:fill="auto"/>
                  <w:vAlign w:val="center"/>
                </w:tcPr>
                <w:p>
                  <w:pPr>
                    <w:jc w:val="center"/>
                    <w:rPr>
                      <w:snapToGrid w:val="0"/>
                      <w:color w:val="auto"/>
                      <w:kern w:val="0"/>
                      <w:szCs w:val="21"/>
                    </w:rPr>
                  </w:pPr>
                  <w:r>
                    <w:rPr>
                      <w:snapToGrid w:val="0"/>
                      <w:color w:val="auto"/>
                      <w:kern w:val="0"/>
                      <w:szCs w:val="21"/>
                    </w:rPr>
                    <w:t>昼间</w:t>
                  </w:r>
                </w:p>
              </w:tc>
              <w:tc>
                <w:tcPr>
                  <w:tcW w:w="526" w:type="pct"/>
                  <w:shd w:val="clear" w:color="auto" w:fill="D9D9D9"/>
                  <w:tcMar>
                    <w:top w:w="28" w:type="dxa"/>
                    <w:left w:w="28" w:type="dxa"/>
                    <w:bottom w:w="28" w:type="dxa"/>
                    <w:right w:w="28" w:type="dxa"/>
                  </w:tcMar>
                  <w:vAlign w:val="center"/>
                </w:tcPr>
                <w:p>
                  <w:pPr>
                    <w:widowControl/>
                    <w:jc w:val="center"/>
                    <w:textAlignment w:val="center"/>
                    <w:rPr>
                      <w:rFonts w:hint="default" w:eastAsia="宋体"/>
                      <w:color w:val="auto"/>
                      <w:spacing w:val="-10"/>
                      <w:kern w:val="0"/>
                      <w:szCs w:val="21"/>
                      <w:lang w:val="en-US" w:eastAsia="zh-CN"/>
                    </w:rPr>
                  </w:pPr>
                  <w:r>
                    <w:rPr>
                      <w:rFonts w:hint="eastAsia"/>
                      <w:color w:val="auto"/>
                      <w:spacing w:val="-10"/>
                      <w:kern w:val="0"/>
                      <w:szCs w:val="21"/>
                      <w:lang w:val="en-US" w:eastAsia="zh-CN"/>
                    </w:rPr>
                    <w:t>56.3</w:t>
                  </w:r>
                </w:p>
              </w:tc>
              <w:tc>
                <w:tcPr>
                  <w:tcW w:w="526" w:type="pct"/>
                  <w:shd w:val="clear" w:color="auto" w:fill="D9D9D9"/>
                  <w:tcMar>
                    <w:top w:w="28" w:type="dxa"/>
                    <w:left w:w="28" w:type="dxa"/>
                    <w:bottom w:w="28" w:type="dxa"/>
                    <w:right w:w="28" w:type="dxa"/>
                  </w:tcMar>
                  <w:vAlign w:val="center"/>
                </w:tcPr>
                <w:p>
                  <w:pPr>
                    <w:widowControl/>
                    <w:jc w:val="center"/>
                    <w:textAlignment w:val="center"/>
                    <w:rPr>
                      <w:rFonts w:hint="default" w:eastAsia="宋体"/>
                      <w:color w:val="auto"/>
                      <w:spacing w:val="-10"/>
                      <w:kern w:val="0"/>
                      <w:szCs w:val="21"/>
                      <w:lang w:val="en-US" w:eastAsia="zh-CN"/>
                    </w:rPr>
                  </w:pPr>
                  <w:r>
                    <w:rPr>
                      <w:rFonts w:hint="eastAsia"/>
                      <w:color w:val="auto"/>
                      <w:spacing w:val="-10"/>
                      <w:kern w:val="0"/>
                      <w:szCs w:val="21"/>
                      <w:lang w:val="en-US" w:eastAsia="zh-CN"/>
                    </w:rPr>
                    <w:t>54.1</w:t>
                  </w:r>
                </w:p>
              </w:tc>
              <w:tc>
                <w:tcPr>
                  <w:tcW w:w="526" w:type="pct"/>
                  <w:shd w:val="clear" w:color="auto" w:fill="D9D9D9"/>
                  <w:tcMar>
                    <w:top w:w="28" w:type="dxa"/>
                    <w:left w:w="28" w:type="dxa"/>
                    <w:bottom w:w="28" w:type="dxa"/>
                    <w:right w:w="28" w:type="dxa"/>
                  </w:tcMar>
                  <w:vAlign w:val="center"/>
                </w:tcPr>
                <w:p>
                  <w:pPr>
                    <w:widowControl/>
                    <w:jc w:val="center"/>
                    <w:textAlignment w:val="center"/>
                    <w:rPr>
                      <w:rFonts w:hint="default" w:eastAsia="宋体"/>
                      <w:color w:val="auto"/>
                      <w:spacing w:val="-10"/>
                      <w:kern w:val="0"/>
                      <w:szCs w:val="21"/>
                      <w:lang w:val="en-US" w:eastAsia="zh-CN"/>
                    </w:rPr>
                  </w:pPr>
                  <w:r>
                    <w:rPr>
                      <w:rFonts w:hint="eastAsia"/>
                      <w:color w:val="auto"/>
                      <w:spacing w:val="-10"/>
                      <w:kern w:val="0"/>
                      <w:szCs w:val="21"/>
                      <w:lang w:val="en-US" w:eastAsia="zh-CN"/>
                    </w:rPr>
                    <w:t>55.5</w:t>
                  </w:r>
                </w:p>
              </w:tc>
              <w:tc>
                <w:tcPr>
                  <w:tcW w:w="526" w:type="pct"/>
                  <w:shd w:val="clear" w:color="auto" w:fill="D9D9D9"/>
                  <w:vAlign w:val="center"/>
                </w:tcPr>
                <w:p>
                  <w:pPr>
                    <w:widowControl/>
                    <w:jc w:val="center"/>
                    <w:textAlignment w:val="center"/>
                    <w:rPr>
                      <w:rFonts w:hint="default" w:eastAsia="宋体"/>
                      <w:color w:val="auto"/>
                      <w:spacing w:val="-10"/>
                      <w:kern w:val="0"/>
                      <w:szCs w:val="21"/>
                      <w:lang w:val="en-US" w:eastAsia="zh-CN"/>
                    </w:rPr>
                  </w:pPr>
                  <w:r>
                    <w:rPr>
                      <w:rFonts w:hint="eastAsia"/>
                      <w:color w:val="auto"/>
                      <w:spacing w:val="-10"/>
                      <w:kern w:val="0"/>
                      <w:szCs w:val="21"/>
                      <w:lang w:val="en-US" w:eastAsia="zh-CN"/>
                    </w:rPr>
                    <w:t>53.9</w:t>
                  </w:r>
                </w:p>
              </w:tc>
            </w:tr>
          </w:tbl>
          <w:p>
            <w:pPr>
              <w:ind w:firstLine="412" w:firstLineChars="200"/>
              <w:rPr>
                <w:color w:val="auto"/>
                <w:spacing w:val="-2"/>
                <w:sz w:val="24"/>
                <w:szCs w:val="24"/>
              </w:rPr>
            </w:pPr>
            <w:r>
              <w:rPr>
                <w:b/>
                <w:color w:val="auto"/>
                <w:spacing w:val="-2"/>
                <w:szCs w:val="24"/>
              </w:rPr>
              <w:t>注：本项目夜间不生产，因此本次仅预测昼间的叠加值；现状背景值选监测最大值。</w:t>
            </w:r>
          </w:p>
          <w:p>
            <w:pPr>
              <w:adjustRightInd w:val="0"/>
              <w:snapToGrid w:val="0"/>
              <w:spacing w:line="360" w:lineRule="auto"/>
              <w:ind w:firstLine="480" w:firstLineChars="200"/>
              <w:rPr>
                <w:rFonts w:hint="eastAsia"/>
                <w:color w:val="auto"/>
                <w:sz w:val="24"/>
                <w:szCs w:val="24"/>
              </w:rPr>
            </w:pPr>
            <w:r>
              <w:rPr>
                <w:rFonts w:hint="eastAsia"/>
                <w:color w:val="auto"/>
                <w:sz w:val="24"/>
                <w:szCs w:val="24"/>
              </w:rPr>
              <w:t>根据表7-2</w:t>
            </w:r>
            <w:r>
              <w:rPr>
                <w:rFonts w:hint="eastAsia"/>
                <w:color w:val="auto"/>
                <w:sz w:val="24"/>
                <w:szCs w:val="24"/>
                <w:lang w:val="en-US" w:eastAsia="zh-CN"/>
              </w:rPr>
              <w:t>4</w:t>
            </w:r>
            <w:r>
              <w:rPr>
                <w:rFonts w:hint="eastAsia"/>
                <w:color w:val="auto"/>
                <w:sz w:val="24"/>
                <w:szCs w:val="24"/>
              </w:rPr>
              <w:t>可知，在采取相应的隔声减振措施后，本项目营运时厂界噪声排放均满足《工业企业厂界环境噪声排放标准》（GB12348-2008）中</w:t>
            </w:r>
            <w:r>
              <w:rPr>
                <w:rFonts w:hint="eastAsia"/>
                <w:color w:val="auto"/>
                <w:sz w:val="24"/>
                <w:szCs w:val="24"/>
                <w:lang w:val="en-US" w:eastAsia="zh-CN"/>
              </w:rPr>
              <w:t>2</w:t>
            </w:r>
            <w:r>
              <w:rPr>
                <w:rFonts w:hint="eastAsia"/>
                <w:color w:val="auto"/>
                <w:sz w:val="24"/>
                <w:szCs w:val="24"/>
              </w:rPr>
              <w:t>类区限值（即昼间≤6</w:t>
            </w:r>
            <w:r>
              <w:rPr>
                <w:rFonts w:hint="eastAsia"/>
                <w:color w:val="auto"/>
                <w:sz w:val="24"/>
                <w:szCs w:val="24"/>
                <w:lang w:val="en-US" w:eastAsia="zh-CN"/>
              </w:rPr>
              <w:t>0</w:t>
            </w:r>
            <w:r>
              <w:rPr>
                <w:rFonts w:hint="eastAsia"/>
                <w:color w:val="auto"/>
                <w:sz w:val="24"/>
                <w:szCs w:val="24"/>
              </w:rPr>
              <w:t>dB(A)）。因此，在采取相应措施后，本项目营运期对厂界声环境影响较小。</w:t>
            </w:r>
          </w:p>
          <w:p>
            <w:pPr>
              <w:spacing w:line="360" w:lineRule="auto"/>
              <w:ind w:firstLine="480" w:firstLineChars="200"/>
              <w:rPr>
                <w:b/>
                <w:color w:val="auto"/>
                <w:sz w:val="24"/>
              </w:rPr>
            </w:pPr>
            <w:r>
              <w:rPr>
                <w:b/>
                <w:color w:val="auto"/>
                <w:sz w:val="24"/>
              </w:rPr>
              <w:t>4、固废影响分析</w:t>
            </w:r>
          </w:p>
          <w:p>
            <w:pPr>
              <w:spacing w:line="360" w:lineRule="auto"/>
              <w:ind w:firstLine="480" w:firstLineChars="200"/>
              <w:rPr>
                <w:b/>
                <w:color w:val="auto"/>
                <w:sz w:val="24"/>
              </w:rPr>
            </w:pPr>
            <w:r>
              <w:rPr>
                <w:rFonts w:hint="eastAsia"/>
                <w:b/>
                <w:color w:val="auto"/>
                <w:sz w:val="24"/>
              </w:rPr>
              <w:t>（1）</w:t>
            </w:r>
            <w:r>
              <w:rPr>
                <w:b/>
                <w:color w:val="auto"/>
                <w:sz w:val="24"/>
              </w:rPr>
              <w:t>固体废物产生以及处置</w:t>
            </w:r>
            <w:r>
              <w:rPr>
                <w:rFonts w:hint="eastAsia"/>
                <w:b/>
                <w:color w:val="auto"/>
                <w:sz w:val="24"/>
              </w:rPr>
              <w:t>情况</w:t>
            </w:r>
          </w:p>
          <w:p>
            <w:pPr>
              <w:adjustRightInd w:val="0"/>
              <w:snapToGrid w:val="0"/>
              <w:spacing w:line="360" w:lineRule="auto"/>
              <w:ind w:firstLine="480" w:firstLineChars="200"/>
              <w:rPr>
                <w:color w:val="auto"/>
                <w:sz w:val="24"/>
                <w:szCs w:val="24"/>
              </w:rPr>
            </w:pPr>
            <w:r>
              <w:rPr>
                <w:rFonts w:hint="eastAsia"/>
                <w:color w:val="auto"/>
                <w:sz w:val="24"/>
                <w:szCs w:val="24"/>
              </w:rPr>
              <w:t>本项目生产运行期产生的固废主要为镗铣粗加工工序、打孔工序和精加工工序产生的S1-1废边角料、W1-1废切削液、W1-2废导轨润滑油；清洗工序产生的S1-2废渣；喷砂和抛丸工序产生的S1-3废砂、S1-4废铁丸、S1-5收集的加工粉尘；喷塑工序产生的S2-1废塑粉；喷锌工序产生的S3-1锌颗粒物、废锌丝；喷漆工序产生的S4-1漆渣、S4-2含漆废物；喷枪清洗工序产生的W4-1含漆废液；喷塑、喷漆废气处理工序产生的废活性炭W5-1、废过滤棉W5-2；原料拆封工序产生的废包装桶W5-3、W5-4及员工过程中产生的W5-4废劳保用品（废含油抹布、手套等）和生活垃圾。</w:t>
            </w:r>
            <w:r>
              <w:rPr>
                <w:color w:val="auto"/>
                <w:sz w:val="24"/>
                <w:szCs w:val="24"/>
              </w:rPr>
              <w:t>本项目设有一般固废仓库</w:t>
            </w:r>
            <w:r>
              <w:rPr>
                <w:rFonts w:hint="eastAsia"/>
                <w:color w:val="auto"/>
                <w:sz w:val="24"/>
                <w:szCs w:val="24"/>
              </w:rPr>
              <w:t>1</w:t>
            </w:r>
            <w:r>
              <w:rPr>
                <w:color w:val="auto"/>
                <w:sz w:val="24"/>
                <w:szCs w:val="24"/>
              </w:rPr>
              <w:t>处（建筑面积为</w:t>
            </w:r>
            <w:r>
              <w:rPr>
                <w:rFonts w:hint="eastAsia"/>
                <w:color w:val="auto"/>
                <w:sz w:val="24"/>
                <w:szCs w:val="24"/>
                <w:lang w:val="en-US" w:eastAsia="zh-CN"/>
              </w:rPr>
              <w:t>20</w:t>
            </w:r>
            <w:r>
              <w:rPr>
                <w:bCs/>
                <w:color w:val="auto"/>
                <w:sz w:val="24"/>
                <w:szCs w:val="24"/>
              </w:rPr>
              <w:t>m</w:t>
            </w:r>
            <w:r>
              <w:rPr>
                <w:bCs/>
                <w:color w:val="auto"/>
                <w:sz w:val="24"/>
                <w:szCs w:val="24"/>
                <w:vertAlign w:val="superscript"/>
              </w:rPr>
              <w:t>2</w:t>
            </w:r>
            <w:r>
              <w:rPr>
                <w:color w:val="auto"/>
                <w:sz w:val="24"/>
                <w:szCs w:val="24"/>
              </w:rPr>
              <w:t>）</w:t>
            </w:r>
            <w:r>
              <w:rPr>
                <w:rFonts w:hint="eastAsia"/>
                <w:color w:val="auto"/>
                <w:sz w:val="24"/>
                <w:szCs w:val="24"/>
              </w:rPr>
              <w:t>和危废仓库1处（建筑面积</w:t>
            </w:r>
            <w:r>
              <w:rPr>
                <w:rFonts w:hint="eastAsia"/>
                <w:color w:val="auto"/>
                <w:sz w:val="24"/>
                <w:szCs w:val="24"/>
                <w:lang w:val="en-US" w:eastAsia="zh-CN"/>
              </w:rPr>
              <w:t>20</w:t>
            </w:r>
            <w:r>
              <w:rPr>
                <w:bCs/>
                <w:color w:val="auto"/>
                <w:sz w:val="24"/>
                <w:szCs w:val="24"/>
              </w:rPr>
              <w:t>m</w:t>
            </w:r>
            <w:r>
              <w:rPr>
                <w:bCs/>
                <w:color w:val="auto"/>
                <w:sz w:val="24"/>
                <w:szCs w:val="24"/>
                <w:vertAlign w:val="superscript"/>
              </w:rPr>
              <w:t>2</w:t>
            </w:r>
            <w:r>
              <w:rPr>
                <w:rFonts w:hint="eastAsia"/>
                <w:color w:val="auto"/>
                <w:sz w:val="24"/>
                <w:szCs w:val="24"/>
              </w:rPr>
              <w:t>）。</w:t>
            </w:r>
          </w:p>
          <w:p>
            <w:pPr>
              <w:adjustRightInd w:val="0"/>
              <w:snapToGrid w:val="0"/>
              <w:spacing w:line="360" w:lineRule="auto"/>
              <w:ind w:firstLine="480" w:firstLineChars="200"/>
              <w:rPr>
                <w:b/>
                <w:color w:val="auto"/>
                <w:sz w:val="24"/>
              </w:rPr>
            </w:pPr>
            <w:r>
              <w:rPr>
                <w:b/>
                <w:color w:val="auto"/>
                <w:sz w:val="24"/>
              </w:rPr>
              <w:t>（2）固体废物环境管理</w:t>
            </w:r>
            <w:r>
              <w:rPr>
                <w:rFonts w:hint="eastAsia"/>
                <w:b/>
                <w:color w:val="auto"/>
                <w:sz w:val="24"/>
              </w:rPr>
              <w:t>与监测</w:t>
            </w:r>
          </w:p>
          <w:p>
            <w:pPr>
              <w:adjustRightInd w:val="0"/>
              <w:snapToGrid w:val="0"/>
              <w:spacing w:line="360" w:lineRule="auto"/>
              <w:ind w:firstLine="480" w:firstLineChars="200"/>
              <w:rPr>
                <w:color w:val="auto"/>
                <w:sz w:val="24"/>
              </w:rPr>
            </w:pPr>
            <w:r>
              <w:rPr>
                <w:color w:val="auto"/>
                <w:sz w:val="24"/>
              </w:rPr>
              <w:t>企业为固体废物污染防治的责任主体，企业应建立有关转移管理的相关规定、人员培训考核制度、档案管理制度、全过程管理制度等。</w:t>
            </w:r>
          </w:p>
          <w:p>
            <w:pPr>
              <w:adjustRightInd w:val="0"/>
              <w:snapToGrid w:val="0"/>
              <w:spacing w:line="360" w:lineRule="auto"/>
              <w:ind w:firstLine="480" w:firstLineChars="200"/>
              <w:rPr>
                <w:color w:val="auto"/>
                <w:sz w:val="24"/>
              </w:rPr>
            </w:pPr>
            <w:r>
              <w:rPr>
                <w:color w:val="auto"/>
                <w:sz w:val="24"/>
              </w:rPr>
              <w:t>A.</w:t>
            </w:r>
            <w:r>
              <w:rPr>
                <w:color w:val="auto"/>
                <w:sz w:val="24"/>
              </w:rPr>
              <w:tab/>
            </w:r>
            <w:r>
              <w:rPr>
                <w:color w:val="auto"/>
                <w:sz w:val="24"/>
              </w:rPr>
              <w:t>环境监测：项目危险废物委托处置，不自行利用。</w:t>
            </w:r>
          </w:p>
          <w:p>
            <w:pPr>
              <w:adjustRightInd w:val="0"/>
              <w:snapToGrid w:val="0"/>
              <w:spacing w:line="360" w:lineRule="auto"/>
              <w:ind w:firstLine="480" w:firstLineChars="200"/>
              <w:rPr>
                <w:color w:val="auto"/>
                <w:sz w:val="24"/>
              </w:rPr>
            </w:pPr>
            <w:r>
              <w:rPr>
                <w:color w:val="auto"/>
                <w:sz w:val="24"/>
              </w:rPr>
              <w:t>B.</w:t>
            </w:r>
            <w:r>
              <w:rPr>
                <w:color w:val="auto"/>
                <w:sz w:val="24"/>
              </w:rPr>
              <w:tab/>
            </w:r>
            <w:r>
              <w:rPr>
                <w:color w:val="auto"/>
                <w:sz w:val="24"/>
              </w:rPr>
              <w:t>环境管理：建设单位应进行危险废物申报登记。将危险废物的实际产生、贮存、利用、处置等情况纳入生产记录，建立危险废物台账和企业内部产生和收集、贮存、转移等部门危险废物交接制度。</w:t>
            </w:r>
          </w:p>
          <w:p>
            <w:pPr>
              <w:adjustRightInd w:val="0"/>
              <w:snapToGrid w:val="0"/>
              <w:spacing w:line="360" w:lineRule="auto"/>
              <w:ind w:firstLine="480" w:firstLineChars="200"/>
              <w:rPr>
                <w:color w:val="auto"/>
                <w:sz w:val="24"/>
              </w:rPr>
            </w:pPr>
            <w:r>
              <w:rPr>
                <w:color w:val="auto"/>
                <w:sz w:val="24"/>
              </w:rPr>
              <w:t>企业应规范建设危险废物贮存场所并按照要求设置警告标志，贮存场所应按照要求张贴标识。</w:t>
            </w:r>
          </w:p>
          <w:p>
            <w:pPr>
              <w:numPr>
                <w:ilvl w:val="0"/>
                <w:numId w:val="8"/>
              </w:numPr>
              <w:adjustRightInd w:val="0"/>
              <w:snapToGrid w:val="0"/>
              <w:spacing w:line="360" w:lineRule="auto"/>
              <w:ind w:firstLine="480" w:firstLineChars="200"/>
              <w:rPr>
                <w:b/>
                <w:color w:val="auto"/>
                <w:sz w:val="24"/>
              </w:rPr>
            </w:pPr>
            <w:r>
              <w:rPr>
                <w:b/>
                <w:color w:val="auto"/>
                <w:sz w:val="24"/>
              </w:rPr>
              <w:t>固体废物环境影响分析</w:t>
            </w:r>
          </w:p>
          <w:p>
            <w:pPr>
              <w:adjustRightInd w:val="0"/>
              <w:snapToGrid w:val="0"/>
              <w:spacing w:line="360" w:lineRule="auto"/>
              <w:ind w:firstLine="480" w:firstLineChars="200"/>
              <w:rPr>
                <w:b/>
                <w:bCs/>
                <w:color w:val="auto"/>
              </w:rPr>
            </w:pPr>
            <w:r>
              <w:rPr>
                <w:rFonts w:hint="eastAsia"/>
                <w:b/>
                <w:bCs/>
                <w:color w:val="auto"/>
                <w:sz w:val="24"/>
              </w:rPr>
              <w:t>①危险固废</w:t>
            </w:r>
          </w:p>
          <w:p>
            <w:pPr>
              <w:adjustRightInd w:val="0"/>
              <w:snapToGrid w:val="0"/>
              <w:spacing w:line="360" w:lineRule="auto"/>
              <w:ind w:firstLine="480" w:firstLineChars="200"/>
              <w:rPr>
                <w:color w:val="auto"/>
                <w:sz w:val="24"/>
              </w:rPr>
            </w:pPr>
            <w:r>
              <w:rPr>
                <w:rFonts w:hint="eastAsia"/>
                <w:color w:val="auto"/>
                <w:sz w:val="24"/>
              </w:rPr>
              <w:t>A 贮存能力可行性分析</w:t>
            </w:r>
          </w:p>
          <w:p>
            <w:pPr>
              <w:pStyle w:val="21"/>
              <w:spacing w:after="0" w:line="360" w:lineRule="auto"/>
              <w:ind w:firstLine="480" w:firstLineChars="200"/>
              <w:rPr>
                <w:color w:val="auto"/>
                <w:sz w:val="24"/>
              </w:rPr>
            </w:pPr>
            <w:r>
              <w:rPr>
                <w:rFonts w:hint="eastAsia"/>
                <w:color w:val="auto"/>
                <w:sz w:val="24"/>
              </w:rPr>
              <w:t>本项目产生的危废暂存于危废仓库，面积为</w:t>
            </w:r>
            <w:r>
              <w:rPr>
                <w:rFonts w:hint="eastAsia"/>
                <w:color w:val="auto"/>
                <w:sz w:val="24"/>
                <w:lang w:val="en-US" w:eastAsia="zh-CN"/>
              </w:rPr>
              <w:t>20</w:t>
            </w:r>
            <w:r>
              <w:rPr>
                <w:rFonts w:hint="eastAsia"/>
                <w:color w:val="auto"/>
                <w:sz w:val="24"/>
              </w:rPr>
              <w:t>m</w:t>
            </w:r>
            <w:r>
              <w:rPr>
                <w:rFonts w:hint="eastAsia"/>
                <w:color w:val="auto"/>
                <w:sz w:val="24"/>
                <w:vertAlign w:val="superscript"/>
              </w:rPr>
              <w:t>2</w:t>
            </w:r>
            <w:r>
              <w:rPr>
                <w:rFonts w:hint="eastAsia"/>
                <w:color w:val="auto"/>
                <w:sz w:val="24"/>
              </w:rPr>
              <w:t>，</w:t>
            </w:r>
            <w:r>
              <w:rPr>
                <w:rFonts w:hint="eastAsia"/>
                <w:color w:val="auto"/>
                <w:sz w:val="24"/>
                <w:szCs w:val="24"/>
              </w:rPr>
              <w:t>危废仓库</w:t>
            </w:r>
            <w:r>
              <w:rPr>
                <w:rFonts w:hint="eastAsia"/>
                <w:color w:val="auto"/>
                <w:sz w:val="24"/>
              </w:rPr>
              <w:t>密闭，已做到“六防”，即“防雨、防火、防雷、防扬散、防渗漏装置及泄漏液体收集装置”，危废仓库地面与裙脚为坚固、防渗材料，建筑材料与危险废物相容。</w:t>
            </w:r>
          </w:p>
          <w:p>
            <w:pPr>
              <w:pStyle w:val="21"/>
              <w:spacing w:after="0" w:line="360" w:lineRule="auto"/>
              <w:ind w:firstLine="480" w:firstLineChars="200"/>
              <w:rPr>
                <w:color w:val="auto"/>
                <w:sz w:val="24"/>
                <w:szCs w:val="22"/>
              </w:rPr>
            </w:pPr>
            <w:r>
              <w:rPr>
                <w:rFonts w:hint="eastAsia"/>
                <w:color w:val="auto"/>
                <w:sz w:val="24"/>
                <w:szCs w:val="22"/>
              </w:rPr>
              <w:t>本项目的贮存的危险废物主要为</w:t>
            </w:r>
            <w:r>
              <w:rPr>
                <w:rFonts w:hint="eastAsia"/>
                <w:color w:val="auto"/>
                <w:sz w:val="24"/>
                <w:szCs w:val="22"/>
                <w:lang w:val="en-US" w:eastAsia="zh-CN"/>
              </w:rPr>
              <w:t>废切削液、废润滑油、漆渣、含漆废物、含漆废液、废过滤棉、废活性炭、废包装桶7</w:t>
            </w:r>
            <w:r>
              <w:rPr>
                <w:rFonts w:hint="eastAsia"/>
                <w:color w:val="auto"/>
                <w:sz w:val="24"/>
                <w:szCs w:val="22"/>
              </w:rPr>
              <w:t>种，产生量共计9.614t/a，需占用</w:t>
            </w:r>
            <w:r>
              <w:rPr>
                <w:rFonts w:hint="eastAsia"/>
                <w:color w:val="auto"/>
                <w:sz w:val="24"/>
                <w:szCs w:val="22"/>
                <w:lang w:val="en-US" w:eastAsia="zh-CN"/>
              </w:rPr>
              <w:t>14.5</w:t>
            </w:r>
            <w:r>
              <w:rPr>
                <w:rFonts w:hint="eastAsia"/>
                <w:color w:val="auto"/>
                <w:sz w:val="24"/>
                <w:szCs w:val="22"/>
              </w:rPr>
              <w:t>m</w:t>
            </w:r>
            <w:r>
              <w:rPr>
                <w:rFonts w:hint="eastAsia"/>
                <w:color w:val="auto"/>
                <w:sz w:val="24"/>
                <w:szCs w:val="22"/>
                <w:vertAlign w:val="superscript"/>
              </w:rPr>
              <w:t>2</w:t>
            </w:r>
            <w:r>
              <w:rPr>
                <w:rFonts w:hint="eastAsia"/>
                <w:color w:val="auto"/>
                <w:sz w:val="24"/>
                <w:szCs w:val="22"/>
              </w:rPr>
              <w:t>，本项目设置危废仓库的面积为</w:t>
            </w:r>
            <w:r>
              <w:rPr>
                <w:rFonts w:hint="eastAsia"/>
                <w:color w:val="auto"/>
                <w:sz w:val="24"/>
                <w:szCs w:val="22"/>
                <w:lang w:val="en-US" w:eastAsia="zh-CN"/>
              </w:rPr>
              <w:t>20</w:t>
            </w:r>
            <w:r>
              <w:rPr>
                <w:rFonts w:hint="eastAsia"/>
                <w:color w:val="auto"/>
                <w:sz w:val="24"/>
                <w:szCs w:val="22"/>
              </w:rPr>
              <w:t>m</w:t>
            </w:r>
            <w:r>
              <w:rPr>
                <w:rFonts w:hint="eastAsia"/>
                <w:color w:val="auto"/>
                <w:sz w:val="24"/>
                <w:szCs w:val="22"/>
                <w:vertAlign w:val="superscript"/>
              </w:rPr>
              <w:t>2</w:t>
            </w:r>
            <w:r>
              <w:rPr>
                <w:rFonts w:hint="eastAsia"/>
                <w:color w:val="auto"/>
                <w:sz w:val="24"/>
                <w:szCs w:val="22"/>
              </w:rPr>
              <w:t>，该危废仓库容量满足现有危废的暂存需求。</w:t>
            </w:r>
          </w:p>
          <w:p>
            <w:pPr>
              <w:pStyle w:val="21"/>
              <w:spacing w:after="0" w:line="360" w:lineRule="auto"/>
              <w:ind w:firstLine="480" w:firstLineChars="200"/>
              <w:rPr>
                <w:color w:val="auto"/>
                <w:sz w:val="24"/>
              </w:rPr>
            </w:pPr>
            <w:r>
              <w:rPr>
                <w:rFonts w:hint="eastAsia"/>
                <w:color w:val="auto"/>
                <w:sz w:val="24"/>
              </w:rPr>
              <w:t>B 贮存安全性分析</w:t>
            </w:r>
          </w:p>
          <w:p>
            <w:pPr>
              <w:pStyle w:val="21"/>
              <w:spacing w:after="0" w:line="360" w:lineRule="auto"/>
              <w:ind w:firstLine="480" w:firstLineChars="200"/>
              <w:rPr>
                <w:color w:val="auto"/>
                <w:sz w:val="24"/>
              </w:rPr>
            </w:pPr>
            <w:r>
              <w:rPr>
                <w:rFonts w:hint="eastAsia"/>
                <w:color w:val="auto"/>
                <w:sz w:val="24"/>
              </w:rPr>
              <w:t>本项目产生及贮存的危险废物主要有</w:t>
            </w:r>
            <w:r>
              <w:rPr>
                <w:rFonts w:hint="eastAsia"/>
                <w:color w:val="auto"/>
                <w:sz w:val="24"/>
                <w:szCs w:val="22"/>
                <w:lang w:val="en-US" w:eastAsia="zh-CN"/>
              </w:rPr>
              <w:t>废切削液、废润滑油、漆渣、含漆废物、含漆废液、废过滤棉、废活性炭、废包装桶</w:t>
            </w:r>
            <w:r>
              <w:rPr>
                <w:rFonts w:hint="eastAsia"/>
                <w:color w:val="auto"/>
                <w:sz w:val="24"/>
              </w:rPr>
              <w:t>，危废安全贮存过程如下所述：</w:t>
            </w:r>
          </w:p>
          <w:p>
            <w:pPr>
              <w:pStyle w:val="21"/>
              <w:spacing w:after="0" w:line="360" w:lineRule="auto"/>
              <w:ind w:firstLine="480" w:firstLineChars="200"/>
              <w:rPr>
                <w:color w:val="auto"/>
                <w:sz w:val="24"/>
              </w:rPr>
            </w:pPr>
            <w:r>
              <w:rPr>
                <w:rFonts w:hint="eastAsia"/>
                <w:color w:val="auto"/>
                <w:sz w:val="24"/>
                <w:lang w:val="en-US" w:eastAsia="zh-CN"/>
              </w:rPr>
              <w:t>废切削液</w:t>
            </w:r>
            <w:r>
              <w:rPr>
                <w:rFonts w:hint="eastAsia"/>
                <w:color w:val="auto"/>
                <w:sz w:val="24"/>
              </w:rPr>
              <w:t>：具有毒性，置于专用容器内密闭存放，容器顶部与废</w:t>
            </w:r>
            <w:r>
              <w:rPr>
                <w:rFonts w:hint="eastAsia"/>
                <w:color w:val="auto"/>
                <w:sz w:val="24"/>
                <w:lang w:val="en-US" w:eastAsia="zh-CN"/>
              </w:rPr>
              <w:t>切削液</w:t>
            </w:r>
            <w:r>
              <w:rPr>
                <w:rFonts w:hint="eastAsia"/>
                <w:color w:val="auto"/>
                <w:sz w:val="24"/>
              </w:rPr>
              <w:t>液面之间保存100mm以上的空间，分类贮存于危废暂存场；</w:t>
            </w:r>
          </w:p>
          <w:p>
            <w:pPr>
              <w:pStyle w:val="21"/>
              <w:spacing w:after="0" w:line="360" w:lineRule="auto"/>
              <w:ind w:firstLine="480" w:firstLineChars="200"/>
              <w:rPr>
                <w:color w:val="auto"/>
                <w:sz w:val="24"/>
              </w:rPr>
            </w:pPr>
            <w:r>
              <w:rPr>
                <w:rFonts w:hint="eastAsia"/>
                <w:color w:val="auto"/>
                <w:sz w:val="24"/>
                <w:szCs w:val="22"/>
                <w:lang w:val="en-US" w:eastAsia="zh-CN"/>
              </w:rPr>
              <w:t>废润滑油：</w:t>
            </w:r>
            <w:r>
              <w:rPr>
                <w:rFonts w:hint="eastAsia"/>
                <w:color w:val="auto"/>
                <w:sz w:val="24"/>
              </w:rPr>
              <w:t>具有毒性</w:t>
            </w:r>
            <w:r>
              <w:rPr>
                <w:rFonts w:hint="eastAsia"/>
                <w:color w:val="auto"/>
                <w:sz w:val="24"/>
                <w:lang w:eastAsia="zh-CN"/>
              </w:rPr>
              <w:t>、</w:t>
            </w:r>
            <w:r>
              <w:rPr>
                <w:rFonts w:hint="eastAsia"/>
                <w:color w:val="auto"/>
                <w:sz w:val="24"/>
                <w:lang w:val="en-US" w:eastAsia="zh-CN"/>
              </w:rPr>
              <w:t>易燃性</w:t>
            </w:r>
            <w:r>
              <w:rPr>
                <w:rFonts w:hint="eastAsia"/>
                <w:color w:val="auto"/>
                <w:sz w:val="24"/>
              </w:rPr>
              <w:t>，置于专用容器内密闭存放，容器顶部与</w:t>
            </w:r>
            <w:r>
              <w:rPr>
                <w:rFonts w:hint="eastAsia"/>
                <w:color w:val="auto"/>
                <w:sz w:val="24"/>
                <w:lang w:val="en-US" w:eastAsia="zh-CN"/>
              </w:rPr>
              <w:t>废润滑油</w:t>
            </w:r>
            <w:r>
              <w:rPr>
                <w:rFonts w:hint="eastAsia"/>
                <w:color w:val="auto"/>
                <w:sz w:val="24"/>
              </w:rPr>
              <w:t>液面之间保存100mm以上的空间，分类贮存于危废暂存场；</w:t>
            </w:r>
          </w:p>
          <w:p>
            <w:pPr>
              <w:pStyle w:val="21"/>
              <w:spacing w:after="0" w:line="360" w:lineRule="auto"/>
              <w:ind w:firstLine="480" w:firstLineChars="200"/>
              <w:rPr>
                <w:rFonts w:hint="eastAsia" w:eastAsia="宋体"/>
                <w:color w:val="auto"/>
                <w:sz w:val="24"/>
                <w:lang w:val="en-US" w:eastAsia="zh-CN"/>
              </w:rPr>
            </w:pPr>
            <w:r>
              <w:rPr>
                <w:rFonts w:hint="eastAsia"/>
                <w:color w:val="auto"/>
                <w:sz w:val="24"/>
                <w:lang w:val="en-US" w:eastAsia="zh-CN"/>
              </w:rPr>
              <w:t>漆渣：具有毒性、易燃性，置于专用容器内密闭存放，容器顶部与废切削液液面之间保存100mm以上的空间，分类贮存于危废暂存场；</w:t>
            </w:r>
          </w:p>
          <w:p>
            <w:pPr>
              <w:pStyle w:val="21"/>
              <w:spacing w:after="0" w:line="360" w:lineRule="auto"/>
              <w:ind w:firstLine="480" w:firstLineChars="200"/>
              <w:rPr>
                <w:rFonts w:hint="eastAsia" w:eastAsia="宋体"/>
                <w:color w:val="auto"/>
                <w:sz w:val="24"/>
                <w:lang w:val="en-US" w:eastAsia="zh-CN"/>
              </w:rPr>
            </w:pPr>
            <w:r>
              <w:rPr>
                <w:rFonts w:hint="eastAsia"/>
                <w:color w:val="auto"/>
                <w:sz w:val="24"/>
                <w:lang w:val="en-US" w:eastAsia="zh-CN"/>
              </w:rPr>
              <w:t>含漆废物：具有毒性、易燃性，置于专用容器内密闭存放，容器顶部需保存100mm以上的空间，分类贮存于危废暂存场；</w:t>
            </w:r>
          </w:p>
          <w:p>
            <w:pPr>
              <w:pStyle w:val="21"/>
              <w:spacing w:after="0" w:line="360" w:lineRule="auto"/>
              <w:ind w:firstLine="480" w:firstLineChars="200"/>
              <w:rPr>
                <w:rFonts w:hint="eastAsia" w:eastAsia="宋体"/>
                <w:color w:val="auto"/>
                <w:sz w:val="24"/>
                <w:lang w:val="en-US" w:eastAsia="zh-CN"/>
              </w:rPr>
            </w:pPr>
            <w:r>
              <w:rPr>
                <w:rFonts w:hint="eastAsia"/>
                <w:color w:val="auto"/>
                <w:sz w:val="24"/>
                <w:lang w:val="en-US" w:eastAsia="zh-CN"/>
              </w:rPr>
              <w:t>含漆废液：具有毒性、感染性，置于专用容器内密闭存放，容器顶部需保存100mm以上的空间，分类贮存于危废暂存场；</w:t>
            </w:r>
          </w:p>
          <w:p>
            <w:pPr>
              <w:pStyle w:val="21"/>
              <w:spacing w:after="0" w:line="360" w:lineRule="auto"/>
              <w:ind w:firstLine="480" w:firstLineChars="200"/>
              <w:rPr>
                <w:color w:val="auto"/>
                <w:sz w:val="24"/>
              </w:rPr>
            </w:pPr>
            <w:r>
              <w:rPr>
                <w:rFonts w:hint="eastAsia"/>
                <w:color w:val="auto"/>
                <w:sz w:val="24"/>
                <w:lang w:val="en-US" w:eastAsia="zh-CN"/>
              </w:rPr>
              <w:t>废过滤棉：</w:t>
            </w:r>
            <w:r>
              <w:rPr>
                <w:rFonts w:hint="eastAsia"/>
                <w:color w:val="auto"/>
                <w:sz w:val="24"/>
              </w:rPr>
              <w:t>具有毒性或感染性，置于专用编织袋中密闭存放，分类贮存于</w:t>
            </w:r>
            <w:r>
              <w:rPr>
                <w:rFonts w:hint="eastAsia"/>
                <w:color w:val="auto"/>
                <w:sz w:val="24"/>
                <w:szCs w:val="24"/>
              </w:rPr>
              <w:t>危废仓库</w:t>
            </w:r>
            <w:r>
              <w:rPr>
                <w:rFonts w:hint="eastAsia"/>
                <w:color w:val="auto"/>
                <w:sz w:val="24"/>
                <w:szCs w:val="24"/>
                <w:lang w:eastAsia="zh-CN"/>
              </w:rPr>
              <w:t>；</w:t>
            </w:r>
          </w:p>
          <w:p>
            <w:pPr>
              <w:pStyle w:val="21"/>
              <w:spacing w:after="0" w:line="360" w:lineRule="auto"/>
              <w:ind w:firstLine="480" w:firstLineChars="200"/>
              <w:rPr>
                <w:rFonts w:hint="eastAsia"/>
                <w:color w:val="auto"/>
                <w:sz w:val="24"/>
              </w:rPr>
            </w:pPr>
            <w:r>
              <w:rPr>
                <w:rFonts w:hint="eastAsia"/>
                <w:color w:val="auto"/>
                <w:sz w:val="24"/>
              </w:rPr>
              <w:t>废活性炭：具有毒性或感染性，置于专用编织袋中密闭存放，分类贮存于</w:t>
            </w:r>
            <w:r>
              <w:rPr>
                <w:rFonts w:hint="eastAsia"/>
                <w:color w:val="auto"/>
                <w:sz w:val="24"/>
                <w:szCs w:val="24"/>
              </w:rPr>
              <w:t>危废仓库</w:t>
            </w:r>
            <w:r>
              <w:rPr>
                <w:rFonts w:hint="eastAsia"/>
                <w:color w:val="auto"/>
                <w:sz w:val="24"/>
              </w:rPr>
              <w:t>。</w:t>
            </w:r>
          </w:p>
          <w:p>
            <w:pPr>
              <w:pStyle w:val="21"/>
              <w:spacing w:after="0" w:line="360" w:lineRule="auto"/>
              <w:ind w:firstLine="480" w:firstLineChars="200"/>
              <w:rPr>
                <w:color w:val="auto"/>
                <w:sz w:val="24"/>
              </w:rPr>
            </w:pPr>
            <w:r>
              <w:rPr>
                <w:color w:val="auto"/>
                <w:sz w:val="24"/>
                <w:szCs w:val="24"/>
              </w:rPr>
              <w:t>本项目危废</w:t>
            </w:r>
            <w:r>
              <w:rPr>
                <w:rFonts w:hint="eastAsia"/>
                <w:color w:val="auto"/>
                <w:sz w:val="24"/>
                <w:szCs w:val="24"/>
              </w:rPr>
              <w:t>均</w:t>
            </w:r>
            <w:r>
              <w:rPr>
                <w:color w:val="auto"/>
                <w:sz w:val="24"/>
                <w:szCs w:val="24"/>
              </w:rPr>
              <w:t>分类密封贮存，可保证各类危废不会形成二次污染，且本项目产生的危废分类存放，且设有隔断，设置危废识别标志，盛装危险废物的容器粘贴标签。</w:t>
            </w:r>
            <w:r>
              <w:rPr>
                <w:rFonts w:hint="eastAsia"/>
                <w:color w:val="auto"/>
                <w:sz w:val="24"/>
                <w:szCs w:val="24"/>
              </w:rPr>
              <w:t>因此，</w:t>
            </w:r>
            <w:r>
              <w:rPr>
                <w:rFonts w:hint="eastAsia"/>
                <w:color w:val="auto"/>
                <w:sz w:val="24"/>
              </w:rPr>
              <w:t>本项目危废按上述要求安全贮存于危废仓库是可行的。</w:t>
            </w:r>
          </w:p>
          <w:p>
            <w:pPr>
              <w:pStyle w:val="21"/>
              <w:ind w:firstLine="480" w:firstLineChars="200"/>
              <w:rPr>
                <w:color w:val="auto"/>
                <w:sz w:val="24"/>
              </w:rPr>
            </w:pPr>
            <w:r>
              <w:rPr>
                <w:rFonts w:hint="eastAsia"/>
                <w:color w:val="auto"/>
                <w:sz w:val="24"/>
              </w:rPr>
              <w:t>C 转移运输影响分析</w:t>
            </w:r>
          </w:p>
          <w:p>
            <w:pPr>
              <w:pStyle w:val="29"/>
              <w:spacing w:before="0" w:line="360" w:lineRule="auto"/>
              <w:ind w:firstLine="480" w:firstLineChars="200"/>
              <w:rPr>
                <w:rFonts w:ascii="Times New Roman"/>
                <w:color w:val="auto"/>
                <w:spacing w:val="0"/>
                <w:kern w:val="2"/>
                <w:sz w:val="24"/>
                <w:szCs w:val="22"/>
              </w:rPr>
            </w:pPr>
            <w:r>
              <w:rPr>
                <w:rFonts w:ascii="Times New Roman"/>
                <w:color w:val="auto"/>
                <w:spacing w:val="0"/>
                <w:kern w:val="2"/>
                <w:sz w:val="24"/>
                <w:szCs w:val="22"/>
              </w:rPr>
              <w:t>项目危险废物在厂内堆放和转移运输过程应防止抛洒逸散，建立台账记录并</w:t>
            </w:r>
          </w:p>
          <w:p>
            <w:pPr>
              <w:pStyle w:val="29"/>
              <w:spacing w:before="0" w:line="360" w:lineRule="auto"/>
              <w:rPr>
                <w:rFonts w:ascii="Times New Roman"/>
                <w:color w:val="auto"/>
                <w:spacing w:val="0"/>
                <w:kern w:val="2"/>
                <w:sz w:val="24"/>
                <w:szCs w:val="22"/>
              </w:rPr>
            </w:pPr>
            <w:r>
              <w:rPr>
                <w:rFonts w:ascii="Times New Roman"/>
                <w:color w:val="auto"/>
                <w:spacing w:val="0"/>
                <w:kern w:val="2"/>
                <w:sz w:val="24"/>
                <w:szCs w:val="22"/>
              </w:rPr>
              <w:t>按时申报其产生贮存情况。</w:t>
            </w:r>
          </w:p>
          <w:p>
            <w:pPr>
              <w:pStyle w:val="29"/>
              <w:spacing w:before="0" w:line="360" w:lineRule="auto"/>
              <w:ind w:firstLine="480" w:firstLineChars="200"/>
              <w:rPr>
                <w:rFonts w:ascii="Times New Roman"/>
                <w:color w:val="auto"/>
                <w:spacing w:val="0"/>
                <w:kern w:val="2"/>
                <w:sz w:val="24"/>
                <w:szCs w:val="22"/>
              </w:rPr>
            </w:pPr>
            <w:r>
              <w:rPr>
                <w:rFonts w:ascii="Times New Roman"/>
                <w:color w:val="auto"/>
                <w:spacing w:val="0"/>
                <w:kern w:val="2"/>
                <w:sz w:val="24"/>
                <w:szCs w:val="22"/>
              </w:rPr>
              <w:t>危险废物由专用车辆转移至处置公司，转移过程按照要求办理转移审批手续，严格执行五联单制度，确保危险废物从产生、转移到处置的全过程监控，防止抛洒逸散。正常情况下，转移过程不会对沿线环境造成不良影响。</w:t>
            </w:r>
          </w:p>
          <w:p>
            <w:pPr>
              <w:pStyle w:val="29"/>
              <w:spacing w:before="0" w:line="360" w:lineRule="auto"/>
              <w:ind w:firstLine="480" w:firstLineChars="200"/>
              <w:rPr>
                <w:rStyle w:val="75"/>
                <w:rFonts w:ascii="Times New Roman"/>
                <w:bCs/>
                <w:color w:val="auto"/>
                <w:spacing w:val="0"/>
                <w:kern w:val="2"/>
                <w:sz w:val="24"/>
                <w:szCs w:val="24"/>
              </w:rPr>
            </w:pPr>
            <w:r>
              <w:rPr>
                <w:rStyle w:val="75"/>
                <w:rFonts w:hint="eastAsia" w:ascii="Times New Roman"/>
                <w:bCs/>
                <w:color w:val="auto"/>
                <w:spacing w:val="0"/>
                <w:kern w:val="2"/>
                <w:sz w:val="24"/>
                <w:szCs w:val="24"/>
              </w:rPr>
              <w:t>D 签订委托处置协议</w:t>
            </w:r>
          </w:p>
          <w:p>
            <w:pPr>
              <w:pStyle w:val="29"/>
              <w:spacing w:before="0" w:line="360" w:lineRule="auto"/>
              <w:ind w:firstLine="480" w:firstLineChars="200"/>
              <w:rPr>
                <w:rStyle w:val="75"/>
                <w:rFonts w:ascii="Times New Roman"/>
                <w:bCs/>
                <w:color w:val="auto"/>
                <w:spacing w:val="0"/>
                <w:kern w:val="2"/>
                <w:sz w:val="24"/>
                <w:szCs w:val="24"/>
              </w:rPr>
            </w:pPr>
            <w:r>
              <w:rPr>
                <w:rStyle w:val="75"/>
                <w:rFonts w:ascii="Times New Roman"/>
                <w:bCs/>
                <w:color w:val="auto"/>
                <w:spacing w:val="0"/>
                <w:kern w:val="2"/>
                <w:sz w:val="24"/>
                <w:szCs w:val="24"/>
              </w:rPr>
              <w:t>因建设单位尚未建成投产，目前未与相关单位签订危废协议，但企业承诺试</w:t>
            </w:r>
          </w:p>
          <w:p>
            <w:pPr>
              <w:pStyle w:val="29"/>
              <w:spacing w:before="0" w:line="360" w:lineRule="auto"/>
              <w:rPr>
                <w:rStyle w:val="75"/>
                <w:rFonts w:ascii="Times New Roman"/>
                <w:bCs/>
                <w:color w:val="auto"/>
                <w:spacing w:val="0"/>
                <w:kern w:val="2"/>
                <w:sz w:val="24"/>
                <w:szCs w:val="24"/>
              </w:rPr>
            </w:pPr>
            <w:r>
              <w:rPr>
                <w:rStyle w:val="75"/>
                <w:rFonts w:ascii="Times New Roman"/>
                <w:bCs/>
                <w:color w:val="auto"/>
                <w:spacing w:val="0"/>
                <w:kern w:val="2"/>
                <w:sz w:val="24"/>
                <w:szCs w:val="24"/>
              </w:rPr>
              <w:t>生产之前完善该手续，报环保部门备案。</w:t>
            </w:r>
          </w:p>
          <w:p>
            <w:pPr>
              <w:autoSpaceDE w:val="0"/>
              <w:autoSpaceDN w:val="0"/>
              <w:adjustRightInd w:val="0"/>
              <w:spacing w:line="360" w:lineRule="auto"/>
              <w:ind w:firstLine="480" w:firstLineChars="200"/>
              <w:rPr>
                <w:b/>
                <w:bCs/>
                <w:color w:val="auto"/>
                <w:sz w:val="24"/>
                <w:szCs w:val="24"/>
              </w:rPr>
            </w:pPr>
            <w:r>
              <w:rPr>
                <w:rFonts w:hint="eastAsia"/>
                <w:b/>
                <w:bCs/>
                <w:color w:val="auto"/>
                <w:sz w:val="24"/>
                <w:szCs w:val="24"/>
              </w:rPr>
              <w:t>②</w:t>
            </w:r>
            <w:r>
              <w:rPr>
                <w:b/>
                <w:bCs/>
                <w:color w:val="auto"/>
                <w:sz w:val="24"/>
                <w:szCs w:val="24"/>
              </w:rPr>
              <w:t>一般固体废物</w:t>
            </w:r>
          </w:p>
          <w:p>
            <w:pPr>
              <w:adjustRightInd w:val="0"/>
              <w:snapToGrid w:val="0"/>
              <w:spacing w:line="360" w:lineRule="auto"/>
              <w:ind w:firstLine="480" w:firstLineChars="200"/>
              <w:rPr>
                <w:color w:val="auto"/>
                <w:sz w:val="24"/>
              </w:rPr>
            </w:pPr>
            <w:r>
              <w:rPr>
                <w:color w:val="auto"/>
                <w:sz w:val="24"/>
                <w:szCs w:val="24"/>
              </w:rPr>
              <w:t>本项目一般固废为</w:t>
            </w:r>
            <w:r>
              <w:rPr>
                <w:rFonts w:hint="eastAsia"/>
                <w:color w:val="auto"/>
                <w:sz w:val="24"/>
                <w:szCs w:val="24"/>
              </w:rPr>
              <w:t>废边角料</w:t>
            </w:r>
            <w:r>
              <w:rPr>
                <w:rFonts w:hint="eastAsia"/>
                <w:color w:val="auto"/>
                <w:sz w:val="24"/>
                <w:szCs w:val="24"/>
                <w:lang w:eastAsia="zh-CN"/>
              </w:rPr>
              <w:t>、</w:t>
            </w:r>
            <w:r>
              <w:rPr>
                <w:rFonts w:hint="eastAsia"/>
                <w:color w:val="auto"/>
                <w:sz w:val="24"/>
                <w:szCs w:val="24"/>
                <w:lang w:val="en-US" w:eastAsia="zh-CN"/>
              </w:rPr>
              <w:t>废渣、废砂、废铁丸、加工粉尘、废塑粉、锌颗粒物、废锌丝和废包装材料</w:t>
            </w:r>
            <w:r>
              <w:rPr>
                <w:rFonts w:hint="eastAsia"/>
                <w:color w:val="auto"/>
                <w:sz w:val="24"/>
              </w:rPr>
              <w:t>。</w:t>
            </w:r>
            <w:r>
              <w:rPr>
                <w:bCs/>
                <w:color w:val="auto"/>
                <w:sz w:val="24"/>
              </w:rPr>
              <w:t>本项目在</w:t>
            </w:r>
            <w:r>
              <w:rPr>
                <w:rFonts w:hint="eastAsia"/>
                <w:bCs/>
                <w:color w:val="auto"/>
                <w:sz w:val="24"/>
              </w:rPr>
              <w:t>车间</w:t>
            </w:r>
            <w:r>
              <w:rPr>
                <w:rFonts w:hint="eastAsia"/>
                <w:bCs/>
                <w:color w:val="auto"/>
                <w:sz w:val="24"/>
                <w:lang w:val="en-US" w:eastAsia="zh-CN"/>
              </w:rPr>
              <w:t>内</w:t>
            </w:r>
            <w:r>
              <w:rPr>
                <w:rFonts w:hint="eastAsia"/>
                <w:bCs/>
                <w:color w:val="auto"/>
                <w:sz w:val="24"/>
              </w:rPr>
              <w:t>设置</w:t>
            </w:r>
            <w:r>
              <w:rPr>
                <w:bCs/>
                <w:color w:val="auto"/>
                <w:sz w:val="24"/>
              </w:rPr>
              <w:t>一般固废</w:t>
            </w:r>
            <w:r>
              <w:rPr>
                <w:rFonts w:hint="eastAsia"/>
                <w:bCs/>
                <w:color w:val="auto"/>
                <w:sz w:val="24"/>
              </w:rPr>
              <w:t>暂存区1</w:t>
            </w:r>
            <w:r>
              <w:rPr>
                <w:bCs/>
                <w:color w:val="auto"/>
                <w:sz w:val="24"/>
              </w:rPr>
              <w:t>处</w:t>
            </w:r>
            <w:r>
              <w:rPr>
                <w:rFonts w:hint="eastAsia"/>
                <w:bCs/>
                <w:color w:val="auto"/>
                <w:sz w:val="24"/>
              </w:rPr>
              <w:t>（</w:t>
            </w:r>
            <w:r>
              <w:rPr>
                <w:bCs/>
                <w:color w:val="auto"/>
                <w:sz w:val="24"/>
              </w:rPr>
              <w:t>建筑面积</w:t>
            </w:r>
            <w:r>
              <w:rPr>
                <w:rFonts w:hint="eastAsia"/>
                <w:bCs/>
                <w:color w:val="auto"/>
                <w:sz w:val="24"/>
                <w:lang w:val="en-US" w:eastAsia="zh-CN"/>
              </w:rPr>
              <w:t>20</w:t>
            </w:r>
            <w:r>
              <w:rPr>
                <w:bCs/>
                <w:color w:val="auto"/>
                <w:sz w:val="24"/>
              </w:rPr>
              <w:t>m</w:t>
            </w:r>
            <w:r>
              <w:rPr>
                <w:bCs/>
                <w:color w:val="auto"/>
                <w:sz w:val="24"/>
                <w:vertAlign w:val="superscript"/>
              </w:rPr>
              <w:t>2</w:t>
            </w:r>
            <w:r>
              <w:rPr>
                <w:rFonts w:hint="eastAsia"/>
                <w:bCs/>
                <w:color w:val="auto"/>
                <w:sz w:val="24"/>
              </w:rPr>
              <w:t>）</w:t>
            </w:r>
            <w:r>
              <w:rPr>
                <w:bCs/>
                <w:color w:val="auto"/>
                <w:sz w:val="24"/>
              </w:rPr>
              <w:t>，</w:t>
            </w:r>
            <w:r>
              <w:rPr>
                <w:color w:val="auto"/>
                <w:sz w:val="24"/>
              </w:rPr>
              <w:t>一般固废暂存需满足《一般工业固体废物贮存、处置场污染控制标准》（GB 18599-2001）及2013年修改单要求。</w:t>
            </w:r>
            <w:r>
              <w:rPr>
                <w:color w:val="auto"/>
                <w:sz w:val="24"/>
                <w:szCs w:val="24"/>
              </w:rPr>
              <w:t>具体要求如下：</w:t>
            </w:r>
          </w:p>
          <w:p>
            <w:pPr>
              <w:autoSpaceDE w:val="0"/>
              <w:autoSpaceDN w:val="0"/>
              <w:adjustRightInd w:val="0"/>
              <w:spacing w:line="360" w:lineRule="auto"/>
              <w:ind w:firstLine="480" w:firstLineChars="200"/>
              <w:rPr>
                <w:color w:val="auto"/>
                <w:sz w:val="24"/>
                <w:szCs w:val="24"/>
              </w:rPr>
            </w:pPr>
            <w:r>
              <w:rPr>
                <w:rFonts w:hint="eastAsia"/>
                <w:color w:val="auto"/>
                <w:sz w:val="24"/>
                <w:szCs w:val="24"/>
              </w:rPr>
              <w:t>a</w:t>
            </w:r>
            <w:r>
              <w:rPr>
                <w:color w:val="auto"/>
                <w:sz w:val="24"/>
                <w:szCs w:val="24"/>
              </w:rPr>
              <w:t>贮存、处置场的建设类型，必须与将要堆放的一般工业固体废物的类别相一致。</w:t>
            </w:r>
          </w:p>
          <w:p>
            <w:pPr>
              <w:autoSpaceDE w:val="0"/>
              <w:autoSpaceDN w:val="0"/>
              <w:adjustRightInd w:val="0"/>
              <w:spacing w:line="360" w:lineRule="auto"/>
              <w:ind w:firstLine="480" w:firstLineChars="200"/>
              <w:rPr>
                <w:color w:val="auto"/>
                <w:sz w:val="24"/>
                <w:szCs w:val="24"/>
              </w:rPr>
            </w:pPr>
            <w:r>
              <w:rPr>
                <w:rFonts w:hint="eastAsia"/>
                <w:color w:val="auto"/>
                <w:sz w:val="24"/>
                <w:szCs w:val="24"/>
              </w:rPr>
              <w:t>b</w:t>
            </w:r>
            <w:r>
              <w:rPr>
                <w:color w:val="auto"/>
                <w:sz w:val="24"/>
                <w:szCs w:val="24"/>
              </w:rPr>
              <w:t>为保障设施、设备正常运营，必要时应采取措施防止地基下沉，尤其是防止不均匀或局部下沉。</w:t>
            </w:r>
          </w:p>
          <w:p>
            <w:pPr>
              <w:autoSpaceDE w:val="0"/>
              <w:autoSpaceDN w:val="0"/>
              <w:adjustRightInd w:val="0"/>
              <w:spacing w:line="360" w:lineRule="auto"/>
              <w:ind w:firstLine="480" w:firstLineChars="200"/>
              <w:rPr>
                <w:b/>
                <w:bCs/>
                <w:color w:val="auto"/>
                <w:sz w:val="24"/>
                <w:szCs w:val="24"/>
              </w:rPr>
            </w:pPr>
            <w:r>
              <w:rPr>
                <w:rFonts w:hint="eastAsia"/>
                <w:b/>
                <w:bCs/>
                <w:color w:val="auto"/>
                <w:sz w:val="24"/>
                <w:szCs w:val="24"/>
              </w:rPr>
              <w:t>③</w:t>
            </w:r>
            <w:r>
              <w:rPr>
                <w:b/>
                <w:bCs/>
                <w:color w:val="auto"/>
                <w:sz w:val="24"/>
                <w:szCs w:val="24"/>
              </w:rPr>
              <w:t>生活垃圾</w:t>
            </w:r>
          </w:p>
          <w:p>
            <w:pPr>
              <w:autoSpaceDE w:val="0"/>
              <w:autoSpaceDN w:val="0"/>
              <w:adjustRightInd w:val="0"/>
              <w:spacing w:line="360" w:lineRule="auto"/>
              <w:ind w:firstLine="480" w:firstLineChars="200"/>
              <w:rPr>
                <w:color w:val="auto"/>
                <w:sz w:val="24"/>
                <w:szCs w:val="24"/>
              </w:rPr>
            </w:pPr>
            <w:r>
              <w:rPr>
                <w:color w:val="auto"/>
                <w:sz w:val="24"/>
                <w:szCs w:val="24"/>
              </w:rPr>
              <w:t>职工生活垃圾由环卫部门定期清运，可得到有效处置。</w:t>
            </w:r>
          </w:p>
          <w:p>
            <w:pPr>
              <w:pStyle w:val="29"/>
              <w:spacing w:before="0" w:line="360" w:lineRule="auto"/>
              <w:ind w:firstLine="480" w:firstLineChars="200"/>
              <w:rPr>
                <w:rStyle w:val="75"/>
                <w:rFonts w:ascii="Times New Roman" w:hAnsi="Times New Roman"/>
                <w:b/>
                <w:color w:val="auto"/>
                <w:spacing w:val="0"/>
                <w:kern w:val="2"/>
                <w:sz w:val="24"/>
                <w:szCs w:val="24"/>
              </w:rPr>
            </w:pPr>
            <w:r>
              <w:rPr>
                <w:rStyle w:val="75"/>
                <w:rFonts w:ascii="Times New Roman" w:hAnsi="Times New Roman"/>
                <w:b/>
                <w:color w:val="auto"/>
                <w:spacing w:val="0"/>
                <w:kern w:val="2"/>
                <w:sz w:val="24"/>
                <w:szCs w:val="24"/>
              </w:rPr>
              <w:t>（4）</w:t>
            </w:r>
            <w:r>
              <w:rPr>
                <w:rFonts w:ascii="Times New Roman" w:hAnsi="Times New Roman"/>
                <w:b/>
                <w:color w:val="auto"/>
                <w:sz w:val="24"/>
                <w:szCs w:val="24"/>
              </w:rPr>
              <w:t>固体废物污染防治措施分析</w:t>
            </w:r>
          </w:p>
          <w:p>
            <w:pPr>
              <w:pStyle w:val="29"/>
              <w:spacing w:before="0" w:line="360" w:lineRule="auto"/>
              <w:ind w:firstLine="480" w:firstLineChars="200"/>
              <w:rPr>
                <w:rStyle w:val="75"/>
                <w:rFonts w:ascii="Times New Roman" w:hAnsi="Times New Roman"/>
                <w:bCs/>
                <w:color w:val="auto"/>
                <w:spacing w:val="0"/>
                <w:kern w:val="2"/>
                <w:sz w:val="24"/>
                <w:szCs w:val="24"/>
              </w:rPr>
            </w:pPr>
            <w:r>
              <w:rPr>
                <w:rStyle w:val="75"/>
                <w:rFonts w:ascii="Times New Roman" w:hAnsi="Times New Roman"/>
                <w:bCs/>
                <w:color w:val="auto"/>
                <w:spacing w:val="0"/>
                <w:kern w:val="2"/>
                <w:sz w:val="24"/>
                <w:szCs w:val="24"/>
              </w:rPr>
              <w:t>项目建成运营后项目固废分类处置。一般废物由企业分类收集后外售综合利用；危险废物收集后委托有资质单位处置，其中</w:t>
            </w:r>
            <w:r>
              <w:rPr>
                <w:rStyle w:val="75"/>
                <w:rFonts w:hint="eastAsia" w:ascii="Times New Roman" w:hAnsi="Times New Roman"/>
                <w:bCs/>
                <w:color w:val="auto"/>
                <w:spacing w:val="0"/>
                <w:kern w:val="2"/>
                <w:sz w:val="24"/>
                <w:szCs w:val="24"/>
              </w:rPr>
              <w:t>混入生活垃圾的废</w:t>
            </w:r>
            <w:r>
              <w:rPr>
                <w:rStyle w:val="75"/>
                <w:rFonts w:hint="eastAsia" w:ascii="Times New Roman" w:hAnsi="Times New Roman"/>
                <w:bCs/>
                <w:color w:val="auto"/>
                <w:spacing w:val="0"/>
                <w:kern w:val="2"/>
                <w:sz w:val="24"/>
                <w:szCs w:val="24"/>
                <w:lang w:val="en-US" w:eastAsia="zh-CN"/>
              </w:rPr>
              <w:t>劳保用品</w:t>
            </w:r>
            <w:r>
              <w:rPr>
                <w:rStyle w:val="75"/>
                <w:rFonts w:ascii="Times New Roman" w:hAnsi="Times New Roman"/>
                <w:bCs/>
                <w:color w:val="auto"/>
                <w:spacing w:val="0"/>
                <w:kern w:val="2"/>
                <w:sz w:val="24"/>
                <w:szCs w:val="24"/>
              </w:rPr>
              <w:t>以及生活垃圾由环卫部门统一清运；金坛地区危险废物处置单位统计情况见下表。</w:t>
            </w:r>
          </w:p>
          <w:p>
            <w:pPr>
              <w:jc w:val="center"/>
              <w:rPr>
                <w:b/>
                <w:color w:val="auto"/>
                <w:szCs w:val="21"/>
              </w:rPr>
            </w:pPr>
            <w:r>
              <w:rPr>
                <w:b/>
                <w:color w:val="auto"/>
                <w:szCs w:val="21"/>
              </w:rPr>
              <w:t>表7-</w:t>
            </w:r>
            <w:r>
              <w:rPr>
                <w:rFonts w:hint="eastAsia"/>
                <w:b/>
                <w:color w:val="auto"/>
                <w:szCs w:val="21"/>
              </w:rPr>
              <w:t>2</w:t>
            </w:r>
            <w:r>
              <w:rPr>
                <w:rFonts w:hint="eastAsia"/>
                <w:b/>
                <w:color w:val="auto"/>
                <w:szCs w:val="21"/>
                <w:lang w:val="en-US" w:eastAsia="zh-CN"/>
              </w:rPr>
              <w:t>5</w:t>
            </w:r>
            <w:r>
              <w:rPr>
                <w:rFonts w:hint="eastAsia"/>
                <w:b/>
                <w:color w:val="auto"/>
                <w:szCs w:val="21"/>
              </w:rPr>
              <w:t xml:space="preserve"> </w:t>
            </w:r>
            <w:r>
              <w:rPr>
                <w:b/>
                <w:color w:val="auto"/>
                <w:szCs w:val="21"/>
              </w:rPr>
              <w:t>金坛地区危险废物处置单位及处置能力</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28" w:type="dxa"/>
                <w:bottom w:w="0" w:type="dxa"/>
                <w:right w:w="28" w:type="dxa"/>
              </w:tblCellMar>
            </w:tblPr>
            <w:tblGrid>
              <w:gridCol w:w="264"/>
              <w:gridCol w:w="1448"/>
              <w:gridCol w:w="1019"/>
              <w:gridCol w:w="1319"/>
              <w:gridCol w:w="3489"/>
              <w:gridCol w:w="77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jc w:val="center"/>
              </w:trPr>
              <w:tc>
                <w:tcPr>
                  <w:tcW w:w="159" w:type="pct"/>
                  <w:tcBorders>
                    <w:tl2br w:val="nil"/>
                    <w:tr2bl w:val="nil"/>
                  </w:tcBorders>
                  <w:vAlign w:val="center"/>
                </w:tcPr>
                <w:p>
                  <w:pPr>
                    <w:jc w:val="center"/>
                    <w:rPr>
                      <w:b/>
                      <w:color w:val="auto"/>
                      <w:szCs w:val="21"/>
                    </w:rPr>
                  </w:pPr>
                  <w:r>
                    <w:rPr>
                      <w:b/>
                      <w:color w:val="auto"/>
                      <w:szCs w:val="21"/>
                    </w:rPr>
                    <w:t>序号</w:t>
                  </w:r>
                </w:p>
              </w:tc>
              <w:tc>
                <w:tcPr>
                  <w:tcW w:w="871" w:type="pct"/>
                  <w:tcBorders>
                    <w:tl2br w:val="nil"/>
                    <w:tr2bl w:val="nil"/>
                  </w:tcBorders>
                  <w:vAlign w:val="center"/>
                </w:tcPr>
                <w:p>
                  <w:pPr>
                    <w:jc w:val="center"/>
                    <w:rPr>
                      <w:b/>
                      <w:color w:val="auto"/>
                      <w:szCs w:val="21"/>
                    </w:rPr>
                  </w:pPr>
                  <w:r>
                    <w:rPr>
                      <w:b/>
                      <w:color w:val="auto"/>
                      <w:szCs w:val="21"/>
                    </w:rPr>
                    <w:t>危险废物处置单位名称</w:t>
                  </w:r>
                </w:p>
              </w:tc>
              <w:tc>
                <w:tcPr>
                  <w:tcW w:w="613" w:type="pct"/>
                  <w:tcBorders>
                    <w:tl2br w:val="nil"/>
                    <w:tr2bl w:val="nil"/>
                  </w:tcBorders>
                  <w:vAlign w:val="center"/>
                </w:tcPr>
                <w:p>
                  <w:pPr>
                    <w:jc w:val="center"/>
                    <w:rPr>
                      <w:b/>
                      <w:color w:val="auto"/>
                      <w:szCs w:val="21"/>
                    </w:rPr>
                  </w:pPr>
                  <w:r>
                    <w:rPr>
                      <w:b/>
                      <w:color w:val="auto"/>
                      <w:szCs w:val="21"/>
                    </w:rPr>
                    <w:t>地址</w:t>
                  </w:r>
                </w:p>
              </w:tc>
              <w:tc>
                <w:tcPr>
                  <w:tcW w:w="793" w:type="pct"/>
                  <w:tcBorders>
                    <w:tl2br w:val="nil"/>
                    <w:tr2bl w:val="nil"/>
                  </w:tcBorders>
                  <w:vAlign w:val="center"/>
                </w:tcPr>
                <w:p>
                  <w:pPr>
                    <w:jc w:val="center"/>
                    <w:rPr>
                      <w:b/>
                      <w:color w:val="auto"/>
                      <w:szCs w:val="21"/>
                    </w:rPr>
                  </w:pPr>
                  <w:r>
                    <w:rPr>
                      <w:b/>
                      <w:color w:val="auto"/>
                      <w:szCs w:val="21"/>
                    </w:rPr>
                    <w:t>许可证号</w:t>
                  </w:r>
                </w:p>
              </w:tc>
              <w:tc>
                <w:tcPr>
                  <w:tcW w:w="2098" w:type="pct"/>
                  <w:tcBorders>
                    <w:tl2br w:val="nil"/>
                    <w:tr2bl w:val="nil"/>
                  </w:tcBorders>
                  <w:vAlign w:val="center"/>
                </w:tcPr>
                <w:p>
                  <w:pPr>
                    <w:jc w:val="center"/>
                    <w:rPr>
                      <w:b/>
                      <w:color w:val="auto"/>
                      <w:szCs w:val="21"/>
                    </w:rPr>
                  </w:pPr>
                  <w:r>
                    <w:rPr>
                      <w:b/>
                      <w:color w:val="auto"/>
                      <w:szCs w:val="21"/>
                    </w:rPr>
                    <w:t>经营类别</w:t>
                  </w:r>
                </w:p>
              </w:tc>
              <w:tc>
                <w:tcPr>
                  <w:tcW w:w="463" w:type="pct"/>
                  <w:tcBorders>
                    <w:tl2br w:val="nil"/>
                    <w:tr2bl w:val="nil"/>
                  </w:tcBorders>
                  <w:vAlign w:val="center"/>
                </w:tcPr>
                <w:p>
                  <w:pPr>
                    <w:jc w:val="center"/>
                    <w:rPr>
                      <w:b/>
                      <w:color w:val="auto"/>
                      <w:szCs w:val="21"/>
                    </w:rPr>
                  </w:pPr>
                  <w:r>
                    <w:rPr>
                      <w:b/>
                      <w:color w:val="auto"/>
                      <w:szCs w:val="21"/>
                    </w:rPr>
                    <w:t>许可数量（t/a）</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jc w:val="center"/>
              </w:trPr>
              <w:tc>
                <w:tcPr>
                  <w:tcW w:w="159" w:type="pct"/>
                  <w:tcBorders>
                    <w:tl2br w:val="nil"/>
                    <w:tr2bl w:val="nil"/>
                  </w:tcBorders>
                  <w:vAlign w:val="center"/>
                </w:tcPr>
                <w:p>
                  <w:pPr>
                    <w:jc w:val="center"/>
                    <w:rPr>
                      <w:color w:val="auto"/>
                      <w:szCs w:val="21"/>
                    </w:rPr>
                  </w:pPr>
                  <w:r>
                    <w:rPr>
                      <w:color w:val="auto"/>
                      <w:szCs w:val="21"/>
                    </w:rPr>
                    <w:t>1</w:t>
                  </w:r>
                </w:p>
              </w:tc>
              <w:tc>
                <w:tcPr>
                  <w:tcW w:w="871" w:type="pct"/>
                  <w:tcBorders>
                    <w:tl2br w:val="nil"/>
                    <w:tr2bl w:val="nil"/>
                  </w:tcBorders>
                  <w:vAlign w:val="center"/>
                </w:tcPr>
                <w:p>
                  <w:pPr>
                    <w:jc w:val="center"/>
                    <w:rPr>
                      <w:color w:val="auto"/>
                      <w:szCs w:val="21"/>
                    </w:rPr>
                  </w:pPr>
                  <w:r>
                    <w:rPr>
                      <w:color w:val="auto"/>
                      <w:szCs w:val="21"/>
                    </w:rPr>
                    <w:t>常州市金坛金东环保工程有限公司</w:t>
                  </w:r>
                </w:p>
              </w:tc>
              <w:tc>
                <w:tcPr>
                  <w:tcW w:w="613" w:type="pct"/>
                  <w:tcBorders>
                    <w:tl2br w:val="nil"/>
                    <w:tr2bl w:val="nil"/>
                  </w:tcBorders>
                  <w:vAlign w:val="center"/>
                </w:tcPr>
                <w:p>
                  <w:pPr>
                    <w:jc w:val="center"/>
                    <w:rPr>
                      <w:color w:val="auto"/>
                      <w:szCs w:val="21"/>
                    </w:rPr>
                  </w:pPr>
                  <w:r>
                    <w:rPr>
                      <w:color w:val="auto"/>
                      <w:szCs w:val="21"/>
                    </w:rPr>
                    <w:t>金坛区华兴路88号</w:t>
                  </w:r>
                </w:p>
              </w:tc>
              <w:tc>
                <w:tcPr>
                  <w:tcW w:w="793" w:type="pct"/>
                  <w:tcBorders>
                    <w:tl2br w:val="nil"/>
                    <w:tr2bl w:val="nil"/>
                  </w:tcBorders>
                  <w:vAlign w:val="center"/>
                </w:tcPr>
                <w:p>
                  <w:pPr>
                    <w:jc w:val="center"/>
                    <w:rPr>
                      <w:color w:val="auto"/>
                      <w:szCs w:val="21"/>
                    </w:rPr>
                  </w:pPr>
                  <w:r>
                    <w:rPr>
                      <w:color w:val="auto"/>
                      <w:szCs w:val="21"/>
                    </w:rPr>
                    <w:t>JSCZ0413OOD013-1</w:t>
                  </w:r>
                </w:p>
              </w:tc>
              <w:tc>
                <w:tcPr>
                  <w:tcW w:w="2098" w:type="pct"/>
                  <w:tcBorders>
                    <w:tl2br w:val="nil"/>
                    <w:tr2bl w:val="nil"/>
                  </w:tcBorders>
                  <w:vAlign w:val="center"/>
                </w:tcPr>
                <w:p>
                  <w:pPr>
                    <w:jc w:val="center"/>
                    <w:rPr>
                      <w:color w:val="auto"/>
                      <w:szCs w:val="21"/>
                    </w:rPr>
                  </w:pPr>
                  <w:r>
                    <w:rPr>
                      <w:color w:val="auto"/>
                      <w:szCs w:val="21"/>
                    </w:rPr>
                    <w:t>预处理废矿物油（HW08）3000吨/年、处置、利用油/水、烃/水混合物或乳化液（HW09）14000吨/年</w:t>
                  </w:r>
                </w:p>
              </w:tc>
              <w:tc>
                <w:tcPr>
                  <w:tcW w:w="463" w:type="pct"/>
                  <w:tcBorders>
                    <w:tl2br w:val="nil"/>
                    <w:tr2bl w:val="nil"/>
                  </w:tcBorders>
                  <w:vAlign w:val="center"/>
                </w:tcPr>
                <w:p>
                  <w:pPr>
                    <w:jc w:val="center"/>
                    <w:rPr>
                      <w:color w:val="auto"/>
                      <w:szCs w:val="21"/>
                    </w:rPr>
                  </w:pPr>
                  <w:r>
                    <w:rPr>
                      <w:color w:val="auto"/>
                      <w:szCs w:val="21"/>
                    </w:rPr>
                    <w:t>17000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jc w:val="center"/>
              </w:trPr>
              <w:tc>
                <w:tcPr>
                  <w:tcW w:w="159" w:type="pct"/>
                  <w:tcBorders>
                    <w:tl2br w:val="nil"/>
                    <w:tr2bl w:val="nil"/>
                  </w:tcBorders>
                  <w:vAlign w:val="center"/>
                </w:tcPr>
                <w:p>
                  <w:pPr>
                    <w:jc w:val="center"/>
                    <w:rPr>
                      <w:color w:val="auto"/>
                      <w:szCs w:val="21"/>
                    </w:rPr>
                  </w:pPr>
                  <w:r>
                    <w:rPr>
                      <w:color w:val="auto"/>
                      <w:szCs w:val="21"/>
                    </w:rPr>
                    <w:t>2</w:t>
                  </w:r>
                </w:p>
              </w:tc>
              <w:tc>
                <w:tcPr>
                  <w:tcW w:w="871" w:type="pct"/>
                  <w:tcBorders>
                    <w:tl2br w:val="nil"/>
                    <w:tr2bl w:val="nil"/>
                  </w:tcBorders>
                  <w:vAlign w:val="center"/>
                </w:tcPr>
                <w:p>
                  <w:pPr>
                    <w:jc w:val="center"/>
                    <w:rPr>
                      <w:color w:val="auto"/>
                      <w:szCs w:val="21"/>
                    </w:rPr>
                  </w:pPr>
                  <w:r>
                    <w:rPr>
                      <w:color w:val="auto"/>
                      <w:szCs w:val="21"/>
                    </w:rPr>
                    <w:t>常州菲纳斯能源科技有限公司</w:t>
                  </w:r>
                </w:p>
              </w:tc>
              <w:tc>
                <w:tcPr>
                  <w:tcW w:w="613" w:type="pct"/>
                  <w:tcBorders>
                    <w:tl2br w:val="nil"/>
                    <w:tr2bl w:val="nil"/>
                  </w:tcBorders>
                  <w:vAlign w:val="center"/>
                </w:tcPr>
                <w:p>
                  <w:pPr>
                    <w:jc w:val="center"/>
                    <w:rPr>
                      <w:color w:val="auto"/>
                      <w:szCs w:val="21"/>
                    </w:rPr>
                  </w:pPr>
                  <w:r>
                    <w:rPr>
                      <w:color w:val="auto"/>
                      <w:szCs w:val="21"/>
                    </w:rPr>
                    <w:t>金坛区中兴路89号</w:t>
                  </w:r>
                </w:p>
              </w:tc>
              <w:tc>
                <w:tcPr>
                  <w:tcW w:w="793" w:type="pct"/>
                  <w:tcBorders>
                    <w:tl2br w:val="nil"/>
                    <w:tr2bl w:val="nil"/>
                  </w:tcBorders>
                  <w:vAlign w:val="center"/>
                </w:tcPr>
                <w:p>
                  <w:pPr>
                    <w:jc w:val="center"/>
                    <w:rPr>
                      <w:color w:val="auto"/>
                      <w:szCs w:val="21"/>
                    </w:rPr>
                  </w:pPr>
                  <w:r>
                    <w:rPr>
                      <w:color w:val="auto"/>
                      <w:szCs w:val="21"/>
                    </w:rPr>
                    <w:t>JSCZ0413OOD026-2</w:t>
                  </w:r>
                </w:p>
              </w:tc>
              <w:tc>
                <w:tcPr>
                  <w:tcW w:w="2098" w:type="pct"/>
                  <w:tcBorders>
                    <w:tl2br w:val="nil"/>
                    <w:tr2bl w:val="nil"/>
                  </w:tcBorders>
                  <w:vAlign w:val="center"/>
                </w:tcPr>
                <w:p>
                  <w:pPr>
                    <w:jc w:val="center"/>
                    <w:rPr>
                      <w:color w:val="auto"/>
                      <w:szCs w:val="21"/>
                    </w:rPr>
                  </w:pPr>
                  <w:r>
                    <w:rPr>
                      <w:color w:val="auto"/>
                      <w:szCs w:val="21"/>
                    </w:rPr>
                    <w:t>处置、利用废润滑油（HW08，900-201-08、900-203-08、900-204-08、900-214-08、900-217-08、900-249-08）60000吨/年</w:t>
                  </w:r>
                </w:p>
              </w:tc>
              <w:tc>
                <w:tcPr>
                  <w:tcW w:w="463" w:type="pct"/>
                  <w:tcBorders>
                    <w:tl2br w:val="nil"/>
                    <w:tr2bl w:val="nil"/>
                  </w:tcBorders>
                  <w:vAlign w:val="center"/>
                </w:tcPr>
                <w:p>
                  <w:pPr>
                    <w:jc w:val="center"/>
                    <w:rPr>
                      <w:color w:val="auto"/>
                      <w:szCs w:val="21"/>
                    </w:rPr>
                  </w:pPr>
                  <w:r>
                    <w:rPr>
                      <w:color w:val="auto"/>
                      <w:szCs w:val="21"/>
                    </w:rPr>
                    <w:t>60000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jc w:val="center"/>
              </w:trPr>
              <w:tc>
                <w:tcPr>
                  <w:tcW w:w="159" w:type="pct"/>
                  <w:tcBorders>
                    <w:tl2br w:val="nil"/>
                    <w:tr2bl w:val="nil"/>
                  </w:tcBorders>
                  <w:vAlign w:val="center"/>
                </w:tcPr>
                <w:p>
                  <w:pPr>
                    <w:jc w:val="center"/>
                    <w:rPr>
                      <w:color w:val="auto"/>
                      <w:szCs w:val="21"/>
                    </w:rPr>
                  </w:pPr>
                  <w:r>
                    <w:rPr>
                      <w:color w:val="auto"/>
                      <w:szCs w:val="21"/>
                    </w:rPr>
                    <w:t>3</w:t>
                  </w:r>
                </w:p>
              </w:tc>
              <w:tc>
                <w:tcPr>
                  <w:tcW w:w="871" w:type="pct"/>
                  <w:tcBorders>
                    <w:tl2br w:val="nil"/>
                    <w:tr2bl w:val="nil"/>
                  </w:tcBorders>
                  <w:vAlign w:val="center"/>
                </w:tcPr>
                <w:p>
                  <w:pPr>
                    <w:jc w:val="center"/>
                    <w:rPr>
                      <w:color w:val="auto"/>
                      <w:szCs w:val="21"/>
                    </w:rPr>
                  </w:pPr>
                  <w:r>
                    <w:rPr>
                      <w:color w:val="auto"/>
                      <w:szCs w:val="21"/>
                    </w:rPr>
                    <w:t>常州普达环保清洗有限公司</w:t>
                  </w:r>
                </w:p>
              </w:tc>
              <w:tc>
                <w:tcPr>
                  <w:tcW w:w="613" w:type="pct"/>
                  <w:tcBorders>
                    <w:tl2br w:val="nil"/>
                    <w:tr2bl w:val="nil"/>
                  </w:tcBorders>
                  <w:vAlign w:val="center"/>
                </w:tcPr>
                <w:p>
                  <w:pPr>
                    <w:jc w:val="center"/>
                    <w:rPr>
                      <w:color w:val="auto"/>
                      <w:szCs w:val="21"/>
                    </w:rPr>
                  </w:pPr>
                  <w:r>
                    <w:rPr>
                      <w:color w:val="auto"/>
                      <w:szCs w:val="21"/>
                    </w:rPr>
                    <w:t>金坛经济开发区汇贤北路1号</w:t>
                  </w:r>
                </w:p>
              </w:tc>
              <w:tc>
                <w:tcPr>
                  <w:tcW w:w="793" w:type="pct"/>
                  <w:tcBorders>
                    <w:tl2br w:val="nil"/>
                    <w:tr2bl w:val="nil"/>
                  </w:tcBorders>
                  <w:vAlign w:val="center"/>
                </w:tcPr>
                <w:p>
                  <w:pPr>
                    <w:jc w:val="center"/>
                    <w:rPr>
                      <w:color w:val="auto"/>
                      <w:szCs w:val="21"/>
                    </w:rPr>
                  </w:pPr>
                  <w:r>
                    <w:rPr>
                      <w:color w:val="auto"/>
                      <w:szCs w:val="21"/>
                    </w:rPr>
                    <w:t>JSCZ0413OOD027-1</w:t>
                  </w:r>
                </w:p>
              </w:tc>
              <w:tc>
                <w:tcPr>
                  <w:tcW w:w="2098" w:type="pct"/>
                  <w:tcBorders>
                    <w:tl2br w:val="nil"/>
                    <w:tr2bl w:val="nil"/>
                  </w:tcBorders>
                  <w:vAlign w:val="center"/>
                </w:tcPr>
                <w:p>
                  <w:pPr>
                    <w:jc w:val="center"/>
                    <w:rPr>
                      <w:color w:val="auto"/>
                      <w:szCs w:val="21"/>
                    </w:rPr>
                  </w:pPr>
                  <w:r>
                    <w:rPr>
                      <w:color w:val="auto"/>
                      <w:szCs w:val="21"/>
                    </w:rPr>
                    <w:t>清洗处置含[废有机溶剂与含有机溶剂废物（HW06）、废矿物油与含矿物油废物（HW08）、油/水、烃/水混合物或乳化液（HW09）、染料、涂料废物（HW12）、有机树脂类废物（HW13）、废酸（HW34）、废碱（HW35）、含醚废物（HW40）] 废包装桶(HW49)59万只/年（其中200L包装桶46万只/年、1000L包装桶（IBC吨桶）13万只/年）</w:t>
                  </w:r>
                </w:p>
              </w:tc>
              <w:tc>
                <w:tcPr>
                  <w:tcW w:w="463" w:type="pct"/>
                  <w:tcBorders>
                    <w:tl2br w:val="nil"/>
                    <w:tr2bl w:val="nil"/>
                  </w:tcBorders>
                  <w:vAlign w:val="center"/>
                </w:tcPr>
                <w:p>
                  <w:pPr>
                    <w:jc w:val="center"/>
                    <w:rPr>
                      <w:color w:val="auto"/>
                      <w:szCs w:val="21"/>
                    </w:rPr>
                  </w:pPr>
                  <w:r>
                    <w:rPr>
                      <w:color w:val="auto"/>
                      <w:szCs w:val="21"/>
                    </w:rPr>
                    <w:t>59万只/年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jc w:val="center"/>
              </w:trPr>
              <w:tc>
                <w:tcPr>
                  <w:tcW w:w="159" w:type="pct"/>
                  <w:tcBorders>
                    <w:tl2br w:val="nil"/>
                    <w:tr2bl w:val="nil"/>
                  </w:tcBorders>
                  <w:vAlign w:val="center"/>
                </w:tcPr>
                <w:p>
                  <w:pPr>
                    <w:jc w:val="center"/>
                    <w:rPr>
                      <w:color w:val="auto"/>
                      <w:szCs w:val="21"/>
                    </w:rPr>
                  </w:pPr>
                  <w:r>
                    <w:rPr>
                      <w:color w:val="auto"/>
                      <w:szCs w:val="21"/>
                    </w:rPr>
                    <w:t>4</w:t>
                  </w:r>
                </w:p>
              </w:tc>
              <w:tc>
                <w:tcPr>
                  <w:tcW w:w="871" w:type="pct"/>
                  <w:tcBorders>
                    <w:tl2br w:val="nil"/>
                    <w:tr2bl w:val="nil"/>
                  </w:tcBorders>
                  <w:vAlign w:val="center"/>
                </w:tcPr>
                <w:p>
                  <w:pPr>
                    <w:jc w:val="center"/>
                    <w:rPr>
                      <w:color w:val="auto"/>
                      <w:szCs w:val="21"/>
                    </w:rPr>
                  </w:pPr>
                  <w:r>
                    <w:rPr>
                      <w:color w:val="auto"/>
                      <w:szCs w:val="21"/>
                    </w:rPr>
                    <w:t>常州润克环保科技有限公司</w:t>
                  </w:r>
                </w:p>
              </w:tc>
              <w:tc>
                <w:tcPr>
                  <w:tcW w:w="613" w:type="pct"/>
                  <w:tcBorders>
                    <w:tl2br w:val="nil"/>
                    <w:tr2bl w:val="nil"/>
                  </w:tcBorders>
                  <w:vAlign w:val="center"/>
                </w:tcPr>
                <w:p>
                  <w:pPr>
                    <w:jc w:val="center"/>
                    <w:rPr>
                      <w:color w:val="auto"/>
                      <w:szCs w:val="21"/>
                    </w:rPr>
                  </w:pPr>
                  <w:r>
                    <w:rPr>
                      <w:color w:val="auto"/>
                      <w:szCs w:val="21"/>
                    </w:rPr>
                    <w:t>金坛区经济开发区东康路101号</w:t>
                  </w:r>
                </w:p>
              </w:tc>
              <w:tc>
                <w:tcPr>
                  <w:tcW w:w="793" w:type="pct"/>
                  <w:tcBorders>
                    <w:tl2br w:val="nil"/>
                    <w:tr2bl w:val="nil"/>
                  </w:tcBorders>
                  <w:vAlign w:val="center"/>
                </w:tcPr>
                <w:p>
                  <w:pPr>
                    <w:jc w:val="center"/>
                    <w:rPr>
                      <w:color w:val="auto"/>
                      <w:szCs w:val="21"/>
                    </w:rPr>
                  </w:pPr>
                  <w:r>
                    <w:rPr>
                      <w:color w:val="auto"/>
                      <w:szCs w:val="21"/>
                    </w:rPr>
                    <w:t>JS0482OOI550</w:t>
                  </w:r>
                </w:p>
              </w:tc>
              <w:tc>
                <w:tcPr>
                  <w:tcW w:w="2098" w:type="pct"/>
                  <w:tcBorders>
                    <w:tl2br w:val="nil"/>
                    <w:tr2bl w:val="nil"/>
                  </w:tcBorders>
                  <w:vAlign w:val="center"/>
                </w:tcPr>
                <w:p>
                  <w:pPr>
                    <w:jc w:val="center"/>
                    <w:rPr>
                      <w:color w:val="auto"/>
                      <w:szCs w:val="21"/>
                    </w:rPr>
                  </w:pPr>
                  <w:r>
                    <w:rPr>
                      <w:color w:val="auto"/>
                      <w:szCs w:val="21"/>
                    </w:rPr>
                    <w:t>回转窑焚烧处置医药废物HW02、废药物药品HW03、农药废物HW04、木材防腐剂废物HW05、废有机溶剂与含有机溶剂废物HW06、废矿物油与含矿物油废物HW08、油/水、烃/水混合物或乳化液HW09、精（蒸）馏残渣HW11、染料及涂料废物HW12、有机树脂类废物HW13、新化学物质废物HW14、感光材料废物HW16、有机氰化物废物HW38、含酚废物HW39、含醚废物HW40、含有机卤化物废物HW45、其他废物HW49，合计10000吨/年，热解炉焚烧处置废有机溶剂与含有机溶剂废物HW06共计2500吨/年</w:t>
                  </w:r>
                </w:p>
              </w:tc>
              <w:tc>
                <w:tcPr>
                  <w:tcW w:w="463" w:type="pct"/>
                  <w:tcBorders>
                    <w:tl2br w:val="nil"/>
                    <w:tr2bl w:val="nil"/>
                  </w:tcBorders>
                  <w:vAlign w:val="center"/>
                </w:tcPr>
                <w:p>
                  <w:pPr>
                    <w:jc w:val="center"/>
                    <w:rPr>
                      <w:color w:val="auto"/>
                      <w:szCs w:val="21"/>
                    </w:rPr>
                  </w:pPr>
                  <w:r>
                    <w:rPr>
                      <w:color w:val="auto"/>
                      <w:szCs w:val="21"/>
                    </w:rPr>
                    <w:t>12500</w:t>
                  </w:r>
                </w:p>
              </w:tc>
            </w:tr>
          </w:tbl>
          <w:p>
            <w:pPr>
              <w:pStyle w:val="29"/>
              <w:spacing w:before="0" w:line="360" w:lineRule="auto"/>
              <w:ind w:firstLine="472" w:firstLineChars="200"/>
              <w:rPr>
                <w:rFonts w:ascii="Times New Roman" w:hAnsi="Times New Roman"/>
                <w:color w:val="auto"/>
                <w:sz w:val="24"/>
                <w:szCs w:val="24"/>
              </w:rPr>
            </w:pPr>
            <w:r>
              <w:rPr>
                <w:rFonts w:ascii="Times New Roman" w:hAnsi="Times New Roman"/>
                <w:color w:val="auto"/>
                <w:sz w:val="24"/>
                <w:szCs w:val="24"/>
              </w:rPr>
              <w:t>本项目待处置的危险废物主</w:t>
            </w:r>
            <w:r>
              <w:rPr>
                <w:rFonts w:hint="default" w:ascii="Times New Roman" w:hAnsi="Times New Roman" w:cs="Times New Roman"/>
                <w:color w:val="auto"/>
                <w:sz w:val="24"/>
                <w:szCs w:val="22"/>
                <w:lang w:val="en-US" w:eastAsia="zh-CN"/>
              </w:rPr>
              <w:t>要为</w:t>
            </w:r>
            <w:r>
              <w:rPr>
                <w:rFonts w:hint="eastAsia" w:ascii="Times New Roman" w:hAnsi="Times New Roman" w:cs="Times New Roman"/>
                <w:color w:val="auto"/>
                <w:sz w:val="24"/>
                <w:szCs w:val="22"/>
                <w:lang w:val="en-US" w:eastAsia="zh-CN"/>
              </w:rPr>
              <w:t>废切削</w:t>
            </w:r>
            <w:r>
              <w:rPr>
                <w:rFonts w:hint="default" w:ascii="Times New Roman" w:hAnsi="Times New Roman" w:cs="Times New Roman"/>
                <w:color w:val="auto"/>
                <w:sz w:val="24"/>
                <w:szCs w:val="22"/>
                <w:lang w:val="en-US" w:eastAsia="zh-CN"/>
              </w:rPr>
              <w:t>液（HW09）</w:t>
            </w:r>
            <w:r>
              <w:rPr>
                <w:rFonts w:hint="eastAsia" w:ascii="Times New Roman" w:hAnsi="Times New Roman" w:cs="Times New Roman"/>
                <w:color w:val="auto"/>
                <w:sz w:val="24"/>
                <w:szCs w:val="22"/>
                <w:lang w:val="en-US" w:eastAsia="zh-CN"/>
              </w:rPr>
              <w:t>、废润滑油（</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08）、漆渣（</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12）、含漆废物（</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12）、含漆废液（HW49）、废过滤</w:t>
            </w:r>
            <w:r>
              <w:rPr>
                <w:rFonts w:hint="eastAsia"/>
                <w:color w:val="auto"/>
                <w:sz w:val="24"/>
                <w:szCs w:val="22"/>
                <w:lang w:val="en-US" w:eastAsia="zh-CN"/>
              </w:rPr>
              <w:t>棉（</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49</w:t>
            </w:r>
            <w:r>
              <w:rPr>
                <w:rFonts w:hint="eastAsia"/>
                <w:color w:val="auto"/>
                <w:sz w:val="24"/>
                <w:szCs w:val="22"/>
                <w:lang w:val="en-US" w:eastAsia="zh-CN"/>
              </w:rPr>
              <w:t>）、废活性炭（</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49</w:t>
            </w:r>
            <w:r>
              <w:rPr>
                <w:rFonts w:hint="eastAsia"/>
                <w:color w:val="auto"/>
                <w:sz w:val="24"/>
                <w:szCs w:val="22"/>
                <w:lang w:val="en-US" w:eastAsia="zh-CN"/>
              </w:rPr>
              <w:t>）、废包装桶（</w:t>
            </w:r>
            <w:r>
              <w:rPr>
                <w:rFonts w:hint="default" w:ascii="Times New Roman" w:hAnsi="Times New Roman" w:cs="Times New Roman"/>
                <w:color w:val="auto"/>
                <w:sz w:val="24"/>
                <w:szCs w:val="22"/>
                <w:lang w:val="en-US" w:eastAsia="zh-CN"/>
              </w:rPr>
              <w:t>HW</w:t>
            </w:r>
            <w:r>
              <w:rPr>
                <w:rFonts w:hint="eastAsia" w:ascii="Times New Roman" w:hAnsi="Times New Roman" w:cs="Times New Roman"/>
                <w:color w:val="auto"/>
                <w:sz w:val="24"/>
                <w:szCs w:val="22"/>
                <w:lang w:val="en-US" w:eastAsia="zh-CN"/>
              </w:rPr>
              <w:t>49</w:t>
            </w:r>
            <w:r>
              <w:rPr>
                <w:rFonts w:hint="eastAsia"/>
                <w:color w:val="auto"/>
                <w:sz w:val="24"/>
                <w:szCs w:val="22"/>
                <w:lang w:val="en-US" w:eastAsia="zh-CN"/>
              </w:rPr>
              <w:t>）</w:t>
            </w:r>
            <w:r>
              <w:rPr>
                <w:rFonts w:ascii="Times New Roman" w:hAnsi="Times New Roman"/>
                <w:color w:val="auto"/>
                <w:sz w:val="24"/>
                <w:szCs w:val="24"/>
              </w:rPr>
              <w:t>，对照金坛地区现有危险废物处置单位的经营类别及许可处理能力，本项目各类危险废物均在金坛地区现有危险废物处置单位的处置范围内，各类危险废物可实现在金坛区域内处置。</w:t>
            </w:r>
          </w:p>
          <w:p>
            <w:pPr>
              <w:pStyle w:val="29"/>
              <w:spacing w:before="0" w:line="360" w:lineRule="auto"/>
              <w:ind w:firstLine="480" w:firstLineChars="200"/>
              <w:rPr>
                <w:rFonts w:ascii="Times New Roman" w:hAnsi="Times New Roman"/>
                <w:b/>
                <w:color w:val="auto"/>
                <w:sz w:val="24"/>
              </w:rPr>
            </w:pPr>
            <w:r>
              <w:rPr>
                <w:rStyle w:val="75"/>
                <w:rFonts w:ascii="Times New Roman" w:hAnsi="Times New Roman"/>
                <w:bCs/>
                <w:color w:val="auto"/>
                <w:spacing w:val="0"/>
                <w:kern w:val="2"/>
                <w:sz w:val="24"/>
                <w:szCs w:val="24"/>
              </w:rPr>
              <w:t>综合上述，项目各项固体废物均能得到经妥善处理，对当地环境影响较小。</w:t>
            </w:r>
          </w:p>
          <w:p>
            <w:pPr>
              <w:pStyle w:val="29"/>
              <w:spacing w:before="0" w:line="360" w:lineRule="auto"/>
              <w:ind w:firstLine="480" w:firstLineChars="200"/>
              <w:rPr>
                <w:rStyle w:val="75"/>
                <w:rFonts w:ascii="Times New Roman"/>
                <w:b/>
                <w:color w:val="auto"/>
                <w:spacing w:val="0"/>
                <w:kern w:val="2"/>
                <w:sz w:val="24"/>
                <w:szCs w:val="24"/>
              </w:rPr>
            </w:pPr>
            <w:r>
              <w:rPr>
                <w:rStyle w:val="75"/>
                <w:rFonts w:hint="eastAsia" w:ascii="Times New Roman"/>
                <w:b/>
                <w:color w:val="auto"/>
                <w:spacing w:val="0"/>
                <w:kern w:val="2"/>
                <w:sz w:val="24"/>
                <w:szCs w:val="24"/>
                <w:lang w:val="en-US" w:eastAsia="zh-CN"/>
              </w:rPr>
              <w:t>5</w:t>
            </w:r>
            <w:r>
              <w:rPr>
                <w:rStyle w:val="75"/>
                <w:rFonts w:ascii="Times New Roman"/>
                <w:b/>
                <w:color w:val="auto"/>
                <w:spacing w:val="0"/>
                <w:kern w:val="2"/>
                <w:sz w:val="24"/>
                <w:szCs w:val="24"/>
              </w:rPr>
              <w:t>、土壤环境影响评价</w:t>
            </w:r>
          </w:p>
          <w:p>
            <w:pPr>
              <w:pStyle w:val="29"/>
              <w:spacing w:before="0" w:line="360" w:lineRule="auto"/>
              <w:ind w:firstLine="456" w:firstLineChars="200"/>
              <w:rPr>
                <w:rFonts w:ascii="Times New Roman"/>
                <w:bCs/>
                <w:color w:val="auto"/>
                <w:sz w:val="24"/>
              </w:rPr>
            </w:pPr>
            <w:r>
              <w:rPr>
                <w:rFonts w:ascii="Times New Roman"/>
                <w:color w:val="auto"/>
                <w:spacing w:val="-6"/>
                <w:sz w:val="24"/>
              </w:rPr>
              <w:t>本项</w:t>
            </w:r>
            <w:r>
              <w:rPr>
                <w:rFonts w:ascii="Times New Roman" w:hAnsi="Times New Roman"/>
                <w:color w:val="auto"/>
                <w:spacing w:val="0"/>
                <w:kern w:val="2"/>
                <w:sz w:val="24"/>
                <w:szCs w:val="22"/>
              </w:rPr>
              <w:t>目为</w:t>
            </w:r>
            <w:r>
              <w:rPr>
                <w:rFonts w:hint="eastAsia"/>
                <w:color w:val="auto"/>
                <w:sz w:val="24"/>
                <w:szCs w:val="24"/>
              </w:rPr>
              <w:t>“</w:t>
            </w:r>
            <w:r>
              <w:rPr>
                <w:rFonts w:hint="eastAsia" w:ascii="Times New Roman" w:hAnsi="Times New Roman"/>
                <w:color w:val="auto"/>
                <w:spacing w:val="0"/>
                <w:kern w:val="2"/>
                <w:sz w:val="24"/>
                <w:szCs w:val="22"/>
              </w:rPr>
              <w:t>C3311 金属结构制造</w:t>
            </w:r>
            <w:r>
              <w:rPr>
                <w:rFonts w:hint="eastAsia"/>
                <w:color w:val="auto"/>
                <w:sz w:val="24"/>
                <w:szCs w:val="24"/>
              </w:rPr>
              <w:t>”</w:t>
            </w:r>
            <w:r>
              <w:rPr>
                <w:rFonts w:ascii="Times New Roman"/>
                <w:color w:val="auto"/>
                <w:spacing w:val="-6"/>
                <w:sz w:val="24"/>
              </w:rPr>
              <w:t>。属于污染影响型项目。根据</w:t>
            </w:r>
            <w:r>
              <w:rPr>
                <w:rFonts w:ascii="Times New Roman"/>
                <w:bCs/>
                <w:color w:val="auto"/>
                <w:sz w:val="24"/>
              </w:rPr>
              <w:t>《环境影响评价技术导则 土壤环境（试行）》（HJ964-2018）中附录A</w:t>
            </w:r>
            <w:r>
              <w:rPr>
                <w:rFonts w:hint="eastAsia" w:ascii="Times New Roman"/>
                <w:bCs/>
                <w:color w:val="auto"/>
                <w:sz w:val="24"/>
              </w:rPr>
              <w:t>进行评价等级判定。</w:t>
            </w:r>
          </w:p>
          <w:p>
            <w:pPr>
              <w:pStyle w:val="29"/>
              <w:spacing w:before="0" w:line="360" w:lineRule="auto"/>
              <w:ind w:firstLine="472" w:firstLineChars="200"/>
              <w:rPr>
                <w:rFonts w:ascii="Times New Roman"/>
                <w:bCs/>
                <w:color w:val="auto"/>
                <w:sz w:val="24"/>
              </w:rPr>
            </w:pPr>
            <w:r>
              <w:rPr>
                <w:rFonts w:hint="eastAsia" w:ascii="Times New Roman"/>
                <w:bCs/>
                <w:color w:val="auto"/>
                <w:sz w:val="24"/>
              </w:rPr>
              <w:t>（1）占地面积</w:t>
            </w:r>
            <w:r>
              <w:rPr>
                <w:rFonts w:hint="eastAsia" w:ascii="Times New Roman"/>
                <w:bCs/>
                <w:color w:val="auto"/>
                <w:sz w:val="24"/>
                <w:lang w:val="en-US" w:eastAsia="zh-CN"/>
              </w:rPr>
              <w:t>2500</w:t>
            </w:r>
            <w:r>
              <w:rPr>
                <w:rFonts w:hint="eastAsia" w:ascii="Times New Roman"/>
                <w:bCs/>
                <w:color w:val="auto"/>
                <w:sz w:val="24"/>
              </w:rPr>
              <w:t>m</w:t>
            </w:r>
            <w:r>
              <w:rPr>
                <w:rFonts w:hint="eastAsia" w:ascii="Times New Roman"/>
                <w:bCs/>
                <w:color w:val="auto"/>
                <w:sz w:val="24"/>
                <w:vertAlign w:val="superscript"/>
              </w:rPr>
              <w:t>2</w:t>
            </w:r>
            <w:r>
              <w:rPr>
                <w:rFonts w:hint="eastAsia" w:hAnsi="宋体" w:cs="宋体"/>
                <w:bCs/>
                <w:color w:val="auto"/>
                <w:sz w:val="24"/>
              </w:rPr>
              <w:t>≦</w:t>
            </w:r>
            <w:r>
              <w:rPr>
                <w:rFonts w:hint="eastAsia" w:ascii="Times New Roman"/>
                <w:bCs/>
                <w:color w:val="auto"/>
                <w:sz w:val="24"/>
                <w:szCs w:val="22"/>
              </w:rPr>
              <w:t>5hm</w:t>
            </w:r>
            <w:r>
              <w:rPr>
                <w:rFonts w:hint="eastAsia" w:ascii="Times New Roman"/>
                <w:bCs/>
                <w:color w:val="auto"/>
                <w:sz w:val="24"/>
                <w:szCs w:val="22"/>
                <w:vertAlign w:val="superscript"/>
              </w:rPr>
              <w:t>2</w:t>
            </w:r>
            <w:r>
              <w:rPr>
                <w:rFonts w:hint="eastAsia" w:hAnsi="宋体" w:cs="宋体"/>
                <w:bCs/>
                <w:color w:val="auto"/>
                <w:sz w:val="24"/>
              </w:rPr>
              <w:t>，占地规模属于小型。</w:t>
            </w:r>
          </w:p>
          <w:p>
            <w:pPr>
              <w:pStyle w:val="29"/>
              <w:spacing w:before="0" w:line="360" w:lineRule="auto"/>
              <w:ind w:firstLine="472" w:firstLineChars="200"/>
              <w:rPr>
                <w:rFonts w:ascii="Times New Roman"/>
                <w:bCs/>
                <w:color w:val="auto"/>
                <w:sz w:val="24"/>
              </w:rPr>
            </w:pPr>
            <w:r>
              <w:rPr>
                <w:rFonts w:hint="eastAsia" w:ascii="Times New Roman"/>
                <w:bCs/>
                <w:color w:val="auto"/>
                <w:sz w:val="24"/>
              </w:rPr>
              <w:t>（2）建设项目所在地周边土壤环境敏感程度分级表及如下：</w:t>
            </w:r>
          </w:p>
          <w:p>
            <w:pPr>
              <w:pStyle w:val="29"/>
              <w:spacing w:before="0" w:line="240" w:lineRule="auto"/>
              <w:jc w:val="center"/>
              <w:rPr>
                <w:rFonts w:ascii="Times New Roman"/>
                <w:b/>
                <w:color w:val="auto"/>
                <w:szCs w:val="21"/>
              </w:rPr>
            </w:pPr>
            <w:r>
              <w:rPr>
                <w:rFonts w:hint="eastAsia" w:ascii="Times New Roman"/>
                <w:b/>
                <w:color w:val="auto"/>
                <w:szCs w:val="21"/>
              </w:rPr>
              <w:t>表7-</w:t>
            </w:r>
            <w:r>
              <w:rPr>
                <w:rFonts w:hint="eastAsia" w:ascii="Times New Roman"/>
                <w:b/>
                <w:color w:val="auto"/>
                <w:szCs w:val="21"/>
                <w:lang w:val="en-US" w:eastAsia="zh-CN"/>
              </w:rPr>
              <w:t xml:space="preserve">26 </w:t>
            </w:r>
            <w:r>
              <w:rPr>
                <w:rFonts w:hint="eastAsia" w:ascii="Times New Roman"/>
                <w:b/>
                <w:color w:val="auto"/>
                <w:szCs w:val="21"/>
              </w:rPr>
              <w:t>污染影响型敏感程度分级表</w:t>
            </w:r>
          </w:p>
          <w:tbl>
            <w:tblPr>
              <w:tblStyle w:val="5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9"/>
              <w:gridCol w:w="725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
                      <w:color w:val="auto"/>
                      <w:szCs w:val="21"/>
                    </w:rPr>
                  </w:pPr>
                  <w:r>
                    <w:rPr>
                      <w:rFonts w:hint="eastAsia" w:ascii="Times New Roman"/>
                      <w:b/>
                      <w:color w:val="auto"/>
                      <w:szCs w:val="21"/>
                    </w:rPr>
                    <w:t>敏感程度</w:t>
                  </w:r>
                </w:p>
              </w:tc>
              <w:tc>
                <w:tcPr>
                  <w:tcW w:w="4362" w:type="pct"/>
                  <w:tcBorders>
                    <w:tl2br w:val="nil"/>
                    <w:tr2bl w:val="nil"/>
                  </w:tcBorders>
                  <w:vAlign w:val="center"/>
                </w:tcPr>
                <w:p>
                  <w:pPr>
                    <w:pStyle w:val="29"/>
                    <w:spacing w:before="0" w:line="240" w:lineRule="auto"/>
                    <w:jc w:val="center"/>
                    <w:rPr>
                      <w:rFonts w:ascii="Times New Roman"/>
                      <w:b/>
                      <w:color w:val="auto"/>
                      <w:szCs w:val="21"/>
                    </w:rPr>
                  </w:pPr>
                  <w:r>
                    <w:rPr>
                      <w:rFonts w:hint="eastAsia" w:ascii="Times New Roman"/>
                      <w:b/>
                      <w:color w:val="auto"/>
                      <w:szCs w:val="21"/>
                    </w:rPr>
                    <w:t>判别依据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建设项目周边存在耕地、园地、牧草地、饮用水水源地或居民区、学校、医</w:t>
                  </w:r>
                </w:p>
                <w:p>
                  <w:pPr>
                    <w:pStyle w:val="29"/>
                    <w:spacing w:before="0" w:line="240" w:lineRule="auto"/>
                    <w:jc w:val="center"/>
                    <w:rPr>
                      <w:rFonts w:ascii="Times New Roman"/>
                      <w:bCs/>
                      <w:color w:val="auto"/>
                      <w:szCs w:val="21"/>
                    </w:rPr>
                  </w:pPr>
                  <w:r>
                    <w:rPr>
                      <w:rFonts w:hint="eastAsia" w:ascii="Times New Roman"/>
                      <w:bCs/>
                      <w:color w:val="auto"/>
                      <w:szCs w:val="21"/>
                    </w:rPr>
                    <w:t>院、疗养院、养老院等土壤环境敏感目标的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较敏感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建设项目周边存在其他土壤环境敏感目标的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不敏感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其他情况</w:t>
                  </w:r>
                </w:p>
              </w:tc>
            </w:tr>
          </w:tbl>
          <w:p>
            <w:pPr>
              <w:pStyle w:val="29"/>
              <w:spacing w:before="0" w:line="360" w:lineRule="auto"/>
              <w:ind w:firstLine="472" w:firstLineChars="200"/>
              <w:rPr>
                <w:rFonts w:ascii="Times New Roman"/>
                <w:bCs/>
                <w:color w:val="auto"/>
                <w:sz w:val="24"/>
              </w:rPr>
            </w:pPr>
            <w:r>
              <w:rPr>
                <w:rFonts w:hint="eastAsia" w:ascii="Times New Roman"/>
                <w:bCs/>
                <w:color w:val="auto"/>
                <w:sz w:val="24"/>
              </w:rPr>
              <w:t>本项目位于金坛区经济开发区</w:t>
            </w:r>
            <w:r>
              <w:rPr>
                <w:rFonts w:hint="eastAsia" w:ascii="Times New Roman"/>
                <w:bCs/>
                <w:color w:val="auto"/>
                <w:sz w:val="24"/>
                <w:lang w:val="en-US" w:eastAsia="zh-CN"/>
              </w:rPr>
              <w:t>龙湖路2</w:t>
            </w:r>
            <w:r>
              <w:rPr>
                <w:rFonts w:hint="eastAsia" w:ascii="Times New Roman"/>
                <w:bCs/>
                <w:color w:val="auto"/>
                <w:sz w:val="24"/>
              </w:rPr>
              <w:t>号，建设项目周边</w:t>
            </w:r>
            <w:r>
              <w:rPr>
                <w:rFonts w:hint="eastAsia" w:ascii="Times New Roman"/>
                <w:bCs/>
                <w:color w:val="auto"/>
                <w:sz w:val="24"/>
                <w:lang w:val="en-US" w:eastAsia="zh-CN"/>
              </w:rPr>
              <w:t>不存在居民区等土壤环境敏感目标的</w:t>
            </w:r>
            <w:r>
              <w:rPr>
                <w:rFonts w:hint="eastAsia" w:ascii="Times New Roman"/>
                <w:bCs/>
                <w:color w:val="auto"/>
                <w:sz w:val="24"/>
              </w:rPr>
              <w:t>，因此本项目所在地周边土壤环境属于</w:t>
            </w:r>
            <w:r>
              <w:rPr>
                <w:rFonts w:hint="eastAsia" w:ascii="Times New Roman"/>
                <w:bCs/>
                <w:color w:val="auto"/>
                <w:sz w:val="24"/>
                <w:lang w:val="en-US" w:eastAsia="zh-CN"/>
              </w:rPr>
              <w:t>不</w:t>
            </w:r>
            <w:r>
              <w:rPr>
                <w:rFonts w:hint="eastAsia" w:ascii="Times New Roman"/>
                <w:bCs/>
                <w:color w:val="auto"/>
                <w:sz w:val="24"/>
              </w:rPr>
              <w:t>敏感地区。</w:t>
            </w:r>
          </w:p>
          <w:p>
            <w:pPr>
              <w:pStyle w:val="29"/>
              <w:spacing w:before="0" w:line="360" w:lineRule="auto"/>
              <w:ind w:firstLine="456" w:firstLineChars="200"/>
              <w:rPr>
                <w:rFonts w:ascii="Times New Roman"/>
                <w:color w:val="auto"/>
                <w:spacing w:val="-6"/>
                <w:sz w:val="24"/>
              </w:rPr>
            </w:pPr>
            <w:r>
              <w:rPr>
                <w:rFonts w:hint="eastAsia" w:ascii="Times New Roman"/>
                <w:color w:val="auto"/>
                <w:spacing w:val="-6"/>
                <w:sz w:val="24"/>
              </w:rPr>
              <w:t>（3）项目类别判定</w:t>
            </w:r>
          </w:p>
          <w:p>
            <w:pPr>
              <w:pStyle w:val="29"/>
              <w:spacing w:before="0" w:line="360" w:lineRule="auto"/>
              <w:ind w:firstLine="456" w:firstLineChars="200"/>
              <w:rPr>
                <w:bCs/>
                <w:color w:val="auto"/>
                <w:sz w:val="24"/>
              </w:rPr>
            </w:pPr>
            <w:r>
              <w:rPr>
                <w:rFonts w:ascii="Times New Roman"/>
                <w:color w:val="auto"/>
                <w:spacing w:val="-6"/>
                <w:sz w:val="24"/>
              </w:rPr>
              <w:t>根据</w:t>
            </w:r>
            <w:r>
              <w:rPr>
                <w:rFonts w:ascii="Times New Roman"/>
                <w:bCs/>
                <w:color w:val="auto"/>
                <w:sz w:val="24"/>
              </w:rPr>
              <w:t>《环境影响评价技术导则 土壤环境（试行）》（HJ964-2018）中附录A</w:t>
            </w:r>
            <w:r>
              <w:rPr>
                <w:rFonts w:hint="eastAsia" w:ascii="Times New Roman"/>
                <w:bCs/>
                <w:color w:val="auto"/>
                <w:sz w:val="24"/>
              </w:rPr>
              <w:t>判定，本项目</w:t>
            </w:r>
            <w:r>
              <w:rPr>
                <w:rFonts w:hint="eastAsia" w:ascii="Times New Roman"/>
                <w:bCs/>
                <w:color w:val="auto"/>
                <w:sz w:val="24"/>
                <w:lang w:eastAsia="zh-CN"/>
              </w:rPr>
              <w:t>可参考</w:t>
            </w:r>
            <w:r>
              <w:rPr>
                <w:rFonts w:hint="eastAsia" w:ascii="Times New Roman"/>
                <w:bCs/>
                <w:color w:val="auto"/>
                <w:sz w:val="24"/>
              </w:rPr>
              <w:t>“设备制造、金属制品、汽车制造及其他用品制造-</w:t>
            </w:r>
            <w:r>
              <w:rPr>
                <w:rFonts w:hint="eastAsia" w:ascii="Times New Roman"/>
                <w:bCs/>
                <w:color w:val="auto"/>
                <w:sz w:val="24"/>
                <w:lang w:val="en-US" w:eastAsia="zh-CN"/>
              </w:rPr>
              <w:t>有机涂层的</w:t>
            </w:r>
            <w:r>
              <w:rPr>
                <w:rFonts w:hint="eastAsia" w:ascii="Times New Roman"/>
                <w:bCs/>
                <w:color w:val="auto"/>
                <w:sz w:val="24"/>
              </w:rPr>
              <w:t>”项，</w:t>
            </w:r>
            <w:r>
              <w:rPr>
                <w:rFonts w:hint="eastAsia"/>
                <w:bCs/>
                <w:color w:val="auto"/>
                <w:sz w:val="24"/>
              </w:rPr>
              <w:t>属于</w:t>
            </w:r>
            <w:r>
              <w:rPr>
                <w:rFonts w:hint="eastAsia" w:ascii="宋体" w:hAnsi="宋体" w:eastAsia="宋体" w:cs="宋体"/>
                <w:b/>
                <w:bCs/>
                <w:color w:val="auto"/>
                <w:szCs w:val="21"/>
              </w:rPr>
              <w:t>Ⅰ</w:t>
            </w:r>
            <w:r>
              <w:rPr>
                <w:rFonts w:hint="eastAsia"/>
                <w:bCs/>
                <w:color w:val="auto"/>
                <w:sz w:val="24"/>
              </w:rPr>
              <w:t>类项目。</w:t>
            </w:r>
          </w:p>
          <w:p>
            <w:pPr>
              <w:adjustRightInd w:val="0"/>
              <w:snapToGrid w:val="0"/>
              <w:spacing w:line="360" w:lineRule="auto"/>
              <w:ind w:firstLine="480" w:firstLineChars="200"/>
              <w:rPr>
                <w:rFonts w:ascii="宋体" w:hAnsi="宋体" w:cs="宋体"/>
                <w:snapToGrid w:val="0"/>
                <w:color w:val="auto"/>
                <w:sz w:val="24"/>
              </w:rPr>
            </w:pPr>
            <w:bookmarkStart w:id="6" w:name="_Hlk505113573"/>
            <w:r>
              <w:rPr>
                <w:rFonts w:hint="eastAsia" w:ascii="宋体" w:hAnsi="宋体" w:cs="宋体"/>
                <w:snapToGrid w:val="0"/>
                <w:color w:val="auto"/>
                <w:sz w:val="24"/>
              </w:rPr>
              <w:t>（4）项目评价等级判定</w:t>
            </w:r>
          </w:p>
          <w:p>
            <w:pPr>
              <w:adjustRightInd w:val="0"/>
              <w:snapToGrid w:val="0"/>
              <w:spacing w:line="360" w:lineRule="auto"/>
              <w:ind w:firstLine="480" w:firstLineChars="200"/>
              <w:rPr>
                <w:rFonts w:ascii="宋体" w:hAnsi="宋体" w:cs="宋体"/>
                <w:snapToGrid w:val="0"/>
                <w:color w:val="auto"/>
                <w:sz w:val="24"/>
              </w:rPr>
            </w:pPr>
            <w:r>
              <w:rPr>
                <w:rFonts w:hint="eastAsia" w:ascii="宋体" w:hAnsi="宋体" w:cs="宋体"/>
                <w:snapToGrid w:val="0"/>
                <w:color w:val="auto"/>
                <w:sz w:val="24"/>
              </w:rPr>
              <w:t>根据土壤环境影响评价项目类别，占地规模与敏感程度进行判定，具体判定标准详见下表。</w:t>
            </w:r>
          </w:p>
          <w:p>
            <w:pPr>
              <w:adjustRightInd w:val="0"/>
              <w:snapToGrid w:val="0"/>
              <w:jc w:val="center"/>
              <w:rPr>
                <w:b/>
                <w:bCs/>
                <w:snapToGrid w:val="0"/>
                <w:color w:val="auto"/>
                <w:szCs w:val="21"/>
              </w:rPr>
            </w:pPr>
            <w:r>
              <w:rPr>
                <w:b/>
                <w:bCs/>
                <w:snapToGrid w:val="0"/>
                <w:color w:val="auto"/>
                <w:szCs w:val="21"/>
              </w:rPr>
              <w:t>表7-</w:t>
            </w:r>
            <w:r>
              <w:rPr>
                <w:rFonts w:hint="eastAsia"/>
                <w:b/>
                <w:bCs/>
                <w:snapToGrid w:val="0"/>
                <w:color w:val="auto"/>
                <w:szCs w:val="21"/>
              </w:rPr>
              <w:t>2</w:t>
            </w:r>
            <w:r>
              <w:rPr>
                <w:rFonts w:hint="eastAsia"/>
                <w:b/>
                <w:bCs/>
                <w:snapToGrid w:val="0"/>
                <w:color w:val="auto"/>
                <w:szCs w:val="21"/>
                <w:lang w:val="en-US" w:eastAsia="zh-CN"/>
              </w:rPr>
              <w:t>7</w:t>
            </w:r>
            <w:r>
              <w:rPr>
                <w:b/>
                <w:bCs/>
                <w:snapToGrid w:val="0"/>
                <w:color w:val="auto"/>
                <w:szCs w:val="21"/>
              </w:rPr>
              <w:t xml:space="preserve"> 污染影响评价工作等级分级表</w:t>
            </w:r>
          </w:p>
          <w:tbl>
            <w:tblPr>
              <w:tblStyle w:val="56"/>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352"/>
              <w:gridCol w:w="617"/>
              <w:gridCol w:w="641"/>
              <w:gridCol w:w="648"/>
              <w:gridCol w:w="675"/>
              <w:gridCol w:w="876"/>
              <w:gridCol w:w="877"/>
              <w:gridCol w:w="871"/>
              <w:gridCol w:w="871"/>
              <w:gridCol w:w="881"/>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77" w:hRule="atLeast"/>
                <w:jc w:val="center"/>
              </w:trPr>
              <w:tc>
                <w:tcPr>
                  <w:tcW w:w="814" w:type="pct"/>
                  <w:vMerge w:val="restart"/>
                  <w:vAlign w:val="center"/>
                </w:tcPr>
                <w:p>
                  <w:pPr>
                    <w:topLinePunct/>
                    <w:adjustRightInd w:val="0"/>
                    <w:snapToGrid w:val="0"/>
                    <w:jc w:val="center"/>
                    <w:rPr>
                      <w:b/>
                      <w:bCs/>
                      <w:color w:val="auto"/>
                    </w:rPr>
                  </w:pPr>
                  <w:r>
                    <w:rPr>
                      <w:b/>
                      <w:bCs/>
                      <w:color w:val="auto"/>
                    </w:rPr>
                    <mc:AlternateContent>
                      <mc:Choice Requires="wps">
                        <w:drawing>
                          <wp:anchor distT="0" distB="0" distL="114300" distR="114300" simplePos="0" relativeHeight="251661312" behindDoc="0" locked="0" layoutInCell="1" allowOverlap="1">
                            <wp:simplePos x="0" y="0"/>
                            <wp:positionH relativeFrom="column">
                              <wp:posOffset>-67310</wp:posOffset>
                            </wp:positionH>
                            <wp:positionV relativeFrom="paragraph">
                              <wp:posOffset>12700</wp:posOffset>
                            </wp:positionV>
                            <wp:extent cx="875030" cy="837565"/>
                            <wp:effectExtent l="3175" t="3175" r="17145" b="16510"/>
                            <wp:wrapNone/>
                            <wp:docPr id="9" name="直接箭头连接符 9"/>
                            <wp:cNvGraphicFramePr/>
                            <a:graphic xmlns:a="http://schemas.openxmlformats.org/drawingml/2006/main">
                              <a:graphicData uri="http://schemas.microsoft.com/office/word/2010/wordprocessingShape">
                                <wps:wsp>
                                  <wps:cNvCnPr/>
                                  <wps:spPr>
                                    <a:xfrm>
                                      <a:off x="0" y="0"/>
                                      <a:ext cx="875030" cy="83756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5.3pt;margin-top:1pt;height:65.95pt;width:68.9pt;z-index:251661312;mso-width-relative:page;mso-height-relative:page;" filled="f" stroked="t" coordsize="21600,21600" o:gfxdata="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OTPDi2AAA&#10;AAkBAAAPAAAAAAAAAAEAIAAAACIAAABkcnMvZG93bnJldi54bWxQSwECFAAUAAAACACHTuJA5YUc&#10;f+UBAACiAwAADgAAAAAAAAABACAAAAAnAQAAZHJzL2Uyb0RvYy54bWxQSwUGAAAAAAYABgBZAQAA&#10;fgUAAAAA&#10;">
                            <v:fill on="f" focussize="0,0"/>
                            <v:stroke color="#000000" joinstyle="round"/>
                            <v:imagedata o:title=""/>
                            <o:lock v:ext="edit" aspectratio="f"/>
                          </v:shape>
                        </w:pict>
                      </mc:Fallback>
                    </mc:AlternateContent>
                  </w:r>
                  <w:r>
                    <w:rPr>
                      <w:b/>
                      <w:bCs/>
                      <w:color w:val="auto"/>
                    </w:rPr>
                    <w:t xml:space="preserve">  占地规模</w:t>
                  </w:r>
                </w:p>
                <w:p>
                  <w:pPr>
                    <w:pStyle w:val="24"/>
                    <w:adjustRightInd/>
                    <w:snapToGrid/>
                    <w:ind w:left="0" w:leftChars="0" w:firstLine="0" w:firstLineChars="0"/>
                    <w:rPr>
                      <w:b/>
                      <w:bCs/>
                      <w:color w:val="auto"/>
                      <w:sz w:val="21"/>
                      <w:szCs w:val="21"/>
                    </w:rPr>
                  </w:pPr>
                  <w:r>
                    <w:rPr>
                      <w:b/>
                      <w:bCs/>
                      <w:color w:val="auto"/>
                      <w:sz w:val="21"/>
                      <w:szCs w:val="21"/>
                    </w:rPr>
                    <w:t>评价工作等级</w:t>
                  </w:r>
                </w:p>
                <w:p>
                  <w:pPr>
                    <w:pStyle w:val="24"/>
                    <w:adjustRightInd/>
                    <w:snapToGrid/>
                    <w:spacing w:before="120" w:line="360" w:lineRule="auto"/>
                    <w:ind w:left="0" w:leftChars="0" w:firstLine="0" w:firstLineChars="0"/>
                    <w:rPr>
                      <w:b/>
                      <w:bCs/>
                      <w:color w:val="auto"/>
                      <w:szCs w:val="21"/>
                    </w:rPr>
                  </w:pPr>
                  <w:r>
                    <w:rPr>
                      <w:b/>
                      <w:bCs/>
                      <w:color w:val="auto"/>
                      <w:sz w:val="21"/>
                      <w:szCs w:val="21"/>
                    </w:rPr>
                    <mc:AlternateContent>
                      <mc:Choice Requires="wps">
                        <w:drawing>
                          <wp:anchor distT="0" distB="0" distL="114300" distR="114300" simplePos="0" relativeHeight="251662336" behindDoc="0" locked="0" layoutInCell="1" allowOverlap="1">
                            <wp:simplePos x="0" y="0"/>
                            <wp:positionH relativeFrom="column">
                              <wp:posOffset>-58420</wp:posOffset>
                            </wp:positionH>
                            <wp:positionV relativeFrom="paragraph">
                              <wp:posOffset>6350</wp:posOffset>
                            </wp:positionV>
                            <wp:extent cx="835025" cy="352425"/>
                            <wp:effectExtent l="1905" t="4445" r="20320" b="5080"/>
                            <wp:wrapNone/>
                            <wp:docPr id="16" name="直接箭头连接符 16"/>
                            <wp:cNvGraphicFramePr/>
                            <a:graphic xmlns:a="http://schemas.openxmlformats.org/drawingml/2006/main">
                              <a:graphicData uri="http://schemas.microsoft.com/office/word/2010/wordprocessingShape">
                                <wps:wsp>
                                  <wps:cNvCnPr/>
                                  <wps:spPr>
                                    <a:xfrm>
                                      <a:off x="0" y="0"/>
                                      <a:ext cx="835025" cy="35242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4.6pt;margin-top:0.5pt;height:27.75pt;width:65.75pt;z-index:251662336;mso-width-relative:page;mso-height-relative:page;" filled="f" stroked="t" coordsize="21600,21600" o:gfxdata="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2cEzO1QAAAAcB&#10;AAAPAAAAAAAAAAEAIAAAACIAAABkcnMvZG93bnJldi54bWxQSwECFAAUAAAACACHTuJAmi1nOeUB&#10;AACkAwAADgAAAAAAAAABACAAAAAkAQAAZHJzL2Uyb0RvYy54bWxQSwUGAAAAAAYABgBZAQAAewUA&#10;AAAA&#10;">
                            <v:fill on="f" focussize="0,0"/>
                            <v:stroke color="#000000" joinstyle="round"/>
                            <v:imagedata o:title=""/>
                            <o:lock v:ext="edit" aspectratio="f"/>
                          </v:shape>
                        </w:pict>
                      </mc:Fallback>
                    </mc:AlternateContent>
                  </w:r>
                  <w:r>
                    <w:rPr>
                      <w:b/>
                      <w:bCs/>
                      <w:color w:val="auto"/>
                      <w:sz w:val="21"/>
                      <w:szCs w:val="21"/>
                    </w:rPr>
                    <w:t>敏感程度</w:t>
                  </w:r>
                </w:p>
              </w:tc>
              <w:tc>
                <w:tcPr>
                  <w:tcW w:w="1147" w:type="pct"/>
                  <w:gridSpan w:val="3"/>
                  <w:vAlign w:val="center"/>
                </w:tcPr>
                <w:p>
                  <w:pPr>
                    <w:topLinePunct/>
                    <w:adjustRightInd w:val="0"/>
                    <w:snapToGrid w:val="0"/>
                    <w:jc w:val="center"/>
                    <w:rPr>
                      <w:b/>
                      <w:bCs/>
                      <w:color w:val="auto"/>
                      <w:szCs w:val="21"/>
                    </w:rPr>
                  </w:pPr>
                  <w:r>
                    <w:rPr>
                      <w:b/>
                      <w:bCs/>
                      <w:color w:val="auto"/>
                      <w:szCs w:val="21"/>
                    </w:rPr>
                    <w:fldChar w:fldCharType="begin"/>
                  </w:r>
                  <w:r>
                    <w:rPr>
                      <w:b/>
                      <w:bCs/>
                      <w:color w:val="auto"/>
                      <w:szCs w:val="21"/>
                    </w:rPr>
                    <w:instrText xml:space="preserve"> = 1 \* ROMAN \* MERGEFORMAT </w:instrText>
                  </w:r>
                  <w:r>
                    <w:rPr>
                      <w:b/>
                      <w:bCs/>
                      <w:color w:val="auto"/>
                      <w:szCs w:val="21"/>
                    </w:rPr>
                    <w:fldChar w:fldCharType="separate"/>
                  </w:r>
                  <w:r>
                    <w:rPr>
                      <w:b/>
                      <w:bCs/>
                      <w:color w:val="auto"/>
                    </w:rPr>
                    <w:t>I</w:t>
                  </w:r>
                  <w:r>
                    <w:rPr>
                      <w:b/>
                      <w:bCs/>
                      <w:color w:val="auto"/>
                      <w:szCs w:val="21"/>
                    </w:rPr>
                    <w:fldChar w:fldCharType="end"/>
                  </w:r>
                  <w:r>
                    <w:rPr>
                      <w:b/>
                      <w:bCs/>
                      <w:color w:val="auto"/>
                      <w:szCs w:val="21"/>
                    </w:rPr>
                    <w:t>类</w:t>
                  </w:r>
                </w:p>
              </w:tc>
              <w:tc>
                <w:tcPr>
                  <w:tcW w:w="1461" w:type="pct"/>
                  <w:gridSpan w:val="3"/>
                  <w:vAlign w:val="center"/>
                </w:tcPr>
                <w:p>
                  <w:pPr>
                    <w:topLinePunct/>
                    <w:adjustRightInd w:val="0"/>
                    <w:snapToGrid w:val="0"/>
                    <w:jc w:val="center"/>
                    <w:rPr>
                      <w:b/>
                      <w:bCs/>
                      <w:color w:val="auto"/>
                      <w:szCs w:val="21"/>
                    </w:rPr>
                  </w:pPr>
                  <w:r>
                    <w:rPr>
                      <w:b/>
                      <w:bCs/>
                      <w:color w:val="auto"/>
                      <w:szCs w:val="21"/>
                    </w:rPr>
                    <w:fldChar w:fldCharType="begin"/>
                  </w:r>
                  <w:r>
                    <w:rPr>
                      <w:b/>
                      <w:bCs/>
                      <w:color w:val="auto"/>
                      <w:szCs w:val="21"/>
                    </w:rPr>
                    <w:instrText xml:space="preserve"> = 2 \* ROMAN \* MERGEFORMAT </w:instrText>
                  </w:r>
                  <w:r>
                    <w:rPr>
                      <w:b/>
                      <w:bCs/>
                      <w:color w:val="auto"/>
                      <w:szCs w:val="21"/>
                    </w:rPr>
                    <w:fldChar w:fldCharType="separate"/>
                  </w:r>
                  <w:r>
                    <w:rPr>
                      <w:b/>
                      <w:bCs/>
                      <w:color w:val="auto"/>
                    </w:rPr>
                    <w:t>II</w:t>
                  </w:r>
                  <w:r>
                    <w:rPr>
                      <w:b/>
                      <w:bCs/>
                      <w:color w:val="auto"/>
                      <w:szCs w:val="21"/>
                    </w:rPr>
                    <w:fldChar w:fldCharType="end"/>
                  </w:r>
                  <w:r>
                    <w:rPr>
                      <w:b/>
                      <w:bCs/>
                      <w:color w:val="auto"/>
                      <w:szCs w:val="21"/>
                    </w:rPr>
                    <w:t>类</w:t>
                  </w:r>
                </w:p>
              </w:tc>
              <w:tc>
                <w:tcPr>
                  <w:tcW w:w="1577" w:type="pct"/>
                  <w:gridSpan w:val="3"/>
                  <w:vAlign w:val="center"/>
                </w:tcPr>
                <w:p>
                  <w:pPr>
                    <w:topLinePunct/>
                    <w:adjustRightInd w:val="0"/>
                    <w:snapToGrid w:val="0"/>
                    <w:jc w:val="center"/>
                    <w:rPr>
                      <w:b/>
                      <w:bCs/>
                      <w:color w:val="auto"/>
                      <w:szCs w:val="21"/>
                    </w:rPr>
                  </w:pPr>
                  <w:r>
                    <w:rPr>
                      <w:b/>
                      <w:bCs/>
                      <w:color w:val="auto"/>
                      <w:szCs w:val="21"/>
                    </w:rPr>
                    <w:fldChar w:fldCharType="begin"/>
                  </w:r>
                  <w:r>
                    <w:rPr>
                      <w:b/>
                      <w:bCs/>
                      <w:color w:val="auto"/>
                      <w:szCs w:val="21"/>
                    </w:rPr>
                    <w:instrText xml:space="preserve"> = 3 \* ROMAN \* MERGEFORMAT </w:instrText>
                  </w:r>
                  <w:r>
                    <w:rPr>
                      <w:b/>
                      <w:bCs/>
                      <w:color w:val="auto"/>
                      <w:szCs w:val="21"/>
                    </w:rPr>
                    <w:fldChar w:fldCharType="separate"/>
                  </w:r>
                  <w:r>
                    <w:rPr>
                      <w:b/>
                      <w:bCs/>
                      <w:color w:val="auto"/>
                    </w:rPr>
                    <w:t>III</w:t>
                  </w:r>
                  <w:r>
                    <w:rPr>
                      <w:b/>
                      <w:bCs/>
                      <w:color w:val="auto"/>
                      <w:szCs w:val="21"/>
                    </w:rPr>
                    <w:fldChar w:fldCharType="end"/>
                  </w:r>
                  <w:r>
                    <w:rPr>
                      <w:b/>
                      <w:bCs/>
                      <w:color w:val="auto"/>
                      <w:szCs w:val="21"/>
                    </w:rPr>
                    <w:t>类</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477" w:hRule="atLeast"/>
                <w:jc w:val="center"/>
              </w:trPr>
              <w:tc>
                <w:tcPr>
                  <w:tcW w:w="814" w:type="pct"/>
                  <w:vMerge w:val="continue"/>
                  <w:vAlign w:val="center"/>
                </w:tcPr>
                <w:p>
                  <w:pPr>
                    <w:topLinePunct/>
                    <w:adjustRightInd w:val="0"/>
                    <w:snapToGrid w:val="0"/>
                    <w:jc w:val="center"/>
                    <w:rPr>
                      <w:b/>
                      <w:bCs/>
                      <w:color w:val="auto"/>
                      <w:szCs w:val="21"/>
                    </w:rPr>
                  </w:pPr>
                </w:p>
              </w:tc>
              <w:tc>
                <w:tcPr>
                  <w:tcW w:w="371" w:type="pct"/>
                  <w:vAlign w:val="center"/>
                </w:tcPr>
                <w:p>
                  <w:pPr>
                    <w:topLinePunct/>
                    <w:adjustRightInd w:val="0"/>
                    <w:snapToGrid w:val="0"/>
                    <w:jc w:val="center"/>
                    <w:rPr>
                      <w:b/>
                      <w:bCs/>
                      <w:color w:val="auto"/>
                      <w:szCs w:val="21"/>
                    </w:rPr>
                  </w:pPr>
                  <w:r>
                    <w:rPr>
                      <w:b/>
                      <w:bCs/>
                      <w:color w:val="auto"/>
                      <w:szCs w:val="21"/>
                    </w:rPr>
                    <w:t>大</w:t>
                  </w:r>
                </w:p>
              </w:tc>
              <w:tc>
                <w:tcPr>
                  <w:tcW w:w="386" w:type="pct"/>
                  <w:vAlign w:val="center"/>
                </w:tcPr>
                <w:p>
                  <w:pPr>
                    <w:topLinePunct/>
                    <w:adjustRightInd w:val="0"/>
                    <w:snapToGrid w:val="0"/>
                    <w:jc w:val="center"/>
                    <w:rPr>
                      <w:b/>
                      <w:bCs/>
                      <w:color w:val="auto"/>
                      <w:szCs w:val="21"/>
                    </w:rPr>
                  </w:pPr>
                  <w:r>
                    <w:rPr>
                      <w:b/>
                      <w:bCs/>
                      <w:color w:val="auto"/>
                      <w:szCs w:val="21"/>
                    </w:rPr>
                    <w:t>中</w:t>
                  </w:r>
                </w:p>
              </w:tc>
              <w:tc>
                <w:tcPr>
                  <w:tcW w:w="388" w:type="pct"/>
                  <w:vAlign w:val="center"/>
                </w:tcPr>
                <w:p>
                  <w:pPr>
                    <w:topLinePunct/>
                    <w:adjustRightInd w:val="0"/>
                    <w:snapToGrid w:val="0"/>
                    <w:jc w:val="center"/>
                    <w:rPr>
                      <w:b/>
                      <w:bCs/>
                      <w:color w:val="auto"/>
                      <w:szCs w:val="21"/>
                    </w:rPr>
                  </w:pPr>
                  <w:r>
                    <w:rPr>
                      <w:b/>
                      <w:bCs/>
                      <w:color w:val="auto"/>
                      <w:szCs w:val="21"/>
                    </w:rPr>
                    <w:t>小</w:t>
                  </w:r>
                </w:p>
              </w:tc>
              <w:tc>
                <w:tcPr>
                  <w:tcW w:w="406" w:type="pct"/>
                  <w:vAlign w:val="center"/>
                </w:tcPr>
                <w:p>
                  <w:pPr>
                    <w:topLinePunct/>
                    <w:adjustRightInd w:val="0"/>
                    <w:snapToGrid w:val="0"/>
                    <w:jc w:val="center"/>
                    <w:rPr>
                      <w:b/>
                      <w:bCs/>
                      <w:color w:val="auto"/>
                      <w:szCs w:val="21"/>
                    </w:rPr>
                  </w:pPr>
                  <w:r>
                    <w:rPr>
                      <w:b/>
                      <w:bCs/>
                      <w:color w:val="auto"/>
                      <w:szCs w:val="21"/>
                    </w:rPr>
                    <w:t>大</w:t>
                  </w:r>
                </w:p>
              </w:tc>
              <w:tc>
                <w:tcPr>
                  <w:tcW w:w="527" w:type="pct"/>
                  <w:vAlign w:val="center"/>
                </w:tcPr>
                <w:p>
                  <w:pPr>
                    <w:topLinePunct/>
                    <w:adjustRightInd w:val="0"/>
                    <w:snapToGrid w:val="0"/>
                    <w:jc w:val="center"/>
                    <w:rPr>
                      <w:b/>
                      <w:bCs/>
                      <w:color w:val="auto"/>
                      <w:szCs w:val="21"/>
                    </w:rPr>
                  </w:pPr>
                  <w:r>
                    <w:rPr>
                      <w:b/>
                      <w:bCs/>
                      <w:color w:val="auto"/>
                      <w:szCs w:val="21"/>
                    </w:rPr>
                    <w:t>中</w:t>
                  </w:r>
                </w:p>
              </w:tc>
              <w:tc>
                <w:tcPr>
                  <w:tcW w:w="527" w:type="pct"/>
                  <w:vAlign w:val="center"/>
                </w:tcPr>
                <w:p>
                  <w:pPr>
                    <w:topLinePunct/>
                    <w:adjustRightInd w:val="0"/>
                    <w:snapToGrid w:val="0"/>
                    <w:jc w:val="center"/>
                    <w:rPr>
                      <w:b/>
                      <w:bCs/>
                      <w:color w:val="auto"/>
                      <w:szCs w:val="21"/>
                    </w:rPr>
                  </w:pPr>
                  <w:r>
                    <w:rPr>
                      <w:b/>
                      <w:bCs/>
                      <w:color w:val="auto"/>
                      <w:szCs w:val="21"/>
                    </w:rPr>
                    <w:t>小</w:t>
                  </w:r>
                </w:p>
              </w:tc>
              <w:tc>
                <w:tcPr>
                  <w:tcW w:w="524" w:type="pct"/>
                  <w:vAlign w:val="center"/>
                </w:tcPr>
                <w:p>
                  <w:pPr>
                    <w:topLinePunct/>
                    <w:adjustRightInd w:val="0"/>
                    <w:snapToGrid w:val="0"/>
                    <w:jc w:val="center"/>
                    <w:rPr>
                      <w:b/>
                      <w:bCs/>
                      <w:color w:val="auto"/>
                      <w:szCs w:val="21"/>
                    </w:rPr>
                  </w:pPr>
                  <w:r>
                    <w:rPr>
                      <w:b/>
                      <w:bCs/>
                      <w:color w:val="auto"/>
                      <w:szCs w:val="21"/>
                    </w:rPr>
                    <w:t>大</w:t>
                  </w:r>
                </w:p>
              </w:tc>
              <w:tc>
                <w:tcPr>
                  <w:tcW w:w="524" w:type="pct"/>
                  <w:vAlign w:val="center"/>
                </w:tcPr>
                <w:p>
                  <w:pPr>
                    <w:topLinePunct/>
                    <w:adjustRightInd w:val="0"/>
                    <w:snapToGrid w:val="0"/>
                    <w:jc w:val="center"/>
                    <w:rPr>
                      <w:b/>
                      <w:bCs/>
                      <w:color w:val="auto"/>
                      <w:szCs w:val="21"/>
                    </w:rPr>
                  </w:pPr>
                  <w:r>
                    <w:rPr>
                      <w:b/>
                      <w:bCs/>
                      <w:color w:val="auto"/>
                      <w:szCs w:val="21"/>
                    </w:rPr>
                    <w:t>中</w:t>
                  </w:r>
                </w:p>
              </w:tc>
              <w:tc>
                <w:tcPr>
                  <w:tcW w:w="528" w:type="pct"/>
                  <w:vAlign w:val="center"/>
                </w:tcPr>
                <w:p>
                  <w:pPr>
                    <w:topLinePunct/>
                    <w:adjustRightInd w:val="0"/>
                    <w:snapToGrid w:val="0"/>
                    <w:jc w:val="center"/>
                    <w:rPr>
                      <w:b/>
                      <w:bCs/>
                      <w:color w:val="auto"/>
                      <w:szCs w:val="21"/>
                    </w:rPr>
                  </w:pPr>
                  <w:r>
                    <w:rPr>
                      <w:b/>
                      <w:bCs/>
                      <w:color w:val="auto"/>
                      <w:szCs w:val="21"/>
                    </w:rPr>
                    <w:t>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367" w:hRule="atLeast"/>
                <w:jc w:val="center"/>
              </w:trPr>
              <w:tc>
                <w:tcPr>
                  <w:tcW w:w="814" w:type="pct"/>
                  <w:vAlign w:val="center"/>
                </w:tcPr>
                <w:p>
                  <w:pPr>
                    <w:topLinePunct/>
                    <w:adjustRightInd w:val="0"/>
                    <w:snapToGrid w:val="0"/>
                    <w:jc w:val="center"/>
                    <w:rPr>
                      <w:color w:val="auto"/>
                      <w:szCs w:val="21"/>
                    </w:rPr>
                  </w:pPr>
                  <w:r>
                    <w:rPr>
                      <w:color w:val="auto"/>
                      <w:szCs w:val="21"/>
                    </w:rPr>
                    <w:t>敏感</w:t>
                  </w:r>
                </w:p>
              </w:tc>
              <w:tc>
                <w:tcPr>
                  <w:tcW w:w="371" w:type="pct"/>
                  <w:vAlign w:val="center"/>
                </w:tcPr>
                <w:p>
                  <w:pPr>
                    <w:topLinePunct/>
                    <w:adjustRightInd w:val="0"/>
                    <w:snapToGrid w:val="0"/>
                    <w:jc w:val="center"/>
                    <w:rPr>
                      <w:color w:val="auto"/>
                      <w:szCs w:val="21"/>
                    </w:rPr>
                  </w:pPr>
                  <w:r>
                    <w:rPr>
                      <w:color w:val="auto"/>
                      <w:szCs w:val="21"/>
                    </w:rPr>
                    <w:t>一级</w:t>
                  </w:r>
                </w:p>
              </w:tc>
              <w:tc>
                <w:tcPr>
                  <w:tcW w:w="386" w:type="pct"/>
                  <w:vAlign w:val="center"/>
                </w:tcPr>
                <w:p>
                  <w:pPr>
                    <w:topLinePunct/>
                    <w:adjustRightInd w:val="0"/>
                    <w:snapToGrid w:val="0"/>
                    <w:jc w:val="center"/>
                    <w:rPr>
                      <w:color w:val="auto"/>
                      <w:szCs w:val="21"/>
                    </w:rPr>
                  </w:pPr>
                  <w:r>
                    <w:rPr>
                      <w:color w:val="auto"/>
                      <w:szCs w:val="21"/>
                    </w:rPr>
                    <w:t>一级</w:t>
                  </w:r>
                </w:p>
              </w:tc>
              <w:tc>
                <w:tcPr>
                  <w:tcW w:w="388" w:type="pct"/>
                  <w:vAlign w:val="center"/>
                </w:tcPr>
                <w:p>
                  <w:pPr>
                    <w:topLinePunct/>
                    <w:adjustRightInd w:val="0"/>
                    <w:snapToGrid w:val="0"/>
                    <w:jc w:val="center"/>
                    <w:rPr>
                      <w:color w:val="auto"/>
                      <w:szCs w:val="21"/>
                    </w:rPr>
                  </w:pPr>
                  <w:r>
                    <w:rPr>
                      <w:color w:val="auto"/>
                      <w:szCs w:val="21"/>
                    </w:rPr>
                    <w:t>一级</w:t>
                  </w:r>
                </w:p>
              </w:tc>
              <w:tc>
                <w:tcPr>
                  <w:tcW w:w="406" w:type="pct"/>
                  <w:vAlign w:val="center"/>
                </w:tcPr>
                <w:p>
                  <w:pPr>
                    <w:topLinePunct/>
                    <w:adjustRightInd w:val="0"/>
                    <w:snapToGrid w:val="0"/>
                    <w:jc w:val="center"/>
                    <w:rPr>
                      <w:color w:val="auto"/>
                      <w:szCs w:val="21"/>
                    </w:rPr>
                  </w:pPr>
                  <w:r>
                    <w:rPr>
                      <w:color w:val="auto"/>
                      <w:szCs w:val="21"/>
                    </w:rPr>
                    <w:t>二级</w:t>
                  </w:r>
                </w:p>
              </w:tc>
              <w:tc>
                <w:tcPr>
                  <w:tcW w:w="527" w:type="pct"/>
                  <w:vAlign w:val="center"/>
                </w:tcPr>
                <w:p>
                  <w:pPr>
                    <w:topLinePunct/>
                    <w:adjustRightInd w:val="0"/>
                    <w:snapToGrid w:val="0"/>
                    <w:jc w:val="center"/>
                    <w:rPr>
                      <w:color w:val="auto"/>
                      <w:szCs w:val="21"/>
                    </w:rPr>
                  </w:pPr>
                  <w:r>
                    <w:rPr>
                      <w:color w:val="auto"/>
                      <w:szCs w:val="21"/>
                    </w:rPr>
                    <w:t>二级</w:t>
                  </w:r>
                </w:p>
              </w:tc>
              <w:tc>
                <w:tcPr>
                  <w:tcW w:w="527" w:type="pct"/>
                  <w:vAlign w:val="center"/>
                </w:tcPr>
                <w:p>
                  <w:pPr>
                    <w:topLinePunct/>
                    <w:adjustRightInd w:val="0"/>
                    <w:snapToGrid w:val="0"/>
                    <w:jc w:val="center"/>
                    <w:rPr>
                      <w:color w:val="auto"/>
                      <w:szCs w:val="21"/>
                    </w:rPr>
                  </w:pPr>
                  <w:r>
                    <w:rPr>
                      <w:color w:val="auto"/>
                      <w:szCs w:val="21"/>
                    </w:rPr>
                    <w:t>二级</w:t>
                  </w:r>
                </w:p>
              </w:tc>
              <w:tc>
                <w:tcPr>
                  <w:tcW w:w="524" w:type="pct"/>
                  <w:vAlign w:val="center"/>
                </w:tcPr>
                <w:p>
                  <w:pPr>
                    <w:topLinePunct/>
                    <w:adjustRightInd w:val="0"/>
                    <w:snapToGrid w:val="0"/>
                    <w:jc w:val="center"/>
                    <w:rPr>
                      <w:color w:val="auto"/>
                      <w:szCs w:val="21"/>
                    </w:rPr>
                  </w:pPr>
                  <w:r>
                    <w:rPr>
                      <w:color w:val="auto"/>
                      <w:szCs w:val="21"/>
                    </w:rPr>
                    <w:t>三级</w:t>
                  </w:r>
                </w:p>
              </w:tc>
              <w:tc>
                <w:tcPr>
                  <w:tcW w:w="524" w:type="pct"/>
                  <w:vAlign w:val="center"/>
                </w:tcPr>
                <w:p>
                  <w:pPr>
                    <w:topLinePunct/>
                    <w:adjustRightInd w:val="0"/>
                    <w:snapToGrid w:val="0"/>
                    <w:jc w:val="center"/>
                    <w:rPr>
                      <w:color w:val="auto"/>
                      <w:szCs w:val="21"/>
                    </w:rPr>
                  </w:pPr>
                  <w:r>
                    <w:rPr>
                      <w:color w:val="auto"/>
                      <w:szCs w:val="21"/>
                    </w:rPr>
                    <w:t>三级</w:t>
                  </w:r>
                </w:p>
              </w:tc>
              <w:tc>
                <w:tcPr>
                  <w:tcW w:w="528" w:type="pct"/>
                  <w:vAlign w:val="center"/>
                </w:tcPr>
                <w:p>
                  <w:pPr>
                    <w:topLinePunct/>
                    <w:adjustRightInd w:val="0"/>
                    <w:snapToGrid w:val="0"/>
                    <w:jc w:val="center"/>
                    <w:rPr>
                      <w:color w:val="auto"/>
                      <w:szCs w:val="21"/>
                    </w:rPr>
                  </w:pPr>
                  <w:r>
                    <w:rPr>
                      <w:color w:val="auto"/>
                      <w:szCs w:val="21"/>
                    </w:rPr>
                    <w:t>三级</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412" w:hRule="atLeast"/>
                <w:jc w:val="center"/>
              </w:trPr>
              <w:tc>
                <w:tcPr>
                  <w:tcW w:w="814" w:type="pct"/>
                  <w:vAlign w:val="center"/>
                </w:tcPr>
                <w:p>
                  <w:pPr>
                    <w:topLinePunct/>
                    <w:adjustRightInd w:val="0"/>
                    <w:snapToGrid w:val="0"/>
                    <w:jc w:val="center"/>
                    <w:rPr>
                      <w:color w:val="auto"/>
                      <w:szCs w:val="21"/>
                    </w:rPr>
                  </w:pPr>
                  <w:r>
                    <w:rPr>
                      <w:color w:val="auto"/>
                      <w:szCs w:val="21"/>
                    </w:rPr>
                    <w:t>较敏感</w:t>
                  </w:r>
                </w:p>
              </w:tc>
              <w:tc>
                <w:tcPr>
                  <w:tcW w:w="371" w:type="pct"/>
                  <w:vAlign w:val="center"/>
                </w:tcPr>
                <w:p>
                  <w:pPr>
                    <w:topLinePunct/>
                    <w:adjustRightInd w:val="0"/>
                    <w:snapToGrid w:val="0"/>
                    <w:jc w:val="center"/>
                    <w:rPr>
                      <w:color w:val="auto"/>
                      <w:szCs w:val="21"/>
                    </w:rPr>
                  </w:pPr>
                  <w:r>
                    <w:rPr>
                      <w:color w:val="auto"/>
                      <w:szCs w:val="21"/>
                    </w:rPr>
                    <w:t>一级</w:t>
                  </w:r>
                </w:p>
              </w:tc>
              <w:tc>
                <w:tcPr>
                  <w:tcW w:w="386" w:type="pct"/>
                  <w:vAlign w:val="center"/>
                </w:tcPr>
                <w:p>
                  <w:pPr>
                    <w:topLinePunct/>
                    <w:adjustRightInd w:val="0"/>
                    <w:snapToGrid w:val="0"/>
                    <w:jc w:val="center"/>
                    <w:rPr>
                      <w:color w:val="auto"/>
                      <w:szCs w:val="21"/>
                    </w:rPr>
                  </w:pPr>
                  <w:r>
                    <w:rPr>
                      <w:color w:val="auto"/>
                      <w:szCs w:val="21"/>
                    </w:rPr>
                    <w:t>一级</w:t>
                  </w:r>
                </w:p>
              </w:tc>
              <w:tc>
                <w:tcPr>
                  <w:tcW w:w="388" w:type="pct"/>
                  <w:vAlign w:val="center"/>
                </w:tcPr>
                <w:p>
                  <w:pPr>
                    <w:topLinePunct/>
                    <w:adjustRightInd w:val="0"/>
                    <w:snapToGrid w:val="0"/>
                    <w:jc w:val="center"/>
                    <w:rPr>
                      <w:color w:val="auto"/>
                      <w:szCs w:val="21"/>
                    </w:rPr>
                  </w:pPr>
                  <w:r>
                    <w:rPr>
                      <w:color w:val="auto"/>
                      <w:szCs w:val="21"/>
                    </w:rPr>
                    <w:t>二级</w:t>
                  </w:r>
                </w:p>
              </w:tc>
              <w:tc>
                <w:tcPr>
                  <w:tcW w:w="406" w:type="pct"/>
                  <w:vAlign w:val="center"/>
                </w:tcPr>
                <w:p>
                  <w:pPr>
                    <w:topLinePunct/>
                    <w:adjustRightInd w:val="0"/>
                    <w:snapToGrid w:val="0"/>
                    <w:jc w:val="center"/>
                    <w:rPr>
                      <w:color w:val="auto"/>
                      <w:szCs w:val="21"/>
                    </w:rPr>
                  </w:pPr>
                  <w:r>
                    <w:rPr>
                      <w:color w:val="auto"/>
                      <w:szCs w:val="21"/>
                    </w:rPr>
                    <w:t>二级</w:t>
                  </w:r>
                </w:p>
              </w:tc>
              <w:tc>
                <w:tcPr>
                  <w:tcW w:w="527" w:type="pct"/>
                  <w:vAlign w:val="center"/>
                </w:tcPr>
                <w:p>
                  <w:pPr>
                    <w:topLinePunct/>
                    <w:adjustRightInd w:val="0"/>
                    <w:snapToGrid w:val="0"/>
                    <w:jc w:val="center"/>
                    <w:rPr>
                      <w:color w:val="auto"/>
                      <w:szCs w:val="21"/>
                    </w:rPr>
                  </w:pPr>
                  <w:r>
                    <w:rPr>
                      <w:color w:val="auto"/>
                      <w:szCs w:val="21"/>
                    </w:rPr>
                    <w:t>二级</w:t>
                  </w:r>
                </w:p>
              </w:tc>
              <w:tc>
                <w:tcPr>
                  <w:tcW w:w="527" w:type="pct"/>
                  <w:vAlign w:val="center"/>
                </w:tcPr>
                <w:p>
                  <w:pPr>
                    <w:topLinePunct/>
                    <w:adjustRightInd w:val="0"/>
                    <w:snapToGrid w:val="0"/>
                    <w:jc w:val="center"/>
                    <w:rPr>
                      <w:color w:val="auto"/>
                      <w:szCs w:val="21"/>
                    </w:rPr>
                  </w:pPr>
                  <w:r>
                    <w:rPr>
                      <w:color w:val="auto"/>
                      <w:szCs w:val="21"/>
                    </w:rPr>
                    <w:t>三级</w:t>
                  </w:r>
                </w:p>
              </w:tc>
              <w:tc>
                <w:tcPr>
                  <w:tcW w:w="524" w:type="pct"/>
                  <w:vAlign w:val="center"/>
                </w:tcPr>
                <w:p>
                  <w:pPr>
                    <w:topLinePunct/>
                    <w:adjustRightInd w:val="0"/>
                    <w:snapToGrid w:val="0"/>
                    <w:jc w:val="center"/>
                    <w:rPr>
                      <w:color w:val="auto"/>
                      <w:szCs w:val="21"/>
                    </w:rPr>
                  </w:pPr>
                  <w:r>
                    <w:rPr>
                      <w:color w:val="auto"/>
                      <w:szCs w:val="21"/>
                    </w:rPr>
                    <w:t>三级</w:t>
                  </w:r>
                </w:p>
              </w:tc>
              <w:tc>
                <w:tcPr>
                  <w:tcW w:w="524" w:type="pct"/>
                  <w:vAlign w:val="center"/>
                </w:tcPr>
                <w:p>
                  <w:pPr>
                    <w:topLinePunct/>
                    <w:adjustRightInd w:val="0"/>
                    <w:snapToGrid w:val="0"/>
                    <w:jc w:val="center"/>
                    <w:rPr>
                      <w:color w:val="auto"/>
                      <w:szCs w:val="21"/>
                    </w:rPr>
                  </w:pPr>
                  <w:r>
                    <w:rPr>
                      <w:color w:val="auto"/>
                      <w:szCs w:val="21"/>
                    </w:rPr>
                    <w:t>三级</w:t>
                  </w:r>
                </w:p>
              </w:tc>
              <w:tc>
                <w:tcPr>
                  <w:tcW w:w="528" w:type="pct"/>
                  <w:vAlign w:val="center"/>
                </w:tcPr>
                <w:p>
                  <w:pPr>
                    <w:topLinePunct/>
                    <w:adjustRightInd w:val="0"/>
                    <w:snapToGrid w:val="0"/>
                    <w:jc w:val="center"/>
                    <w:rPr>
                      <w:color w:val="auto"/>
                      <w:szCs w:val="21"/>
                    </w:rPr>
                  </w:pPr>
                  <w:r>
                    <w:rPr>
                      <w:color w:val="auto"/>
                      <w:szCs w:val="21"/>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312" w:hRule="atLeast"/>
                <w:jc w:val="center"/>
              </w:trPr>
              <w:tc>
                <w:tcPr>
                  <w:tcW w:w="814" w:type="pct"/>
                  <w:vAlign w:val="center"/>
                </w:tcPr>
                <w:p>
                  <w:pPr>
                    <w:topLinePunct/>
                    <w:adjustRightInd w:val="0"/>
                    <w:snapToGrid w:val="0"/>
                    <w:jc w:val="center"/>
                    <w:rPr>
                      <w:color w:val="auto"/>
                      <w:szCs w:val="21"/>
                    </w:rPr>
                  </w:pPr>
                  <w:r>
                    <w:rPr>
                      <w:color w:val="auto"/>
                      <w:szCs w:val="21"/>
                    </w:rPr>
                    <w:t>不敏感</w:t>
                  </w:r>
                </w:p>
              </w:tc>
              <w:tc>
                <w:tcPr>
                  <w:tcW w:w="371" w:type="pct"/>
                  <w:vAlign w:val="center"/>
                </w:tcPr>
                <w:p>
                  <w:pPr>
                    <w:topLinePunct/>
                    <w:adjustRightInd w:val="0"/>
                    <w:snapToGrid w:val="0"/>
                    <w:jc w:val="center"/>
                    <w:rPr>
                      <w:color w:val="auto"/>
                      <w:szCs w:val="21"/>
                    </w:rPr>
                  </w:pPr>
                  <w:r>
                    <w:rPr>
                      <w:color w:val="auto"/>
                      <w:szCs w:val="21"/>
                    </w:rPr>
                    <w:t>一级</w:t>
                  </w:r>
                </w:p>
              </w:tc>
              <w:tc>
                <w:tcPr>
                  <w:tcW w:w="386" w:type="pct"/>
                  <w:vAlign w:val="center"/>
                </w:tcPr>
                <w:p>
                  <w:pPr>
                    <w:topLinePunct/>
                    <w:adjustRightInd w:val="0"/>
                    <w:snapToGrid w:val="0"/>
                    <w:jc w:val="center"/>
                    <w:rPr>
                      <w:color w:val="auto"/>
                      <w:szCs w:val="21"/>
                    </w:rPr>
                  </w:pPr>
                  <w:r>
                    <w:rPr>
                      <w:color w:val="auto"/>
                      <w:szCs w:val="21"/>
                    </w:rPr>
                    <w:t>二级</w:t>
                  </w:r>
                </w:p>
              </w:tc>
              <w:tc>
                <w:tcPr>
                  <w:tcW w:w="388" w:type="pct"/>
                  <w:vAlign w:val="center"/>
                </w:tcPr>
                <w:p>
                  <w:pPr>
                    <w:topLinePunct/>
                    <w:adjustRightInd w:val="0"/>
                    <w:snapToGrid w:val="0"/>
                    <w:jc w:val="center"/>
                    <w:rPr>
                      <w:color w:val="auto"/>
                      <w:szCs w:val="21"/>
                    </w:rPr>
                  </w:pPr>
                  <w:r>
                    <w:rPr>
                      <w:color w:val="auto"/>
                      <w:szCs w:val="21"/>
                    </w:rPr>
                    <w:t>二级</w:t>
                  </w:r>
                </w:p>
              </w:tc>
              <w:tc>
                <w:tcPr>
                  <w:tcW w:w="406" w:type="pct"/>
                  <w:vAlign w:val="center"/>
                </w:tcPr>
                <w:p>
                  <w:pPr>
                    <w:topLinePunct/>
                    <w:adjustRightInd w:val="0"/>
                    <w:snapToGrid w:val="0"/>
                    <w:jc w:val="center"/>
                    <w:rPr>
                      <w:color w:val="auto"/>
                      <w:szCs w:val="21"/>
                    </w:rPr>
                  </w:pPr>
                  <w:r>
                    <w:rPr>
                      <w:color w:val="auto"/>
                      <w:szCs w:val="21"/>
                    </w:rPr>
                    <w:t>二级</w:t>
                  </w:r>
                </w:p>
              </w:tc>
              <w:tc>
                <w:tcPr>
                  <w:tcW w:w="527" w:type="pct"/>
                  <w:vAlign w:val="center"/>
                </w:tcPr>
                <w:p>
                  <w:pPr>
                    <w:topLinePunct/>
                    <w:adjustRightInd w:val="0"/>
                    <w:snapToGrid w:val="0"/>
                    <w:jc w:val="center"/>
                    <w:rPr>
                      <w:color w:val="auto"/>
                      <w:szCs w:val="21"/>
                    </w:rPr>
                  </w:pPr>
                  <w:r>
                    <w:rPr>
                      <w:color w:val="auto"/>
                      <w:szCs w:val="21"/>
                    </w:rPr>
                    <w:t>三级</w:t>
                  </w:r>
                </w:p>
              </w:tc>
              <w:tc>
                <w:tcPr>
                  <w:tcW w:w="527" w:type="pct"/>
                  <w:vAlign w:val="center"/>
                </w:tcPr>
                <w:p>
                  <w:pPr>
                    <w:topLinePunct/>
                    <w:adjustRightInd w:val="0"/>
                    <w:snapToGrid w:val="0"/>
                    <w:jc w:val="center"/>
                    <w:rPr>
                      <w:color w:val="auto"/>
                      <w:szCs w:val="21"/>
                    </w:rPr>
                  </w:pPr>
                  <w:r>
                    <w:rPr>
                      <w:color w:val="auto"/>
                      <w:szCs w:val="21"/>
                    </w:rPr>
                    <w:t>三级</w:t>
                  </w:r>
                </w:p>
              </w:tc>
              <w:tc>
                <w:tcPr>
                  <w:tcW w:w="524" w:type="pct"/>
                  <w:vAlign w:val="center"/>
                </w:tcPr>
                <w:p>
                  <w:pPr>
                    <w:topLinePunct/>
                    <w:adjustRightInd w:val="0"/>
                    <w:snapToGrid w:val="0"/>
                    <w:jc w:val="center"/>
                    <w:rPr>
                      <w:color w:val="auto"/>
                      <w:szCs w:val="21"/>
                    </w:rPr>
                  </w:pPr>
                  <w:r>
                    <w:rPr>
                      <w:color w:val="auto"/>
                      <w:szCs w:val="21"/>
                    </w:rPr>
                    <w:t>三级</w:t>
                  </w:r>
                </w:p>
              </w:tc>
              <w:tc>
                <w:tcPr>
                  <w:tcW w:w="524" w:type="pct"/>
                  <w:vAlign w:val="center"/>
                </w:tcPr>
                <w:p>
                  <w:pPr>
                    <w:topLinePunct/>
                    <w:adjustRightInd w:val="0"/>
                    <w:snapToGrid w:val="0"/>
                    <w:jc w:val="center"/>
                    <w:rPr>
                      <w:color w:val="auto"/>
                      <w:szCs w:val="21"/>
                    </w:rPr>
                  </w:pPr>
                  <w:r>
                    <w:rPr>
                      <w:color w:val="auto"/>
                      <w:szCs w:val="21"/>
                    </w:rPr>
                    <w:t>-</w:t>
                  </w:r>
                </w:p>
              </w:tc>
              <w:tc>
                <w:tcPr>
                  <w:tcW w:w="528" w:type="pct"/>
                  <w:vAlign w:val="center"/>
                </w:tcPr>
                <w:p>
                  <w:pPr>
                    <w:topLinePunct/>
                    <w:adjustRightInd w:val="0"/>
                    <w:snapToGrid w:val="0"/>
                    <w:jc w:val="center"/>
                    <w:rPr>
                      <w:color w:val="auto"/>
                      <w:szCs w:val="21"/>
                    </w:rPr>
                  </w:pPr>
                  <w:r>
                    <w:rPr>
                      <w:color w:val="auto"/>
                      <w:szCs w:val="21"/>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12" w:hRule="atLeast"/>
                <w:jc w:val="center"/>
              </w:trPr>
              <w:tc>
                <w:tcPr>
                  <w:tcW w:w="5000" w:type="pct"/>
                  <w:gridSpan w:val="10"/>
                  <w:vAlign w:val="center"/>
                </w:tcPr>
                <w:p>
                  <w:pPr>
                    <w:topLinePunct/>
                    <w:adjustRightInd w:val="0"/>
                    <w:snapToGrid w:val="0"/>
                    <w:jc w:val="center"/>
                    <w:rPr>
                      <w:color w:val="auto"/>
                      <w:szCs w:val="21"/>
                    </w:rPr>
                  </w:pPr>
                  <w:r>
                    <w:rPr>
                      <w:color w:val="auto"/>
                      <w:szCs w:val="21"/>
                    </w:rPr>
                    <w:t>- 表示可不开展土壤环境影响评价工作</w:t>
                  </w:r>
                </w:p>
              </w:tc>
            </w:tr>
          </w:tbl>
          <w:p>
            <w:pPr>
              <w:adjustRightInd w:val="0"/>
              <w:snapToGrid w:val="0"/>
              <w:spacing w:line="360" w:lineRule="auto"/>
              <w:ind w:firstLine="480" w:firstLineChars="200"/>
              <w:rPr>
                <w:rFonts w:ascii="宋体" w:hAnsi="宋体" w:cs="宋体"/>
                <w:snapToGrid w:val="0"/>
                <w:color w:val="auto"/>
                <w:sz w:val="24"/>
              </w:rPr>
            </w:pPr>
            <w:r>
              <w:rPr>
                <w:rFonts w:ascii="宋体" w:hAnsi="宋体" w:cs="宋体"/>
                <w:snapToGrid w:val="0"/>
                <w:color w:val="auto"/>
                <w:sz w:val="24"/>
              </w:rPr>
              <w:t>根据上文，本项目属于</w:t>
            </w:r>
            <w:r>
              <w:rPr>
                <w:rFonts w:hint="eastAsia" w:ascii="宋体" w:hAnsi="宋体" w:eastAsia="宋体" w:cs="宋体"/>
                <w:b/>
                <w:bCs/>
                <w:color w:val="auto"/>
                <w:szCs w:val="21"/>
              </w:rPr>
              <w:t>Ⅰ</w:t>
            </w:r>
            <w:r>
              <w:rPr>
                <w:rFonts w:ascii="宋体" w:hAnsi="宋体" w:cs="宋体"/>
                <w:snapToGrid w:val="0"/>
                <w:color w:val="auto"/>
                <w:sz w:val="24"/>
              </w:rPr>
              <w:t>类、小型、</w:t>
            </w:r>
            <w:r>
              <w:rPr>
                <w:rFonts w:hint="eastAsia" w:ascii="宋体" w:hAnsi="宋体" w:cs="宋体"/>
                <w:snapToGrid w:val="0"/>
                <w:color w:val="auto"/>
                <w:sz w:val="24"/>
                <w:lang w:val="en-US" w:eastAsia="zh-CN"/>
              </w:rPr>
              <w:t>不</w:t>
            </w:r>
            <w:r>
              <w:rPr>
                <w:rFonts w:ascii="宋体" w:hAnsi="宋体" w:cs="宋体"/>
                <w:snapToGrid w:val="0"/>
                <w:color w:val="auto"/>
                <w:sz w:val="24"/>
              </w:rPr>
              <w:t>敏感区域，根据上表，</w:t>
            </w:r>
            <w:r>
              <w:rPr>
                <w:rFonts w:hint="eastAsia" w:ascii="宋体" w:hAnsi="宋体" w:cs="宋体"/>
                <w:snapToGrid w:val="0"/>
                <w:color w:val="auto"/>
                <w:sz w:val="24"/>
                <w:lang w:eastAsia="zh-CN"/>
              </w:rPr>
              <w:t>本项目评价等级为</w:t>
            </w:r>
            <w:r>
              <w:rPr>
                <w:rFonts w:hint="eastAsia" w:ascii="宋体" w:hAnsi="宋体" w:cs="宋体"/>
                <w:snapToGrid w:val="0"/>
                <w:color w:val="auto"/>
                <w:sz w:val="24"/>
                <w:lang w:val="en-US" w:eastAsia="zh-CN"/>
              </w:rPr>
              <w:t>二</w:t>
            </w:r>
            <w:r>
              <w:rPr>
                <w:rFonts w:hint="eastAsia" w:ascii="宋体" w:hAnsi="宋体" w:cs="宋体"/>
                <w:snapToGrid w:val="0"/>
                <w:color w:val="auto"/>
                <w:sz w:val="24"/>
                <w:lang w:eastAsia="zh-CN"/>
              </w:rPr>
              <w:t>级</w:t>
            </w:r>
            <w:r>
              <w:rPr>
                <w:rFonts w:hint="eastAsia" w:ascii="宋体" w:hAnsi="宋体" w:cs="宋体"/>
                <w:snapToGrid w:val="0"/>
                <w:color w:val="auto"/>
                <w:sz w:val="24"/>
              </w:rPr>
              <w:t>。</w:t>
            </w:r>
          </w:p>
          <w:p>
            <w:pPr>
              <w:adjustRightInd w:val="0"/>
              <w:snapToGrid w:val="0"/>
              <w:spacing w:line="360" w:lineRule="auto"/>
              <w:ind w:firstLine="480" w:firstLineChars="200"/>
              <w:rPr>
                <w:rFonts w:hint="eastAsia" w:ascii="宋体" w:hAnsi="宋体" w:cs="宋体"/>
                <w:snapToGrid w:val="0"/>
                <w:color w:val="auto"/>
                <w:sz w:val="24"/>
              </w:rPr>
            </w:pPr>
            <w:r>
              <w:rPr>
                <w:rFonts w:hint="eastAsia" w:ascii="Times New Roman" w:hAnsi="Times New Roman" w:cs="Times New Roman"/>
                <w:color w:val="auto"/>
                <w:sz w:val="24"/>
                <w:lang w:val="en-US" w:eastAsia="zh-CN"/>
              </w:rPr>
              <w:t>根据</w:t>
            </w:r>
            <w:r>
              <w:rPr>
                <w:rFonts w:hint="default" w:ascii="Times New Roman" w:hAnsi="Times New Roman" w:cs="Times New Roman"/>
                <w:color w:val="auto"/>
                <w:kern w:val="24"/>
                <w:sz w:val="24"/>
              </w:rPr>
              <w:t>《环境影响评价技术导则 土壤环境（试行）》（HJ 964-2018）</w:t>
            </w:r>
            <w:r>
              <w:rPr>
                <w:rFonts w:hint="eastAsia" w:ascii="Times New Roman" w:hAnsi="Times New Roman" w:cs="Times New Roman"/>
                <w:color w:val="auto"/>
                <w:kern w:val="24"/>
                <w:sz w:val="24"/>
                <w:lang w:eastAsia="zh-CN"/>
              </w:rPr>
              <w:t>，评价等级为三级的项目需掌握近</w:t>
            </w:r>
            <w:r>
              <w:rPr>
                <w:rFonts w:hint="eastAsia" w:ascii="Times New Roman" w:hAnsi="Times New Roman" w:cs="Times New Roman"/>
                <w:color w:val="auto"/>
                <w:kern w:val="24"/>
                <w:sz w:val="24"/>
                <w:lang w:val="en-US" w:eastAsia="zh-CN"/>
              </w:rPr>
              <w:t>3年至少一次的检测数据，本项目已对项目所在地土壤环境进行检测，检测布点为：</w:t>
            </w:r>
            <w:r>
              <w:rPr>
                <w:color w:val="auto"/>
                <w:sz w:val="24"/>
              </w:rPr>
              <w:t>在项目占地范围内设置3个柱状样监测点（0～0.5m、0.5～1.5m、1.5～3m分别取样）、一个表层样（0～0.2m取样），项目占地范围外（0.2m内）设两个表层样</w:t>
            </w:r>
            <w:r>
              <w:rPr>
                <w:rFonts w:hint="eastAsia" w:ascii="Times New Roman" w:hAnsi="Times New Roman"/>
                <w:color w:val="auto"/>
                <w:sz w:val="24"/>
                <w:lang w:eastAsia="zh-CN"/>
              </w:rPr>
              <w:t>。检测结果见环境质量现状章节中土壤环境质量现状。</w:t>
            </w:r>
          </w:p>
          <w:p>
            <w:pPr>
              <w:pStyle w:val="24"/>
              <w:adjustRightInd/>
              <w:snapToGrid/>
              <w:spacing w:line="360" w:lineRule="auto"/>
              <w:ind w:left="0" w:leftChars="0" w:right="0" w:rightChars="0" w:firstLine="480"/>
              <w:jc w:val="left"/>
              <w:rPr>
                <w:rFonts w:hint="eastAsia" w:ascii="Times New Roman" w:hAnsi="Times New Roman" w:eastAsia="宋体" w:cs="Times New Roman"/>
                <w:color w:val="auto"/>
                <w:kern w:val="0"/>
                <w:sz w:val="24"/>
                <w:lang w:val="en-US" w:eastAsia="zh-CN"/>
              </w:rPr>
            </w:pPr>
            <w:r>
              <w:rPr>
                <w:rFonts w:hint="eastAsia" w:ascii="Times New Roman" w:hAnsi="Times New Roman" w:cs="Times New Roman"/>
                <w:color w:val="auto"/>
                <w:sz w:val="24"/>
                <w:lang w:eastAsia="zh-CN"/>
              </w:rPr>
              <w:t>从现状监测结果可以看出，各检监测点土壤环境质量现状监测结果中各项指标均能达到</w:t>
            </w:r>
            <w:r>
              <w:rPr>
                <w:rFonts w:hint="eastAsia" w:ascii="Times New Roman" w:hAnsi="Times New Roman" w:eastAsia="宋体" w:cs="Times New Roman"/>
                <w:color w:val="auto"/>
                <w:kern w:val="0"/>
                <w:sz w:val="24"/>
                <w:lang w:val="en-US" w:eastAsia="zh-CN"/>
              </w:rPr>
              <w:t>《土壤环境质量 建设用地土壤污染风险管控标准（试行）》（GB36600-2018）》中的第二类用地风险筛选值标准。</w:t>
            </w:r>
          </w:p>
          <w:p>
            <w:pPr>
              <w:pStyle w:val="24"/>
              <w:adjustRightInd/>
              <w:snapToGrid/>
              <w:spacing w:line="360" w:lineRule="auto"/>
              <w:ind w:left="0" w:leftChars="0" w:right="0" w:rightChars="0" w:firstLine="480"/>
              <w:jc w:val="left"/>
              <w:rPr>
                <w:rFonts w:hint="eastAsia" w:ascii="Times New Roman" w:hAnsi="Times New Roman" w:cs="Times New Roman"/>
                <w:color w:val="auto"/>
                <w:kern w:val="24"/>
                <w:sz w:val="24"/>
                <w:lang w:val="en-US" w:eastAsia="zh-CN"/>
              </w:rPr>
            </w:pPr>
            <w:r>
              <w:rPr>
                <w:rFonts w:hint="eastAsia" w:ascii="Times New Roman" w:hAnsi="Times New Roman" w:eastAsia="宋体" w:cs="Times New Roman"/>
                <w:color w:val="auto"/>
                <w:kern w:val="0"/>
                <w:sz w:val="24"/>
                <w:lang w:val="en-US" w:eastAsia="zh-CN"/>
              </w:rPr>
              <w:t>本项目为污染影响型项目，根据</w:t>
            </w:r>
            <w:r>
              <w:rPr>
                <w:rFonts w:hint="default" w:ascii="Times New Roman" w:hAnsi="Times New Roman" w:cs="Times New Roman"/>
                <w:color w:val="auto"/>
                <w:kern w:val="24"/>
                <w:sz w:val="24"/>
              </w:rPr>
              <w:t>《环境影响评价技术导则 土壤环境（试行）》（HJ 964-2018）</w:t>
            </w:r>
            <w:r>
              <w:rPr>
                <w:rFonts w:hint="eastAsia" w:ascii="Times New Roman" w:hAnsi="Times New Roman" w:cs="Times New Roman"/>
                <w:color w:val="auto"/>
                <w:kern w:val="24"/>
                <w:sz w:val="24"/>
                <w:lang w:val="en-US" w:eastAsia="zh-CN"/>
              </w:rPr>
              <w:t>8.7.3污染影响型建设项目，其评价等级为</w:t>
            </w:r>
            <w:r>
              <w:rPr>
                <w:rFonts w:hint="eastAsia" w:cs="Times New Roman"/>
                <w:color w:val="auto"/>
                <w:kern w:val="24"/>
                <w:sz w:val="24"/>
                <w:lang w:val="en-US" w:eastAsia="zh-CN"/>
              </w:rPr>
              <w:t>一级、二</w:t>
            </w:r>
            <w:r>
              <w:rPr>
                <w:rFonts w:hint="eastAsia" w:ascii="Times New Roman" w:hAnsi="Times New Roman" w:cs="Times New Roman"/>
                <w:color w:val="auto"/>
                <w:kern w:val="24"/>
                <w:sz w:val="24"/>
                <w:lang w:val="en-US" w:eastAsia="zh-CN"/>
              </w:rPr>
              <w:t>级的，</w:t>
            </w:r>
            <w:r>
              <w:rPr>
                <w:rFonts w:hint="eastAsia" w:cs="Times New Roman"/>
                <w:color w:val="auto"/>
                <w:kern w:val="24"/>
                <w:sz w:val="24"/>
                <w:lang w:val="en-US" w:eastAsia="zh-CN"/>
              </w:rPr>
              <w:t>可参考附录E或者类比分析法进行预测</w:t>
            </w:r>
            <w:r>
              <w:rPr>
                <w:rFonts w:hint="eastAsia" w:ascii="Times New Roman" w:hAnsi="Times New Roman" w:cs="Times New Roman"/>
                <w:color w:val="auto"/>
                <w:kern w:val="24"/>
                <w:sz w:val="24"/>
                <w:lang w:val="en-US" w:eastAsia="zh-CN"/>
              </w:rPr>
              <w:t>。根据附录E，本方法适用于某种物质可概化为以面源形式选入士壤环境的影响预则，本项目不属于以面源形式进入土壤环境的影响预测，因此，本项目预测采用类比分析法。</w:t>
            </w:r>
          </w:p>
          <w:p>
            <w:pPr>
              <w:pStyle w:val="24"/>
              <w:adjustRightInd/>
              <w:snapToGrid/>
              <w:spacing w:line="360" w:lineRule="auto"/>
              <w:ind w:left="0" w:leftChars="0" w:right="0" w:rightChars="0" w:firstLine="480"/>
              <w:jc w:val="left"/>
              <w:rPr>
                <w:rFonts w:hint="default"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根据类比分析，本项目存在可能污染土壤的原料有水性漆</w:t>
            </w:r>
            <w:r>
              <w:rPr>
                <w:rFonts w:hint="eastAsia" w:cs="Times New Roman"/>
                <w:color w:val="auto"/>
                <w:kern w:val="0"/>
                <w:sz w:val="24"/>
                <w:lang w:val="en-US" w:eastAsia="zh-CN"/>
              </w:rPr>
              <w:t>（包括水性漆固化剂）、切削液、润滑油</w:t>
            </w:r>
            <w:r>
              <w:rPr>
                <w:rFonts w:hint="eastAsia" w:ascii="Times New Roman" w:hAnsi="Times New Roman" w:eastAsia="宋体" w:cs="Times New Roman"/>
                <w:color w:val="auto"/>
                <w:kern w:val="0"/>
                <w:sz w:val="24"/>
                <w:lang w:val="en-US" w:eastAsia="zh-CN"/>
              </w:rPr>
              <w:t>，水性漆</w:t>
            </w:r>
            <w:r>
              <w:rPr>
                <w:rFonts w:hint="eastAsia" w:cs="Times New Roman"/>
                <w:color w:val="auto"/>
                <w:kern w:val="0"/>
                <w:sz w:val="24"/>
                <w:lang w:val="en-US" w:eastAsia="zh-CN"/>
              </w:rPr>
              <w:t>（包括水性漆固化剂）、切削液、润滑油</w:t>
            </w:r>
            <w:r>
              <w:rPr>
                <w:rFonts w:hint="eastAsia" w:ascii="Times New Roman" w:hAnsi="Times New Roman" w:eastAsia="宋体" w:cs="Times New Roman"/>
                <w:color w:val="auto"/>
                <w:kern w:val="0"/>
                <w:sz w:val="24"/>
                <w:lang w:val="en-US" w:eastAsia="zh-CN"/>
              </w:rPr>
              <w:t>均为桶装，储存在地面进行防渗处理的密闭</w:t>
            </w:r>
            <w:r>
              <w:rPr>
                <w:rFonts w:hint="eastAsia" w:cs="Times New Roman"/>
                <w:color w:val="auto"/>
                <w:kern w:val="0"/>
                <w:sz w:val="24"/>
                <w:lang w:val="en-US" w:eastAsia="zh-CN"/>
              </w:rPr>
              <w:t>原料库</w:t>
            </w:r>
            <w:r>
              <w:rPr>
                <w:rFonts w:hint="eastAsia" w:ascii="Times New Roman" w:hAnsi="Times New Roman" w:eastAsia="宋体" w:cs="Times New Roman"/>
                <w:color w:val="auto"/>
                <w:kern w:val="0"/>
                <w:sz w:val="24"/>
                <w:lang w:val="en-US" w:eastAsia="zh-CN"/>
              </w:rPr>
              <w:t>，对土壤影响程度较小；</w:t>
            </w:r>
            <w:r>
              <w:rPr>
                <w:rFonts w:hint="eastAsia" w:cs="Times New Roman"/>
                <w:color w:val="auto"/>
                <w:kern w:val="0"/>
                <w:sz w:val="24"/>
                <w:lang w:val="en-US" w:eastAsia="zh-CN"/>
              </w:rPr>
              <w:t>本项目生产厂房地面已硬化</w:t>
            </w:r>
            <w:r>
              <w:rPr>
                <w:rFonts w:hint="eastAsia" w:ascii="Times New Roman" w:hAnsi="Times New Roman" w:eastAsia="宋体" w:cs="Times New Roman"/>
                <w:color w:val="auto"/>
                <w:kern w:val="0"/>
                <w:sz w:val="24"/>
                <w:lang w:val="en-US" w:eastAsia="zh-CN"/>
              </w:rPr>
              <w:t>，对土壤影响程度较小；本项目不产生工业废水，生活污水经市政管网排入污水处理厂，对土壤环境影响较小。</w:t>
            </w:r>
          </w:p>
          <w:p>
            <w:pPr>
              <w:adjustRightInd w:val="0"/>
              <w:snapToGrid w:val="0"/>
              <w:spacing w:line="360" w:lineRule="auto"/>
              <w:ind w:firstLine="480" w:firstLineChars="200"/>
              <w:rPr>
                <w:rFonts w:hint="eastAsia" w:ascii="宋体" w:hAnsi="宋体" w:cs="宋体"/>
                <w:snapToGrid w:val="0"/>
                <w:color w:val="auto"/>
                <w:sz w:val="24"/>
              </w:rPr>
            </w:pPr>
            <w:r>
              <w:rPr>
                <w:rFonts w:hint="eastAsia" w:ascii="宋体" w:hAnsi="宋体" w:eastAsia="宋体"/>
                <w:color w:val="auto"/>
                <w:sz w:val="24"/>
                <w:lang w:eastAsia="zh-CN"/>
              </w:rPr>
              <w:t>综上，</w:t>
            </w:r>
            <w:r>
              <w:rPr>
                <w:rFonts w:hint="eastAsia" w:ascii="宋体" w:hAnsi="宋体" w:eastAsia="宋体"/>
                <w:color w:val="auto"/>
                <w:sz w:val="24"/>
              </w:rPr>
              <w:t>拟建项目按照设计要求进行防渗处理，项目对土壤环境影响程度较小</w:t>
            </w:r>
            <w:r>
              <w:rPr>
                <w:rFonts w:hint="default" w:ascii="Times New Roman" w:hAnsi="Times New Roman" w:cs="Times New Roman"/>
                <w:color w:val="auto"/>
                <w:sz w:val="24"/>
                <w:lang w:eastAsia="zh-CN"/>
              </w:rPr>
              <w:t>。</w:t>
            </w:r>
          </w:p>
          <w:bookmarkEnd w:id="6"/>
          <w:p>
            <w:pPr>
              <w:spacing w:line="360" w:lineRule="auto"/>
              <w:ind w:firstLine="480" w:firstLineChars="200"/>
              <w:rPr>
                <w:b/>
                <w:color w:val="auto"/>
                <w:sz w:val="24"/>
              </w:rPr>
            </w:pPr>
            <w:r>
              <w:rPr>
                <w:rFonts w:hint="eastAsia"/>
                <w:b/>
                <w:color w:val="auto"/>
                <w:sz w:val="24"/>
                <w:lang w:val="en-US" w:eastAsia="zh-CN"/>
              </w:rPr>
              <w:t>6</w:t>
            </w:r>
            <w:r>
              <w:rPr>
                <w:b/>
                <w:color w:val="auto"/>
                <w:sz w:val="24"/>
              </w:rPr>
              <w:t>、地下水环境影响评价</w:t>
            </w:r>
          </w:p>
          <w:p>
            <w:pPr>
              <w:pStyle w:val="29"/>
              <w:spacing w:before="0" w:line="360" w:lineRule="auto"/>
              <w:ind w:firstLine="456" w:firstLineChars="200"/>
              <w:rPr>
                <w:rFonts w:ascii="Times New Roman"/>
                <w:bCs/>
                <w:color w:val="auto"/>
                <w:sz w:val="24"/>
              </w:rPr>
            </w:pPr>
            <w:r>
              <w:rPr>
                <w:rFonts w:ascii="Times New Roman" w:hAnsi="Times New Roman"/>
                <w:color w:val="auto"/>
                <w:spacing w:val="-6"/>
                <w:sz w:val="24"/>
              </w:rPr>
              <w:t>本项</w:t>
            </w:r>
            <w:r>
              <w:rPr>
                <w:rFonts w:ascii="Times New Roman" w:hAnsi="Times New Roman"/>
                <w:color w:val="auto"/>
                <w:spacing w:val="0"/>
                <w:kern w:val="2"/>
                <w:sz w:val="24"/>
                <w:szCs w:val="22"/>
              </w:rPr>
              <w:t>目为</w:t>
            </w:r>
            <w:r>
              <w:rPr>
                <w:rFonts w:ascii="Times New Roman" w:hAnsi="Times New Roman"/>
                <w:color w:val="auto"/>
                <w:sz w:val="24"/>
                <w:szCs w:val="24"/>
                <w:highlight w:val="none"/>
                <w:shd w:val="clear"/>
              </w:rPr>
              <w:t>“</w:t>
            </w:r>
            <w:r>
              <w:rPr>
                <w:rFonts w:hint="eastAsia" w:ascii="Times New Roman" w:hAnsi="Times New Roman"/>
                <w:color w:val="auto"/>
                <w:sz w:val="24"/>
                <w:szCs w:val="24"/>
                <w:highlight w:val="none"/>
                <w:shd w:val="clear"/>
              </w:rPr>
              <w:t>C3311 金属结构制造</w:t>
            </w:r>
            <w:r>
              <w:rPr>
                <w:rFonts w:ascii="Times New Roman" w:hAnsi="Times New Roman"/>
                <w:color w:val="auto"/>
                <w:sz w:val="24"/>
                <w:szCs w:val="24"/>
                <w:highlight w:val="none"/>
                <w:shd w:val="clear"/>
              </w:rPr>
              <w:t>”</w:t>
            </w:r>
            <w:r>
              <w:rPr>
                <w:rFonts w:ascii="Times New Roman" w:hAnsi="Times New Roman"/>
                <w:color w:val="auto"/>
                <w:spacing w:val="-6"/>
                <w:sz w:val="24"/>
              </w:rPr>
              <w:t>，</w:t>
            </w:r>
            <w:r>
              <w:rPr>
                <w:rFonts w:ascii="Times New Roman"/>
                <w:color w:val="auto"/>
                <w:spacing w:val="-6"/>
                <w:sz w:val="24"/>
              </w:rPr>
              <w:t>根据</w:t>
            </w:r>
            <w:r>
              <w:rPr>
                <w:rFonts w:ascii="Times New Roman"/>
                <w:bCs/>
                <w:color w:val="auto"/>
                <w:sz w:val="24"/>
              </w:rPr>
              <w:t>《环境影响评价技术导则</w:t>
            </w:r>
            <w:r>
              <w:rPr>
                <w:rFonts w:hint="eastAsia" w:ascii="Times New Roman"/>
                <w:bCs/>
                <w:color w:val="auto"/>
                <w:sz w:val="24"/>
              </w:rPr>
              <w:t xml:space="preserve">  地下水</w:t>
            </w:r>
            <w:r>
              <w:rPr>
                <w:rFonts w:ascii="Times New Roman"/>
                <w:bCs/>
                <w:color w:val="auto"/>
                <w:sz w:val="24"/>
              </w:rPr>
              <w:t>环境》（H</w:t>
            </w:r>
            <w:r>
              <w:rPr>
                <w:rFonts w:hint="eastAsia" w:ascii="Times New Roman"/>
                <w:bCs/>
                <w:color w:val="auto"/>
                <w:sz w:val="24"/>
              </w:rPr>
              <w:t>J610</w:t>
            </w:r>
            <w:r>
              <w:rPr>
                <w:rFonts w:ascii="Times New Roman"/>
                <w:bCs/>
                <w:color w:val="auto"/>
                <w:sz w:val="24"/>
              </w:rPr>
              <w:t>-201</w:t>
            </w:r>
            <w:r>
              <w:rPr>
                <w:rFonts w:hint="eastAsia" w:ascii="Times New Roman"/>
                <w:bCs/>
                <w:color w:val="auto"/>
                <w:sz w:val="24"/>
              </w:rPr>
              <w:t>6</w:t>
            </w:r>
            <w:r>
              <w:rPr>
                <w:rFonts w:ascii="Times New Roman"/>
                <w:bCs/>
                <w:color w:val="auto"/>
                <w:sz w:val="24"/>
              </w:rPr>
              <w:t>）中附录A</w:t>
            </w:r>
            <w:r>
              <w:rPr>
                <w:rFonts w:hint="eastAsia" w:ascii="Times New Roman"/>
                <w:bCs/>
                <w:color w:val="auto"/>
                <w:sz w:val="24"/>
              </w:rPr>
              <w:t>进行评价等级判定。</w:t>
            </w:r>
          </w:p>
          <w:p>
            <w:pPr>
              <w:pStyle w:val="29"/>
              <w:spacing w:before="0" w:line="360" w:lineRule="auto"/>
              <w:ind w:firstLine="472" w:firstLineChars="200"/>
              <w:rPr>
                <w:rFonts w:ascii="Times New Roman"/>
                <w:bCs/>
                <w:color w:val="auto"/>
                <w:sz w:val="24"/>
              </w:rPr>
            </w:pPr>
            <w:r>
              <w:rPr>
                <w:rFonts w:hint="eastAsia" w:ascii="Times New Roman"/>
                <w:bCs/>
                <w:color w:val="auto"/>
                <w:sz w:val="24"/>
              </w:rPr>
              <w:t>（1）建设项目所在地周边土壤环境敏感程度分级表及如下：</w:t>
            </w:r>
          </w:p>
          <w:p>
            <w:pPr>
              <w:pStyle w:val="29"/>
              <w:spacing w:before="0" w:line="240" w:lineRule="auto"/>
              <w:jc w:val="center"/>
              <w:rPr>
                <w:rFonts w:ascii="Times New Roman"/>
                <w:b/>
                <w:color w:val="auto"/>
                <w:szCs w:val="21"/>
              </w:rPr>
            </w:pPr>
            <w:r>
              <w:rPr>
                <w:rFonts w:hint="eastAsia" w:ascii="Times New Roman"/>
                <w:b/>
                <w:color w:val="auto"/>
                <w:szCs w:val="21"/>
              </w:rPr>
              <w:t>表7-2</w:t>
            </w:r>
            <w:r>
              <w:rPr>
                <w:rFonts w:hint="eastAsia" w:ascii="Times New Roman"/>
                <w:b/>
                <w:color w:val="auto"/>
                <w:szCs w:val="21"/>
                <w:lang w:val="en-US" w:eastAsia="zh-CN"/>
              </w:rPr>
              <w:t>8</w:t>
            </w:r>
            <w:r>
              <w:rPr>
                <w:rFonts w:hint="eastAsia" w:ascii="Times New Roman"/>
                <w:b/>
                <w:color w:val="auto"/>
                <w:szCs w:val="21"/>
              </w:rPr>
              <w:t>地下水敏感感程度分级表</w:t>
            </w:r>
          </w:p>
          <w:tbl>
            <w:tblPr>
              <w:tblStyle w:val="5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9"/>
              <w:gridCol w:w="725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
                      <w:color w:val="auto"/>
                      <w:szCs w:val="21"/>
                    </w:rPr>
                  </w:pPr>
                  <w:r>
                    <w:rPr>
                      <w:rFonts w:hint="eastAsia" w:ascii="Times New Roman"/>
                      <w:b/>
                      <w:color w:val="auto"/>
                      <w:szCs w:val="21"/>
                    </w:rPr>
                    <w:t>敏感程度</w:t>
                  </w:r>
                </w:p>
              </w:tc>
              <w:tc>
                <w:tcPr>
                  <w:tcW w:w="4362" w:type="pct"/>
                  <w:tcBorders>
                    <w:tl2br w:val="nil"/>
                    <w:tr2bl w:val="nil"/>
                  </w:tcBorders>
                  <w:vAlign w:val="center"/>
                </w:tcPr>
                <w:p>
                  <w:pPr>
                    <w:pStyle w:val="29"/>
                    <w:spacing w:before="0" w:line="240" w:lineRule="auto"/>
                    <w:jc w:val="center"/>
                    <w:rPr>
                      <w:rFonts w:ascii="Times New Roman"/>
                      <w:b/>
                      <w:color w:val="auto"/>
                      <w:szCs w:val="21"/>
                    </w:rPr>
                  </w:pPr>
                  <w:r>
                    <w:rPr>
                      <w:rFonts w:hint="eastAsia" w:ascii="Times New Roman"/>
                      <w:b/>
                      <w:color w:val="auto"/>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较敏感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37"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不敏感</w:t>
                  </w:r>
                </w:p>
              </w:tc>
              <w:tc>
                <w:tcPr>
                  <w:tcW w:w="4362" w:type="pct"/>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上述地区之外的其它地区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00" w:type="pct"/>
                  <w:gridSpan w:val="2"/>
                  <w:tcBorders>
                    <w:tl2br w:val="nil"/>
                    <w:tr2bl w:val="nil"/>
                  </w:tcBorders>
                  <w:vAlign w:val="center"/>
                </w:tcPr>
                <w:p>
                  <w:pPr>
                    <w:pStyle w:val="29"/>
                    <w:spacing w:before="0" w:line="240" w:lineRule="auto"/>
                    <w:jc w:val="center"/>
                    <w:rPr>
                      <w:rFonts w:ascii="Times New Roman"/>
                      <w:bCs/>
                      <w:color w:val="auto"/>
                      <w:szCs w:val="21"/>
                    </w:rPr>
                  </w:pPr>
                  <w:r>
                    <w:rPr>
                      <w:rFonts w:hint="eastAsia" w:ascii="Times New Roman"/>
                      <w:bCs/>
                      <w:color w:val="auto"/>
                      <w:szCs w:val="21"/>
                    </w:rPr>
                    <w:t>注：a“环境敏感区”是指《建设项目环境影响评价分类管理名录》中所界定的涉及地下水的环境敏感区</w:t>
                  </w:r>
                </w:p>
              </w:tc>
            </w:tr>
          </w:tbl>
          <w:p>
            <w:pPr>
              <w:pStyle w:val="29"/>
              <w:spacing w:before="0" w:line="360" w:lineRule="auto"/>
              <w:ind w:firstLine="472" w:firstLineChars="200"/>
              <w:rPr>
                <w:rFonts w:ascii="Times New Roman"/>
                <w:bCs/>
                <w:color w:val="auto"/>
                <w:sz w:val="24"/>
              </w:rPr>
            </w:pPr>
            <w:r>
              <w:rPr>
                <w:rFonts w:hint="eastAsia" w:ascii="Times New Roman"/>
                <w:bCs/>
                <w:color w:val="auto"/>
                <w:sz w:val="24"/>
              </w:rPr>
              <w:t>本项目位于</w:t>
            </w:r>
            <w:r>
              <w:rPr>
                <w:rFonts w:hint="eastAsia" w:ascii="Times New Roman"/>
                <w:bCs/>
                <w:color w:val="auto"/>
                <w:sz w:val="24"/>
                <w:lang w:val="en-US" w:eastAsia="zh-CN"/>
              </w:rPr>
              <w:t>金坛经济开发区龙湖路</w:t>
            </w:r>
            <w:r>
              <w:rPr>
                <w:rFonts w:hint="eastAsia" w:ascii="Times New Roman"/>
                <w:bCs/>
                <w:color w:val="auto"/>
                <w:sz w:val="24"/>
              </w:rPr>
              <w:t>2号，本项目所在场地不在集中式饮用水水源准保护区及以外的补给径流区，不在特殊地下水资源保护区，不在分散式饮用水水源地，地下水功能敏感性分区属不敏感。</w:t>
            </w:r>
          </w:p>
          <w:p>
            <w:pPr>
              <w:pStyle w:val="29"/>
              <w:spacing w:before="0" w:line="360" w:lineRule="auto"/>
              <w:ind w:firstLine="456" w:firstLineChars="200"/>
              <w:rPr>
                <w:rFonts w:ascii="Times New Roman"/>
                <w:color w:val="auto"/>
                <w:spacing w:val="-6"/>
                <w:sz w:val="24"/>
              </w:rPr>
            </w:pPr>
            <w:r>
              <w:rPr>
                <w:rFonts w:hint="eastAsia" w:ascii="Times New Roman"/>
                <w:color w:val="auto"/>
                <w:spacing w:val="-6"/>
                <w:sz w:val="24"/>
              </w:rPr>
              <w:t>（2）项目类别判定</w:t>
            </w:r>
          </w:p>
          <w:p>
            <w:pPr>
              <w:pStyle w:val="29"/>
              <w:spacing w:before="0" w:line="360" w:lineRule="auto"/>
              <w:ind w:firstLine="456" w:firstLineChars="200"/>
              <w:rPr>
                <w:rFonts w:ascii="宋体" w:hAnsi="宋体" w:cs="宋体"/>
                <w:snapToGrid w:val="0"/>
                <w:color w:val="auto"/>
                <w:sz w:val="24"/>
              </w:rPr>
            </w:pPr>
            <w:r>
              <w:rPr>
                <w:rFonts w:ascii="Times New Roman"/>
                <w:color w:val="auto"/>
                <w:spacing w:val="-6"/>
                <w:sz w:val="24"/>
              </w:rPr>
              <w:t>根据</w:t>
            </w:r>
            <w:r>
              <w:rPr>
                <w:rFonts w:hint="eastAsia" w:ascii="Times New Roman"/>
                <w:bCs/>
                <w:color w:val="auto"/>
                <w:sz w:val="24"/>
              </w:rPr>
              <w:t>《环境影响评价技术导则 地下水环境》（HJ610-2016）</w:t>
            </w:r>
            <w:r>
              <w:rPr>
                <w:rFonts w:ascii="Times New Roman"/>
                <w:bCs/>
                <w:color w:val="auto"/>
                <w:sz w:val="24"/>
              </w:rPr>
              <w:t>中附录A</w:t>
            </w:r>
            <w:r>
              <w:rPr>
                <w:rFonts w:hint="eastAsia" w:ascii="Times New Roman"/>
                <w:bCs/>
                <w:color w:val="auto"/>
                <w:sz w:val="24"/>
              </w:rPr>
              <w:t>判定，本</w:t>
            </w:r>
            <w:r>
              <w:rPr>
                <w:rFonts w:hint="eastAsia" w:ascii="Times New Roman"/>
                <w:bCs/>
                <w:color w:val="auto"/>
                <w:sz w:val="24"/>
                <w:lang w:val="en-US" w:eastAsia="zh-CN"/>
              </w:rPr>
              <w:t>项目属于</w:t>
            </w:r>
            <w:r>
              <w:rPr>
                <w:rFonts w:hint="eastAsia" w:ascii="宋体" w:hAnsi="宋体" w:eastAsia="宋体" w:cs="宋体"/>
                <w:bCs/>
                <w:color w:val="auto"/>
                <w:sz w:val="24"/>
                <w:lang w:val="en-US" w:eastAsia="zh-CN"/>
              </w:rPr>
              <w:t>Ⅳ</w:t>
            </w:r>
            <w:r>
              <w:rPr>
                <w:rFonts w:hint="eastAsia"/>
                <w:bCs/>
                <w:color w:val="auto"/>
                <w:sz w:val="24"/>
              </w:rPr>
              <w:t>类项目，Ⅳ类建设项目不开展地下水环境影响评价。</w:t>
            </w:r>
          </w:p>
          <w:p>
            <w:pPr>
              <w:adjustRightInd w:val="0"/>
              <w:snapToGrid w:val="0"/>
              <w:spacing w:line="360" w:lineRule="auto"/>
              <w:ind w:firstLine="480" w:firstLineChars="200"/>
              <w:rPr>
                <w:rFonts w:ascii="宋体" w:hAnsi="宋体" w:cs="宋体"/>
                <w:snapToGrid w:val="0"/>
                <w:color w:val="auto"/>
                <w:sz w:val="24"/>
              </w:rPr>
            </w:pPr>
            <w:r>
              <w:rPr>
                <w:rFonts w:hint="eastAsia" w:ascii="宋体" w:hAnsi="宋体" w:cs="宋体"/>
                <w:snapToGrid w:val="0"/>
                <w:color w:val="auto"/>
                <w:sz w:val="24"/>
              </w:rPr>
              <w:t>综上，本项目对</w:t>
            </w:r>
            <w:r>
              <w:rPr>
                <w:rFonts w:hint="eastAsia"/>
                <w:bCs/>
                <w:color w:val="auto"/>
                <w:sz w:val="24"/>
              </w:rPr>
              <w:t>地下水</w:t>
            </w:r>
            <w:r>
              <w:rPr>
                <w:rFonts w:hint="eastAsia" w:ascii="宋体" w:hAnsi="宋体" w:cs="宋体"/>
                <w:snapToGrid w:val="0"/>
                <w:color w:val="auto"/>
                <w:sz w:val="24"/>
              </w:rPr>
              <w:t>环境影响程度较小。</w:t>
            </w:r>
          </w:p>
          <w:p>
            <w:pPr>
              <w:spacing w:line="360" w:lineRule="auto"/>
              <w:ind w:firstLine="480" w:firstLineChars="200"/>
              <w:rPr>
                <w:b/>
                <w:color w:val="auto"/>
                <w:sz w:val="24"/>
              </w:rPr>
            </w:pPr>
            <w:r>
              <w:rPr>
                <w:rFonts w:hint="eastAsia"/>
                <w:b/>
                <w:color w:val="auto"/>
                <w:sz w:val="24"/>
                <w:lang w:val="en-US" w:eastAsia="zh-CN"/>
              </w:rPr>
              <w:t>7</w:t>
            </w:r>
            <w:r>
              <w:rPr>
                <w:rFonts w:hint="eastAsia"/>
                <w:b/>
                <w:color w:val="auto"/>
                <w:sz w:val="24"/>
              </w:rPr>
              <w:t>、环境风险评价</w:t>
            </w:r>
          </w:p>
          <w:p>
            <w:pPr>
              <w:snapToGrid w:val="0"/>
              <w:spacing w:line="360" w:lineRule="auto"/>
              <w:ind w:left="63" w:leftChars="30" w:right="63" w:rightChars="30" w:firstLine="480" w:firstLineChars="200"/>
              <w:rPr>
                <w:b/>
                <w:color w:val="auto"/>
                <w:sz w:val="24"/>
                <w:szCs w:val="28"/>
              </w:rPr>
            </w:pPr>
            <w:r>
              <w:rPr>
                <w:rFonts w:hint="eastAsia"/>
                <w:b/>
                <w:color w:val="auto"/>
                <w:sz w:val="24"/>
                <w:szCs w:val="28"/>
                <w:lang w:val="en-US" w:eastAsia="zh-CN"/>
              </w:rPr>
              <w:t>7.</w:t>
            </w:r>
            <w:r>
              <w:rPr>
                <w:b/>
                <w:color w:val="auto"/>
                <w:sz w:val="24"/>
                <w:szCs w:val="28"/>
              </w:rPr>
              <w:t>1</w:t>
            </w:r>
            <w:r>
              <w:rPr>
                <w:rFonts w:hint="eastAsia"/>
                <w:b/>
                <w:color w:val="auto"/>
                <w:sz w:val="24"/>
                <w:szCs w:val="28"/>
              </w:rPr>
              <w:t>评价依据</w:t>
            </w:r>
          </w:p>
          <w:p>
            <w:pPr>
              <w:snapToGrid w:val="0"/>
              <w:spacing w:line="360" w:lineRule="auto"/>
              <w:ind w:left="63" w:leftChars="30" w:right="63" w:rightChars="30" w:firstLine="480" w:firstLineChars="200"/>
              <w:rPr>
                <w:b/>
                <w:color w:val="auto"/>
                <w:sz w:val="24"/>
                <w:szCs w:val="24"/>
              </w:rPr>
            </w:pPr>
            <w:r>
              <w:rPr>
                <w:rFonts w:hint="eastAsia"/>
                <w:b/>
                <w:color w:val="auto"/>
                <w:sz w:val="24"/>
                <w:szCs w:val="24"/>
              </w:rPr>
              <w:t>（1）风险调查</w:t>
            </w:r>
          </w:p>
          <w:p>
            <w:pPr>
              <w:adjustRightInd w:val="0"/>
              <w:snapToGrid w:val="0"/>
              <w:spacing w:line="360" w:lineRule="auto"/>
              <w:ind w:firstLine="480" w:firstLineChars="200"/>
              <w:rPr>
                <w:color w:val="auto"/>
                <w:sz w:val="24"/>
              </w:rPr>
            </w:pPr>
            <w:r>
              <w:rPr>
                <w:rFonts w:hint="eastAsia"/>
                <w:bCs/>
                <w:color w:val="auto"/>
                <w:sz w:val="24"/>
                <w:szCs w:val="24"/>
              </w:rPr>
              <w:t>根据前文所述，本项目主要风险物质为</w:t>
            </w:r>
            <w:r>
              <w:rPr>
                <w:rFonts w:hint="eastAsia"/>
                <w:bCs/>
                <w:color w:val="auto"/>
                <w:sz w:val="24"/>
                <w:szCs w:val="24"/>
                <w:lang w:val="en-US" w:eastAsia="zh-CN"/>
              </w:rPr>
              <w:t>水性漆（包括</w:t>
            </w:r>
            <w:r>
              <w:rPr>
                <w:rFonts w:hint="eastAsia"/>
                <w:color w:val="auto"/>
                <w:sz w:val="24"/>
                <w:szCs w:val="24"/>
              </w:rPr>
              <w:t>水性漆固化剂</w:t>
            </w:r>
            <w:r>
              <w:rPr>
                <w:rFonts w:hint="eastAsia"/>
                <w:bCs/>
                <w:color w:val="auto"/>
                <w:sz w:val="24"/>
                <w:szCs w:val="24"/>
                <w:lang w:val="en-US" w:eastAsia="zh-CN"/>
              </w:rPr>
              <w:t>）</w:t>
            </w:r>
            <w:r>
              <w:rPr>
                <w:rFonts w:hint="eastAsia"/>
                <w:color w:val="auto"/>
                <w:sz w:val="24"/>
                <w:szCs w:val="24"/>
              </w:rPr>
              <w:t>、切削液、润滑油及产生</w:t>
            </w:r>
            <w:r>
              <w:rPr>
                <w:rFonts w:hint="eastAsia"/>
                <w:color w:val="auto"/>
                <w:sz w:val="24"/>
                <w:szCs w:val="24"/>
                <w:lang w:val="en-US" w:eastAsia="zh-CN"/>
              </w:rPr>
              <w:t>的危险废物废切削液、废润滑油、漆渣、含漆废物、废过滤棉</w:t>
            </w:r>
            <w:r>
              <w:rPr>
                <w:rFonts w:hint="eastAsia"/>
                <w:bCs/>
                <w:color w:val="auto"/>
                <w:sz w:val="24"/>
                <w:szCs w:val="24"/>
              </w:rPr>
              <w:t>。</w:t>
            </w:r>
          </w:p>
          <w:p>
            <w:pPr>
              <w:snapToGrid w:val="0"/>
              <w:spacing w:line="360" w:lineRule="auto"/>
              <w:ind w:left="63" w:leftChars="30" w:right="63" w:rightChars="30" w:firstLine="480" w:firstLineChars="200"/>
              <w:rPr>
                <w:color w:val="auto"/>
                <w:sz w:val="24"/>
              </w:rPr>
            </w:pPr>
            <w:r>
              <w:rPr>
                <w:rFonts w:hint="eastAsia"/>
                <w:b/>
                <w:color w:val="auto"/>
                <w:sz w:val="24"/>
              </w:rPr>
              <w:t>（2）风险潜势初判</w:t>
            </w:r>
          </w:p>
          <w:p>
            <w:pPr>
              <w:pStyle w:val="21"/>
              <w:ind w:firstLine="480" w:firstLineChars="200"/>
              <w:jc w:val="left"/>
              <w:rPr>
                <w:color w:val="auto"/>
                <w:sz w:val="24"/>
              </w:rPr>
            </w:pPr>
            <w:r>
              <w:rPr>
                <w:rFonts w:hint="eastAsia"/>
                <w:color w:val="auto"/>
                <w:sz w:val="24"/>
              </w:rPr>
              <w:t>1）P的分级确定</w:t>
            </w:r>
          </w:p>
          <w:p>
            <w:pPr>
              <w:jc w:val="center"/>
              <w:rPr>
                <w:b/>
                <w:bCs/>
                <w:color w:val="auto"/>
                <w:szCs w:val="21"/>
              </w:rPr>
            </w:pPr>
            <w:r>
              <w:rPr>
                <w:b/>
                <w:bCs/>
                <w:color w:val="auto"/>
                <w:szCs w:val="21"/>
              </w:rPr>
              <w:t>表7-</w:t>
            </w:r>
            <w:r>
              <w:rPr>
                <w:rFonts w:hint="eastAsia"/>
                <w:b/>
                <w:bCs/>
                <w:color w:val="auto"/>
                <w:szCs w:val="21"/>
              </w:rPr>
              <w:t>2</w:t>
            </w:r>
            <w:r>
              <w:rPr>
                <w:rFonts w:hint="eastAsia"/>
                <w:b/>
                <w:bCs/>
                <w:color w:val="auto"/>
                <w:szCs w:val="21"/>
                <w:lang w:val="en-US" w:eastAsia="zh-CN"/>
              </w:rPr>
              <w:t xml:space="preserve">9 </w:t>
            </w:r>
            <w:r>
              <w:rPr>
                <w:rFonts w:hint="eastAsia"/>
                <w:b/>
                <w:bCs/>
                <w:color w:val="auto"/>
                <w:szCs w:val="21"/>
              </w:rPr>
              <w:t>建设项目Q值确定</w:t>
            </w:r>
            <w:r>
              <w:rPr>
                <w:b/>
                <w:bCs/>
                <w:color w:val="auto"/>
                <w:szCs w:val="21"/>
              </w:rPr>
              <w:t>表</w:t>
            </w:r>
          </w:p>
          <w:tbl>
            <w:tblPr>
              <w:tblStyle w:val="56"/>
              <w:tblW w:w="830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5"/>
              <w:gridCol w:w="1231"/>
              <w:gridCol w:w="1471"/>
              <w:gridCol w:w="1828"/>
              <w:gridCol w:w="1455"/>
              <w:gridCol w:w="16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b/>
                      <w:color w:val="auto"/>
                      <w:szCs w:val="21"/>
                    </w:rPr>
                  </w:pPr>
                  <w:r>
                    <w:rPr>
                      <w:rFonts w:hint="eastAsia"/>
                      <w:b/>
                      <w:color w:val="auto"/>
                      <w:szCs w:val="21"/>
                    </w:rPr>
                    <w:t>序号</w:t>
                  </w:r>
                </w:p>
              </w:tc>
              <w:tc>
                <w:tcPr>
                  <w:tcW w:w="1231" w:type="dxa"/>
                  <w:vAlign w:val="center"/>
                </w:tcPr>
                <w:p>
                  <w:pPr>
                    <w:pStyle w:val="21"/>
                    <w:spacing w:after="0"/>
                    <w:jc w:val="center"/>
                    <w:rPr>
                      <w:b/>
                      <w:color w:val="auto"/>
                      <w:szCs w:val="21"/>
                    </w:rPr>
                  </w:pPr>
                  <w:r>
                    <w:rPr>
                      <w:rFonts w:hint="eastAsia"/>
                      <w:b/>
                      <w:color w:val="auto"/>
                      <w:szCs w:val="21"/>
                    </w:rPr>
                    <w:t>危险物质名称</w:t>
                  </w:r>
                </w:p>
              </w:tc>
              <w:tc>
                <w:tcPr>
                  <w:tcW w:w="1471" w:type="dxa"/>
                  <w:vAlign w:val="center"/>
                </w:tcPr>
                <w:p>
                  <w:pPr>
                    <w:pStyle w:val="21"/>
                    <w:spacing w:after="0"/>
                    <w:jc w:val="center"/>
                    <w:rPr>
                      <w:b/>
                      <w:color w:val="auto"/>
                      <w:szCs w:val="21"/>
                    </w:rPr>
                  </w:pPr>
                  <w:r>
                    <w:rPr>
                      <w:rFonts w:hint="eastAsia"/>
                      <w:b/>
                      <w:color w:val="auto"/>
                      <w:szCs w:val="21"/>
                    </w:rPr>
                    <w:t>CAS号</w:t>
                  </w:r>
                </w:p>
              </w:tc>
              <w:tc>
                <w:tcPr>
                  <w:tcW w:w="1828" w:type="dxa"/>
                  <w:vAlign w:val="center"/>
                </w:tcPr>
                <w:p>
                  <w:pPr>
                    <w:pStyle w:val="21"/>
                    <w:spacing w:after="0"/>
                    <w:jc w:val="center"/>
                    <w:rPr>
                      <w:b/>
                      <w:color w:val="auto"/>
                      <w:szCs w:val="21"/>
                    </w:rPr>
                  </w:pPr>
                  <w:r>
                    <w:rPr>
                      <w:rFonts w:hint="eastAsia"/>
                      <w:b/>
                      <w:color w:val="auto"/>
                      <w:szCs w:val="21"/>
                    </w:rPr>
                    <w:t>最大存在总量t</w:t>
                  </w:r>
                </w:p>
              </w:tc>
              <w:tc>
                <w:tcPr>
                  <w:tcW w:w="1455" w:type="dxa"/>
                  <w:vAlign w:val="center"/>
                </w:tcPr>
                <w:p>
                  <w:pPr>
                    <w:pStyle w:val="21"/>
                    <w:spacing w:after="0"/>
                    <w:jc w:val="center"/>
                    <w:rPr>
                      <w:b/>
                      <w:color w:val="auto"/>
                      <w:szCs w:val="21"/>
                    </w:rPr>
                  </w:pPr>
                  <w:r>
                    <w:rPr>
                      <w:rFonts w:hint="eastAsia"/>
                      <w:b/>
                      <w:color w:val="auto"/>
                      <w:szCs w:val="21"/>
                    </w:rPr>
                    <w:t>临界量Q</w:t>
                  </w:r>
                  <w:r>
                    <w:rPr>
                      <w:b/>
                      <w:color w:val="auto"/>
                      <w:szCs w:val="21"/>
                      <w:vertAlign w:val="subscript"/>
                    </w:rPr>
                    <w:t>n</w:t>
                  </w:r>
                  <w:r>
                    <w:rPr>
                      <w:b/>
                      <w:color w:val="auto"/>
                      <w:szCs w:val="21"/>
                    </w:rPr>
                    <w:t>/t</w:t>
                  </w:r>
                </w:p>
              </w:tc>
              <w:tc>
                <w:tcPr>
                  <w:tcW w:w="1622" w:type="dxa"/>
                  <w:vAlign w:val="center"/>
                </w:tcPr>
                <w:p>
                  <w:pPr>
                    <w:pStyle w:val="21"/>
                    <w:spacing w:after="0"/>
                    <w:jc w:val="center"/>
                    <w:rPr>
                      <w:b/>
                      <w:color w:val="auto"/>
                      <w:szCs w:val="21"/>
                    </w:rPr>
                  </w:pPr>
                  <w:r>
                    <w:rPr>
                      <w:rFonts w:hint="eastAsia"/>
                      <w:b/>
                      <w:color w:val="auto"/>
                      <w:szCs w:val="21"/>
                    </w:rPr>
                    <w:t>该种危险物质Q值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1</w:t>
                  </w:r>
                </w:p>
              </w:tc>
              <w:tc>
                <w:tcPr>
                  <w:tcW w:w="123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水性漆</w:t>
                  </w:r>
                </w:p>
              </w:tc>
              <w:tc>
                <w:tcPr>
                  <w:tcW w:w="1471" w:type="dxa"/>
                  <w:vAlign w:val="center"/>
                </w:tcPr>
                <w:p>
                  <w:pPr>
                    <w:jc w:val="center"/>
                    <w:rPr>
                      <w:rFonts w:hint="default"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0.28</w:t>
                  </w:r>
                </w:p>
              </w:tc>
              <w:tc>
                <w:tcPr>
                  <w:tcW w:w="1455"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2</w:t>
                  </w:r>
                </w:p>
              </w:tc>
              <w:tc>
                <w:tcPr>
                  <w:tcW w:w="1231" w:type="dxa"/>
                  <w:vAlign w:val="center"/>
                </w:tcPr>
                <w:p>
                  <w:pPr>
                    <w:widowControl/>
                    <w:jc w:val="center"/>
                    <w:textAlignment w:val="center"/>
                    <w:rPr>
                      <w:rFonts w:hint="eastAsia" w:eastAsia="宋体"/>
                      <w:color w:val="auto"/>
                      <w:szCs w:val="21"/>
                      <w:lang w:val="en-US" w:eastAsia="zh-CN"/>
                    </w:rPr>
                  </w:pPr>
                  <w:r>
                    <w:rPr>
                      <w:rFonts w:hint="eastAsia"/>
                      <w:color w:val="auto"/>
                      <w:szCs w:val="21"/>
                      <w:lang w:val="en-US" w:eastAsia="zh-CN"/>
                    </w:rPr>
                    <w:t>切削液</w:t>
                  </w:r>
                </w:p>
              </w:tc>
              <w:tc>
                <w:tcPr>
                  <w:tcW w:w="1471" w:type="dxa"/>
                  <w:vAlign w:val="center"/>
                </w:tcPr>
                <w:p>
                  <w:pPr>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0.2</w:t>
                  </w:r>
                </w:p>
              </w:tc>
              <w:tc>
                <w:tcPr>
                  <w:tcW w:w="1455" w:type="dxa"/>
                  <w:vAlign w:val="center"/>
                </w:tcPr>
                <w:p>
                  <w:pPr>
                    <w:pStyle w:val="21"/>
                    <w:spacing w:after="0"/>
                    <w:jc w:val="center"/>
                    <w:rPr>
                      <w:color w:val="auto"/>
                      <w:szCs w:val="21"/>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3</w:t>
                  </w:r>
                </w:p>
              </w:tc>
              <w:tc>
                <w:tcPr>
                  <w:tcW w:w="1231" w:type="dxa"/>
                  <w:vAlign w:val="center"/>
                </w:tcPr>
                <w:p>
                  <w:pPr>
                    <w:widowControl/>
                    <w:jc w:val="center"/>
                    <w:textAlignment w:val="center"/>
                    <w:rPr>
                      <w:rFonts w:hint="eastAsia" w:eastAsia="宋体"/>
                      <w:color w:val="auto"/>
                      <w:szCs w:val="21"/>
                      <w:lang w:val="en-US" w:eastAsia="zh-CN"/>
                    </w:rPr>
                  </w:pPr>
                  <w:r>
                    <w:rPr>
                      <w:rFonts w:hint="eastAsia"/>
                      <w:color w:val="auto"/>
                      <w:szCs w:val="21"/>
                      <w:lang w:val="en-US" w:eastAsia="zh-CN"/>
                    </w:rPr>
                    <w:t>润滑油</w:t>
                  </w:r>
                </w:p>
              </w:tc>
              <w:tc>
                <w:tcPr>
                  <w:tcW w:w="1471" w:type="dxa"/>
                  <w:vAlign w:val="center"/>
                </w:tcPr>
                <w:p>
                  <w:pPr>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0.2</w:t>
                  </w:r>
                </w:p>
              </w:tc>
              <w:tc>
                <w:tcPr>
                  <w:tcW w:w="1455"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2500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4</w:t>
                  </w:r>
                </w:p>
              </w:tc>
              <w:tc>
                <w:tcPr>
                  <w:tcW w:w="1231" w:type="dxa"/>
                  <w:vAlign w:val="center"/>
                </w:tcPr>
                <w:p>
                  <w:pPr>
                    <w:jc w:val="center"/>
                    <w:rPr>
                      <w:rFonts w:hint="default" w:eastAsia="宋体"/>
                      <w:color w:val="auto"/>
                      <w:szCs w:val="21"/>
                      <w:lang w:val="en-US" w:eastAsia="zh-CN"/>
                    </w:rPr>
                  </w:pPr>
                  <w:r>
                    <w:rPr>
                      <w:rFonts w:hint="eastAsia"/>
                      <w:color w:val="auto"/>
                      <w:szCs w:val="21"/>
                      <w:lang w:val="en-US" w:eastAsia="zh-CN"/>
                    </w:rPr>
                    <w:t>废切削液</w:t>
                  </w:r>
                </w:p>
              </w:tc>
              <w:tc>
                <w:tcPr>
                  <w:tcW w:w="147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0.8</w:t>
                  </w:r>
                </w:p>
              </w:tc>
              <w:tc>
                <w:tcPr>
                  <w:tcW w:w="1455"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695" w:type="dxa"/>
                  <w:vAlign w:val="center"/>
                </w:tcPr>
                <w:p>
                  <w:pPr>
                    <w:pStyle w:val="21"/>
                    <w:spacing w:after="0"/>
                    <w:jc w:val="center"/>
                    <w:rPr>
                      <w:color w:val="auto"/>
                      <w:szCs w:val="21"/>
                    </w:rPr>
                  </w:pPr>
                  <w:r>
                    <w:rPr>
                      <w:rFonts w:hint="eastAsia"/>
                      <w:color w:val="auto"/>
                      <w:szCs w:val="21"/>
                    </w:rPr>
                    <w:t>5</w:t>
                  </w:r>
                </w:p>
              </w:tc>
              <w:tc>
                <w:tcPr>
                  <w:tcW w:w="1231" w:type="dxa"/>
                  <w:vAlign w:val="center"/>
                </w:tcPr>
                <w:p>
                  <w:pPr>
                    <w:jc w:val="center"/>
                    <w:rPr>
                      <w:rFonts w:hint="default" w:eastAsia="宋体"/>
                      <w:color w:val="auto"/>
                      <w:szCs w:val="21"/>
                      <w:lang w:val="en-US" w:eastAsia="zh-CN"/>
                    </w:rPr>
                  </w:pPr>
                  <w:r>
                    <w:rPr>
                      <w:rFonts w:hint="eastAsia"/>
                      <w:color w:val="auto"/>
                      <w:szCs w:val="21"/>
                      <w:lang w:val="en-US" w:eastAsia="zh-CN"/>
                    </w:rPr>
                    <w:t>废润滑油</w:t>
                  </w:r>
                </w:p>
              </w:tc>
              <w:tc>
                <w:tcPr>
                  <w:tcW w:w="147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0.125</w:t>
                  </w:r>
                </w:p>
              </w:tc>
              <w:tc>
                <w:tcPr>
                  <w:tcW w:w="1455" w:type="dxa"/>
                  <w:vAlign w:val="center"/>
                </w:tcPr>
                <w:p>
                  <w:pPr>
                    <w:pStyle w:val="21"/>
                    <w:spacing w:after="0"/>
                    <w:jc w:val="center"/>
                    <w:rPr>
                      <w:color w:val="auto"/>
                      <w:szCs w:val="21"/>
                    </w:rPr>
                  </w:pPr>
                  <w:r>
                    <w:rPr>
                      <w:rFonts w:hint="eastAsia"/>
                      <w:color w:val="auto"/>
                      <w:szCs w:val="21"/>
                      <w:lang w:val="en-US" w:eastAsia="zh-CN"/>
                    </w:rPr>
                    <w:t>2500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6</w:t>
                  </w:r>
                </w:p>
              </w:tc>
              <w:tc>
                <w:tcPr>
                  <w:tcW w:w="1231" w:type="dxa"/>
                  <w:vAlign w:val="center"/>
                </w:tcPr>
                <w:p>
                  <w:pPr>
                    <w:jc w:val="center"/>
                    <w:rPr>
                      <w:rFonts w:hint="eastAsia" w:eastAsia="宋体"/>
                      <w:color w:val="auto"/>
                      <w:szCs w:val="21"/>
                      <w:lang w:val="en-US" w:eastAsia="zh-CN"/>
                    </w:rPr>
                  </w:pPr>
                  <w:r>
                    <w:rPr>
                      <w:rFonts w:hint="eastAsia"/>
                      <w:color w:val="auto"/>
                      <w:szCs w:val="21"/>
                      <w:lang w:val="en-US" w:eastAsia="zh-CN"/>
                    </w:rPr>
                    <w:t>漆渣</w:t>
                  </w:r>
                </w:p>
              </w:tc>
              <w:tc>
                <w:tcPr>
                  <w:tcW w:w="147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0.15</w:t>
                  </w:r>
                </w:p>
              </w:tc>
              <w:tc>
                <w:tcPr>
                  <w:tcW w:w="1455" w:type="dxa"/>
                  <w:vAlign w:val="center"/>
                </w:tcPr>
                <w:p>
                  <w:pPr>
                    <w:spacing w:after="0"/>
                    <w:jc w:val="center"/>
                    <w:rPr>
                      <w:color w:val="auto"/>
                      <w:szCs w:val="21"/>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color w:val="auto"/>
                      <w:szCs w:val="21"/>
                    </w:rPr>
                  </w:pPr>
                  <w:r>
                    <w:rPr>
                      <w:rFonts w:hint="eastAsia"/>
                      <w:color w:val="auto"/>
                      <w:szCs w:val="21"/>
                    </w:rPr>
                    <w:t>7</w:t>
                  </w:r>
                </w:p>
              </w:tc>
              <w:tc>
                <w:tcPr>
                  <w:tcW w:w="1231" w:type="dxa"/>
                  <w:vAlign w:val="center"/>
                </w:tcPr>
                <w:p>
                  <w:pPr>
                    <w:jc w:val="center"/>
                    <w:rPr>
                      <w:rFonts w:hint="default" w:eastAsia="宋体"/>
                      <w:color w:val="auto"/>
                      <w:szCs w:val="21"/>
                      <w:lang w:val="en-US" w:eastAsia="zh-CN"/>
                    </w:rPr>
                  </w:pPr>
                  <w:r>
                    <w:rPr>
                      <w:rFonts w:hint="eastAsia"/>
                      <w:color w:val="auto"/>
                      <w:szCs w:val="21"/>
                      <w:lang w:val="en-US" w:eastAsia="zh-CN"/>
                    </w:rPr>
                    <w:t>含漆废物</w:t>
                  </w:r>
                </w:p>
              </w:tc>
              <w:tc>
                <w:tcPr>
                  <w:tcW w:w="147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0.05</w:t>
                  </w:r>
                </w:p>
              </w:tc>
              <w:tc>
                <w:tcPr>
                  <w:tcW w:w="1455" w:type="dxa"/>
                  <w:vAlign w:val="center"/>
                </w:tcPr>
                <w:p>
                  <w:pPr>
                    <w:spacing w:after="0"/>
                    <w:jc w:val="center"/>
                    <w:rPr>
                      <w:color w:val="auto"/>
                      <w:szCs w:val="21"/>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5"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8</w:t>
                  </w:r>
                </w:p>
              </w:tc>
              <w:tc>
                <w:tcPr>
                  <w:tcW w:w="1231" w:type="dxa"/>
                  <w:vAlign w:val="center"/>
                </w:tcPr>
                <w:p>
                  <w:pPr>
                    <w:jc w:val="center"/>
                    <w:rPr>
                      <w:rFonts w:hint="default"/>
                      <w:color w:val="auto"/>
                      <w:szCs w:val="21"/>
                      <w:lang w:val="en-US" w:eastAsia="zh-CN"/>
                    </w:rPr>
                  </w:pPr>
                  <w:r>
                    <w:rPr>
                      <w:rFonts w:hint="eastAsia"/>
                      <w:color w:val="auto"/>
                      <w:szCs w:val="21"/>
                      <w:lang w:val="en-US" w:eastAsia="zh-CN"/>
                    </w:rPr>
                    <w:t>废过滤棉</w:t>
                  </w:r>
                </w:p>
              </w:tc>
              <w:tc>
                <w:tcPr>
                  <w:tcW w:w="1471" w:type="dxa"/>
                  <w:vAlign w:val="center"/>
                </w:tcPr>
                <w:p>
                  <w:pPr>
                    <w:pStyle w:val="21"/>
                    <w:spacing w:after="0"/>
                    <w:jc w:val="center"/>
                    <w:rPr>
                      <w:rFonts w:hint="eastAsia" w:eastAsia="宋体"/>
                      <w:color w:val="auto"/>
                      <w:szCs w:val="21"/>
                      <w:lang w:val="en-US" w:eastAsia="zh-CN"/>
                    </w:rPr>
                  </w:pPr>
                  <w:r>
                    <w:rPr>
                      <w:rFonts w:hint="eastAsia"/>
                      <w:color w:val="auto"/>
                      <w:szCs w:val="21"/>
                      <w:lang w:val="en-US" w:eastAsia="zh-CN"/>
                    </w:rPr>
                    <w:t>/</w:t>
                  </w:r>
                </w:p>
              </w:tc>
              <w:tc>
                <w:tcPr>
                  <w:tcW w:w="1828"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0.2</w:t>
                  </w:r>
                </w:p>
              </w:tc>
              <w:tc>
                <w:tcPr>
                  <w:tcW w:w="1455" w:type="dxa"/>
                  <w:vAlign w:val="center"/>
                </w:tcPr>
                <w:p>
                  <w:pPr>
                    <w:pStyle w:val="21"/>
                    <w:spacing w:after="0"/>
                    <w:jc w:val="center"/>
                    <w:rPr>
                      <w:rFonts w:hint="default" w:eastAsia="宋体"/>
                      <w:color w:val="auto"/>
                      <w:szCs w:val="21"/>
                      <w:lang w:val="en-US" w:eastAsia="zh-CN"/>
                    </w:rPr>
                  </w:pPr>
                  <w:r>
                    <w:rPr>
                      <w:rFonts w:hint="eastAsia"/>
                      <w:color w:val="auto"/>
                      <w:szCs w:val="21"/>
                      <w:lang w:val="en-US" w:eastAsia="zh-CN"/>
                    </w:rPr>
                    <w:t>100</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680" w:type="dxa"/>
                  <w:gridSpan w:val="5"/>
                  <w:vAlign w:val="center"/>
                </w:tcPr>
                <w:p>
                  <w:pPr>
                    <w:pStyle w:val="21"/>
                    <w:spacing w:after="0"/>
                    <w:jc w:val="center"/>
                    <w:rPr>
                      <w:color w:val="auto"/>
                      <w:szCs w:val="21"/>
                    </w:rPr>
                  </w:pPr>
                  <w:r>
                    <w:rPr>
                      <w:rFonts w:hint="eastAsia"/>
                      <w:color w:val="auto"/>
                      <w:szCs w:val="21"/>
                    </w:rPr>
                    <w:t>项目Q值∑</w:t>
                  </w:r>
                </w:p>
              </w:tc>
              <w:tc>
                <w:tcPr>
                  <w:tcW w:w="1622" w:type="dxa"/>
                  <w:vAlign w:val="center"/>
                </w:tcPr>
                <w:p>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0.01693</w:t>
                  </w:r>
                </w:p>
              </w:tc>
            </w:tr>
          </w:tbl>
          <w:p>
            <w:pPr>
              <w:pStyle w:val="21"/>
              <w:ind w:firstLine="480" w:firstLineChars="200"/>
              <w:jc w:val="left"/>
              <w:rPr>
                <w:color w:val="auto"/>
                <w:sz w:val="24"/>
              </w:rPr>
            </w:pPr>
            <w:r>
              <w:rPr>
                <w:rFonts w:hint="eastAsia"/>
                <w:color w:val="auto"/>
                <w:sz w:val="24"/>
              </w:rPr>
              <w:t>根据</w:t>
            </w:r>
            <w:r>
              <w:rPr>
                <w:color w:val="auto"/>
                <w:sz w:val="24"/>
              </w:rPr>
              <w:t>《建设项目环境风险评价技术导则》(HJ169-2018)</w:t>
            </w:r>
            <w:r>
              <w:rPr>
                <w:rFonts w:hint="eastAsia"/>
                <w:color w:val="auto"/>
                <w:sz w:val="24"/>
              </w:rPr>
              <w:t>附录C中相关内容：</w:t>
            </w:r>
          </w:p>
          <w:p>
            <w:pPr>
              <w:adjustRightInd w:val="0"/>
              <w:snapToGrid w:val="0"/>
              <w:spacing w:line="360" w:lineRule="auto"/>
              <w:ind w:firstLine="480" w:firstLineChars="200"/>
              <w:rPr>
                <w:color w:val="auto"/>
                <w:sz w:val="24"/>
              </w:rPr>
            </w:pPr>
            <w:r>
              <w:rPr>
                <w:rFonts w:hint="eastAsia"/>
                <w:color w:val="auto"/>
                <w:sz w:val="24"/>
              </w:rPr>
              <w:t>当存在多种危险物质时</w:t>
            </w:r>
            <w:r>
              <w:rPr>
                <w:color w:val="auto"/>
                <w:sz w:val="24"/>
              </w:rPr>
              <w:t>，</w:t>
            </w:r>
            <w:r>
              <w:rPr>
                <w:rFonts w:hint="eastAsia"/>
                <w:color w:val="auto"/>
                <w:sz w:val="24"/>
              </w:rPr>
              <w:t>则按式（C.1）</w:t>
            </w:r>
            <w:r>
              <w:rPr>
                <w:color w:val="auto"/>
                <w:sz w:val="24"/>
              </w:rPr>
              <w:t>计算</w:t>
            </w:r>
            <w:r>
              <w:rPr>
                <w:rFonts w:hint="eastAsia"/>
                <w:color w:val="auto"/>
                <w:sz w:val="24"/>
              </w:rPr>
              <w:t>物质总量与其临界量，</w:t>
            </w:r>
            <w:r>
              <w:rPr>
                <w:color w:val="auto"/>
                <w:sz w:val="24"/>
              </w:rPr>
              <w:t>即为</w:t>
            </w:r>
            <w:r>
              <w:rPr>
                <w:rFonts w:hint="eastAsia"/>
                <w:color w:val="auto"/>
                <w:sz w:val="24"/>
              </w:rPr>
              <w:t>Q</w:t>
            </w:r>
            <w:r>
              <w:rPr>
                <w:color w:val="auto"/>
                <w:sz w:val="24"/>
              </w:rPr>
              <w:t>，计算公式如下：</w:t>
            </w:r>
          </w:p>
          <w:p>
            <w:pPr>
              <w:adjustRightInd w:val="0"/>
              <w:snapToGrid w:val="0"/>
              <w:spacing w:line="360" w:lineRule="auto"/>
              <w:ind w:firstLine="437"/>
              <w:jc w:val="center"/>
              <w:rPr>
                <w:rFonts w:eastAsia="仿宋_GB2312"/>
                <w:color w:val="auto"/>
                <w:sz w:val="28"/>
                <w:szCs w:val="28"/>
              </w:rPr>
            </w:pPr>
            <w:r>
              <w:rPr>
                <w:color w:val="auto"/>
              </w:rPr>
              <w:drawing>
                <wp:inline distT="0" distB="0" distL="114300" distR="114300">
                  <wp:extent cx="1638300" cy="485140"/>
                  <wp:effectExtent l="0" t="0" r="0" b="10160"/>
                  <wp:docPr id="8" name="图片 11" descr="880126718155650503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descr="8801267181556505032542"/>
                          <pic:cNvPicPr>
                            <a:picLocks noChangeAspect="1"/>
                          </pic:cNvPicPr>
                        </pic:nvPicPr>
                        <pic:blipFill>
                          <a:blip r:embed="rId36" cstate="print"/>
                          <a:stretch>
                            <a:fillRect/>
                          </a:stretch>
                        </pic:blipFill>
                        <pic:spPr>
                          <a:xfrm>
                            <a:off x="0" y="0"/>
                            <a:ext cx="1638300" cy="485140"/>
                          </a:xfrm>
                          <a:prstGeom prst="rect">
                            <a:avLst/>
                          </a:prstGeom>
                          <a:noFill/>
                          <a:ln>
                            <a:noFill/>
                          </a:ln>
                        </pic:spPr>
                      </pic:pic>
                    </a:graphicData>
                  </a:graphic>
                </wp:inline>
              </w:drawing>
            </w:r>
            <w:r>
              <w:rPr>
                <w:rFonts w:eastAsia="仿宋_GB2312"/>
                <w:color w:val="auto"/>
                <w:sz w:val="28"/>
                <w:szCs w:val="28"/>
              </w:rPr>
              <w:t xml:space="preserve">      </w:t>
            </w:r>
          </w:p>
          <w:p>
            <w:pPr>
              <w:adjustRightInd w:val="0"/>
              <w:snapToGrid w:val="0"/>
              <w:spacing w:line="360" w:lineRule="auto"/>
              <w:ind w:firstLine="480" w:firstLineChars="200"/>
              <w:rPr>
                <w:color w:val="auto"/>
                <w:sz w:val="24"/>
              </w:rPr>
            </w:pPr>
            <w:r>
              <w:rPr>
                <w:color w:val="auto"/>
                <w:sz w:val="24"/>
              </w:rPr>
              <w:t>式中：q</w:t>
            </w:r>
            <w:r>
              <w:rPr>
                <w:color w:val="auto"/>
                <w:sz w:val="24"/>
                <w:vertAlign w:val="subscript"/>
              </w:rPr>
              <w:t>1</w:t>
            </w:r>
            <w:r>
              <w:rPr>
                <w:color w:val="auto"/>
                <w:sz w:val="24"/>
              </w:rPr>
              <w:t>、q</w:t>
            </w:r>
            <w:r>
              <w:rPr>
                <w:color w:val="auto"/>
                <w:sz w:val="24"/>
                <w:vertAlign w:val="subscript"/>
              </w:rPr>
              <w:t>2</w:t>
            </w:r>
            <w:r>
              <w:rPr>
                <w:color w:val="auto"/>
                <w:sz w:val="24"/>
              </w:rPr>
              <w:t>、…q</w:t>
            </w:r>
            <w:r>
              <w:rPr>
                <w:color w:val="auto"/>
                <w:sz w:val="24"/>
                <w:vertAlign w:val="subscript"/>
              </w:rPr>
              <w:t>n</w:t>
            </w:r>
            <w:r>
              <w:rPr>
                <w:color w:val="auto"/>
                <w:sz w:val="24"/>
              </w:rPr>
              <w:t>——每种风险物质的存在总量，t；</w:t>
            </w:r>
          </w:p>
          <w:p>
            <w:pPr>
              <w:adjustRightInd w:val="0"/>
              <w:snapToGrid w:val="0"/>
              <w:spacing w:line="360" w:lineRule="auto"/>
              <w:ind w:firstLine="480" w:firstLineChars="200"/>
              <w:rPr>
                <w:color w:val="auto"/>
                <w:sz w:val="24"/>
              </w:rPr>
            </w:pPr>
            <w:r>
              <w:rPr>
                <w:color w:val="auto"/>
                <w:sz w:val="24"/>
              </w:rPr>
              <w:t xml:space="preserve">      Q </w:t>
            </w:r>
            <w:r>
              <w:rPr>
                <w:color w:val="auto"/>
                <w:sz w:val="24"/>
                <w:vertAlign w:val="subscript"/>
              </w:rPr>
              <w:t>1</w:t>
            </w:r>
            <w:r>
              <w:rPr>
                <w:color w:val="auto"/>
                <w:sz w:val="24"/>
              </w:rPr>
              <w:t xml:space="preserve">、Q </w:t>
            </w:r>
            <w:r>
              <w:rPr>
                <w:color w:val="auto"/>
                <w:sz w:val="24"/>
                <w:vertAlign w:val="subscript"/>
              </w:rPr>
              <w:t>2</w:t>
            </w:r>
            <w:r>
              <w:rPr>
                <w:color w:val="auto"/>
                <w:sz w:val="24"/>
              </w:rPr>
              <w:t>、…Qn——每种风险物质的临界量，t。</w:t>
            </w:r>
          </w:p>
          <w:p>
            <w:pPr>
              <w:pStyle w:val="21"/>
              <w:ind w:firstLine="480" w:firstLineChars="200"/>
              <w:jc w:val="left"/>
              <w:rPr>
                <w:color w:val="auto"/>
                <w:sz w:val="24"/>
              </w:rPr>
            </w:pPr>
            <w:r>
              <w:rPr>
                <w:rFonts w:hint="eastAsia"/>
                <w:color w:val="auto"/>
                <w:sz w:val="24"/>
              </w:rPr>
              <w:t>当Q＜1时，</w:t>
            </w:r>
            <w:r>
              <w:rPr>
                <w:color w:val="auto"/>
                <w:sz w:val="24"/>
              </w:rPr>
              <w:t>该项目</w:t>
            </w:r>
            <w:r>
              <w:rPr>
                <w:rFonts w:hint="eastAsia"/>
                <w:color w:val="auto"/>
                <w:sz w:val="24"/>
              </w:rPr>
              <w:t>环境风险潜势为Ⅰ。</w:t>
            </w:r>
          </w:p>
          <w:p>
            <w:pPr>
              <w:adjustRightInd w:val="0"/>
              <w:snapToGrid w:val="0"/>
              <w:spacing w:line="360" w:lineRule="auto"/>
              <w:ind w:firstLine="480" w:firstLineChars="200"/>
              <w:rPr>
                <w:color w:val="auto"/>
                <w:sz w:val="24"/>
              </w:rPr>
            </w:pPr>
            <w:r>
              <w:rPr>
                <w:rFonts w:hint="eastAsia"/>
                <w:color w:val="auto"/>
                <w:sz w:val="24"/>
              </w:rPr>
              <w:t>本项目</w:t>
            </w:r>
            <w:r>
              <w:rPr>
                <w:color w:val="auto"/>
                <w:sz w:val="24"/>
              </w:rPr>
              <w:t>风险物质数量与临界量</w:t>
            </w:r>
            <w:r>
              <w:rPr>
                <w:rFonts w:hint="eastAsia"/>
                <w:color w:val="auto"/>
                <w:sz w:val="24"/>
                <w:szCs w:val="22"/>
              </w:rPr>
              <w:t>比值Q =0.01693&lt;1，则</w:t>
            </w:r>
            <w:r>
              <w:rPr>
                <w:rFonts w:hint="eastAsia"/>
                <w:color w:val="auto"/>
                <w:sz w:val="24"/>
              </w:rPr>
              <w:t>本</w:t>
            </w:r>
            <w:r>
              <w:rPr>
                <w:color w:val="auto"/>
                <w:sz w:val="24"/>
              </w:rPr>
              <w:t>项目</w:t>
            </w:r>
            <w:r>
              <w:rPr>
                <w:rFonts w:hint="eastAsia"/>
                <w:color w:val="auto"/>
                <w:sz w:val="24"/>
              </w:rPr>
              <w:t>环境风险潜势为Ⅰ。</w:t>
            </w:r>
          </w:p>
          <w:p>
            <w:pPr>
              <w:snapToGrid w:val="0"/>
              <w:spacing w:line="360" w:lineRule="auto"/>
              <w:ind w:left="63" w:leftChars="30" w:right="63" w:rightChars="30" w:firstLine="480" w:firstLineChars="200"/>
              <w:rPr>
                <w:b/>
                <w:color w:val="auto"/>
                <w:sz w:val="24"/>
              </w:rPr>
            </w:pPr>
            <w:r>
              <w:rPr>
                <w:rFonts w:hint="eastAsia"/>
                <w:b/>
                <w:color w:val="auto"/>
                <w:sz w:val="24"/>
              </w:rPr>
              <w:t>（3）评价等级</w:t>
            </w:r>
          </w:p>
          <w:p>
            <w:pPr>
              <w:snapToGrid w:val="0"/>
              <w:spacing w:line="360" w:lineRule="auto"/>
              <w:ind w:firstLine="480" w:firstLineChars="200"/>
              <w:outlineLvl w:val="3"/>
              <w:rPr>
                <w:color w:val="auto"/>
                <w:sz w:val="24"/>
                <w:szCs w:val="24"/>
              </w:rPr>
            </w:pPr>
            <w:r>
              <w:rPr>
                <w:color w:val="auto"/>
                <w:sz w:val="24"/>
                <w:szCs w:val="24"/>
              </w:rPr>
              <w:t>根据《建设项目环境风险评价技术导则》(HJ169-2018)分级判据，</w:t>
            </w:r>
            <w:r>
              <w:rPr>
                <w:rFonts w:hint="eastAsia"/>
                <w:color w:val="auto"/>
                <w:sz w:val="24"/>
                <w:szCs w:val="24"/>
              </w:rPr>
              <w:t>项目风险等级详见下表。</w:t>
            </w:r>
          </w:p>
          <w:p>
            <w:pPr>
              <w:jc w:val="center"/>
              <w:rPr>
                <w:b/>
                <w:bCs/>
                <w:color w:val="auto"/>
                <w:szCs w:val="21"/>
              </w:rPr>
            </w:pPr>
            <w:r>
              <w:rPr>
                <w:b/>
                <w:bCs/>
                <w:color w:val="auto"/>
                <w:szCs w:val="21"/>
              </w:rPr>
              <w:t>表7-</w:t>
            </w:r>
            <w:r>
              <w:rPr>
                <w:rFonts w:hint="eastAsia"/>
                <w:b/>
                <w:bCs/>
                <w:color w:val="auto"/>
                <w:szCs w:val="21"/>
                <w:lang w:val="en-US" w:eastAsia="zh-CN"/>
              </w:rPr>
              <w:t>30</w:t>
            </w:r>
            <w:r>
              <w:rPr>
                <w:rFonts w:hint="eastAsia"/>
                <w:b/>
                <w:bCs/>
                <w:color w:val="auto"/>
                <w:szCs w:val="21"/>
              </w:rPr>
              <w:t xml:space="preserve"> </w:t>
            </w:r>
            <w:r>
              <w:rPr>
                <w:b/>
                <w:bCs/>
                <w:color w:val="auto"/>
                <w:szCs w:val="21"/>
              </w:rPr>
              <w:t>风险评价工作等级划分表</w:t>
            </w:r>
          </w:p>
          <w:tbl>
            <w:tblPr>
              <w:tblStyle w:val="56"/>
              <w:tblW w:w="8312" w:type="dxa"/>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843"/>
              <w:gridCol w:w="1560"/>
              <w:gridCol w:w="1562"/>
              <w:gridCol w:w="1674"/>
              <w:gridCol w:w="1673"/>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trHeight w:val="293" w:hRule="atLeast"/>
              </w:trPr>
              <w:tc>
                <w:tcPr>
                  <w:tcW w:w="1843" w:type="dxa"/>
                  <w:tcMar>
                    <w:left w:w="28" w:type="dxa"/>
                    <w:right w:w="28" w:type="dxa"/>
                  </w:tcMar>
                  <w:vAlign w:val="center"/>
                </w:tcPr>
                <w:p>
                  <w:pPr>
                    <w:spacing w:line="320" w:lineRule="exact"/>
                    <w:jc w:val="center"/>
                    <w:rPr>
                      <w:b/>
                      <w:color w:val="auto"/>
                      <w:szCs w:val="21"/>
                    </w:rPr>
                  </w:pPr>
                  <w:r>
                    <w:rPr>
                      <w:b/>
                      <w:color w:val="auto"/>
                      <w:szCs w:val="21"/>
                    </w:rPr>
                    <w:t>环境分险潜势</w:t>
                  </w:r>
                </w:p>
              </w:tc>
              <w:tc>
                <w:tcPr>
                  <w:tcW w:w="1560" w:type="dxa"/>
                  <w:tcMar>
                    <w:left w:w="28" w:type="dxa"/>
                    <w:right w:w="28" w:type="dxa"/>
                  </w:tcMar>
                  <w:vAlign w:val="center"/>
                </w:tcPr>
                <w:p>
                  <w:pPr>
                    <w:spacing w:line="320" w:lineRule="exact"/>
                    <w:jc w:val="center"/>
                    <w:rPr>
                      <w:color w:val="auto"/>
                      <w:szCs w:val="21"/>
                    </w:rPr>
                  </w:pPr>
                  <w:r>
                    <w:rPr>
                      <w:rFonts w:hint="eastAsia" w:ascii="宋体" w:cs="宋体"/>
                      <w:color w:val="auto"/>
                      <w:szCs w:val="21"/>
                    </w:rPr>
                    <w:t>Ⅵ</w:t>
                  </w:r>
                  <w:r>
                    <w:rPr>
                      <w:color w:val="auto"/>
                      <w:szCs w:val="21"/>
                    </w:rPr>
                    <w:t>、</w:t>
                  </w:r>
                  <w:r>
                    <w:rPr>
                      <w:rFonts w:hint="eastAsia" w:ascii="宋体" w:cs="宋体"/>
                      <w:color w:val="auto"/>
                      <w:szCs w:val="21"/>
                    </w:rPr>
                    <w:t>Ⅵ</w:t>
                  </w:r>
                  <w:r>
                    <w:rPr>
                      <w:color w:val="auto"/>
                      <w:szCs w:val="21"/>
                      <w:vertAlign w:val="superscript"/>
                    </w:rPr>
                    <w:t>+</w:t>
                  </w:r>
                </w:p>
              </w:tc>
              <w:tc>
                <w:tcPr>
                  <w:tcW w:w="1562" w:type="dxa"/>
                  <w:tcMar>
                    <w:left w:w="28" w:type="dxa"/>
                    <w:right w:w="28" w:type="dxa"/>
                  </w:tcMar>
                  <w:vAlign w:val="center"/>
                </w:tcPr>
                <w:p>
                  <w:pPr>
                    <w:spacing w:line="320" w:lineRule="exact"/>
                    <w:jc w:val="center"/>
                    <w:rPr>
                      <w:color w:val="auto"/>
                      <w:szCs w:val="21"/>
                    </w:rPr>
                  </w:pPr>
                  <w:r>
                    <w:rPr>
                      <w:rFonts w:hint="eastAsia" w:ascii="宋体" w:cs="宋体"/>
                      <w:color w:val="auto"/>
                      <w:szCs w:val="21"/>
                    </w:rPr>
                    <w:t>Ⅲ</w:t>
                  </w:r>
                  <w:r>
                    <w:rPr>
                      <w:color w:val="auto"/>
                      <w:szCs w:val="21"/>
                    </w:rPr>
                    <w:t xml:space="preserve"> </w:t>
                  </w:r>
                </w:p>
              </w:tc>
              <w:tc>
                <w:tcPr>
                  <w:tcW w:w="1674" w:type="dxa"/>
                  <w:shd w:val="clear" w:color="auto" w:fill="auto"/>
                  <w:tcMar>
                    <w:left w:w="28" w:type="dxa"/>
                    <w:right w:w="28" w:type="dxa"/>
                  </w:tcMar>
                  <w:vAlign w:val="center"/>
                </w:tcPr>
                <w:p>
                  <w:pPr>
                    <w:spacing w:line="320" w:lineRule="exact"/>
                    <w:jc w:val="center"/>
                    <w:rPr>
                      <w:color w:val="auto"/>
                      <w:szCs w:val="21"/>
                    </w:rPr>
                  </w:pPr>
                  <w:r>
                    <w:rPr>
                      <w:rFonts w:hint="eastAsia" w:ascii="宋体" w:cs="宋体"/>
                      <w:color w:val="auto"/>
                      <w:szCs w:val="21"/>
                    </w:rPr>
                    <w:t>Ⅱ</w:t>
                  </w:r>
                </w:p>
              </w:tc>
              <w:tc>
                <w:tcPr>
                  <w:tcW w:w="1673" w:type="dxa"/>
                  <w:tcMar>
                    <w:left w:w="28" w:type="dxa"/>
                    <w:right w:w="28" w:type="dxa"/>
                  </w:tcMar>
                  <w:vAlign w:val="center"/>
                </w:tcPr>
                <w:p>
                  <w:pPr>
                    <w:spacing w:line="320" w:lineRule="exact"/>
                    <w:jc w:val="center"/>
                    <w:rPr>
                      <w:color w:val="auto"/>
                      <w:szCs w:val="21"/>
                    </w:rPr>
                  </w:pPr>
                  <w:r>
                    <w:rPr>
                      <w:rFonts w:hint="eastAsia" w:ascii="宋体" w:cs="宋体"/>
                      <w:color w:val="auto"/>
                      <w:szCs w:val="21"/>
                    </w:rPr>
                    <w:t>Ⅰ</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c>
                <w:tcPr>
                  <w:tcW w:w="1843" w:type="dxa"/>
                  <w:shd w:val="clear" w:color="auto" w:fill="auto"/>
                  <w:tcMar>
                    <w:left w:w="28" w:type="dxa"/>
                    <w:right w:w="28" w:type="dxa"/>
                  </w:tcMar>
                  <w:vAlign w:val="center"/>
                </w:tcPr>
                <w:p>
                  <w:pPr>
                    <w:spacing w:line="320" w:lineRule="exact"/>
                    <w:jc w:val="center"/>
                    <w:rPr>
                      <w:color w:val="auto"/>
                      <w:szCs w:val="21"/>
                    </w:rPr>
                  </w:pPr>
                  <w:r>
                    <w:rPr>
                      <w:color w:val="auto"/>
                      <w:szCs w:val="21"/>
                    </w:rPr>
                    <w:t>评价工作等级</w:t>
                  </w:r>
                </w:p>
              </w:tc>
              <w:tc>
                <w:tcPr>
                  <w:tcW w:w="1560" w:type="dxa"/>
                  <w:shd w:val="clear" w:color="auto" w:fill="auto"/>
                  <w:tcMar>
                    <w:left w:w="28" w:type="dxa"/>
                    <w:right w:w="28" w:type="dxa"/>
                  </w:tcMar>
                  <w:vAlign w:val="center"/>
                </w:tcPr>
                <w:p>
                  <w:pPr>
                    <w:jc w:val="center"/>
                    <w:rPr>
                      <w:color w:val="auto"/>
                      <w:szCs w:val="21"/>
                    </w:rPr>
                  </w:pPr>
                  <w:r>
                    <w:rPr>
                      <w:color w:val="auto"/>
                      <w:szCs w:val="21"/>
                    </w:rPr>
                    <w:t>一</w:t>
                  </w:r>
                </w:p>
              </w:tc>
              <w:tc>
                <w:tcPr>
                  <w:tcW w:w="1562" w:type="dxa"/>
                  <w:shd w:val="clear" w:color="auto" w:fill="auto"/>
                  <w:tcMar>
                    <w:left w:w="28" w:type="dxa"/>
                    <w:right w:w="28" w:type="dxa"/>
                  </w:tcMar>
                  <w:vAlign w:val="center"/>
                </w:tcPr>
                <w:p>
                  <w:pPr>
                    <w:jc w:val="center"/>
                    <w:rPr>
                      <w:color w:val="auto"/>
                      <w:szCs w:val="21"/>
                    </w:rPr>
                  </w:pPr>
                  <w:r>
                    <w:rPr>
                      <w:color w:val="auto"/>
                      <w:szCs w:val="21"/>
                    </w:rPr>
                    <w:t>二</w:t>
                  </w:r>
                </w:p>
              </w:tc>
              <w:tc>
                <w:tcPr>
                  <w:tcW w:w="1674" w:type="dxa"/>
                  <w:shd w:val="clear" w:color="auto" w:fill="auto"/>
                  <w:tcMar>
                    <w:left w:w="28" w:type="dxa"/>
                    <w:right w:w="28" w:type="dxa"/>
                  </w:tcMar>
                  <w:vAlign w:val="center"/>
                </w:tcPr>
                <w:p>
                  <w:pPr>
                    <w:spacing w:line="320" w:lineRule="exact"/>
                    <w:jc w:val="center"/>
                    <w:rPr>
                      <w:color w:val="auto"/>
                      <w:szCs w:val="21"/>
                    </w:rPr>
                  </w:pPr>
                  <w:r>
                    <w:rPr>
                      <w:color w:val="auto"/>
                      <w:szCs w:val="21"/>
                    </w:rPr>
                    <w:t>三</w:t>
                  </w:r>
                </w:p>
              </w:tc>
              <w:tc>
                <w:tcPr>
                  <w:tcW w:w="1673" w:type="dxa"/>
                  <w:shd w:val="clear" w:color="auto" w:fill="AEAAAA"/>
                  <w:tcMar>
                    <w:left w:w="28" w:type="dxa"/>
                    <w:right w:w="28" w:type="dxa"/>
                  </w:tcMar>
                  <w:vAlign w:val="center"/>
                </w:tcPr>
                <w:p>
                  <w:pPr>
                    <w:spacing w:line="320" w:lineRule="exact"/>
                    <w:jc w:val="center"/>
                    <w:rPr>
                      <w:color w:val="auto"/>
                      <w:szCs w:val="21"/>
                    </w:rPr>
                  </w:pPr>
                  <w:r>
                    <w:rPr>
                      <w:color w:val="auto"/>
                      <w:szCs w:val="21"/>
                    </w:rPr>
                    <w:t>简单分析</w:t>
                  </w:r>
                  <w:r>
                    <w:rPr>
                      <w:color w:val="auto"/>
                      <w:szCs w:val="21"/>
                      <w:vertAlign w:val="superscript"/>
                    </w:rPr>
                    <w:t>a</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312" w:type="dxa"/>
                  <w:gridSpan w:val="5"/>
                  <w:tcMar>
                    <w:left w:w="28" w:type="dxa"/>
                    <w:right w:w="28" w:type="dxa"/>
                  </w:tcMar>
                  <w:vAlign w:val="center"/>
                </w:tcPr>
                <w:p>
                  <w:pPr>
                    <w:spacing w:line="320" w:lineRule="exact"/>
                    <w:jc w:val="center"/>
                    <w:rPr>
                      <w:color w:val="auto"/>
                      <w:szCs w:val="21"/>
                    </w:rPr>
                  </w:pPr>
                  <w:r>
                    <w:rPr>
                      <w:color w:val="auto"/>
                      <w:szCs w:val="21"/>
                    </w:rPr>
                    <w:t>a相对于详细评价工作内容而言，在描述危险物质、环境影响途径、环境危害后果、风险防范措施等方面给出定性的说明。</w:t>
                  </w:r>
                </w:p>
              </w:tc>
            </w:tr>
          </w:tbl>
          <w:p>
            <w:pPr>
              <w:adjustRightInd w:val="0"/>
              <w:snapToGrid w:val="0"/>
              <w:spacing w:line="360" w:lineRule="auto"/>
              <w:ind w:firstLine="480" w:firstLineChars="200"/>
              <w:rPr>
                <w:color w:val="auto"/>
                <w:sz w:val="24"/>
              </w:rPr>
            </w:pPr>
            <w:r>
              <w:rPr>
                <w:rFonts w:hint="eastAsia"/>
                <w:color w:val="auto"/>
                <w:sz w:val="24"/>
                <w:szCs w:val="24"/>
              </w:rPr>
              <w:t>由上表可知，</w:t>
            </w:r>
            <w:r>
              <w:rPr>
                <w:color w:val="auto"/>
                <w:sz w:val="24"/>
                <w:szCs w:val="24"/>
              </w:rPr>
              <w:t>确定本项目</w:t>
            </w:r>
            <w:r>
              <w:rPr>
                <w:rFonts w:hint="eastAsia"/>
                <w:color w:val="auto"/>
                <w:sz w:val="24"/>
                <w:szCs w:val="24"/>
              </w:rPr>
              <w:t>风险评价做简单分析。</w:t>
            </w:r>
          </w:p>
          <w:p>
            <w:pPr>
              <w:snapToGrid w:val="0"/>
              <w:spacing w:line="360" w:lineRule="auto"/>
              <w:ind w:left="63" w:leftChars="30" w:right="63" w:rightChars="30" w:firstLine="480" w:firstLineChars="200"/>
              <w:rPr>
                <w:b/>
                <w:color w:val="auto"/>
                <w:sz w:val="24"/>
              </w:rPr>
            </w:pPr>
            <w:r>
              <w:rPr>
                <w:rFonts w:hint="eastAsia"/>
                <w:b/>
                <w:color w:val="auto"/>
                <w:sz w:val="24"/>
                <w:lang w:val="en-US" w:eastAsia="zh-CN"/>
              </w:rPr>
              <w:t>7</w:t>
            </w:r>
            <w:r>
              <w:rPr>
                <w:b/>
                <w:color w:val="auto"/>
                <w:sz w:val="24"/>
              </w:rPr>
              <w:t xml:space="preserve">.2 </w:t>
            </w:r>
            <w:r>
              <w:rPr>
                <w:rFonts w:hint="eastAsia"/>
                <w:b/>
                <w:color w:val="auto"/>
                <w:sz w:val="24"/>
              </w:rPr>
              <w:t>环境敏感目标概况</w:t>
            </w:r>
          </w:p>
          <w:p>
            <w:pPr>
              <w:snapToGrid w:val="0"/>
              <w:spacing w:line="360" w:lineRule="auto"/>
              <w:ind w:firstLine="480" w:firstLineChars="200"/>
              <w:outlineLvl w:val="3"/>
              <w:rPr>
                <w:color w:val="auto"/>
                <w:sz w:val="24"/>
                <w:szCs w:val="24"/>
              </w:rPr>
            </w:pPr>
            <w:r>
              <w:rPr>
                <w:color w:val="auto"/>
                <w:sz w:val="24"/>
                <w:szCs w:val="24"/>
              </w:rPr>
              <w:t>根据</w:t>
            </w:r>
            <w:r>
              <w:rPr>
                <w:rFonts w:hint="eastAsia"/>
                <w:color w:val="auto"/>
                <w:sz w:val="24"/>
                <w:szCs w:val="24"/>
              </w:rPr>
              <w:t>建设项目周边环境概况，本项目周边主要环境敏感目标详见下表：</w:t>
            </w:r>
          </w:p>
          <w:p>
            <w:pPr>
              <w:jc w:val="center"/>
              <w:rPr>
                <w:b/>
                <w:bCs/>
                <w:color w:val="auto"/>
                <w:szCs w:val="21"/>
              </w:rPr>
            </w:pPr>
            <w:r>
              <w:rPr>
                <w:b/>
                <w:bCs/>
                <w:color w:val="auto"/>
                <w:szCs w:val="21"/>
              </w:rPr>
              <w:t>表7-</w:t>
            </w:r>
            <w:r>
              <w:rPr>
                <w:rFonts w:hint="eastAsia"/>
                <w:b/>
                <w:bCs/>
                <w:color w:val="auto"/>
                <w:szCs w:val="21"/>
                <w:lang w:val="en-US" w:eastAsia="zh-CN"/>
              </w:rPr>
              <w:t>31</w:t>
            </w:r>
            <w:r>
              <w:rPr>
                <w:b/>
                <w:bCs/>
                <w:color w:val="auto"/>
                <w:szCs w:val="21"/>
              </w:rPr>
              <w:t xml:space="preserve">  环境</w:t>
            </w:r>
            <w:r>
              <w:rPr>
                <w:rFonts w:hint="eastAsia"/>
                <w:b/>
                <w:bCs/>
                <w:color w:val="auto"/>
                <w:szCs w:val="21"/>
              </w:rPr>
              <w:t>风险主要</w:t>
            </w:r>
            <w:r>
              <w:rPr>
                <w:b/>
                <w:bCs/>
                <w:color w:val="auto"/>
                <w:szCs w:val="21"/>
              </w:rPr>
              <w:t>保护目标一览表</w:t>
            </w:r>
          </w:p>
          <w:tbl>
            <w:tblPr>
              <w:tblStyle w:val="56"/>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81"/>
              <w:gridCol w:w="1363"/>
              <w:gridCol w:w="1245"/>
              <w:gridCol w:w="647"/>
              <w:gridCol w:w="730"/>
              <w:gridCol w:w="816"/>
              <w:gridCol w:w="677"/>
              <w:gridCol w:w="961"/>
              <w:gridCol w:w="889"/>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7" w:hRule="atLeast"/>
                <w:tblHeader/>
                <w:jc w:val="center"/>
              </w:trPr>
              <w:tc>
                <w:tcPr>
                  <w:tcW w:w="590"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名称</w:t>
                  </w:r>
                </w:p>
              </w:tc>
              <w:tc>
                <w:tcPr>
                  <w:tcW w:w="1569" w:type="pct"/>
                  <w:gridSpan w:val="2"/>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坐标</w:t>
                  </w:r>
                </w:p>
              </w:tc>
              <w:tc>
                <w:tcPr>
                  <w:tcW w:w="389"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保护对象</w:t>
                  </w:r>
                </w:p>
              </w:tc>
              <w:tc>
                <w:tcPr>
                  <w:tcW w:w="439"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保护内容</w:t>
                  </w:r>
                </w:p>
              </w:tc>
              <w:tc>
                <w:tcPr>
                  <w:tcW w:w="491"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rFonts w:hint="eastAsia"/>
                      <w:color w:val="auto"/>
                    </w:rPr>
                    <w:t>保护规模</w:t>
                  </w:r>
                </w:p>
              </w:tc>
              <w:tc>
                <w:tcPr>
                  <w:tcW w:w="407"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环境功能区</w:t>
                  </w:r>
                </w:p>
              </w:tc>
              <w:tc>
                <w:tcPr>
                  <w:tcW w:w="578"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相对厂址方位</w:t>
                  </w:r>
                </w:p>
              </w:tc>
              <w:tc>
                <w:tcPr>
                  <w:tcW w:w="534" w:type="pct"/>
                  <w:vMerge w:val="restar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相对厂界距离（m）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26" w:hRule="atLeast"/>
                <w:jc w:val="center"/>
              </w:trPr>
              <w:tc>
                <w:tcPr>
                  <w:tcW w:w="590" w:type="pct"/>
                  <w:vMerge w:val="continue"/>
                  <w:shd w:val="clear" w:color="auto" w:fill="FFFFFF"/>
                  <w:vAlign w:val="center"/>
                </w:tcPr>
                <w:p>
                  <w:pPr>
                    <w:rPr>
                      <w:color w:val="auto"/>
                    </w:rPr>
                  </w:pPr>
                </w:p>
              </w:tc>
              <w:tc>
                <w:tcPr>
                  <w:tcW w:w="820" w:type="pc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X</w:t>
                  </w:r>
                </w:p>
              </w:tc>
              <w:tc>
                <w:tcPr>
                  <w:tcW w:w="749" w:type="pct"/>
                  <w:shd w:val="clear" w:color="auto" w:fill="FFFFFF"/>
                  <w:vAlign w:val="center"/>
                </w:tcPr>
                <w:p>
                  <w:pPr>
                    <w:pStyle w:val="50"/>
                    <w:widowControl w:val="0"/>
                    <w:adjustRightInd w:val="0"/>
                    <w:snapToGrid w:val="0"/>
                    <w:spacing w:before="0" w:line="240" w:lineRule="auto"/>
                    <w:ind w:firstLine="0"/>
                    <w:jc w:val="center"/>
                    <w:rPr>
                      <w:color w:val="auto"/>
                    </w:rPr>
                  </w:pPr>
                  <w:r>
                    <w:rPr>
                      <w:color w:val="auto"/>
                    </w:rPr>
                    <w:t>Y</w:t>
                  </w:r>
                </w:p>
              </w:tc>
              <w:tc>
                <w:tcPr>
                  <w:tcW w:w="389" w:type="pct"/>
                  <w:vMerge w:val="continue"/>
                  <w:shd w:val="clear" w:color="auto" w:fill="FFFFFF"/>
                  <w:vAlign w:val="center"/>
                </w:tcPr>
                <w:p>
                  <w:pPr>
                    <w:rPr>
                      <w:color w:val="auto"/>
                    </w:rPr>
                  </w:pPr>
                </w:p>
              </w:tc>
              <w:tc>
                <w:tcPr>
                  <w:tcW w:w="439" w:type="pct"/>
                  <w:vMerge w:val="continue"/>
                  <w:shd w:val="clear" w:color="auto" w:fill="FFFFFF"/>
                  <w:vAlign w:val="center"/>
                </w:tcPr>
                <w:p>
                  <w:pPr>
                    <w:rPr>
                      <w:color w:val="auto"/>
                    </w:rPr>
                  </w:pPr>
                </w:p>
              </w:tc>
              <w:tc>
                <w:tcPr>
                  <w:tcW w:w="491" w:type="pct"/>
                  <w:vMerge w:val="continue"/>
                  <w:shd w:val="clear" w:color="auto" w:fill="FFFFFF"/>
                  <w:vAlign w:val="center"/>
                </w:tcPr>
                <w:p>
                  <w:pPr>
                    <w:rPr>
                      <w:color w:val="auto"/>
                    </w:rPr>
                  </w:pPr>
                </w:p>
              </w:tc>
              <w:tc>
                <w:tcPr>
                  <w:tcW w:w="407" w:type="pct"/>
                  <w:vMerge w:val="continue"/>
                  <w:shd w:val="clear" w:color="auto" w:fill="FFFFFF"/>
                  <w:vAlign w:val="center"/>
                </w:tcPr>
                <w:p>
                  <w:pPr>
                    <w:rPr>
                      <w:color w:val="auto"/>
                    </w:rPr>
                  </w:pPr>
                </w:p>
              </w:tc>
              <w:tc>
                <w:tcPr>
                  <w:tcW w:w="578" w:type="pct"/>
                  <w:vMerge w:val="continue"/>
                  <w:shd w:val="clear" w:color="auto" w:fill="FFFFFF"/>
                  <w:vAlign w:val="center"/>
                </w:tcPr>
                <w:p>
                  <w:pPr>
                    <w:rPr>
                      <w:color w:val="auto"/>
                    </w:rPr>
                  </w:pPr>
                </w:p>
              </w:tc>
              <w:tc>
                <w:tcPr>
                  <w:tcW w:w="534" w:type="pct"/>
                  <w:vMerge w:val="continue"/>
                  <w:shd w:val="clear" w:color="auto" w:fill="FFFFFF"/>
                  <w:vAlign w:val="center"/>
                </w:tcPr>
                <w:p>
                  <w:pPr>
                    <w:rPr>
                      <w:color w:val="auto"/>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小卞云小区</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119.646771</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31.756787</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约1000人</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360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香格里拉山庄</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119.642679</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31.756061</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半岛珑庭</w:t>
                  </w:r>
                </w:p>
              </w:tc>
              <w:tc>
                <w:tcPr>
                  <w:tcW w:w="82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119.636237</w:t>
                  </w:r>
                </w:p>
              </w:tc>
              <w:tc>
                <w:tcPr>
                  <w:tcW w:w="74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31.754215</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W</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东城（河头镇）</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119.657001</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31.750570</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18000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pStyle w:val="50"/>
                    <w:widowControl w:val="0"/>
                    <w:adjustRightInd w:val="0"/>
                    <w:snapToGrid w:val="0"/>
                    <w:spacing w:before="0" w:line="240" w:lineRule="auto"/>
                    <w:ind w:firstLine="0" w:firstLineChars="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980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东南庄</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119.656518</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31.747974</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居住区</w:t>
                  </w:r>
                </w:p>
              </w:tc>
              <w:tc>
                <w:tcPr>
                  <w:tcW w:w="439" w:type="pct"/>
                  <w:shd w:val="clear" w:color="auto" w:fill="FFFFFF"/>
                  <w:vAlign w:val="center"/>
                </w:tcPr>
                <w:p>
                  <w:pPr>
                    <w:pStyle w:val="50"/>
                    <w:widowControl w:val="0"/>
                    <w:adjustRightInd w:val="0"/>
                    <w:snapToGrid w:val="0"/>
                    <w:spacing w:before="0" w:line="240" w:lineRule="auto"/>
                    <w:ind w:firstLine="0" w:firstLineChars="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人群</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pStyle w:val="50"/>
                    <w:widowControl w:val="0"/>
                    <w:adjustRightInd w:val="0"/>
                    <w:snapToGrid w:val="0"/>
                    <w:spacing w:before="0" w:line="240" w:lineRule="auto"/>
                    <w:ind w:firstLine="0"/>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pStyle w:val="50"/>
                    <w:widowControl w:val="0"/>
                    <w:adjustRightInd w:val="0"/>
                    <w:snapToGrid w:val="0"/>
                    <w:spacing w:before="0" w:line="240" w:lineRule="auto"/>
                    <w:ind w:firstLine="0"/>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1205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金坛区河头小学</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119.659677</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31.752410</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学校</w:t>
                  </w:r>
                </w:p>
              </w:tc>
              <w:tc>
                <w:tcPr>
                  <w:tcW w:w="43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800</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500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1020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jc w:val="center"/>
              </w:trPr>
              <w:tc>
                <w:tcPr>
                  <w:tcW w:w="59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金坛市河头中学</w:t>
                  </w:r>
                </w:p>
              </w:tc>
              <w:tc>
                <w:tcPr>
                  <w:tcW w:w="820"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119.661668</w:t>
                  </w:r>
                </w:p>
              </w:tc>
              <w:tc>
                <w:tcPr>
                  <w:tcW w:w="74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31.752539</w:t>
                  </w:r>
                </w:p>
              </w:tc>
              <w:tc>
                <w:tcPr>
                  <w:tcW w:w="38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学校</w:t>
                  </w:r>
                </w:p>
              </w:tc>
              <w:tc>
                <w:tcPr>
                  <w:tcW w:w="439"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1300</w:t>
                  </w:r>
                </w:p>
              </w:tc>
              <w:tc>
                <w:tcPr>
                  <w:tcW w:w="491"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800</w:t>
                  </w:r>
                </w:p>
              </w:tc>
              <w:tc>
                <w:tcPr>
                  <w:tcW w:w="407"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二类区</w:t>
                  </w:r>
                </w:p>
              </w:tc>
              <w:tc>
                <w:tcPr>
                  <w:tcW w:w="578" w:type="pct"/>
                  <w:shd w:val="clear" w:color="auto" w:fill="FFFFFF"/>
                  <w:vAlign w:val="center"/>
                </w:tcPr>
                <w:p>
                  <w:pPr>
                    <w:jc w:val="center"/>
                    <w:rPr>
                      <w:rFonts w:hint="eastAsia"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SE</w:t>
                  </w:r>
                </w:p>
              </w:tc>
              <w:tc>
                <w:tcPr>
                  <w:tcW w:w="534" w:type="pct"/>
                  <w:shd w:val="clear" w:color="auto" w:fill="FFFFFF"/>
                  <w:vAlign w:val="center"/>
                </w:tcPr>
                <w:p>
                  <w:pPr>
                    <w:jc w:val="center"/>
                    <w:rPr>
                      <w:rFonts w:hint="default" w:ascii="Times New Roman" w:hAnsi="Times New Roman" w:eastAsia="宋体" w:cs="Times New Roman"/>
                      <w:color w:val="auto"/>
                      <w:spacing w:val="0"/>
                      <w:kern w:val="2"/>
                      <w:sz w:val="21"/>
                      <w:szCs w:val="22"/>
                      <w:lang w:val="en-US" w:eastAsia="zh-CN" w:bidi="ar-SA"/>
                    </w:rPr>
                  </w:pPr>
                  <w:r>
                    <w:rPr>
                      <w:rFonts w:hint="eastAsia" w:ascii="Times New Roman" w:hAnsi="Times New Roman" w:eastAsia="宋体" w:cs="Times New Roman"/>
                      <w:color w:val="auto"/>
                      <w:spacing w:val="0"/>
                      <w:kern w:val="2"/>
                      <w:sz w:val="21"/>
                      <w:szCs w:val="22"/>
                      <w:lang w:val="en-US" w:eastAsia="zh-CN" w:bidi="ar-SA"/>
                    </w:rPr>
                    <w:t>1150</w:t>
                  </w:r>
                </w:p>
              </w:tc>
            </w:tr>
          </w:tbl>
          <w:p>
            <w:pPr>
              <w:snapToGrid w:val="0"/>
              <w:spacing w:line="360" w:lineRule="auto"/>
              <w:ind w:left="63" w:leftChars="30" w:right="63" w:rightChars="30" w:firstLine="480" w:firstLineChars="200"/>
              <w:rPr>
                <w:b/>
                <w:color w:val="auto"/>
                <w:sz w:val="24"/>
              </w:rPr>
            </w:pPr>
            <w:r>
              <w:rPr>
                <w:rFonts w:hint="eastAsia"/>
                <w:b/>
                <w:color w:val="auto"/>
                <w:sz w:val="24"/>
                <w:lang w:val="en-US" w:eastAsia="zh-CN"/>
              </w:rPr>
              <w:t>7</w:t>
            </w:r>
            <w:r>
              <w:rPr>
                <w:b/>
                <w:color w:val="auto"/>
                <w:sz w:val="24"/>
              </w:rPr>
              <w:t xml:space="preserve">.3 </w:t>
            </w:r>
            <w:r>
              <w:rPr>
                <w:rFonts w:hint="eastAsia"/>
                <w:b/>
                <w:color w:val="auto"/>
                <w:sz w:val="24"/>
              </w:rPr>
              <w:t>环境风险识别</w:t>
            </w:r>
          </w:p>
          <w:p>
            <w:pPr>
              <w:snapToGrid w:val="0"/>
              <w:spacing w:line="360" w:lineRule="auto"/>
              <w:ind w:left="480"/>
              <w:outlineLvl w:val="3"/>
              <w:rPr>
                <w:color w:val="auto"/>
                <w:sz w:val="24"/>
                <w:szCs w:val="24"/>
              </w:rPr>
            </w:pPr>
            <w:r>
              <w:rPr>
                <w:rFonts w:hint="eastAsia"/>
                <w:color w:val="auto"/>
                <w:sz w:val="24"/>
                <w:szCs w:val="24"/>
              </w:rPr>
              <w:t>①</w:t>
            </w:r>
            <w:r>
              <w:rPr>
                <w:color w:val="auto"/>
                <w:sz w:val="24"/>
                <w:szCs w:val="24"/>
              </w:rPr>
              <w:t>物质风险识别</w:t>
            </w:r>
          </w:p>
          <w:p>
            <w:pPr>
              <w:snapToGrid w:val="0"/>
              <w:spacing w:line="360" w:lineRule="auto"/>
              <w:ind w:firstLine="480" w:firstLineChars="200"/>
              <w:outlineLvl w:val="3"/>
              <w:rPr>
                <w:color w:val="auto"/>
                <w:sz w:val="24"/>
                <w:szCs w:val="24"/>
              </w:rPr>
            </w:pPr>
            <w:r>
              <w:rPr>
                <w:color w:val="auto"/>
                <w:sz w:val="24"/>
                <w:szCs w:val="24"/>
              </w:rPr>
              <w:t>按照《建设项目环境风险评价技术导则》（HJ/T 169-2018）附录</w:t>
            </w:r>
            <w:r>
              <w:rPr>
                <w:rFonts w:hint="eastAsia"/>
                <w:color w:val="auto"/>
                <w:sz w:val="24"/>
                <w:szCs w:val="24"/>
              </w:rPr>
              <w:t>B</w:t>
            </w:r>
            <w:r>
              <w:rPr>
                <w:color w:val="auto"/>
                <w:sz w:val="24"/>
                <w:szCs w:val="24"/>
              </w:rPr>
              <w:t>.1中表1“</w:t>
            </w:r>
            <w:r>
              <w:rPr>
                <w:rFonts w:hint="eastAsia"/>
                <w:color w:val="auto"/>
                <w:sz w:val="24"/>
                <w:szCs w:val="24"/>
              </w:rPr>
              <w:t>突发环境事件风险物质及临界量</w:t>
            </w:r>
            <w:r>
              <w:rPr>
                <w:color w:val="auto"/>
                <w:sz w:val="24"/>
                <w:szCs w:val="24"/>
              </w:rPr>
              <w:t>”和《重大危险源辨识》（GB18218-2018），经过筛选、评估，项目所涉及的主要物质为</w:t>
            </w:r>
            <w:r>
              <w:rPr>
                <w:rFonts w:hint="eastAsia"/>
                <w:bCs/>
                <w:color w:val="auto"/>
                <w:sz w:val="24"/>
                <w:szCs w:val="24"/>
                <w:lang w:val="en-US" w:eastAsia="zh-CN"/>
              </w:rPr>
              <w:t>水性漆（包括水</w:t>
            </w:r>
            <w:r>
              <w:rPr>
                <w:rFonts w:hint="eastAsia"/>
                <w:color w:val="auto"/>
                <w:sz w:val="24"/>
                <w:szCs w:val="24"/>
              </w:rPr>
              <w:t>性底漆、水性底漆固化剂、水性面漆、水性面漆固化剂</w:t>
            </w:r>
            <w:r>
              <w:rPr>
                <w:rFonts w:hint="eastAsia"/>
                <w:bCs/>
                <w:color w:val="auto"/>
                <w:sz w:val="24"/>
                <w:szCs w:val="24"/>
                <w:lang w:val="en-US" w:eastAsia="zh-CN"/>
              </w:rPr>
              <w:t>）</w:t>
            </w:r>
            <w:r>
              <w:rPr>
                <w:rFonts w:hint="eastAsia"/>
                <w:color w:val="auto"/>
                <w:sz w:val="24"/>
                <w:szCs w:val="24"/>
              </w:rPr>
              <w:t>、切削液、润滑油及产生</w:t>
            </w:r>
            <w:r>
              <w:rPr>
                <w:rFonts w:hint="eastAsia"/>
                <w:color w:val="auto"/>
                <w:sz w:val="24"/>
                <w:szCs w:val="24"/>
                <w:lang w:val="en-US" w:eastAsia="zh-CN"/>
              </w:rPr>
              <w:t>的危险废物废切削液、废润滑油、漆渣、含漆废物、废过滤棉</w:t>
            </w:r>
            <w:r>
              <w:rPr>
                <w:color w:val="auto"/>
                <w:sz w:val="24"/>
                <w:szCs w:val="24"/>
              </w:rPr>
              <w:t>。</w:t>
            </w:r>
          </w:p>
          <w:p>
            <w:pPr>
              <w:snapToGrid w:val="0"/>
              <w:spacing w:line="360" w:lineRule="auto"/>
              <w:ind w:left="480"/>
              <w:outlineLvl w:val="3"/>
              <w:rPr>
                <w:color w:val="auto"/>
                <w:sz w:val="24"/>
                <w:szCs w:val="24"/>
              </w:rPr>
            </w:pPr>
            <w:r>
              <w:rPr>
                <w:rFonts w:hint="eastAsia"/>
                <w:color w:val="auto"/>
                <w:sz w:val="24"/>
                <w:szCs w:val="24"/>
              </w:rPr>
              <w:t>②主要危险物质分布情况，可能影响环境的途径</w:t>
            </w:r>
          </w:p>
          <w:p>
            <w:pPr>
              <w:jc w:val="center"/>
              <w:rPr>
                <w:b/>
                <w:bCs/>
                <w:color w:val="auto"/>
                <w:szCs w:val="21"/>
              </w:rPr>
            </w:pPr>
            <w:r>
              <w:rPr>
                <w:b/>
                <w:bCs/>
                <w:color w:val="auto"/>
                <w:szCs w:val="21"/>
              </w:rPr>
              <w:t>表7-</w:t>
            </w:r>
            <w:r>
              <w:rPr>
                <w:rFonts w:hint="eastAsia"/>
                <w:b/>
                <w:bCs/>
                <w:color w:val="auto"/>
                <w:szCs w:val="21"/>
                <w:lang w:val="en-US" w:eastAsia="zh-CN"/>
              </w:rPr>
              <w:t xml:space="preserve">32 </w:t>
            </w:r>
            <w:r>
              <w:rPr>
                <w:b/>
                <w:bCs/>
                <w:color w:val="auto"/>
                <w:szCs w:val="21"/>
              </w:rPr>
              <w:t>厂区生产过程危险性分析一览表</w:t>
            </w:r>
          </w:p>
          <w:tbl>
            <w:tblPr>
              <w:tblStyle w:val="56"/>
              <w:tblW w:w="831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20"/>
              <w:gridCol w:w="1725"/>
              <w:gridCol w:w="1410"/>
              <w:gridCol w:w="1185"/>
              <w:gridCol w:w="347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520" w:type="dxa"/>
                  <w:vAlign w:val="center"/>
                </w:tcPr>
                <w:p>
                  <w:pPr>
                    <w:jc w:val="center"/>
                    <w:rPr>
                      <w:b/>
                      <w:color w:val="auto"/>
                      <w:szCs w:val="21"/>
                    </w:rPr>
                  </w:pPr>
                  <w:r>
                    <w:rPr>
                      <w:b/>
                      <w:color w:val="auto"/>
                      <w:szCs w:val="21"/>
                    </w:rPr>
                    <w:t>序号</w:t>
                  </w:r>
                </w:p>
              </w:tc>
              <w:tc>
                <w:tcPr>
                  <w:tcW w:w="1725" w:type="dxa"/>
                  <w:vAlign w:val="center"/>
                </w:tcPr>
                <w:p>
                  <w:pPr>
                    <w:jc w:val="center"/>
                    <w:rPr>
                      <w:b/>
                      <w:color w:val="auto"/>
                      <w:szCs w:val="21"/>
                    </w:rPr>
                  </w:pPr>
                  <w:r>
                    <w:rPr>
                      <w:rFonts w:hint="eastAsia"/>
                      <w:b/>
                      <w:color w:val="auto"/>
                      <w:szCs w:val="21"/>
                    </w:rPr>
                    <w:t>危险物质</w:t>
                  </w:r>
                </w:p>
              </w:tc>
              <w:tc>
                <w:tcPr>
                  <w:tcW w:w="1410" w:type="dxa"/>
                  <w:vAlign w:val="center"/>
                </w:tcPr>
                <w:p>
                  <w:pPr>
                    <w:jc w:val="center"/>
                    <w:rPr>
                      <w:b/>
                      <w:color w:val="auto"/>
                      <w:szCs w:val="21"/>
                    </w:rPr>
                  </w:pPr>
                  <w:r>
                    <w:rPr>
                      <w:rFonts w:hint="eastAsia"/>
                      <w:b/>
                      <w:color w:val="auto"/>
                      <w:szCs w:val="21"/>
                    </w:rPr>
                    <w:t>分布情况</w:t>
                  </w:r>
                </w:p>
              </w:tc>
              <w:tc>
                <w:tcPr>
                  <w:tcW w:w="1185" w:type="dxa"/>
                  <w:vAlign w:val="center"/>
                </w:tcPr>
                <w:p>
                  <w:pPr>
                    <w:jc w:val="center"/>
                    <w:rPr>
                      <w:b/>
                      <w:color w:val="auto"/>
                      <w:szCs w:val="21"/>
                    </w:rPr>
                  </w:pPr>
                  <w:r>
                    <w:rPr>
                      <w:b/>
                      <w:color w:val="auto"/>
                      <w:szCs w:val="21"/>
                    </w:rPr>
                    <w:t>产生事故模式</w:t>
                  </w:r>
                </w:p>
              </w:tc>
              <w:tc>
                <w:tcPr>
                  <w:tcW w:w="3472" w:type="dxa"/>
                  <w:vAlign w:val="center"/>
                </w:tcPr>
                <w:p>
                  <w:pPr>
                    <w:jc w:val="center"/>
                    <w:rPr>
                      <w:b/>
                      <w:color w:val="auto"/>
                      <w:szCs w:val="21"/>
                    </w:rPr>
                  </w:pPr>
                  <w:r>
                    <w:rPr>
                      <w:rFonts w:hint="eastAsia"/>
                      <w:b/>
                      <w:color w:val="auto"/>
                      <w:szCs w:val="21"/>
                    </w:rPr>
                    <w:t>影响环境的途径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20" w:type="dxa"/>
                  <w:vAlign w:val="center"/>
                </w:tcPr>
                <w:p>
                  <w:pPr>
                    <w:widowControl/>
                    <w:jc w:val="center"/>
                    <w:rPr>
                      <w:color w:val="auto"/>
                      <w:kern w:val="0"/>
                      <w:szCs w:val="21"/>
                    </w:rPr>
                  </w:pPr>
                  <w:r>
                    <w:rPr>
                      <w:rFonts w:hint="eastAsia"/>
                      <w:color w:val="auto"/>
                      <w:kern w:val="0"/>
                      <w:szCs w:val="21"/>
                    </w:rPr>
                    <w:t>1</w:t>
                  </w:r>
                </w:p>
              </w:tc>
              <w:tc>
                <w:tcPr>
                  <w:tcW w:w="1725" w:type="dxa"/>
                  <w:vAlign w:val="center"/>
                </w:tcPr>
                <w:p>
                  <w:pPr>
                    <w:snapToGrid w:val="0"/>
                    <w:jc w:val="center"/>
                    <w:outlineLvl w:val="3"/>
                    <w:rPr>
                      <w:color w:val="auto"/>
                      <w:szCs w:val="21"/>
                    </w:rPr>
                  </w:pPr>
                  <w:r>
                    <w:rPr>
                      <w:rFonts w:hint="eastAsia"/>
                      <w:color w:val="auto"/>
                      <w:szCs w:val="21"/>
                    </w:rPr>
                    <w:t>水性漆（包括水性底漆、水性底漆固化剂、水性面漆、水性面漆固化剂）、切削液、润滑油</w:t>
                  </w:r>
                </w:p>
              </w:tc>
              <w:tc>
                <w:tcPr>
                  <w:tcW w:w="1410" w:type="dxa"/>
                  <w:vAlign w:val="center"/>
                </w:tcPr>
                <w:p>
                  <w:pPr>
                    <w:snapToGrid w:val="0"/>
                    <w:jc w:val="center"/>
                    <w:outlineLvl w:val="3"/>
                    <w:rPr>
                      <w:color w:val="auto"/>
                      <w:szCs w:val="21"/>
                    </w:rPr>
                  </w:pPr>
                  <w:r>
                    <w:rPr>
                      <w:rFonts w:hint="eastAsia"/>
                      <w:color w:val="auto"/>
                      <w:szCs w:val="21"/>
                    </w:rPr>
                    <w:t>原料仓库、生产车间</w:t>
                  </w:r>
                </w:p>
              </w:tc>
              <w:tc>
                <w:tcPr>
                  <w:tcW w:w="1185" w:type="dxa"/>
                  <w:vAlign w:val="center"/>
                </w:tcPr>
                <w:p>
                  <w:pPr>
                    <w:snapToGrid w:val="0"/>
                    <w:jc w:val="center"/>
                    <w:outlineLvl w:val="3"/>
                    <w:rPr>
                      <w:rFonts w:hint="default" w:eastAsia="宋体"/>
                      <w:color w:val="auto"/>
                      <w:szCs w:val="21"/>
                      <w:lang w:val="en-US" w:eastAsia="zh-CN"/>
                    </w:rPr>
                  </w:pPr>
                  <w:r>
                    <w:rPr>
                      <w:color w:val="auto"/>
                      <w:szCs w:val="21"/>
                    </w:rPr>
                    <w:t>火灾</w:t>
                  </w:r>
                  <w:r>
                    <w:rPr>
                      <w:rFonts w:hint="eastAsia"/>
                      <w:color w:val="auto"/>
                      <w:szCs w:val="21"/>
                      <w:lang w:eastAsia="zh-CN"/>
                    </w:rPr>
                    <w:t>、</w:t>
                  </w:r>
                  <w:r>
                    <w:rPr>
                      <w:rFonts w:hint="eastAsia"/>
                      <w:color w:val="auto"/>
                      <w:szCs w:val="21"/>
                      <w:lang w:val="en-US" w:eastAsia="zh-CN"/>
                    </w:rPr>
                    <w:t>物料泄露</w:t>
                  </w:r>
                </w:p>
              </w:tc>
              <w:tc>
                <w:tcPr>
                  <w:tcW w:w="3472" w:type="dxa"/>
                  <w:vAlign w:val="center"/>
                </w:tcPr>
                <w:p>
                  <w:pPr>
                    <w:snapToGrid w:val="0"/>
                    <w:outlineLvl w:val="3"/>
                    <w:rPr>
                      <w:color w:val="auto"/>
                      <w:szCs w:val="21"/>
                    </w:rPr>
                  </w:pPr>
                  <w:r>
                    <w:rPr>
                      <w:rFonts w:hint="eastAsia"/>
                      <w:color w:val="auto"/>
                      <w:szCs w:val="21"/>
                    </w:rPr>
                    <w:t>①在</w:t>
                  </w:r>
                  <w:r>
                    <w:rPr>
                      <w:color w:val="auto"/>
                      <w:szCs w:val="21"/>
                    </w:rPr>
                    <w:t>发生火灾的情况下不完全燃烧会产生CO等危害大气环境</w:t>
                  </w:r>
                  <w:r>
                    <w:rPr>
                      <w:rFonts w:hint="eastAsia"/>
                      <w:color w:val="auto"/>
                      <w:szCs w:val="21"/>
                    </w:rPr>
                    <w:t>；</w:t>
                  </w:r>
                </w:p>
                <w:p>
                  <w:pPr>
                    <w:snapToGrid w:val="0"/>
                    <w:outlineLvl w:val="3"/>
                    <w:rPr>
                      <w:color w:val="auto"/>
                      <w:szCs w:val="21"/>
                    </w:rPr>
                  </w:pPr>
                  <w:r>
                    <w:rPr>
                      <w:rFonts w:hint="eastAsia"/>
                      <w:color w:val="auto"/>
                      <w:szCs w:val="21"/>
                    </w:rPr>
                    <w:t>②物料泄露等进入</w:t>
                  </w:r>
                  <w:r>
                    <w:rPr>
                      <w:color w:val="auto"/>
                      <w:szCs w:val="21"/>
                    </w:rPr>
                    <w:t>地表水、土壤、地下</w:t>
                  </w:r>
                  <w:r>
                    <w:rPr>
                      <w:rFonts w:hint="eastAsia"/>
                      <w:color w:val="auto"/>
                      <w:szCs w:val="21"/>
                    </w:rPr>
                    <w:t>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20" w:type="dxa"/>
                  <w:vAlign w:val="center"/>
                </w:tcPr>
                <w:p>
                  <w:pPr>
                    <w:widowControl/>
                    <w:jc w:val="center"/>
                    <w:rPr>
                      <w:color w:val="auto"/>
                      <w:kern w:val="0"/>
                      <w:szCs w:val="21"/>
                    </w:rPr>
                  </w:pPr>
                  <w:r>
                    <w:rPr>
                      <w:rFonts w:hint="eastAsia"/>
                      <w:color w:val="auto"/>
                      <w:kern w:val="0"/>
                      <w:szCs w:val="21"/>
                    </w:rPr>
                    <w:t>3</w:t>
                  </w:r>
                </w:p>
              </w:tc>
              <w:tc>
                <w:tcPr>
                  <w:tcW w:w="1725" w:type="dxa"/>
                  <w:vAlign w:val="center"/>
                </w:tcPr>
                <w:p>
                  <w:pPr>
                    <w:snapToGrid w:val="0"/>
                    <w:jc w:val="center"/>
                    <w:outlineLvl w:val="3"/>
                    <w:rPr>
                      <w:color w:val="auto"/>
                      <w:szCs w:val="21"/>
                    </w:rPr>
                  </w:pPr>
                  <w:r>
                    <w:rPr>
                      <w:rFonts w:hint="eastAsia"/>
                      <w:color w:val="auto"/>
                      <w:szCs w:val="21"/>
                    </w:rPr>
                    <w:t>废切削液、废润滑油、漆渣、含漆废物、废过滤棉</w:t>
                  </w:r>
                </w:p>
              </w:tc>
              <w:tc>
                <w:tcPr>
                  <w:tcW w:w="1410" w:type="dxa"/>
                  <w:vAlign w:val="center"/>
                </w:tcPr>
                <w:p>
                  <w:pPr>
                    <w:snapToGrid w:val="0"/>
                    <w:jc w:val="center"/>
                    <w:outlineLvl w:val="3"/>
                    <w:rPr>
                      <w:color w:val="auto"/>
                      <w:szCs w:val="21"/>
                    </w:rPr>
                  </w:pPr>
                  <w:r>
                    <w:rPr>
                      <w:rFonts w:hint="eastAsia"/>
                      <w:color w:val="auto"/>
                      <w:szCs w:val="21"/>
                    </w:rPr>
                    <w:t>危废仓库</w:t>
                  </w:r>
                </w:p>
              </w:tc>
              <w:tc>
                <w:tcPr>
                  <w:tcW w:w="1185" w:type="dxa"/>
                  <w:vAlign w:val="center"/>
                </w:tcPr>
                <w:p>
                  <w:pPr>
                    <w:snapToGrid w:val="0"/>
                    <w:jc w:val="center"/>
                    <w:outlineLvl w:val="3"/>
                    <w:rPr>
                      <w:color w:val="auto"/>
                      <w:szCs w:val="21"/>
                    </w:rPr>
                  </w:pPr>
                  <w:r>
                    <w:rPr>
                      <w:color w:val="auto"/>
                      <w:szCs w:val="21"/>
                    </w:rPr>
                    <w:t>火灾、物料泄漏</w:t>
                  </w:r>
                </w:p>
              </w:tc>
              <w:tc>
                <w:tcPr>
                  <w:tcW w:w="3472" w:type="dxa"/>
                  <w:vAlign w:val="center"/>
                </w:tcPr>
                <w:p>
                  <w:pPr>
                    <w:snapToGrid w:val="0"/>
                    <w:outlineLvl w:val="3"/>
                    <w:rPr>
                      <w:color w:val="auto"/>
                      <w:szCs w:val="21"/>
                    </w:rPr>
                  </w:pPr>
                  <w:r>
                    <w:rPr>
                      <w:rFonts w:hint="eastAsia"/>
                      <w:color w:val="auto"/>
                      <w:szCs w:val="21"/>
                    </w:rPr>
                    <w:t>①</w:t>
                  </w:r>
                  <w:r>
                    <w:rPr>
                      <w:rFonts w:hint="eastAsia"/>
                      <w:color w:val="auto"/>
                      <w:szCs w:val="21"/>
                      <w:lang w:val="en-US" w:eastAsia="zh-CN"/>
                    </w:rPr>
                    <w:t>在</w:t>
                  </w:r>
                  <w:r>
                    <w:rPr>
                      <w:color w:val="auto"/>
                      <w:szCs w:val="21"/>
                    </w:rPr>
                    <w:t>发生火灾的情况下不完全燃烧会产生CO等危害大气环境</w:t>
                  </w:r>
                  <w:r>
                    <w:rPr>
                      <w:rFonts w:hint="eastAsia"/>
                      <w:color w:val="auto"/>
                      <w:szCs w:val="21"/>
                    </w:rPr>
                    <w:t>；</w:t>
                  </w:r>
                </w:p>
                <w:p>
                  <w:pPr>
                    <w:snapToGrid w:val="0"/>
                    <w:outlineLvl w:val="3"/>
                    <w:rPr>
                      <w:color w:val="auto"/>
                      <w:szCs w:val="21"/>
                    </w:rPr>
                  </w:pPr>
                  <w:r>
                    <w:rPr>
                      <w:rFonts w:hint="eastAsia"/>
                      <w:color w:val="auto"/>
                      <w:szCs w:val="21"/>
                    </w:rPr>
                    <w:t>②物料泄露等进入</w:t>
                  </w:r>
                  <w:r>
                    <w:rPr>
                      <w:color w:val="auto"/>
                      <w:szCs w:val="21"/>
                    </w:rPr>
                    <w:t>地表水、土壤、地下</w:t>
                  </w:r>
                  <w:r>
                    <w:rPr>
                      <w:rFonts w:hint="eastAsia"/>
                      <w:color w:val="auto"/>
                      <w:szCs w:val="21"/>
                    </w:rPr>
                    <w:t>水</w:t>
                  </w:r>
                </w:p>
              </w:tc>
            </w:tr>
          </w:tbl>
          <w:p>
            <w:pPr>
              <w:snapToGrid w:val="0"/>
              <w:spacing w:line="360" w:lineRule="auto"/>
              <w:ind w:left="63" w:leftChars="30" w:right="63" w:rightChars="30" w:firstLine="480" w:firstLineChars="200"/>
              <w:rPr>
                <w:b/>
                <w:color w:val="auto"/>
                <w:sz w:val="24"/>
              </w:rPr>
            </w:pPr>
            <w:r>
              <w:rPr>
                <w:rFonts w:hint="eastAsia"/>
                <w:b/>
                <w:color w:val="auto"/>
                <w:sz w:val="24"/>
                <w:lang w:val="en-US" w:eastAsia="zh-CN"/>
              </w:rPr>
              <w:t>7</w:t>
            </w:r>
            <w:r>
              <w:rPr>
                <w:b/>
                <w:color w:val="auto"/>
                <w:sz w:val="24"/>
              </w:rPr>
              <w:t xml:space="preserve">.4 </w:t>
            </w:r>
            <w:r>
              <w:rPr>
                <w:rFonts w:hint="eastAsia"/>
                <w:b/>
                <w:color w:val="auto"/>
                <w:sz w:val="24"/>
              </w:rPr>
              <w:t>环境风险分析</w:t>
            </w:r>
          </w:p>
          <w:p>
            <w:pPr>
              <w:pStyle w:val="2"/>
              <w:adjustRightInd w:val="0"/>
              <w:snapToGrid w:val="0"/>
              <w:spacing w:line="360" w:lineRule="auto"/>
              <w:ind w:left="63" w:leftChars="30" w:right="63" w:rightChars="30" w:firstLine="482"/>
              <w:rPr>
                <w:b/>
                <w:bCs/>
                <w:color w:val="auto"/>
                <w:sz w:val="24"/>
                <w:szCs w:val="24"/>
              </w:rPr>
            </w:pPr>
            <w:r>
              <w:rPr>
                <w:rFonts w:hint="eastAsia"/>
                <w:b/>
                <w:bCs/>
                <w:color w:val="auto"/>
                <w:sz w:val="24"/>
                <w:szCs w:val="24"/>
              </w:rPr>
              <w:t>（1）大气环境：</w:t>
            </w:r>
          </w:p>
          <w:p>
            <w:pPr>
              <w:snapToGrid w:val="0"/>
              <w:spacing w:line="360" w:lineRule="auto"/>
              <w:ind w:firstLine="480" w:firstLineChars="200"/>
              <w:rPr>
                <w:bCs/>
                <w:color w:val="auto"/>
                <w:sz w:val="24"/>
                <w:szCs w:val="24"/>
              </w:rPr>
            </w:pPr>
            <w:r>
              <w:rPr>
                <w:rFonts w:hint="eastAsia"/>
                <w:bCs/>
                <w:color w:val="auto"/>
                <w:sz w:val="24"/>
                <w:szCs w:val="24"/>
              </w:rPr>
              <w:t>①</w:t>
            </w:r>
            <w:r>
              <w:rPr>
                <w:rFonts w:hint="eastAsia"/>
                <w:color w:val="auto"/>
                <w:sz w:val="24"/>
                <w:szCs w:val="24"/>
              </w:rPr>
              <w:t>水性漆（包括水性漆固化剂）、切削液、润滑油及产生的危险废物废切削液、废润滑油、漆渣、含漆废物、废过滤棉</w:t>
            </w:r>
            <w:r>
              <w:rPr>
                <w:rFonts w:hint="eastAsia"/>
                <w:bCs/>
                <w:color w:val="auto"/>
                <w:sz w:val="24"/>
                <w:szCs w:val="24"/>
              </w:rPr>
              <w:t>在发生火灾的情况下不完全燃烧会产生CO等危害大气环境。</w:t>
            </w:r>
          </w:p>
          <w:p>
            <w:pPr>
              <w:snapToGrid w:val="0"/>
              <w:spacing w:line="360" w:lineRule="auto"/>
              <w:ind w:firstLine="480" w:firstLineChars="200"/>
              <w:rPr>
                <w:bCs/>
                <w:color w:val="auto"/>
                <w:sz w:val="24"/>
                <w:szCs w:val="24"/>
              </w:rPr>
            </w:pPr>
            <w:r>
              <w:rPr>
                <w:rFonts w:hint="eastAsia" w:ascii="宋体" w:hAnsi="宋体"/>
                <w:bCs/>
                <w:color w:val="auto"/>
                <w:sz w:val="24"/>
                <w:szCs w:val="24"/>
              </w:rPr>
              <w:t>②</w:t>
            </w:r>
            <w:r>
              <w:rPr>
                <w:rFonts w:hint="eastAsia"/>
                <w:bCs/>
                <w:color w:val="auto"/>
                <w:sz w:val="24"/>
                <w:szCs w:val="24"/>
              </w:rPr>
              <w:t>废气处理装置发生故障时（以废气处理装置完全失效，废气处理效率为0计）导致废气未经处理直接排向大气环境，废气超标排放，加大对大气环境的影响。</w:t>
            </w:r>
          </w:p>
          <w:p>
            <w:pPr>
              <w:snapToGrid w:val="0"/>
              <w:spacing w:line="360" w:lineRule="auto"/>
              <w:ind w:firstLine="480" w:firstLineChars="200"/>
              <w:rPr>
                <w:b/>
                <w:bCs/>
                <w:color w:val="auto"/>
                <w:sz w:val="24"/>
                <w:szCs w:val="24"/>
              </w:rPr>
            </w:pPr>
            <w:r>
              <w:rPr>
                <w:rFonts w:hint="eastAsia"/>
                <w:b/>
                <w:bCs/>
                <w:color w:val="auto"/>
                <w:sz w:val="24"/>
                <w:szCs w:val="24"/>
              </w:rPr>
              <w:t>（2）地表水环境：</w:t>
            </w:r>
          </w:p>
          <w:p>
            <w:pPr>
              <w:snapToGrid w:val="0"/>
              <w:spacing w:line="360" w:lineRule="auto"/>
              <w:ind w:firstLine="480" w:firstLineChars="200"/>
              <w:rPr>
                <w:bCs/>
                <w:color w:val="auto"/>
                <w:sz w:val="24"/>
                <w:szCs w:val="24"/>
              </w:rPr>
            </w:pPr>
            <w:r>
              <w:rPr>
                <w:rFonts w:hint="eastAsia"/>
                <w:bCs/>
                <w:color w:val="auto"/>
                <w:sz w:val="24"/>
                <w:szCs w:val="24"/>
              </w:rPr>
              <w:t>本项目园区</w:t>
            </w:r>
            <w:r>
              <w:rPr>
                <w:bCs/>
                <w:color w:val="auto"/>
                <w:sz w:val="24"/>
                <w:szCs w:val="24"/>
              </w:rPr>
              <w:t>雨污分流，雨水直接排入市政雨水管网，</w:t>
            </w:r>
            <w:r>
              <w:rPr>
                <w:rFonts w:hint="eastAsia"/>
                <w:bCs/>
                <w:color w:val="auto"/>
                <w:sz w:val="24"/>
                <w:szCs w:val="24"/>
              </w:rPr>
              <w:t>生活污水经化粪池收集预处理后通过园区总排口接管至金坛区第二污水处理厂</w:t>
            </w:r>
            <w:r>
              <w:rPr>
                <w:bCs/>
                <w:color w:val="auto"/>
                <w:sz w:val="24"/>
                <w:szCs w:val="24"/>
              </w:rPr>
              <w:t>。事故</w:t>
            </w:r>
            <w:r>
              <w:rPr>
                <w:rFonts w:hint="eastAsia"/>
                <w:bCs/>
                <w:color w:val="auto"/>
                <w:sz w:val="24"/>
                <w:szCs w:val="24"/>
              </w:rPr>
              <w:t>状态下</w:t>
            </w:r>
            <w:r>
              <w:rPr>
                <w:bCs/>
                <w:color w:val="auto"/>
                <w:sz w:val="24"/>
                <w:szCs w:val="24"/>
              </w:rPr>
              <w:t>，</w:t>
            </w:r>
            <w:r>
              <w:rPr>
                <w:rFonts w:hint="eastAsia"/>
                <w:bCs/>
                <w:color w:val="auto"/>
                <w:sz w:val="24"/>
                <w:szCs w:val="24"/>
              </w:rPr>
              <w:t>生活污水、</w:t>
            </w:r>
            <w:r>
              <w:rPr>
                <w:bCs/>
                <w:color w:val="auto"/>
                <w:sz w:val="24"/>
                <w:szCs w:val="24"/>
              </w:rPr>
              <w:t>消防水</w:t>
            </w:r>
            <w:r>
              <w:rPr>
                <w:rFonts w:hint="eastAsia"/>
                <w:bCs/>
                <w:color w:val="auto"/>
                <w:sz w:val="24"/>
                <w:szCs w:val="24"/>
              </w:rPr>
              <w:t>可能会直接进入地表水环境，污染地表水</w:t>
            </w:r>
            <w:r>
              <w:rPr>
                <w:bCs/>
                <w:color w:val="auto"/>
                <w:sz w:val="24"/>
                <w:szCs w:val="24"/>
              </w:rPr>
              <w:t>。</w:t>
            </w:r>
          </w:p>
          <w:p>
            <w:pPr>
              <w:pStyle w:val="21"/>
              <w:spacing w:after="0" w:line="360" w:lineRule="auto"/>
              <w:ind w:firstLine="480" w:firstLineChars="200"/>
              <w:rPr>
                <w:b/>
                <w:color w:val="auto"/>
                <w:sz w:val="24"/>
                <w:szCs w:val="24"/>
              </w:rPr>
            </w:pPr>
            <w:r>
              <w:rPr>
                <w:rFonts w:hint="eastAsia"/>
                <w:b/>
                <w:color w:val="auto"/>
                <w:sz w:val="24"/>
                <w:szCs w:val="24"/>
              </w:rPr>
              <w:t>（3）地下水环境：</w:t>
            </w:r>
          </w:p>
          <w:p>
            <w:pPr>
              <w:pStyle w:val="21"/>
              <w:spacing w:after="0" w:line="360" w:lineRule="auto"/>
              <w:ind w:firstLine="480" w:firstLineChars="200"/>
              <w:rPr>
                <w:color w:val="auto"/>
                <w:sz w:val="24"/>
                <w:szCs w:val="24"/>
              </w:rPr>
            </w:pPr>
            <w:r>
              <w:rPr>
                <w:rFonts w:hint="eastAsia" w:ascii="宋体" w:hAnsi="宋体"/>
                <w:bCs/>
                <w:color w:val="auto"/>
                <w:sz w:val="24"/>
                <w:szCs w:val="24"/>
              </w:rPr>
              <w:t>①</w:t>
            </w:r>
            <w:r>
              <w:rPr>
                <w:bCs/>
                <w:color w:val="auto"/>
                <w:sz w:val="24"/>
                <w:szCs w:val="24"/>
              </w:rPr>
              <w:t>事故</w:t>
            </w:r>
            <w:r>
              <w:rPr>
                <w:rFonts w:hint="eastAsia"/>
                <w:bCs/>
                <w:color w:val="auto"/>
                <w:sz w:val="24"/>
                <w:szCs w:val="24"/>
              </w:rPr>
              <w:t>状态下</w:t>
            </w:r>
            <w:r>
              <w:rPr>
                <w:bCs/>
                <w:color w:val="auto"/>
                <w:sz w:val="24"/>
                <w:szCs w:val="24"/>
              </w:rPr>
              <w:t>，</w:t>
            </w:r>
            <w:r>
              <w:rPr>
                <w:rFonts w:hint="eastAsia"/>
                <w:bCs/>
                <w:color w:val="auto"/>
                <w:sz w:val="24"/>
                <w:szCs w:val="24"/>
              </w:rPr>
              <w:t>生活污水、</w:t>
            </w:r>
            <w:r>
              <w:rPr>
                <w:bCs/>
                <w:color w:val="auto"/>
                <w:sz w:val="24"/>
                <w:szCs w:val="24"/>
              </w:rPr>
              <w:t>消防水</w:t>
            </w:r>
            <w:r>
              <w:rPr>
                <w:rFonts w:hint="eastAsia"/>
                <w:bCs/>
                <w:color w:val="auto"/>
                <w:sz w:val="24"/>
                <w:szCs w:val="24"/>
              </w:rPr>
              <w:t>可能会直接进入地下水环境，污染地下水</w:t>
            </w:r>
            <w:r>
              <w:rPr>
                <w:bCs/>
                <w:color w:val="auto"/>
                <w:sz w:val="24"/>
                <w:szCs w:val="24"/>
              </w:rPr>
              <w:t>。</w:t>
            </w:r>
          </w:p>
          <w:p>
            <w:pPr>
              <w:pStyle w:val="21"/>
              <w:spacing w:after="0" w:line="360" w:lineRule="auto"/>
              <w:ind w:firstLine="480" w:firstLineChars="200"/>
              <w:rPr>
                <w:color w:val="auto"/>
                <w:sz w:val="24"/>
                <w:szCs w:val="24"/>
              </w:rPr>
            </w:pPr>
            <w:r>
              <w:rPr>
                <w:rFonts w:hint="eastAsia" w:ascii="宋体" w:hAnsi="宋体"/>
                <w:color w:val="auto"/>
                <w:sz w:val="24"/>
                <w:szCs w:val="24"/>
              </w:rPr>
              <w:t>②</w:t>
            </w:r>
            <w:r>
              <w:rPr>
                <w:bCs/>
                <w:color w:val="auto"/>
                <w:sz w:val="24"/>
                <w:szCs w:val="24"/>
              </w:rPr>
              <w:t>事故</w:t>
            </w:r>
            <w:r>
              <w:rPr>
                <w:rFonts w:hint="eastAsia"/>
                <w:bCs/>
                <w:color w:val="auto"/>
                <w:sz w:val="24"/>
                <w:szCs w:val="24"/>
              </w:rPr>
              <w:t>状态下</w:t>
            </w:r>
            <w:r>
              <w:rPr>
                <w:bCs/>
                <w:color w:val="auto"/>
                <w:sz w:val="24"/>
                <w:szCs w:val="24"/>
              </w:rPr>
              <w:t>，</w:t>
            </w:r>
            <w:r>
              <w:rPr>
                <w:rFonts w:hint="eastAsia"/>
                <w:color w:val="auto"/>
                <w:sz w:val="24"/>
                <w:szCs w:val="24"/>
              </w:rPr>
              <w:t>水性漆（包括水性漆固化剂）、切削液、润滑油及产生的危险废物废切削液、废润滑油、漆渣、含漆废物、废过滤棉</w:t>
            </w:r>
            <w:r>
              <w:rPr>
                <w:rFonts w:hint="eastAsia"/>
                <w:bCs/>
                <w:color w:val="auto"/>
                <w:sz w:val="24"/>
                <w:szCs w:val="24"/>
              </w:rPr>
              <w:t>泄露可能会影响地下水环境。</w:t>
            </w:r>
          </w:p>
          <w:p>
            <w:pPr>
              <w:pStyle w:val="21"/>
              <w:spacing w:after="0" w:line="360" w:lineRule="auto"/>
              <w:ind w:firstLine="480" w:firstLineChars="200"/>
              <w:rPr>
                <w:b/>
                <w:color w:val="auto"/>
                <w:sz w:val="24"/>
                <w:szCs w:val="24"/>
              </w:rPr>
            </w:pPr>
            <w:r>
              <w:rPr>
                <w:rFonts w:hint="eastAsia"/>
                <w:b/>
                <w:color w:val="auto"/>
                <w:sz w:val="24"/>
                <w:szCs w:val="24"/>
              </w:rPr>
              <w:t>（4）土壤环境</w:t>
            </w:r>
          </w:p>
          <w:p>
            <w:pPr>
              <w:pStyle w:val="21"/>
              <w:spacing w:after="0" w:line="360" w:lineRule="auto"/>
              <w:ind w:firstLine="480" w:firstLineChars="200"/>
              <w:rPr>
                <w:bCs/>
                <w:color w:val="auto"/>
                <w:sz w:val="24"/>
                <w:szCs w:val="24"/>
              </w:rPr>
            </w:pPr>
            <w:r>
              <w:rPr>
                <w:rFonts w:hint="eastAsia"/>
                <w:bCs/>
                <w:color w:val="auto"/>
                <w:sz w:val="24"/>
                <w:szCs w:val="24"/>
              </w:rPr>
              <w:t>①</w:t>
            </w:r>
            <w:r>
              <w:rPr>
                <w:bCs/>
                <w:color w:val="auto"/>
                <w:sz w:val="24"/>
                <w:szCs w:val="24"/>
              </w:rPr>
              <w:t>事故</w:t>
            </w:r>
            <w:r>
              <w:rPr>
                <w:rFonts w:hint="eastAsia"/>
                <w:bCs/>
                <w:color w:val="auto"/>
                <w:sz w:val="24"/>
                <w:szCs w:val="24"/>
              </w:rPr>
              <w:t>状态下</w:t>
            </w:r>
            <w:r>
              <w:rPr>
                <w:bCs/>
                <w:color w:val="auto"/>
                <w:sz w:val="24"/>
                <w:szCs w:val="24"/>
              </w:rPr>
              <w:t>，</w:t>
            </w:r>
            <w:r>
              <w:rPr>
                <w:rFonts w:hint="eastAsia"/>
                <w:bCs/>
                <w:color w:val="auto"/>
                <w:sz w:val="24"/>
                <w:szCs w:val="24"/>
              </w:rPr>
              <w:t>生活污水、</w:t>
            </w:r>
            <w:r>
              <w:rPr>
                <w:bCs/>
                <w:color w:val="auto"/>
                <w:sz w:val="24"/>
                <w:szCs w:val="24"/>
              </w:rPr>
              <w:t>消防水</w:t>
            </w:r>
            <w:r>
              <w:rPr>
                <w:rFonts w:hint="eastAsia"/>
                <w:bCs/>
                <w:color w:val="auto"/>
                <w:sz w:val="24"/>
                <w:szCs w:val="24"/>
              </w:rPr>
              <w:t>可能会直接进入地下水环境，污染土壤环境</w:t>
            </w:r>
            <w:r>
              <w:rPr>
                <w:bCs/>
                <w:color w:val="auto"/>
                <w:sz w:val="24"/>
                <w:szCs w:val="24"/>
              </w:rPr>
              <w:t>。</w:t>
            </w:r>
          </w:p>
          <w:p>
            <w:pPr>
              <w:pStyle w:val="21"/>
              <w:spacing w:after="0" w:line="360" w:lineRule="auto"/>
              <w:ind w:firstLine="480" w:firstLineChars="200"/>
              <w:rPr>
                <w:bCs/>
                <w:color w:val="auto"/>
                <w:sz w:val="24"/>
                <w:szCs w:val="24"/>
              </w:rPr>
            </w:pPr>
            <w:r>
              <w:rPr>
                <w:rFonts w:hint="eastAsia"/>
                <w:bCs/>
                <w:color w:val="auto"/>
                <w:sz w:val="24"/>
                <w:szCs w:val="24"/>
              </w:rPr>
              <w:t>②</w:t>
            </w:r>
            <w:r>
              <w:rPr>
                <w:bCs/>
                <w:color w:val="auto"/>
                <w:sz w:val="24"/>
                <w:szCs w:val="24"/>
              </w:rPr>
              <w:t>事故</w:t>
            </w:r>
            <w:r>
              <w:rPr>
                <w:rFonts w:hint="eastAsia"/>
                <w:bCs/>
                <w:color w:val="auto"/>
                <w:sz w:val="24"/>
                <w:szCs w:val="24"/>
              </w:rPr>
              <w:t>状态下</w:t>
            </w:r>
            <w:r>
              <w:rPr>
                <w:bCs/>
                <w:color w:val="auto"/>
                <w:sz w:val="24"/>
                <w:szCs w:val="24"/>
              </w:rPr>
              <w:t>，</w:t>
            </w:r>
            <w:r>
              <w:rPr>
                <w:rFonts w:hint="eastAsia"/>
                <w:color w:val="auto"/>
                <w:sz w:val="24"/>
                <w:szCs w:val="24"/>
              </w:rPr>
              <w:t>水性漆（包括水性漆固化剂）、切削液、润滑油及产生</w:t>
            </w:r>
            <w:r>
              <w:rPr>
                <w:rFonts w:hint="eastAsia"/>
                <w:color w:val="auto"/>
                <w:sz w:val="24"/>
                <w:szCs w:val="24"/>
                <w:lang w:val="en-US" w:eastAsia="zh-CN"/>
              </w:rPr>
              <w:t>的危险废物废切削液、废润滑油、漆渣、含漆废物、废过滤棉</w:t>
            </w:r>
            <w:r>
              <w:rPr>
                <w:rFonts w:hint="eastAsia"/>
                <w:bCs/>
                <w:color w:val="auto"/>
                <w:sz w:val="24"/>
                <w:szCs w:val="24"/>
              </w:rPr>
              <w:t>泄露可能会影响土壤环境。</w:t>
            </w:r>
          </w:p>
          <w:p>
            <w:pPr>
              <w:pStyle w:val="21"/>
              <w:spacing w:after="0" w:line="360" w:lineRule="auto"/>
              <w:ind w:firstLine="480" w:firstLineChars="200"/>
              <w:rPr>
                <w:bCs/>
                <w:color w:val="auto"/>
                <w:sz w:val="24"/>
                <w:szCs w:val="24"/>
              </w:rPr>
            </w:pPr>
            <w:r>
              <w:rPr>
                <w:rFonts w:hint="eastAsia"/>
                <w:b/>
                <w:color w:val="auto"/>
                <w:sz w:val="24"/>
              </w:rPr>
              <w:t>（5）环境风险防范措施及应急要求</w:t>
            </w:r>
          </w:p>
          <w:p>
            <w:pPr>
              <w:pStyle w:val="21"/>
              <w:spacing w:after="0" w:line="360" w:lineRule="auto"/>
              <w:ind w:firstLine="480" w:firstLineChars="200"/>
              <w:rPr>
                <w:b/>
                <w:color w:val="auto"/>
                <w:sz w:val="24"/>
              </w:rPr>
            </w:pPr>
            <w:r>
              <w:rPr>
                <w:rFonts w:hint="eastAsia"/>
                <w:b/>
                <w:color w:val="auto"/>
                <w:sz w:val="24"/>
              </w:rPr>
              <w:t>环境风险防范措施：</w:t>
            </w:r>
          </w:p>
          <w:p>
            <w:pPr>
              <w:pStyle w:val="21"/>
              <w:spacing w:after="0" w:line="360" w:lineRule="auto"/>
              <w:ind w:firstLine="480" w:firstLineChars="200"/>
              <w:rPr>
                <w:rFonts w:ascii="宋体" w:hAnsi="宋体" w:cs="宋体"/>
                <w:b/>
                <w:color w:val="auto"/>
                <w:sz w:val="24"/>
                <w:szCs w:val="24"/>
              </w:rPr>
            </w:pPr>
            <w:r>
              <w:rPr>
                <w:rFonts w:hint="eastAsia" w:ascii="宋体" w:hAnsi="宋体" w:cs="宋体"/>
                <w:b/>
                <w:color w:val="auto"/>
                <w:sz w:val="24"/>
                <w:szCs w:val="24"/>
              </w:rPr>
              <w:t>①危险化学品管理措施：</w:t>
            </w:r>
          </w:p>
          <w:p>
            <w:pPr>
              <w:pStyle w:val="21"/>
              <w:spacing w:after="0" w:line="360" w:lineRule="auto"/>
              <w:ind w:firstLine="480" w:firstLineChars="200"/>
              <w:rPr>
                <w:rFonts w:ascii="宋体" w:hAnsi="宋体" w:cs="宋体"/>
                <w:bCs/>
                <w:color w:val="auto"/>
                <w:sz w:val="24"/>
                <w:szCs w:val="24"/>
              </w:rPr>
            </w:pPr>
            <w:r>
              <w:rPr>
                <w:rFonts w:hint="eastAsia" w:ascii="宋体" w:hAnsi="宋体" w:cs="宋体"/>
                <w:bCs/>
                <w:color w:val="auto"/>
                <w:sz w:val="24"/>
                <w:szCs w:val="24"/>
              </w:rPr>
              <w:t xml:space="preserve">a严格按《危险化学品安全管理条例》的要求，加强对危险化学品的管理； 制定危险化学品安全操作规程，要求操作人员严格按操作规程作业；对从事危险 化学作业人员定期进行安全培训教育；对危险化学品作业场所进行安全检查。 </w:t>
            </w:r>
          </w:p>
          <w:p>
            <w:pPr>
              <w:pStyle w:val="21"/>
              <w:spacing w:after="0" w:line="360" w:lineRule="auto"/>
              <w:ind w:firstLine="480" w:firstLineChars="200"/>
              <w:rPr>
                <w:rFonts w:hint="eastAsia" w:ascii="宋体" w:hAnsi="宋体" w:eastAsia="宋体" w:cs="宋体"/>
                <w:bCs/>
                <w:color w:val="auto"/>
                <w:sz w:val="24"/>
                <w:szCs w:val="24"/>
                <w:lang w:eastAsia="zh-CN"/>
              </w:rPr>
            </w:pPr>
            <w:r>
              <w:rPr>
                <w:rFonts w:hint="eastAsia" w:ascii="宋体" w:hAnsi="宋体" w:cs="宋体"/>
                <w:bCs/>
                <w:color w:val="auto"/>
                <w:sz w:val="24"/>
                <w:szCs w:val="24"/>
              </w:rPr>
              <w:t>b仓库及库区应符合储存危险化学品的相关条件（如防晒、防潮、通风、防 雷、防静电等），实施危险化学品的储存和使用；在仓库、库区设置明显的防火 等级标志，通道、出入口和通向消防设施的道路保持畅通。同时，危险化学品储 存场所应严格按照规定管道、设备材质、阀门及配件，加强现场管理，消除跑、59冒、滴、漏；建立健全安全规程及值勤制度，设置通讯、报警装置，确保其处于完好状态；对使用危险化学品的名称、数量进行严格登记；凡储存、使用危险化学品的岗位，都应配置合格的防毒器材、消防器材，并确保其处于完好状态；所有进入储存、使用危险化学品的人员，都必须严格遵守《危险化学品管理制度》。</w:t>
            </w:r>
          </w:p>
          <w:p>
            <w:pPr>
              <w:pStyle w:val="21"/>
              <w:spacing w:after="0" w:line="360" w:lineRule="auto"/>
              <w:ind w:firstLine="480" w:firstLineChars="200"/>
              <w:rPr>
                <w:rFonts w:hint="eastAsia" w:ascii="宋体" w:hAnsi="宋体" w:eastAsia="宋体" w:cs="宋体"/>
                <w:bCs/>
                <w:color w:val="auto"/>
                <w:sz w:val="24"/>
                <w:szCs w:val="24"/>
                <w:lang w:eastAsia="zh-CN"/>
              </w:rPr>
            </w:pPr>
            <w:r>
              <w:rPr>
                <w:rFonts w:hint="eastAsia" w:ascii="宋体" w:hAnsi="宋体" w:cs="宋体"/>
                <w:bCs/>
                <w:color w:val="auto"/>
                <w:sz w:val="24"/>
                <w:szCs w:val="24"/>
              </w:rPr>
              <w:t>c运输危险化学品的车、船应悬挂危险化学品标志不得在人口稠密地停留；危险化学品的运输、押运人员，应配置合格的防护器材。</w:t>
            </w:r>
          </w:p>
          <w:p>
            <w:pPr>
              <w:pStyle w:val="21"/>
              <w:spacing w:after="0" w:line="360" w:lineRule="auto"/>
              <w:ind w:firstLine="480" w:firstLineChars="200"/>
              <w:rPr>
                <w:rFonts w:hint="eastAsia" w:ascii="宋体" w:hAnsi="宋体" w:eastAsia="宋体" w:cs="宋体"/>
                <w:bCs/>
                <w:color w:val="auto"/>
                <w:sz w:val="24"/>
                <w:szCs w:val="24"/>
                <w:lang w:eastAsia="zh-CN"/>
              </w:rPr>
            </w:pPr>
            <w:r>
              <w:rPr>
                <w:rFonts w:hint="eastAsia" w:ascii="宋体" w:hAnsi="宋体" w:cs="宋体"/>
                <w:bCs/>
                <w:color w:val="auto"/>
                <w:sz w:val="24"/>
                <w:szCs w:val="24"/>
              </w:rPr>
              <w:t>d危险化学品存放区必须设置于阴凉、通风的库房，库房必须防渗、防漏、防雨。</w:t>
            </w:r>
          </w:p>
          <w:p>
            <w:pPr>
              <w:pStyle w:val="21"/>
              <w:spacing w:after="0" w:line="360" w:lineRule="auto"/>
              <w:ind w:firstLine="480" w:firstLineChars="200"/>
              <w:rPr>
                <w:rFonts w:ascii="宋体" w:hAnsi="宋体" w:cs="宋体"/>
                <w:bCs/>
                <w:color w:val="auto"/>
                <w:sz w:val="24"/>
                <w:szCs w:val="24"/>
              </w:rPr>
            </w:pPr>
            <w:r>
              <w:rPr>
                <w:rFonts w:hint="eastAsia" w:ascii="宋体" w:hAnsi="宋体" w:cs="宋体"/>
                <w:bCs/>
                <w:color w:val="auto"/>
                <w:sz w:val="24"/>
                <w:szCs w:val="24"/>
              </w:rPr>
              <w:t>e危险化学品存放区设置一个收集桶，当泄漏事故发生时，收集至桶内暂存，最终作为危险废物处理。</w:t>
            </w:r>
          </w:p>
          <w:p>
            <w:pPr>
              <w:pStyle w:val="21"/>
              <w:spacing w:after="0" w:line="360" w:lineRule="auto"/>
              <w:ind w:firstLine="480" w:firstLineChars="200"/>
              <w:rPr>
                <w:rFonts w:ascii="宋体" w:hAnsi="宋体" w:cs="宋体"/>
                <w:bCs/>
                <w:color w:val="auto"/>
                <w:sz w:val="24"/>
                <w:szCs w:val="24"/>
              </w:rPr>
            </w:pPr>
            <w:r>
              <w:rPr>
                <w:rFonts w:hint="eastAsia" w:ascii="宋体" w:hAnsi="宋体" w:cs="宋体"/>
                <w:bCs/>
                <w:color w:val="auto"/>
                <w:sz w:val="24"/>
                <w:szCs w:val="24"/>
              </w:rPr>
              <w:t>f危险化学品存放区应配备吸附剂等材料，防止发生事故时能对事故进行应急处理。</w:t>
            </w:r>
          </w:p>
          <w:p>
            <w:pPr>
              <w:pStyle w:val="21"/>
              <w:spacing w:after="0" w:line="360" w:lineRule="auto"/>
              <w:ind w:firstLine="480" w:firstLineChars="200"/>
              <w:rPr>
                <w:b/>
                <w:color w:val="auto"/>
                <w:sz w:val="24"/>
                <w:szCs w:val="24"/>
              </w:rPr>
            </w:pPr>
            <w:r>
              <w:rPr>
                <w:rFonts w:hint="eastAsia" w:ascii="宋体" w:hAnsi="宋体" w:cs="宋体"/>
                <w:b/>
                <w:color w:val="auto"/>
                <w:sz w:val="24"/>
                <w:szCs w:val="24"/>
              </w:rPr>
              <w:t>②</w:t>
            </w:r>
            <w:r>
              <w:rPr>
                <w:b/>
                <w:color w:val="auto"/>
                <w:sz w:val="24"/>
              </w:rPr>
              <w:t>泄漏事故</w:t>
            </w:r>
            <w:r>
              <w:rPr>
                <w:rFonts w:hint="eastAsia"/>
                <w:b/>
                <w:color w:val="auto"/>
                <w:sz w:val="24"/>
              </w:rPr>
              <w:t>风险防范措施</w:t>
            </w:r>
          </w:p>
          <w:p>
            <w:pPr>
              <w:pStyle w:val="21"/>
              <w:spacing w:after="0" w:line="360" w:lineRule="auto"/>
              <w:ind w:firstLine="480" w:firstLineChars="200"/>
              <w:rPr>
                <w:bCs/>
                <w:color w:val="auto"/>
                <w:sz w:val="24"/>
                <w:szCs w:val="24"/>
              </w:rPr>
            </w:pPr>
            <w:r>
              <w:rPr>
                <w:bCs/>
                <w:color w:val="auto"/>
                <w:sz w:val="24"/>
                <w:szCs w:val="24"/>
              </w:rPr>
              <w:t>泄漏事故的预防是物料储运中最重要的环节，</w:t>
            </w:r>
            <w:r>
              <w:rPr>
                <w:rFonts w:hint="eastAsia"/>
                <w:bCs/>
                <w:color w:val="auto"/>
                <w:sz w:val="24"/>
                <w:szCs w:val="24"/>
              </w:rPr>
              <w:t>本项目</w:t>
            </w:r>
            <w:r>
              <w:rPr>
                <w:rFonts w:hint="eastAsia"/>
                <w:color w:val="auto"/>
                <w:sz w:val="24"/>
                <w:szCs w:val="24"/>
              </w:rPr>
              <w:t>水性漆（包括水性漆固化剂）、切削液、润滑油及产生</w:t>
            </w:r>
            <w:r>
              <w:rPr>
                <w:rFonts w:hint="eastAsia"/>
                <w:color w:val="auto"/>
                <w:sz w:val="24"/>
                <w:szCs w:val="24"/>
                <w:lang w:val="en-US" w:eastAsia="zh-CN"/>
              </w:rPr>
              <w:t>的危险废物废切削液、废润滑油、漆渣、含漆废物、废过滤棉</w:t>
            </w:r>
            <w:r>
              <w:rPr>
                <w:rFonts w:hint="eastAsia"/>
                <w:bCs/>
                <w:color w:val="auto"/>
                <w:sz w:val="24"/>
                <w:szCs w:val="24"/>
              </w:rPr>
              <w:t>具有可燃性，运输过程中要确保容器不泄漏、不倒塌、不坠落、不损坏、防潮防雨。如发现包装容器发生锈蚀、破裂、孔洞、溶化淌水等现象时，应立即更换包装或及早发货使用，容器破损可用锡焊修补。严禁与易燃物或可燃物、酸类、食用化学品等混装混运。运输时运输车辆应配备泄漏应急处理设备。不得与易燃物和酸类共贮混运。失火时，可用水、砂土和各种灭火器扑救。</w:t>
            </w:r>
          </w:p>
          <w:p>
            <w:pPr>
              <w:pStyle w:val="21"/>
              <w:spacing w:after="0" w:line="360" w:lineRule="auto"/>
              <w:ind w:firstLine="480" w:firstLineChars="200"/>
              <w:rPr>
                <w:b/>
                <w:color w:val="auto"/>
                <w:sz w:val="24"/>
              </w:rPr>
            </w:pPr>
            <w:r>
              <w:rPr>
                <w:rFonts w:hint="eastAsia" w:ascii="宋体" w:hAnsi="宋体" w:cs="宋体"/>
                <w:b/>
                <w:bCs/>
                <w:color w:val="auto"/>
                <w:sz w:val="24"/>
                <w:szCs w:val="24"/>
              </w:rPr>
              <w:t>③</w:t>
            </w:r>
            <w:r>
              <w:rPr>
                <w:b/>
                <w:color w:val="auto"/>
                <w:sz w:val="24"/>
              </w:rPr>
              <w:t>废气处理装置</w:t>
            </w:r>
            <w:r>
              <w:rPr>
                <w:rFonts w:hint="eastAsia"/>
                <w:b/>
                <w:color w:val="auto"/>
                <w:sz w:val="24"/>
              </w:rPr>
              <w:t>设备</w:t>
            </w:r>
            <w:r>
              <w:rPr>
                <w:b/>
                <w:color w:val="auto"/>
                <w:sz w:val="24"/>
              </w:rPr>
              <w:t>事故</w:t>
            </w:r>
            <w:r>
              <w:rPr>
                <w:rFonts w:hint="eastAsia"/>
                <w:b/>
                <w:color w:val="auto"/>
                <w:sz w:val="24"/>
              </w:rPr>
              <w:t>风险防范措施</w:t>
            </w:r>
          </w:p>
          <w:p>
            <w:pPr>
              <w:pStyle w:val="21"/>
              <w:spacing w:after="0" w:line="360" w:lineRule="auto"/>
              <w:ind w:firstLine="480" w:firstLineChars="200"/>
              <w:rPr>
                <w:color w:val="auto"/>
                <w:sz w:val="24"/>
              </w:rPr>
            </w:pPr>
            <w:r>
              <w:rPr>
                <w:color w:val="auto"/>
                <w:sz w:val="24"/>
              </w:rPr>
              <w:t>为减少事故的发生和影响建设单位应采取以下措施。</w:t>
            </w:r>
          </w:p>
          <w:p>
            <w:pPr>
              <w:pStyle w:val="21"/>
              <w:spacing w:after="0" w:line="360" w:lineRule="auto"/>
              <w:ind w:firstLine="480" w:firstLineChars="200"/>
              <w:rPr>
                <w:color w:val="auto"/>
                <w:sz w:val="24"/>
                <w:szCs w:val="24"/>
              </w:rPr>
            </w:pPr>
            <w:r>
              <w:rPr>
                <w:rFonts w:hint="eastAsia"/>
                <w:color w:val="auto"/>
                <w:sz w:val="24"/>
                <w:szCs w:val="24"/>
              </w:rPr>
              <w:t>a</w:t>
            </w:r>
            <w:r>
              <w:rPr>
                <w:color w:val="auto"/>
                <w:sz w:val="24"/>
                <w:szCs w:val="24"/>
              </w:rPr>
              <w:t>建立严格的操作规程，实行目标责任制，保证环境保护设施</w:t>
            </w:r>
            <w:r>
              <w:rPr>
                <w:rFonts w:hint="eastAsia"/>
                <w:color w:val="auto"/>
                <w:sz w:val="24"/>
                <w:szCs w:val="24"/>
              </w:rPr>
              <w:t>和设备</w:t>
            </w:r>
            <w:r>
              <w:rPr>
                <w:color w:val="auto"/>
                <w:sz w:val="24"/>
                <w:szCs w:val="24"/>
              </w:rPr>
              <w:t>的正常运行。</w:t>
            </w:r>
          </w:p>
          <w:p>
            <w:pPr>
              <w:widowControl/>
              <w:adjustRightInd w:val="0"/>
              <w:snapToGrid w:val="0"/>
              <w:spacing w:line="360" w:lineRule="auto"/>
              <w:ind w:firstLine="480" w:firstLineChars="200"/>
              <w:rPr>
                <w:color w:val="auto"/>
                <w:sz w:val="24"/>
                <w:szCs w:val="24"/>
              </w:rPr>
            </w:pPr>
            <w:r>
              <w:rPr>
                <w:rFonts w:hint="eastAsia"/>
                <w:color w:val="auto"/>
                <w:sz w:val="24"/>
                <w:szCs w:val="24"/>
              </w:rPr>
              <w:t>b</w:t>
            </w:r>
            <w:r>
              <w:rPr>
                <w:color w:val="auto"/>
                <w:sz w:val="24"/>
                <w:szCs w:val="24"/>
              </w:rPr>
              <w:t>应严格按工艺规程进行操作，特别在易发生事故工序，同时，操作人员应穿戴好劳动防护用品。</w:t>
            </w:r>
          </w:p>
          <w:p>
            <w:pPr>
              <w:widowControl/>
              <w:adjustRightInd w:val="0"/>
              <w:snapToGrid w:val="0"/>
              <w:spacing w:line="360" w:lineRule="auto"/>
              <w:ind w:firstLine="480" w:firstLineChars="200"/>
              <w:rPr>
                <w:color w:val="auto"/>
                <w:sz w:val="24"/>
                <w:szCs w:val="24"/>
              </w:rPr>
            </w:pPr>
            <w:r>
              <w:rPr>
                <w:rFonts w:hint="eastAsia"/>
                <w:color w:val="auto"/>
                <w:sz w:val="24"/>
                <w:szCs w:val="24"/>
              </w:rPr>
              <w:t>c</w:t>
            </w:r>
            <w:r>
              <w:rPr>
                <w:color w:val="auto"/>
                <w:sz w:val="24"/>
                <w:szCs w:val="24"/>
              </w:rPr>
              <w:t>对废气处理系统进行定期的监测和检修，如发生设备运行不稳定的情况，需对设备进行更换和修理，确保废气处理装置的正常运行。</w:t>
            </w:r>
          </w:p>
          <w:p>
            <w:pPr>
              <w:widowControl/>
              <w:adjustRightInd w:val="0"/>
              <w:snapToGrid w:val="0"/>
              <w:spacing w:line="360" w:lineRule="auto"/>
              <w:ind w:firstLine="480" w:firstLineChars="200"/>
              <w:rPr>
                <w:color w:val="auto"/>
                <w:sz w:val="24"/>
                <w:szCs w:val="24"/>
              </w:rPr>
            </w:pPr>
            <w:r>
              <w:rPr>
                <w:rFonts w:hint="eastAsia"/>
                <w:color w:val="auto"/>
                <w:sz w:val="24"/>
                <w:szCs w:val="24"/>
              </w:rPr>
              <w:t>d</w:t>
            </w:r>
            <w:r>
              <w:rPr>
                <w:color w:val="auto"/>
                <w:sz w:val="24"/>
                <w:szCs w:val="24"/>
              </w:rPr>
              <w:t>废气处理装置一旦出现故障，应立即关闭生产设备，避免废气未经处理进入大气环境。</w:t>
            </w:r>
          </w:p>
          <w:p>
            <w:pPr>
              <w:widowControl/>
              <w:adjustRightInd w:val="0"/>
              <w:snapToGrid w:val="0"/>
              <w:spacing w:line="360" w:lineRule="auto"/>
              <w:ind w:firstLine="480" w:firstLineChars="200"/>
              <w:rPr>
                <w:color w:val="auto"/>
                <w:sz w:val="24"/>
                <w:szCs w:val="24"/>
              </w:rPr>
            </w:pPr>
            <w:r>
              <w:rPr>
                <w:rFonts w:hint="eastAsia"/>
                <w:color w:val="auto"/>
                <w:sz w:val="24"/>
                <w:szCs w:val="24"/>
              </w:rPr>
              <w:t>e</w:t>
            </w:r>
            <w:r>
              <w:rPr>
                <w:color w:val="auto"/>
                <w:sz w:val="24"/>
                <w:szCs w:val="24"/>
              </w:rPr>
              <w:t>加强对职工的安全教育，制定严格的工作守则和个人卫生措施，以保证生产的正常运行和员工的身体健康。</w:t>
            </w:r>
          </w:p>
          <w:p>
            <w:pPr>
              <w:widowControl/>
              <w:adjustRightInd w:val="0"/>
              <w:snapToGrid w:val="0"/>
              <w:spacing w:line="360" w:lineRule="auto"/>
              <w:ind w:firstLine="480" w:firstLineChars="200"/>
              <w:rPr>
                <w:color w:val="auto"/>
                <w:sz w:val="24"/>
                <w:szCs w:val="24"/>
              </w:rPr>
            </w:pPr>
            <w:r>
              <w:rPr>
                <w:rFonts w:hint="eastAsia"/>
                <w:color w:val="auto"/>
                <w:sz w:val="24"/>
                <w:szCs w:val="24"/>
              </w:rPr>
              <w:t>h</w:t>
            </w:r>
            <w:r>
              <w:rPr>
                <w:color w:val="auto"/>
                <w:sz w:val="24"/>
                <w:szCs w:val="24"/>
              </w:rPr>
              <w:t>事故发生时的行动计划应当制定一个当事故发生时的必须采取哪些行动的计划。这种行动计划应该得到地方紧急事故服务部门（例如消防、救护、交通以及公安等有关负责部门）的同意，并向他们提供有关有毒有害物质危害的资料，还需定期进行演习以检查行动计划的效果。</w:t>
            </w:r>
          </w:p>
          <w:p>
            <w:pPr>
              <w:widowControl/>
              <w:adjustRightInd w:val="0"/>
              <w:snapToGrid w:val="0"/>
              <w:spacing w:line="360" w:lineRule="auto"/>
              <w:ind w:firstLine="480" w:firstLineChars="200"/>
              <w:rPr>
                <w:b/>
                <w:color w:val="auto"/>
                <w:sz w:val="24"/>
                <w:szCs w:val="24"/>
              </w:rPr>
            </w:pPr>
            <w:r>
              <w:rPr>
                <w:rFonts w:hint="eastAsia" w:ascii="宋体" w:hAnsi="宋体" w:cs="宋体"/>
                <w:b/>
                <w:bCs/>
                <w:color w:val="auto"/>
                <w:sz w:val="24"/>
                <w:szCs w:val="24"/>
              </w:rPr>
              <w:t>④</w:t>
            </w:r>
            <w:r>
              <w:rPr>
                <w:rFonts w:hint="eastAsia"/>
                <w:b/>
                <w:color w:val="auto"/>
                <w:sz w:val="24"/>
                <w:szCs w:val="24"/>
              </w:rPr>
              <w:t>火灾爆炸事故</w:t>
            </w:r>
            <w:r>
              <w:rPr>
                <w:rFonts w:hint="eastAsia"/>
                <w:b/>
                <w:color w:val="auto"/>
                <w:sz w:val="24"/>
              </w:rPr>
              <w:t>风险防范措施</w:t>
            </w:r>
          </w:p>
          <w:p>
            <w:pPr>
              <w:widowControl/>
              <w:adjustRightInd w:val="0"/>
              <w:snapToGrid w:val="0"/>
              <w:spacing w:line="360" w:lineRule="auto"/>
              <w:ind w:firstLine="480" w:firstLineChars="200"/>
              <w:rPr>
                <w:color w:val="auto"/>
                <w:sz w:val="24"/>
              </w:rPr>
            </w:pPr>
            <w:r>
              <w:rPr>
                <w:rFonts w:hint="eastAsia"/>
                <w:color w:val="auto"/>
                <w:sz w:val="24"/>
              </w:rPr>
              <w:t>A、防范措施</w:t>
            </w:r>
          </w:p>
          <w:p>
            <w:pPr>
              <w:widowControl/>
              <w:adjustRightInd w:val="0"/>
              <w:snapToGrid w:val="0"/>
              <w:spacing w:line="360" w:lineRule="auto"/>
              <w:ind w:firstLine="480" w:firstLineChars="200"/>
              <w:rPr>
                <w:color w:val="auto"/>
                <w:sz w:val="24"/>
              </w:rPr>
            </w:pPr>
            <w:r>
              <w:rPr>
                <w:color w:val="auto"/>
                <w:sz w:val="24"/>
              </w:rPr>
              <w:t>为减少事故的发生和影响建设单位应采取以下措施。</w:t>
            </w:r>
          </w:p>
          <w:p>
            <w:pPr>
              <w:widowControl/>
              <w:adjustRightInd w:val="0"/>
              <w:snapToGrid w:val="0"/>
              <w:spacing w:line="360" w:lineRule="auto"/>
              <w:ind w:firstLine="480" w:firstLineChars="200"/>
              <w:rPr>
                <w:color w:val="auto"/>
                <w:sz w:val="24"/>
                <w:szCs w:val="21"/>
              </w:rPr>
            </w:pPr>
            <w:r>
              <w:rPr>
                <w:color w:val="auto"/>
                <w:sz w:val="24"/>
                <w:szCs w:val="21"/>
              </w:rPr>
              <w:t>企业需建立健全安全操作规程及值勤制度，设置通讯、报警装置，并确保其处于完好状态；</w:t>
            </w:r>
            <w:r>
              <w:rPr>
                <w:rFonts w:hint="eastAsia"/>
                <w:color w:val="auto"/>
                <w:sz w:val="24"/>
                <w:szCs w:val="21"/>
              </w:rPr>
              <w:t>厂区</w:t>
            </w:r>
            <w:r>
              <w:rPr>
                <w:color w:val="auto"/>
                <w:sz w:val="24"/>
                <w:szCs w:val="21"/>
              </w:rPr>
              <w:t>配置合格的消防器材，并确保其处于完好状态。</w:t>
            </w:r>
          </w:p>
          <w:p>
            <w:pPr>
              <w:widowControl/>
              <w:adjustRightInd w:val="0"/>
              <w:snapToGrid w:val="0"/>
              <w:spacing w:line="360" w:lineRule="auto"/>
              <w:ind w:firstLine="480" w:firstLineChars="200"/>
              <w:rPr>
                <w:color w:val="auto"/>
                <w:sz w:val="24"/>
                <w:szCs w:val="21"/>
              </w:rPr>
            </w:pPr>
            <w:r>
              <w:rPr>
                <w:rFonts w:hint="eastAsia"/>
                <w:color w:val="auto"/>
                <w:sz w:val="24"/>
                <w:szCs w:val="21"/>
              </w:rPr>
              <w:t>加强火源的管理，严禁烟火带入，对设备需进行维修焊接，应经安全部门确认、准许，并有记录。机动车在厂内行驶，须安装阻火器，必要设备安装防火、防爆装置。</w:t>
            </w:r>
          </w:p>
          <w:p>
            <w:pPr>
              <w:widowControl/>
              <w:adjustRightInd w:val="0"/>
              <w:snapToGrid w:val="0"/>
              <w:spacing w:line="360" w:lineRule="auto"/>
              <w:ind w:firstLine="480" w:firstLineChars="200"/>
              <w:rPr>
                <w:color w:val="auto"/>
                <w:sz w:val="24"/>
                <w:szCs w:val="21"/>
              </w:rPr>
            </w:pPr>
            <w:r>
              <w:rPr>
                <w:rFonts w:hint="eastAsia"/>
                <w:color w:val="auto"/>
                <w:sz w:val="24"/>
                <w:szCs w:val="21"/>
              </w:rPr>
              <w:t>厂区设置一套火灾报警系统，该系统由火灾报警控制器、感烟探测器、感温探测器、手动报警按钮及声光报警器等组成。当本工程各装置区内发生火灾时，以便控制室的工作人员对火灾现场情况做相应的处理。</w:t>
            </w:r>
          </w:p>
          <w:p>
            <w:pPr>
              <w:widowControl/>
              <w:adjustRightInd w:val="0"/>
              <w:snapToGrid w:val="0"/>
              <w:spacing w:line="360" w:lineRule="auto"/>
              <w:ind w:firstLine="480" w:firstLineChars="200"/>
              <w:rPr>
                <w:color w:val="auto"/>
                <w:sz w:val="24"/>
                <w:szCs w:val="21"/>
              </w:rPr>
            </w:pPr>
            <w:r>
              <w:rPr>
                <w:rFonts w:hint="eastAsia"/>
                <w:color w:val="auto"/>
                <w:sz w:val="24"/>
                <w:szCs w:val="21"/>
              </w:rPr>
              <w:t>设备的安全管理：定期对设备进行安全检测，检测内容、时间、人员应有记录保存。安全检测应根据设备的安全性、危险性设定检测频次。</w:t>
            </w:r>
          </w:p>
          <w:p>
            <w:pPr>
              <w:pStyle w:val="21"/>
              <w:numPr>
                <w:ilvl w:val="0"/>
                <w:numId w:val="0"/>
              </w:numPr>
              <w:spacing w:after="0" w:line="360" w:lineRule="auto"/>
              <w:ind w:firstLine="480" w:firstLineChars="200"/>
              <w:rPr>
                <w:rFonts w:hint="eastAsia"/>
                <w:b/>
                <w:color w:val="auto"/>
                <w:sz w:val="24"/>
              </w:rPr>
            </w:pPr>
            <w:r>
              <w:rPr>
                <w:rFonts w:hint="eastAsia"/>
                <w:b/>
                <w:color w:val="auto"/>
                <w:sz w:val="24"/>
                <w:lang w:val="en-US" w:eastAsia="zh-CN"/>
              </w:rPr>
              <w:t>B</w:t>
            </w:r>
            <w:r>
              <w:rPr>
                <w:rFonts w:hint="eastAsia"/>
                <w:b/>
                <w:color w:val="auto"/>
                <w:sz w:val="24"/>
              </w:rPr>
              <w:t>事故应急储罐</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企业需建立一套完整的事故收集系统，包括一个事故应急储罐及相应的事故</w:t>
            </w:r>
          </w:p>
          <w:p>
            <w:pPr>
              <w:pStyle w:val="21"/>
              <w:numPr>
                <w:ilvl w:val="0"/>
                <w:numId w:val="0"/>
              </w:numPr>
              <w:spacing w:after="0" w:line="360" w:lineRule="auto"/>
              <w:rPr>
                <w:rFonts w:hint="eastAsia"/>
                <w:b w:val="0"/>
                <w:bCs/>
                <w:color w:val="auto"/>
                <w:sz w:val="24"/>
              </w:rPr>
            </w:pPr>
            <w:r>
              <w:rPr>
                <w:rFonts w:hint="eastAsia"/>
                <w:b w:val="0"/>
                <w:bCs/>
                <w:color w:val="auto"/>
                <w:sz w:val="24"/>
              </w:rPr>
              <w:t>收集管道。制定严格的排水规划，设置事故应急储罐、管网、切换阀和监控等，</w:t>
            </w:r>
          </w:p>
          <w:p>
            <w:pPr>
              <w:pStyle w:val="21"/>
              <w:numPr>
                <w:ilvl w:val="0"/>
                <w:numId w:val="0"/>
              </w:numPr>
              <w:spacing w:after="0" w:line="360" w:lineRule="auto"/>
              <w:rPr>
                <w:rFonts w:hint="eastAsia"/>
                <w:b w:val="0"/>
                <w:bCs/>
                <w:color w:val="auto"/>
                <w:sz w:val="24"/>
              </w:rPr>
            </w:pPr>
            <w:r>
              <w:rPr>
                <w:rFonts w:hint="eastAsia"/>
                <w:b w:val="0"/>
                <w:bCs/>
                <w:color w:val="auto"/>
                <w:sz w:val="24"/>
              </w:rPr>
              <w:t>使消防废水排水处于监控状态，严禁事故废水排出厂外，次生危害造成水体污染。</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事故应急储罐容积估算：根据中石化建标〔2006〕43号文《水体污染防控紧急措施设计导则》中指出事故储存设施总有效容积的核算考虑以下几个方面：</w:t>
            </w:r>
          </w:p>
          <w:p>
            <w:pPr>
              <w:pStyle w:val="21"/>
              <w:numPr>
                <w:ilvl w:val="0"/>
                <w:numId w:val="0"/>
              </w:numPr>
              <w:spacing w:after="0" w:line="360" w:lineRule="auto"/>
              <w:ind w:firstLine="480" w:firstLineChars="200"/>
              <w:rPr>
                <w:rFonts w:hint="default" w:eastAsia="宋体"/>
                <w:b w:val="0"/>
                <w:bCs/>
                <w:color w:val="auto"/>
                <w:sz w:val="24"/>
                <w:lang w:val="en-US" w:eastAsia="zh-CN"/>
              </w:rPr>
            </w:pPr>
            <w:r>
              <w:rPr>
                <w:rFonts w:hint="eastAsia"/>
                <w:b w:val="0"/>
                <w:bCs/>
                <w:color w:val="auto"/>
                <w:sz w:val="24"/>
                <w:lang w:val="en-US" w:eastAsia="zh-CN"/>
              </w:rPr>
              <w:t>V</w:t>
            </w:r>
            <w:r>
              <w:rPr>
                <w:rFonts w:hint="eastAsia"/>
                <w:b w:val="0"/>
                <w:bCs/>
                <w:color w:val="auto"/>
                <w:sz w:val="24"/>
                <w:vertAlign w:val="subscript"/>
                <w:lang w:val="en-US" w:eastAsia="zh-CN"/>
              </w:rPr>
              <w:t>总</w:t>
            </w:r>
            <w:r>
              <w:rPr>
                <w:rFonts w:hint="eastAsia"/>
                <w:b w:val="0"/>
                <w:bCs/>
                <w:color w:val="auto"/>
                <w:sz w:val="24"/>
                <w:vertAlign w:val="baseline"/>
                <w:lang w:val="en-US" w:eastAsia="zh-CN"/>
              </w:rPr>
              <w:t>=（V1+V2-V3）max+V4+V5</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注：（V1＋V2-V3）max指对收集系统范围内不同罐组成或装置分别计算V1＋V2-V3，取其中最大值。</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V1——最大一个容量的设备或贮罐。本项目不涉及，取0。</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V2———发生事故的储罐或装置的同时使用的消防设施给水流量，m</w:t>
            </w:r>
            <w:r>
              <w:rPr>
                <w:rFonts w:hint="eastAsia"/>
                <w:b w:val="0"/>
                <w:bCs/>
                <w:color w:val="auto"/>
                <w:sz w:val="24"/>
                <w:vertAlign w:val="superscript"/>
              </w:rPr>
              <w:t>3</w:t>
            </w:r>
            <w:r>
              <w:rPr>
                <w:rFonts w:hint="eastAsia"/>
                <w:b w:val="0"/>
                <w:bCs/>
                <w:color w:val="auto"/>
                <w:sz w:val="24"/>
              </w:rPr>
              <w:t>/h；（事故消防用水量按30L/s计）。</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t</w:t>
            </w:r>
            <w:r>
              <w:rPr>
                <w:rFonts w:hint="eastAsia"/>
                <w:b w:val="0"/>
                <w:bCs/>
                <w:color w:val="auto"/>
                <w:sz w:val="24"/>
                <w:vertAlign w:val="subscript"/>
              </w:rPr>
              <w:t>消</w:t>
            </w:r>
            <w:r>
              <w:rPr>
                <w:rFonts w:hint="eastAsia"/>
                <w:b w:val="0"/>
                <w:bCs/>
                <w:color w:val="auto"/>
                <w:sz w:val="24"/>
              </w:rPr>
              <w:t>——消防设施对应的设计消防历时，h；（本项目事故持续时间假定为20min），所以，一次事故收集的消防废水量为36m</w:t>
            </w:r>
            <w:r>
              <w:rPr>
                <w:rFonts w:hint="eastAsia"/>
                <w:b w:val="0"/>
                <w:bCs/>
                <w:color w:val="auto"/>
                <w:sz w:val="24"/>
                <w:vertAlign w:val="superscript"/>
              </w:rPr>
              <w:t>3</w:t>
            </w:r>
            <w:r>
              <w:rPr>
                <w:rFonts w:hint="eastAsia"/>
                <w:b w:val="0"/>
                <w:bCs/>
                <w:color w:val="auto"/>
                <w:sz w:val="24"/>
              </w:rPr>
              <w:t>。</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V3——发生事故时可以转输到其他储存或处理设施的物料量，m3；本项目</w:t>
            </w:r>
          </w:p>
          <w:p>
            <w:pPr>
              <w:pStyle w:val="21"/>
              <w:numPr>
                <w:ilvl w:val="0"/>
                <w:numId w:val="0"/>
              </w:numPr>
              <w:spacing w:after="0" w:line="360" w:lineRule="auto"/>
              <w:rPr>
                <w:rFonts w:hint="eastAsia"/>
                <w:b w:val="0"/>
                <w:bCs/>
                <w:color w:val="auto"/>
                <w:sz w:val="24"/>
              </w:rPr>
            </w:pPr>
            <w:r>
              <w:rPr>
                <w:rFonts w:hint="eastAsia"/>
                <w:b w:val="0"/>
                <w:bCs/>
                <w:color w:val="auto"/>
                <w:sz w:val="24"/>
              </w:rPr>
              <w:t>为0。</w:t>
            </w:r>
          </w:p>
          <w:p>
            <w:pPr>
              <w:pStyle w:val="21"/>
              <w:numPr>
                <w:ilvl w:val="0"/>
                <w:numId w:val="0"/>
              </w:numPr>
              <w:spacing w:after="0" w:line="360" w:lineRule="auto"/>
              <w:ind w:firstLine="480" w:firstLineChars="200"/>
              <w:rPr>
                <w:rFonts w:hint="eastAsia" w:eastAsia="宋体"/>
                <w:b w:val="0"/>
                <w:bCs/>
                <w:color w:val="auto"/>
                <w:sz w:val="24"/>
                <w:lang w:eastAsia="zh-CN"/>
              </w:rPr>
            </w:pPr>
            <w:r>
              <w:rPr>
                <w:rFonts w:hint="eastAsia"/>
                <w:b w:val="0"/>
                <w:bCs/>
                <w:color w:val="auto"/>
                <w:sz w:val="24"/>
              </w:rPr>
              <w:t>V</w:t>
            </w:r>
            <w:r>
              <w:rPr>
                <w:rFonts w:hint="eastAsia"/>
                <w:b w:val="0"/>
                <w:bCs/>
                <w:color w:val="auto"/>
                <w:sz w:val="24"/>
                <w:lang w:val="en-US" w:eastAsia="zh-CN"/>
              </w:rPr>
              <w:t>4</w:t>
            </w:r>
            <w:r>
              <w:rPr>
                <w:rFonts w:hint="eastAsia"/>
                <w:b w:val="0"/>
                <w:bCs/>
                <w:color w:val="auto"/>
                <w:sz w:val="24"/>
              </w:rPr>
              <w:t>——发生事故时仍必须进入该收集系统的生产废水量，m</w:t>
            </w:r>
            <w:r>
              <w:rPr>
                <w:rFonts w:hint="eastAsia"/>
                <w:b w:val="0"/>
                <w:bCs/>
                <w:color w:val="auto"/>
                <w:sz w:val="24"/>
                <w:vertAlign w:val="superscript"/>
              </w:rPr>
              <w:t>3</w:t>
            </w:r>
            <w:r>
              <w:rPr>
                <w:rFonts w:hint="eastAsia"/>
                <w:b w:val="0"/>
                <w:bCs/>
                <w:color w:val="auto"/>
                <w:sz w:val="24"/>
              </w:rPr>
              <w:t>；本项目为0</w:t>
            </w:r>
            <w:r>
              <w:rPr>
                <w:rFonts w:hint="eastAsia"/>
                <w:b w:val="0"/>
                <w:bCs/>
                <w:color w:val="auto"/>
                <w:sz w:val="24"/>
                <w:lang w:eastAsia="zh-CN"/>
              </w:rPr>
              <w:t>；</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V</w:t>
            </w:r>
            <w:r>
              <w:rPr>
                <w:rFonts w:hint="eastAsia"/>
                <w:b w:val="0"/>
                <w:bCs/>
                <w:color w:val="auto"/>
                <w:sz w:val="24"/>
                <w:lang w:val="en-US" w:eastAsia="zh-CN"/>
              </w:rPr>
              <w:t>5</w:t>
            </w:r>
            <w:r>
              <w:rPr>
                <w:rFonts w:hint="eastAsia"/>
                <w:b w:val="0"/>
                <w:bCs/>
                <w:color w:val="auto"/>
                <w:sz w:val="24"/>
              </w:rPr>
              <w:t>——发生事故时可能进入该收集系统的降雨量，m</w:t>
            </w:r>
            <w:r>
              <w:rPr>
                <w:rFonts w:hint="eastAsia"/>
                <w:b w:val="0"/>
                <w:bCs/>
                <w:color w:val="auto"/>
                <w:sz w:val="24"/>
                <w:vertAlign w:val="superscript"/>
              </w:rPr>
              <w:t>3</w:t>
            </w:r>
            <w:r>
              <w:rPr>
                <w:rFonts w:hint="eastAsia"/>
                <w:b w:val="0"/>
                <w:bCs/>
                <w:color w:val="auto"/>
                <w:sz w:val="24"/>
              </w:rPr>
              <w:t>；</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项目原料进入车间内原料区，不露天存储，因此项目事故发生时必须进入事故废水收集系统的雨水汇水面积为0m</w:t>
            </w:r>
            <w:r>
              <w:rPr>
                <w:rFonts w:hint="eastAsia"/>
                <w:b w:val="0"/>
                <w:bCs/>
                <w:color w:val="auto"/>
                <w:sz w:val="24"/>
                <w:vertAlign w:val="superscript"/>
              </w:rPr>
              <w:t>2</w:t>
            </w:r>
            <w:r>
              <w:rPr>
                <w:rFonts w:hint="eastAsia"/>
                <w:b w:val="0"/>
                <w:bCs/>
                <w:color w:val="auto"/>
                <w:sz w:val="24"/>
              </w:rPr>
              <w:t>，则项目必须收集的雨水为V5为0。</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通过以上基础数据可计算得本项目的事故池容积约为：</w:t>
            </w:r>
          </w:p>
          <w:p>
            <w:pPr>
              <w:pStyle w:val="21"/>
              <w:numPr>
                <w:ilvl w:val="0"/>
                <w:numId w:val="0"/>
              </w:numPr>
              <w:spacing w:after="0" w:line="360" w:lineRule="auto"/>
              <w:ind w:firstLine="480" w:firstLineChars="200"/>
              <w:rPr>
                <w:rFonts w:hint="default"/>
                <w:color w:val="auto"/>
                <w:lang w:val="en-US"/>
              </w:rPr>
            </w:pPr>
            <w:r>
              <w:rPr>
                <w:rFonts w:hint="eastAsia"/>
                <w:b w:val="0"/>
                <w:bCs/>
                <w:color w:val="auto"/>
                <w:sz w:val="24"/>
                <w:lang w:val="en-US" w:eastAsia="zh-CN"/>
              </w:rPr>
              <w:t>V</w:t>
            </w:r>
            <w:r>
              <w:rPr>
                <w:rFonts w:hint="eastAsia"/>
                <w:b w:val="0"/>
                <w:bCs/>
                <w:color w:val="auto"/>
                <w:sz w:val="24"/>
                <w:vertAlign w:val="subscript"/>
                <w:lang w:val="en-US" w:eastAsia="zh-CN"/>
              </w:rPr>
              <w:t>总</w:t>
            </w:r>
            <w:r>
              <w:rPr>
                <w:rFonts w:hint="eastAsia"/>
                <w:b w:val="0"/>
                <w:bCs/>
                <w:color w:val="auto"/>
                <w:sz w:val="24"/>
                <w:vertAlign w:val="baseline"/>
                <w:lang w:val="en-US" w:eastAsia="zh-CN"/>
              </w:rPr>
              <w:t>=（V1+V2-V3）max+V4+V5=（0+36-0）+0+0=36m</w:t>
            </w:r>
            <w:r>
              <w:rPr>
                <w:rFonts w:hint="eastAsia"/>
                <w:b w:val="0"/>
                <w:bCs/>
                <w:color w:val="auto"/>
                <w:sz w:val="24"/>
                <w:vertAlign w:val="superscript"/>
                <w:lang w:val="en-US" w:eastAsia="zh-CN"/>
              </w:rPr>
              <w:t>3</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根据上述计算结果，本项目需要的事故应急储罐容积为36m</w:t>
            </w:r>
            <w:r>
              <w:rPr>
                <w:rFonts w:hint="eastAsia"/>
                <w:b w:val="0"/>
                <w:bCs/>
                <w:color w:val="auto"/>
                <w:sz w:val="24"/>
                <w:vertAlign w:val="superscript"/>
              </w:rPr>
              <w:t>3</w:t>
            </w:r>
            <w:r>
              <w:rPr>
                <w:rFonts w:hint="eastAsia"/>
                <w:b w:val="0"/>
                <w:bCs/>
                <w:color w:val="auto"/>
                <w:sz w:val="24"/>
              </w:rPr>
              <w:t>，本次评价建</w:t>
            </w:r>
          </w:p>
          <w:p>
            <w:pPr>
              <w:pStyle w:val="21"/>
              <w:numPr>
                <w:ilvl w:val="0"/>
                <w:numId w:val="0"/>
              </w:numPr>
              <w:spacing w:after="0" w:line="360" w:lineRule="auto"/>
              <w:rPr>
                <w:b w:val="0"/>
                <w:bCs/>
                <w:color w:val="auto"/>
                <w:sz w:val="24"/>
              </w:rPr>
            </w:pPr>
            <w:r>
              <w:rPr>
                <w:rFonts w:hint="eastAsia"/>
                <w:b w:val="0"/>
                <w:bCs/>
                <w:color w:val="auto"/>
                <w:sz w:val="24"/>
              </w:rPr>
              <w:t>议事故应急储罐的设置为40m</w:t>
            </w:r>
            <w:r>
              <w:rPr>
                <w:rFonts w:hint="eastAsia"/>
                <w:b w:val="0"/>
                <w:bCs/>
                <w:color w:val="auto"/>
                <w:sz w:val="24"/>
                <w:vertAlign w:val="superscript"/>
              </w:rPr>
              <w:t>3</w:t>
            </w:r>
            <w:r>
              <w:rPr>
                <w:rFonts w:hint="eastAsia"/>
                <w:b w:val="0"/>
                <w:bCs/>
                <w:color w:val="auto"/>
                <w:sz w:val="24"/>
              </w:rPr>
              <w:t>。</w:t>
            </w:r>
          </w:p>
          <w:p>
            <w:pPr>
              <w:pStyle w:val="21"/>
              <w:numPr>
                <w:ilvl w:val="0"/>
                <w:numId w:val="0"/>
              </w:numPr>
              <w:spacing w:after="0" w:line="360" w:lineRule="auto"/>
              <w:ind w:firstLine="480" w:firstLineChars="200"/>
              <w:rPr>
                <w:rFonts w:hint="default" w:eastAsia="宋体"/>
                <w:b/>
                <w:color w:val="auto"/>
                <w:sz w:val="24"/>
                <w:lang w:val="en-US" w:eastAsia="zh-CN"/>
              </w:rPr>
            </w:pPr>
            <w:r>
              <w:rPr>
                <w:rFonts w:hint="eastAsia"/>
                <w:b/>
                <w:color w:val="auto"/>
                <w:sz w:val="24"/>
                <w:lang w:val="en-US" w:eastAsia="zh-CN"/>
              </w:rPr>
              <w:t>C事故废水防控措施</w:t>
            </w:r>
          </w:p>
          <w:p>
            <w:pPr>
              <w:pStyle w:val="30"/>
              <w:widowControl w:val="0"/>
              <w:numPr>
                <w:ilvl w:val="0"/>
                <w:numId w:val="0"/>
              </w:numPr>
              <w:spacing w:line="360" w:lineRule="auto"/>
              <w:ind w:firstLine="480" w:firstLineChars="200"/>
              <w:jc w:val="both"/>
              <w:rPr>
                <w:rFonts w:hint="eastAsia"/>
                <w:b w:val="0"/>
                <w:bCs/>
                <w:color w:val="auto"/>
                <w:sz w:val="24"/>
                <w:lang w:val="en-US" w:eastAsia="zh-CN"/>
              </w:rPr>
            </w:pPr>
            <w:r>
              <w:rPr>
                <w:rFonts w:hint="eastAsia"/>
                <w:b w:val="0"/>
                <w:bCs/>
                <w:color w:val="auto"/>
                <w:sz w:val="24"/>
                <w:lang w:val="en-US" w:eastAsia="zh-CN"/>
              </w:rPr>
              <w:t>本项目在厂区雨水排放口、污水接管口设置切换阀门，在发生事故的情况下</w:t>
            </w:r>
          </w:p>
          <w:p>
            <w:pPr>
              <w:pStyle w:val="30"/>
              <w:widowControl w:val="0"/>
              <w:numPr>
                <w:ilvl w:val="0"/>
                <w:numId w:val="0"/>
              </w:numPr>
              <w:spacing w:line="360" w:lineRule="auto"/>
              <w:jc w:val="both"/>
              <w:rPr>
                <w:rFonts w:hint="eastAsia"/>
                <w:b w:val="0"/>
                <w:bCs/>
                <w:color w:val="auto"/>
                <w:sz w:val="24"/>
                <w:lang w:val="en-US" w:eastAsia="zh-CN"/>
              </w:rPr>
            </w:pPr>
            <w:r>
              <w:rPr>
                <w:rFonts w:hint="eastAsia"/>
                <w:b w:val="0"/>
                <w:bCs/>
                <w:color w:val="auto"/>
                <w:sz w:val="24"/>
                <w:lang w:val="en-US" w:eastAsia="zh-CN"/>
              </w:rPr>
              <w:t>可将进入雨水管网的消防废水截留，进入事故应急储罐；项目事故废水截留、收</w:t>
            </w:r>
          </w:p>
          <w:p>
            <w:pPr>
              <w:pStyle w:val="30"/>
              <w:widowControl w:val="0"/>
              <w:numPr>
                <w:ilvl w:val="0"/>
                <w:numId w:val="0"/>
              </w:numPr>
              <w:spacing w:line="360" w:lineRule="auto"/>
              <w:jc w:val="both"/>
              <w:rPr>
                <w:rFonts w:hint="default" w:eastAsia="宋体"/>
                <w:b w:val="0"/>
                <w:bCs/>
                <w:color w:val="auto"/>
                <w:sz w:val="24"/>
                <w:lang w:val="en-US" w:eastAsia="zh-CN"/>
              </w:rPr>
            </w:pPr>
            <w:r>
              <w:rPr>
                <w:rFonts w:hint="eastAsia"/>
                <w:b w:val="0"/>
                <w:bCs/>
                <w:color w:val="auto"/>
                <w:sz w:val="24"/>
                <w:lang w:val="en-US" w:eastAsia="zh-CN"/>
              </w:rPr>
              <w:t>集和处理流程见下图。厂区雨污走向图详见下图：</w:t>
            </w:r>
          </w:p>
          <w:p>
            <w:pPr>
              <w:pStyle w:val="30"/>
              <w:widowControl w:val="0"/>
              <w:numPr>
                <w:ilvl w:val="0"/>
                <w:numId w:val="0"/>
              </w:numPr>
              <w:jc w:val="center"/>
              <w:rPr>
                <w:color w:val="auto"/>
              </w:rPr>
            </w:pPr>
            <w:r>
              <w:rPr>
                <w:color w:val="auto"/>
              </w:rPr>
              <w:drawing>
                <wp:inline distT="0" distB="0" distL="114300" distR="114300">
                  <wp:extent cx="4800600" cy="2750820"/>
                  <wp:effectExtent l="0" t="0" r="0" b="762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37"/>
                          <a:stretch>
                            <a:fillRect/>
                          </a:stretch>
                        </pic:blipFill>
                        <pic:spPr>
                          <a:xfrm>
                            <a:off x="0" y="0"/>
                            <a:ext cx="4800600" cy="2750820"/>
                          </a:xfrm>
                          <a:prstGeom prst="rect">
                            <a:avLst/>
                          </a:prstGeom>
                          <a:noFill/>
                          <a:ln>
                            <a:noFill/>
                          </a:ln>
                        </pic:spPr>
                      </pic:pic>
                    </a:graphicData>
                  </a:graphic>
                </wp:inline>
              </w:drawing>
            </w:r>
          </w:p>
          <w:p>
            <w:pPr>
              <w:pStyle w:val="30"/>
              <w:widowControl w:val="0"/>
              <w:numPr>
                <w:ilvl w:val="0"/>
                <w:numId w:val="0"/>
              </w:numPr>
              <w:jc w:val="center"/>
              <w:rPr>
                <w:b/>
                <w:color w:val="auto"/>
                <w:sz w:val="21"/>
                <w:szCs w:val="21"/>
              </w:rPr>
            </w:pPr>
            <w:r>
              <w:rPr>
                <w:rFonts w:hint="eastAsia"/>
                <w:b/>
                <w:color w:val="auto"/>
                <w:sz w:val="21"/>
                <w:szCs w:val="21"/>
              </w:rPr>
              <w:t>图7-1 项目事故废水截留、收集、处理流程图</w:t>
            </w:r>
          </w:p>
          <w:p>
            <w:pPr>
              <w:pStyle w:val="21"/>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0" w:firstLineChars="200"/>
              <w:textAlignment w:val="auto"/>
              <w:rPr>
                <w:b/>
                <w:color w:val="auto"/>
                <w:sz w:val="24"/>
              </w:rPr>
            </w:pPr>
            <w:r>
              <w:rPr>
                <w:rFonts w:hint="eastAsia"/>
                <w:b/>
                <w:color w:val="auto"/>
                <w:sz w:val="24"/>
              </w:rPr>
              <w:t>废水收集流程说明：</w:t>
            </w:r>
          </w:p>
          <w:p>
            <w:pPr>
              <w:pStyle w:val="21"/>
              <w:numPr>
                <w:ilvl w:val="0"/>
                <w:numId w:val="0"/>
              </w:numPr>
              <w:spacing w:after="0" w:line="360" w:lineRule="auto"/>
              <w:ind w:firstLine="480" w:firstLineChars="200"/>
              <w:rPr>
                <w:rFonts w:hint="eastAsia"/>
                <w:b w:val="0"/>
                <w:bCs/>
                <w:color w:val="auto"/>
                <w:sz w:val="24"/>
              </w:rPr>
            </w:pPr>
            <w:r>
              <w:rPr>
                <w:rFonts w:hint="eastAsia"/>
                <w:b w:val="0"/>
                <w:bCs/>
                <w:color w:val="auto"/>
                <w:sz w:val="24"/>
              </w:rPr>
              <w:t>全厂实施雨污分流。雨水系统收集雨水，污水系统收集生活污水。正常生产</w:t>
            </w:r>
          </w:p>
          <w:p>
            <w:pPr>
              <w:pStyle w:val="21"/>
              <w:numPr>
                <w:ilvl w:val="0"/>
                <w:numId w:val="0"/>
              </w:numPr>
              <w:spacing w:after="0" w:line="360" w:lineRule="auto"/>
              <w:rPr>
                <w:rFonts w:hint="eastAsia"/>
                <w:b w:val="0"/>
                <w:bCs/>
                <w:color w:val="auto"/>
                <w:sz w:val="24"/>
                <w:lang w:eastAsia="zh-CN"/>
              </w:rPr>
            </w:pPr>
            <w:r>
              <w:rPr>
                <w:rFonts w:hint="eastAsia"/>
                <w:b w:val="0"/>
                <w:bCs/>
                <w:color w:val="auto"/>
                <w:sz w:val="24"/>
              </w:rPr>
              <w:t>情况下，阀门1、4开启，阀门2、3关闭</w:t>
            </w:r>
            <w:r>
              <w:rPr>
                <w:rFonts w:hint="eastAsia"/>
                <w:b w:val="0"/>
                <w:bCs/>
                <w:color w:val="auto"/>
                <w:sz w:val="24"/>
                <w:lang w:eastAsia="zh-CN"/>
              </w:rPr>
              <w:t>。</w:t>
            </w:r>
          </w:p>
          <w:p>
            <w:pPr>
              <w:pStyle w:val="21"/>
              <w:numPr>
                <w:ilvl w:val="0"/>
                <w:numId w:val="0"/>
              </w:numPr>
              <w:spacing w:after="0" w:line="360" w:lineRule="auto"/>
              <w:ind w:firstLine="480" w:firstLineChars="200"/>
              <w:rPr>
                <w:rFonts w:hint="eastAsia"/>
                <w:b w:val="0"/>
                <w:bCs/>
                <w:color w:val="auto"/>
                <w:sz w:val="24"/>
                <w:lang w:eastAsia="zh-CN"/>
              </w:rPr>
            </w:pPr>
            <w:r>
              <w:rPr>
                <w:rFonts w:hint="eastAsia"/>
                <w:b w:val="0"/>
                <w:bCs/>
                <w:color w:val="auto"/>
                <w:sz w:val="24"/>
                <w:lang w:eastAsia="zh-CN"/>
              </w:rPr>
              <w:t>事故状况下，阀门1、4关闭，阀门2、3开启，对消防污水和事故废水进行收集。事故废水经处理达标后方可接入园区污水管网，若建设单位不能处理泄露物，必须委托有资质的单位安全处置，杜绝以任何形式进入园区的污水管网和雨水管网。</w:t>
            </w:r>
          </w:p>
          <w:p>
            <w:pPr>
              <w:pStyle w:val="21"/>
              <w:numPr>
                <w:ilvl w:val="0"/>
                <w:numId w:val="0"/>
              </w:numPr>
              <w:spacing w:after="0" w:line="360" w:lineRule="auto"/>
              <w:ind w:firstLine="480" w:firstLineChars="200"/>
              <w:rPr>
                <w:rFonts w:hint="eastAsia"/>
                <w:b/>
                <w:bCs w:val="0"/>
                <w:color w:val="auto"/>
                <w:sz w:val="24"/>
                <w:lang w:eastAsia="zh-CN"/>
              </w:rPr>
            </w:pPr>
            <w:r>
              <w:rPr>
                <w:rFonts w:hint="eastAsia"/>
                <w:b/>
                <w:bCs w:val="0"/>
                <w:color w:val="auto"/>
                <w:sz w:val="24"/>
                <w:lang w:eastAsia="zh-CN"/>
              </w:rPr>
              <w:t>事故应急储罐设置合理性：</w:t>
            </w:r>
          </w:p>
          <w:p>
            <w:pPr>
              <w:pStyle w:val="21"/>
              <w:numPr>
                <w:ilvl w:val="0"/>
                <w:numId w:val="0"/>
              </w:numPr>
              <w:spacing w:after="0" w:line="360" w:lineRule="auto"/>
              <w:ind w:firstLine="480" w:firstLineChars="200"/>
              <w:rPr>
                <w:rFonts w:hint="eastAsia"/>
                <w:b w:val="0"/>
                <w:bCs/>
                <w:color w:val="auto"/>
                <w:sz w:val="24"/>
                <w:lang w:eastAsia="zh-CN"/>
              </w:rPr>
            </w:pPr>
            <w:r>
              <w:rPr>
                <w:rFonts w:hint="eastAsia"/>
                <w:b w:val="0"/>
                <w:bCs/>
                <w:color w:val="auto"/>
                <w:sz w:val="24"/>
                <w:lang w:eastAsia="zh-CN"/>
              </w:rPr>
              <w:t>由于本项目用地空间有限，无法设置地下式事故池，因此采用事故应急储罐，</w:t>
            </w:r>
          </w:p>
          <w:p>
            <w:pPr>
              <w:pStyle w:val="21"/>
              <w:numPr>
                <w:ilvl w:val="0"/>
                <w:numId w:val="0"/>
              </w:numPr>
              <w:spacing w:after="0" w:line="360" w:lineRule="auto"/>
              <w:rPr>
                <w:rFonts w:hint="eastAsia"/>
                <w:b w:val="0"/>
                <w:bCs/>
                <w:color w:val="auto"/>
                <w:sz w:val="24"/>
                <w:lang w:eastAsia="zh-CN"/>
              </w:rPr>
            </w:pPr>
            <w:r>
              <w:rPr>
                <w:rFonts w:hint="eastAsia"/>
                <w:b w:val="0"/>
                <w:bCs/>
                <w:color w:val="auto"/>
                <w:sz w:val="24"/>
                <w:lang w:eastAsia="zh-CN"/>
              </w:rPr>
              <w:t>事故应急储罐要依靠水泵来抽取，本项目配置应急发电机和备用水泵，以此来克</w:t>
            </w:r>
          </w:p>
          <w:p>
            <w:pPr>
              <w:pStyle w:val="21"/>
              <w:numPr>
                <w:ilvl w:val="0"/>
                <w:numId w:val="0"/>
              </w:numPr>
              <w:spacing w:after="0" w:line="360" w:lineRule="auto"/>
              <w:rPr>
                <w:rFonts w:hint="eastAsia"/>
                <w:b w:val="0"/>
                <w:bCs/>
                <w:color w:val="auto"/>
                <w:sz w:val="24"/>
                <w:lang w:eastAsia="zh-CN"/>
              </w:rPr>
            </w:pPr>
            <w:r>
              <w:rPr>
                <w:rFonts w:hint="eastAsia"/>
                <w:b w:val="0"/>
                <w:bCs/>
                <w:color w:val="auto"/>
                <w:sz w:val="24"/>
                <w:lang w:eastAsia="zh-CN"/>
              </w:rPr>
              <w:t>服事故状态下断电情况，保证水泵可以正常将事故水抽入事故应急储罐中。本项</w:t>
            </w:r>
          </w:p>
          <w:p>
            <w:pPr>
              <w:pStyle w:val="21"/>
              <w:numPr>
                <w:ilvl w:val="0"/>
                <w:numId w:val="0"/>
              </w:numPr>
              <w:spacing w:after="0" w:line="360" w:lineRule="auto"/>
              <w:rPr>
                <w:rFonts w:hint="eastAsia" w:eastAsia="宋体"/>
                <w:b w:val="0"/>
                <w:bCs/>
                <w:color w:val="auto"/>
                <w:sz w:val="24"/>
                <w:lang w:val="en-US" w:eastAsia="zh-CN"/>
              </w:rPr>
            </w:pPr>
            <w:r>
              <w:rPr>
                <w:rFonts w:hint="eastAsia"/>
                <w:b w:val="0"/>
                <w:bCs/>
                <w:color w:val="auto"/>
                <w:sz w:val="24"/>
                <w:lang w:eastAsia="zh-CN"/>
              </w:rPr>
              <w:t>目事故应急储罐大小满足本项目事故状态下储存事故水需求，设置合理。</w:t>
            </w:r>
          </w:p>
          <w:p>
            <w:pPr>
              <w:pStyle w:val="21"/>
              <w:numPr>
                <w:ilvl w:val="0"/>
                <w:numId w:val="9"/>
              </w:numPr>
              <w:spacing w:after="0" w:line="360" w:lineRule="auto"/>
              <w:ind w:firstLine="480" w:firstLineChars="200"/>
              <w:rPr>
                <w:b/>
                <w:color w:val="auto"/>
                <w:sz w:val="24"/>
              </w:rPr>
            </w:pPr>
            <w:r>
              <w:rPr>
                <w:b/>
                <w:color w:val="auto"/>
                <w:sz w:val="24"/>
              </w:rPr>
              <w:t>突发事故对策和应急预案</w:t>
            </w:r>
          </w:p>
          <w:p>
            <w:pPr>
              <w:pStyle w:val="21"/>
              <w:spacing w:after="0" w:line="360" w:lineRule="auto"/>
              <w:ind w:firstLine="480" w:firstLineChars="200"/>
              <w:rPr>
                <w:color w:val="auto"/>
                <w:sz w:val="24"/>
              </w:rPr>
            </w:pPr>
            <w:r>
              <w:rPr>
                <w:rFonts w:hint="eastAsia"/>
                <w:color w:val="auto"/>
                <w:sz w:val="24"/>
              </w:rPr>
              <w:t>根据《关于做好生态环境和应急管理部门联动工作的意见》苏环办【2020】101号，企业应建立危险废物监管联动机制及建立环境治理设施监管联动机制，各生态部门建立联合执法机制及建立联合会商机制。</w:t>
            </w:r>
          </w:p>
          <w:p>
            <w:pPr>
              <w:pStyle w:val="21"/>
              <w:spacing w:after="0" w:line="360" w:lineRule="auto"/>
              <w:ind w:firstLine="480" w:firstLineChars="200"/>
              <w:rPr>
                <w:color w:val="auto"/>
                <w:sz w:val="24"/>
              </w:rPr>
            </w:pPr>
            <w:r>
              <w:rPr>
                <w:color w:val="auto"/>
                <w:sz w:val="24"/>
              </w:rPr>
              <w:t>当发生火灾爆炸等事故后，由公司应急救援领导小组根据事故情况，对事故的影响和危害性进行判断，若为一般事故，只需启动一级应急救援相关程序，由现场值班的专职、兼职消防人员以及操作人员组成一级应急队伍，开展抢险救援行动。若事故规模较大、危害较严重，应急救援领导小组应迅速成立现场应急救援指挥部，由公司经理以及专业人员组成，并根据事故现场抢险救援的需要，在专职和兼职应急救援人员的基础上，组建各抢险救援、医疗救护、警戒、通讯、信息发布等专业队伍，全面投入应急救援行动中。</w:t>
            </w:r>
          </w:p>
          <w:p>
            <w:pPr>
              <w:pStyle w:val="21"/>
              <w:spacing w:after="0" w:line="360" w:lineRule="auto"/>
              <w:ind w:firstLine="480" w:firstLineChars="200"/>
              <w:rPr>
                <w:color w:val="auto"/>
                <w:sz w:val="24"/>
              </w:rPr>
            </w:pPr>
            <w:r>
              <w:rPr>
                <w:rFonts w:hint="eastAsia"/>
                <w:color w:val="auto"/>
                <w:sz w:val="24"/>
              </w:rPr>
              <w:t>本项目厂区内储存运输</w:t>
            </w:r>
            <w:r>
              <w:rPr>
                <w:rFonts w:hint="eastAsia"/>
                <w:bCs/>
                <w:color w:val="auto"/>
                <w:sz w:val="24"/>
                <w:szCs w:val="24"/>
                <w:lang w:val="en-US" w:eastAsia="zh-CN"/>
              </w:rPr>
              <w:t>水性漆（包括</w:t>
            </w:r>
            <w:r>
              <w:rPr>
                <w:rFonts w:hint="eastAsia"/>
                <w:color w:val="auto"/>
                <w:sz w:val="24"/>
                <w:szCs w:val="24"/>
              </w:rPr>
              <w:t>水性漆固化剂</w:t>
            </w:r>
            <w:r>
              <w:rPr>
                <w:rFonts w:hint="eastAsia"/>
                <w:bCs/>
                <w:color w:val="auto"/>
                <w:sz w:val="24"/>
                <w:szCs w:val="24"/>
                <w:lang w:val="en-US" w:eastAsia="zh-CN"/>
              </w:rPr>
              <w:t>）</w:t>
            </w:r>
            <w:r>
              <w:rPr>
                <w:rFonts w:hint="eastAsia"/>
                <w:color w:val="auto"/>
                <w:sz w:val="24"/>
                <w:szCs w:val="24"/>
              </w:rPr>
              <w:t>、切削液、润滑油</w:t>
            </w:r>
            <w:r>
              <w:rPr>
                <w:rFonts w:hint="eastAsia"/>
                <w:color w:val="auto"/>
                <w:sz w:val="24"/>
              </w:rPr>
              <w:t>，且产生危险废物</w:t>
            </w:r>
            <w:r>
              <w:rPr>
                <w:rFonts w:hint="eastAsia"/>
                <w:bCs/>
                <w:color w:val="auto"/>
                <w:sz w:val="24"/>
                <w:szCs w:val="24"/>
                <w:lang w:val="en-US" w:eastAsia="zh-CN"/>
              </w:rPr>
              <w:t>水</w:t>
            </w:r>
            <w:r>
              <w:rPr>
                <w:rFonts w:hint="eastAsia"/>
                <w:color w:val="auto"/>
                <w:sz w:val="24"/>
                <w:szCs w:val="24"/>
              </w:rPr>
              <w:t>产</w:t>
            </w:r>
            <w:r>
              <w:rPr>
                <w:rFonts w:hint="eastAsia"/>
                <w:color w:val="auto"/>
                <w:sz w:val="24"/>
                <w:szCs w:val="24"/>
                <w:lang w:val="en-US" w:eastAsia="zh-CN"/>
              </w:rPr>
              <w:t>废切削液、废润滑油、漆渣、含漆废物、废过滤棉</w:t>
            </w:r>
            <w:r>
              <w:rPr>
                <w:rFonts w:hint="eastAsia"/>
                <w:color w:val="auto"/>
                <w:sz w:val="24"/>
              </w:rPr>
              <w:t>，属于《企业事业单位突发环境事件应急预案备案管理办法（试行）》（环发[2015]4号）“（一）可能发生突发环境事件的污染物排放企业，包括污水、生活垃圾集中处理设施的运营企业；（二）生产、储存、运输、使用危险化学品的企业；（三）产生、收集、贮存、运输、利用、处置危险废物的企业；（四）尾矿库企业，包括湿式堆存工业废渣库、电厂灰渣库企业；（五）其他应当纳入适用范围的企业。”中（二）、（三），</w:t>
            </w:r>
            <w:r>
              <w:rPr>
                <w:rFonts w:hint="eastAsia"/>
                <w:b/>
                <w:bCs/>
                <w:color w:val="auto"/>
                <w:sz w:val="24"/>
              </w:rPr>
              <w:t>因此，企业需制定企业事业单位突发环境事件应急预案并提交环保部门备案。</w:t>
            </w:r>
          </w:p>
          <w:p>
            <w:pPr>
              <w:pStyle w:val="21"/>
              <w:spacing w:after="0" w:line="360" w:lineRule="auto"/>
              <w:ind w:firstLine="480" w:firstLineChars="200"/>
              <w:rPr>
                <w:color w:val="auto"/>
                <w:sz w:val="24"/>
              </w:rPr>
            </w:pPr>
            <w:r>
              <w:rPr>
                <w:color w:val="auto"/>
                <w:sz w:val="24"/>
              </w:rPr>
              <w:t>公司应根据下表的详细要求制定突发事故对策和应急预案，一旦出现突发事故，必须按事先拟定的方案进行紧急处理。应急对策和预案的内容及要求如下表：</w:t>
            </w:r>
          </w:p>
          <w:p>
            <w:pPr>
              <w:ind w:left="63" w:leftChars="30" w:right="63" w:rightChars="30"/>
              <w:jc w:val="center"/>
              <w:rPr>
                <w:b/>
                <w:color w:val="auto"/>
                <w:szCs w:val="21"/>
              </w:rPr>
            </w:pPr>
          </w:p>
          <w:p>
            <w:pPr>
              <w:ind w:left="63" w:leftChars="30" w:right="63" w:rightChars="30"/>
              <w:jc w:val="center"/>
              <w:rPr>
                <w:b/>
                <w:color w:val="auto"/>
                <w:szCs w:val="21"/>
              </w:rPr>
            </w:pPr>
            <w:r>
              <w:rPr>
                <w:b/>
                <w:color w:val="auto"/>
                <w:szCs w:val="21"/>
              </w:rPr>
              <w:t>表7-</w:t>
            </w:r>
            <w:r>
              <w:rPr>
                <w:rFonts w:hint="eastAsia"/>
                <w:b/>
                <w:color w:val="auto"/>
                <w:szCs w:val="21"/>
                <w:lang w:val="en-US" w:eastAsia="zh-CN"/>
              </w:rPr>
              <w:t>33</w:t>
            </w:r>
            <w:r>
              <w:rPr>
                <w:b/>
                <w:color w:val="auto"/>
                <w:szCs w:val="21"/>
              </w:rPr>
              <w:t>应急预案内容</w:t>
            </w:r>
          </w:p>
          <w:tbl>
            <w:tblPr>
              <w:tblStyle w:val="56"/>
              <w:tblW w:w="8312"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
            <w:tblGrid>
              <w:gridCol w:w="781"/>
              <w:gridCol w:w="2922"/>
              <w:gridCol w:w="4609"/>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trHeight w:val="369" w:hRule="atLeast"/>
                <w:jc w:val="center"/>
              </w:trPr>
              <w:tc>
                <w:tcPr>
                  <w:tcW w:w="781" w:type="dxa"/>
                  <w:vAlign w:val="center"/>
                </w:tcPr>
                <w:p>
                  <w:pPr>
                    <w:adjustRightInd w:val="0"/>
                    <w:snapToGrid w:val="0"/>
                    <w:ind w:left="63" w:leftChars="30" w:right="63" w:rightChars="30"/>
                    <w:jc w:val="center"/>
                    <w:rPr>
                      <w:b/>
                      <w:bCs/>
                      <w:color w:val="auto"/>
                      <w:szCs w:val="21"/>
                    </w:rPr>
                  </w:pPr>
                  <w:r>
                    <w:rPr>
                      <w:b/>
                      <w:bCs/>
                      <w:color w:val="auto"/>
                      <w:szCs w:val="21"/>
                    </w:rPr>
                    <w:t>序号</w:t>
                  </w:r>
                </w:p>
              </w:tc>
              <w:tc>
                <w:tcPr>
                  <w:tcW w:w="2922" w:type="dxa"/>
                  <w:vAlign w:val="center"/>
                </w:tcPr>
                <w:p>
                  <w:pPr>
                    <w:adjustRightInd w:val="0"/>
                    <w:snapToGrid w:val="0"/>
                    <w:ind w:left="63" w:leftChars="30" w:right="63" w:rightChars="30"/>
                    <w:jc w:val="center"/>
                    <w:rPr>
                      <w:b/>
                      <w:bCs/>
                      <w:color w:val="auto"/>
                      <w:szCs w:val="21"/>
                    </w:rPr>
                  </w:pPr>
                  <w:r>
                    <w:rPr>
                      <w:b/>
                      <w:bCs/>
                      <w:color w:val="auto"/>
                      <w:szCs w:val="21"/>
                    </w:rPr>
                    <w:t>项目</w:t>
                  </w:r>
                </w:p>
              </w:tc>
              <w:tc>
                <w:tcPr>
                  <w:tcW w:w="4609" w:type="dxa"/>
                  <w:vAlign w:val="center"/>
                </w:tcPr>
                <w:p>
                  <w:pPr>
                    <w:adjustRightInd w:val="0"/>
                    <w:snapToGrid w:val="0"/>
                    <w:ind w:left="63" w:leftChars="30" w:right="63" w:rightChars="30"/>
                    <w:jc w:val="center"/>
                    <w:rPr>
                      <w:b/>
                      <w:bCs/>
                      <w:color w:val="auto"/>
                      <w:szCs w:val="21"/>
                    </w:rPr>
                  </w:pPr>
                  <w:r>
                    <w:rPr>
                      <w:b/>
                      <w:bCs/>
                      <w:color w:val="auto"/>
                      <w:szCs w:val="21"/>
                    </w:rPr>
                    <w:t>内容及要求</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1</w:t>
                  </w:r>
                </w:p>
              </w:tc>
              <w:tc>
                <w:tcPr>
                  <w:tcW w:w="2922" w:type="dxa"/>
                  <w:vAlign w:val="center"/>
                </w:tcPr>
                <w:p>
                  <w:pPr>
                    <w:adjustRightInd w:val="0"/>
                    <w:snapToGrid w:val="0"/>
                    <w:ind w:left="63" w:leftChars="30" w:right="63" w:rightChars="30"/>
                    <w:jc w:val="center"/>
                    <w:rPr>
                      <w:color w:val="auto"/>
                      <w:szCs w:val="21"/>
                    </w:rPr>
                  </w:pPr>
                  <w:r>
                    <w:rPr>
                      <w:color w:val="auto"/>
                      <w:szCs w:val="21"/>
                    </w:rPr>
                    <w:t>应急计划区</w:t>
                  </w:r>
                </w:p>
              </w:tc>
              <w:tc>
                <w:tcPr>
                  <w:tcW w:w="4609" w:type="dxa"/>
                  <w:vAlign w:val="center"/>
                </w:tcPr>
                <w:p>
                  <w:pPr>
                    <w:adjustRightInd w:val="0"/>
                    <w:snapToGrid w:val="0"/>
                    <w:ind w:left="63" w:leftChars="30" w:right="63" w:rightChars="30"/>
                    <w:jc w:val="center"/>
                    <w:rPr>
                      <w:color w:val="auto"/>
                      <w:szCs w:val="21"/>
                    </w:rPr>
                  </w:pPr>
                  <w:r>
                    <w:rPr>
                      <w:color w:val="auto"/>
                      <w:szCs w:val="21"/>
                    </w:rPr>
                    <w:t>危险目标：生产区、贮存区、环境保护目标等</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2</w:t>
                  </w:r>
                </w:p>
              </w:tc>
              <w:tc>
                <w:tcPr>
                  <w:tcW w:w="2922" w:type="dxa"/>
                  <w:vAlign w:val="center"/>
                </w:tcPr>
                <w:p>
                  <w:pPr>
                    <w:adjustRightInd w:val="0"/>
                    <w:snapToGrid w:val="0"/>
                    <w:ind w:left="63" w:leftChars="30" w:right="63" w:rightChars="30"/>
                    <w:jc w:val="center"/>
                    <w:rPr>
                      <w:color w:val="auto"/>
                      <w:szCs w:val="21"/>
                    </w:rPr>
                  </w:pPr>
                  <w:r>
                    <w:rPr>
                      <w:color w:val="auto"/>
                      <w:szCs w:val="21"/>
                    </w:rPr>
                    <w:t>应急组织机构、人员</w:t>
                  </w:r>
                </w:p>
              </w:tc>
              <w:tc>
                <w:tcPr>
                  <w:tcW w:w="4609" w:type="dxa"/>
                  <w:vAlign w:val="center"/>
                </w:tcPr>
                <w:p>
                  <w:pPr>
                    <w:adjustRightInd w:val="0"/>
                    <w:snapToGrid w:val="0"/>
                    <w:ind w:left="63" w:leftChars="30" w:right="63" w:rightChars="30"/>
                    <w:jc w:val="center"/>
                    <w:rPr>
                      <w:color w:val="auto"/>
                      <w:szCs w:val="21"/>
                    </w:rPr>
                  </w:pPr>
                  <w:r>
                    <w:rPr>
                      <w:color w:val="auto"/>
                      <w:szCs w:val="21"/>
                    </w:rPr>
                    <w:t>工厂、地区应急组织机构、人员</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3</w:t>
                  </w:r>
                </w:p>
              </w:tc>
              <w:tc>
                <w:tcPr>
                  <w:tcW w:w="2922" w:type="dxa"/>
                  <w:vAlign w:val="center"/>
                </w:tcPr>
                <w:p>
                  <w:pPr>
                    <w:adjustRightInd w:val="0"/>
                    <w:snapToGrid w:val="0"/>
                    <w:ind w:left="63" w:leftChars="30" w:right="63" w:rightChars="30"/>
                    <w:jc w:val="center"/>
                    <w:rPr>
                      <w:color w:val="auto"/>
                      <w:szCs w:val="21"/>
                    </w:rPr>
                  </w:pPr>
                  <w:r>
                    <w:rPr>
                      <w:color w:val="auto"/>
                      <w:szCs w:val="21"/>
                    </w:rPr>
                    <w:t>预案分级响应条件</w:t>
                  </w:r>
                </w:p>
              </w:tc>
              <w:tc>
                <w:tcPr>
                  <w:tcW w:w="4609" w:type="dxa"/>
                  <w:vAlign w:val="center"/>
                </w:tcPr>
                <w:p>
                  <w:pPr>
                    <w:adjustRightInd w:val="0"/>
                    <w:snapToGrid w:val="0"/>
                    <w:ind w:left="63" w:leftChars="30" w:right="63" w:rightChars="30"/>
                    <w:jc w:val="center"/>
                    <w:rPr>
                      <w:color w:val="auto"/>
                      <w:szCs w:val="21"/>
                    </w:rPr>
                  </w:pPr>
                  <w:r>
                    <w:rPr>
                      <w:color w:val="auto"/>
                      <w:szCs w:val="21"/>
                    </w:rPr>
                    <w:t>规定预案的级别及分级响应程序</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4</w:t>
                  </w:r>
                </w:p>
              </w:tc>
              <w:tc>
                <w:tcPr>
                  <w:tcW w:w="2922" w:type="dxa"/>
                  <w:vAlign w:val="center"/>
                </w:tcPr>
                <w:p>
                  <w:pPr>
                    <w:adjustRightInd w:val="0"/>
                    <w:snapToGrid w:val="0"/>
                    <w:ind w:left="63" w:leftChars="30" w:right="63" w:rightChars="30"/>
                    <w:jc w:val="center"/>
                    <w:rPr>
                      <w:color w:val="auto"/>
                      <w:szCs w:val="21"/>
                    </w:rPr>
                  </w:pPr>
                  <w:r>
                    <w:rPr>
                      <w:color w:val="auto"/>
                      <w:szCs w:val="21"/>
                    </w:rPr>
                    <w:t>应急救援保障</w:t>
                  </w:r>
                </w:p>
              </w:tc>
              <w:tc>
                <w:tcPr>
                  <w:tcW w:w="4609" w:type="dxa"/>
                  <w:vAlign w:val="center"/>
                </w:tcPr>
                <w:p>
                  <w:pPr>
                    <w:adjustRightInd w:val="0"/>
                    <w:snapToGrid w:val="0"/>
                    <w:ind w:left="63" w:leftChars="30" w:right="63" w:rightChars="30"/>
                    <w:jc w:val="center"/>
                    <w:rPr>
                      <w:color w:val="auto"/>
                      <w:szCs w:val="21"/>
                    </w:rPr>
                  </w:pPr>
                  <w:r>
                    <w:rPr>
                      <w:color w:val="auto"/>
                      <w:szCs w:val="21"/>
                    </w:rPr>
                    <w:t>应急设施，设备与器材等</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5</w:t>
                  </w:r>
                </w:p>
              </w:tc>
              <w:tc>
                <w:tcPr>
                  <w:tcW w:w="2922" w:type="dxa"/>
                  <w:vAlign w:val="center"/>
                </w:tcPr>
                <w:p>
                  <w:pPr>
                    <w:adjustRightInd w:val="0"/>
                    <w:snapToGrid w:val="0"/>
                    <w:ind w:left="63" w:leftChars="30" w:right="63" w:rightChars="30"/>
                    <w:jc w:val="center"/>
                    <w:rPr>
                      <w:color w:val="auto"/>
                      <w:szCs w:val="21"/>
                    </w:rPr>
                  </w:pPr>
                  <w:r>
                    <w:rPr>
                      <w:color w:val="auto"/>
                      <w:szCs w:val="21"/>
                    </w:rPr>
                    <w:t>报警、通讯联络方式</w:t>
                  </w:r>
                </w:p>
              </w:tc>
              <w:tc>
                <w:tcPr>
                  <w:tcW w:w="4609" w:type="dxa"/>
                  <w:vAlign w:val="center"/>
                </w:tcPr>
                <w:p>
                  <w:pPr>
                    <w:adjustRightInd w:val="0"/>
                    <w:snapToGrid w:val="0"/>
                    <w:ind w:left="63" w:leftChars="30" w:right="63" w:rightChars="30"/>
                    <w:jc w:val="center"/>
                    <w:rPr>
                      <w:color w:val="auto"/>
                      <w:szCs w:val="21"/>
                    </w:rPr>
                  </w:pPr>
                  <w:r>
                    <w:rPr>
                      <w:color w:val="auto"/>
                      <w:szCs w:val="21"/>
                    </w:rPr>
                    <w:t>规定应急状态下的报警通讯方式、通知方式和交通保障、管制</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rFonts w:hint="eastAsia"/>
                      <w:color w:val="auto"/>
                      <w:szCs w:val="21"/>
                    </w:rPr>
                    <w:t>6</w:t>
                  </w:r>
                </w:p>
              </w:tc>
              <w:tc>
                <w:tcPr>
                  <w:tcW w:w="2922" w:type="dxa"/>
                  <w:vAlign w:val="center"/>
                </w:tcPr>
                <w:p>
                  <w:pPr>
                    <w:adjustRightInd w:val="0"/>
                    <w:snapToGrid w:val="0"/>
                    <w:ind w:left="63" w:leftChars="30" w:right="63" w:rightChars="30"/>
                    <w:jc w:val="center"/>
                    <w:rPr>
                      <w:color w:val="auto"/>
                      <w:szCs w:val="21"/>
                    </w:rPr>
                  </w:pPr>
                  <w:r>
                    <w:rPr>
                      <w:color w:val="auto"/>
                      <w:szCs w:val="21"/>
                    </w:rPr>
                    <w:t>应急检测、防护措施、器材</w:t>
                  </w:r>
                </w:p>
              </w:tc>
              <w:tc>
                <w:tcPr>
                  <w:tcW w:w="4609" w:type="dxa"/>
                  <w:vAlign w:val="center"/>
                </w:tcPr>
                <w:p>
                  <w:pPr>
                    <w:pStyle w:val="162"/>
                    <w:adjustRightInd w:val="0"/>
                    <w:snapToGrid w:val="0"/>
                    <w:ind w:left="63" w:leftChars="30" w:right="63" w:rightChars="30"/>
                    <w:jc w:val="center"/>
                    <w:rPr>
                      <w:color w:val="auto"/>
                      <w:szCs w:val="21"/>
                    </w:rPr>
                  </w:pPr>
                  <w:r>
                    <w:rPr>
                      <w:color w:val="auto"/>
                      <w:szCs w:val="21"/>
                    </w:rPr>
                    <w:t>事故现场、邻近区域、控制防火区域，控制和清除污染措施及相应设备</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7</w:t>
                  </w:r>
                </w:p>
              </w:tc>
              <w:tc>
                <w:tcPr>
                  <w:tcW w:w="2922" w:type="dxa"/>
                  <w:vAlign w:val="center"/>
                </w:tcPr>
                <w:p>
                  <w:pPr>
                    <w:adjustRightInd w:val="0"/>
                    <w:snapToGrid w:val="0"/>
                    <w:ind w:left="63" w:leftChars="30" w:right="63" w:rightChars="30"/>
                    <w:jc w:val="center"/>
                    <w:rPr>
                      <w:color w:val="auto"/>
                      <w:szCs w:val="21"/>
                    </w:rPr>
                  </w:pPr>
                  <w:r>
                    <w:rPr>
                      <w:color w:val="auto"/>
                      <w:szCs w:val="21"/>
                    </w:rPr>
                    <w:t>人员紧急撤离、疏散，应急剂量控制、撤离组织计划</w:t>
                  </w:r>
                </w:p>
              </w:tc>
              <w:tc>
                <w:tcPr>
                  <w:tcW w:w="4609" w:type="dxa"/>
                  <w:vAlign w:val="center"/>
                </w:tcPr>
                <w:p>
                  <w:pPr>
                    <w:adjustRightInd w:val="0"/>
                    <w:snapToGrid w:val="0"/>
                    <w:ind w:left="63" w:leftChars="30" w:right="63" w:rightChars="30"/>
                    <w:jc w:val="center"/>
                    <w:rPr>
                      <w:color w:val="auto"/>
                      <w:szCs w:val="21"/>
                    </w:rPr>
                  </w:pPr>
                  <w:r>
                    <w:rPr>
                      <w:color w:val="auto"/>
                      <w:szCs w:val="21"/>
                    </w:rPr>
                    <w:t>事故现场、工厂邻近区、受事故影响的区域人员及公众对毒物应急剂量控制规定，撤离组织计划及救护，医疗救护与公众健康</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8</w:t>
                  </w:r>
                </w:p>
              </w:tc>
              <w:tc>
                <w:tcPr>
                  <w:tcW w:w="2922" w:type="dxa"/>
                  <w:vAlign w:val="center"/>
                </w:tcPr>
                <w:p>
                  <w:pPr>
                    <w:adjustRightInd w:val="0"/>
                    <w:snapToGrid w:val="0"/>
                    <w:ind w:left="63" w:leftChars="30" w:right="63" w:rightChars="30"/>
                    <w:jc w:val="center"/>
                    <w:rPr>
                      <w:color w:val="auto"/>
                      <w:szCs w:val="21"/>
                    </w:rPr>
                  </w:pPr>
                  <w:r>
                    <w:rPr>
                      <w:color w:val="auto"/>
                      <w:szCs w:val="21"/>
                    </w:rPr>
                    <w:t>事故应急救援关闭程序与恢复措施</w:t>
                  </w:r>
                </w:p>
              </w:tc>
              <w:tc>
                <w:tcPr>
                  <w:tcW w:w="4609" w:type="dxa"/>
                  <w:vAlign w:val="center"/>
                </w:tcPr>
                <w:p>
                  <w:pPr>
                    <w:adjustRightInd w:val="0"/>
                    <w:snapToGrid w:val="0"/>
                    <w:ind w:left="63" w:leftChars="30" w:right="63" w:rightChars="30"/>
                    <w:jc w:val="center"/>
                    <w:rPr>
                      <w:color w:val="auto"/>
                      <w:szCs w:val="21"/>
                    </w:rPr>
                  </w:pPr>
                  <w:r>
                    <w:rPr>
                      <w:color w:val="auto"/>
                      <w:szCs w:val="21"/>
                    </w:rPr>
                    <w:t>规定应急状态终止程序</w:t>
                  </w:r>
                </w:p>
                <w:p>
                  <w:pPr>
                    <w:adjustRightInd w:val="0"/>
                    <w:snapToGrid w:val="0"/>
                    <w:ind w:left="63" w:leftChars="30" w:right="63" w:rightChars="30"/>
                    <w:jc w:val="center"/>
                    <w:rPr>
                      <w:color w:val="auto"/>
                      <w:szCs w:val="21"/>
                    </w:rPr>
                  </w:pPr>
                  <w:r>
                    <w:rPr>
                      <w:color w:val="auto"/>
                      <w:szCs w:val="21"/>
                    </w:rPr>
                    <w:t>事故现场善后处理，恢复措施</w:t>
                  </w:r>
                </w:p>
                <w:p>
                  <w:pPr>
                    <w:adjustRightInd w:val="0"/>
                    <w:snapToGrid w:val="0"/>
                    <w:ind w:left="63" w:leftChars="30" w:right="63" w:rightChars="30"/>
                    <w:jc w:val="center"/>
                    <w:rPr>
                      <w:color w:val="auto"/>
                      <w:szCs w:val="21"/>
                    </w:rPr>
                  </w:pPr>
                  <w:r>
                    <w:rPr>
                      <w:color w:val="auto"/>
                      <w:szCs w:val="21"/>
                    </w:rPr>
                    <w:t>邻近区域解除事故警戒及善后恢复措施</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9" w:hRule="atLeast"/>
                <w:jc w:val="center"/>
              </w:trPr>
              <w:tc>
                <w:tcPr>
                  <w:tcW w:w="781" w:type="dxa"/>
                  <w:vAlign w:val="center"/>
                </w:tcPr>
                <w:p>
                  <w:pPr>
                    <w:adjustRightInd w:val="0"/>
                    <w:snapToGrid w:val="0"/>
                    <w:ind w:left="63" w:leftChars="30" w:right="63" w:rightChars="30"/>
                    <w:jc w:val="center"/>
                    <w:rPr>
                      <w:color w:val="auto"/>
                      <w:szCs w:val="21"/>
                    </w:rPr>
                  </w:pPr>
                  <w:r>
                    <w:rPr>
                      <w:color w:val="auto"/>
                      <w:szCs w:val="21"/>
                    </w:rPr>
                    <w:t>9</w:t>
                  </w:r>
                </w:p>
              </w:tc>
              <w:tc>
                <w:tcPr>
                  <w:tcW w:w="2922" w:type="dxa"/>
                  <w:vAlign w:val="center"/>
                </w:tcPr>
                <w:p>
                  <w:pPr>
                    <w:adjustRightInd w:val="0"/>
                    <w:snapToGrid w:val="0"/>
                    <w:ind w:left="63" w:leftChars="30" w:right="63" w:rightChars="30"/>
                    <w:jc w:val="center"/>
                    <w:rPr>
                      <w:color w:val="auto"/>
                      <w:szCs w:val="21"/>
                    </w:rPr>
                  </w:pPr>
                  <w:r>
                    <w:rPr>
                      <w:color w:val="auto"/>
                      <w:szCs w:val="21"/>
                    </w:rPr>
                    <w:t>应急培训计划</w:t>
                  </w:r>
                </w:p>
              </w:tc>
              <w:tc>
                <w:tcPr>
                  <w:tcW w:w="4609" w:type="dxa"/>
                  <w:vAlign w:val="center"/>
                </w:tcPr>
                <w:p>
                  <w:pPr>
                    <w:adjustRightInd w:val="0"/>
                    <w:snapToGrid w:val="0"/>
                    <w:ind w:left="63" w:leftChars="30" w:right="63" w:rightChars="30"/>
                    <w:jc w:val="center"/>
                    <w:rPr>
                      <w:color w:val="auto"/>
                      <w:szCs w:val="21"/>
                    </w:rPr>
                  </w:pPr>
                  <w:r>
                    <w:rPr>
                      <w:color w:val="auto"/>
                      <w:szCs w:val="21"/>
                    </w:rPr>
                    <w:t>应急计划制定后，平时安排人员培训与演练</w:t>
                  </w:r>
                </w:p>
              </w:tc>
            </w:tr>
          </w:tbl>
          <w:p>
            <w:pPr>
              <w:adjustRightInd w:val="0"/>
              <w:snapToGrid w:val="0"/>
              <w:spacing w:line="360" w:lineRule="auto"/>
              <w:ind w:firstLine="480" w:firstLineChars="200"/>
              <w:rPr>
                <w:color w:val="auto"/>
                <w:sz w:val="24"/>
              </w:rPr>
            </w:pPr>
            <w:r>
              <w:rPr>
                <w:color w:val="auto"/>
                <w:sz w:val="24"/>
              </w:rPr>
              <w:t>本项目总图布置符合《建筑设计防火规范》(2006版)GB50016-2006的有关规定。根据现场勘査结果，本项目生产车间切实做到通风、防晒、防火、防爆，并按照国家标准和国家有关规定进行维护、保养，保证符合安全运行要求。该项目设置了基本的消防及火灾报警系统。</w:t>
            </w:r>
          </w:p>
          <w:p>
            <w:pPr>
              <w:adjustRightInd w:val="0"/>
              <w:snapToGrid w:val="0"/>
              <w:spacing w:line="360" w:lineRule="auto"/>
              <w:ind w:firstLine="480" w:firstLineChars="200"/>
              <w:rPr>
                <w:color w:val="auto"/>
              </w:rPr>
            </w:pPr>
            <w:r>
              <w:rPr>
                <w:color w:val="auto"/>
                <w:sz w:val="24"/>
              </w:rPr>
              <w:t>建议建设单位应采用严格的国际通用的安全防范体系，完善现有的管理规程、作业规章和应急计划，预警和应急裝置，在出现预警情况时能及时处理，消除事故隐患，发生事故时有相应的安全应急措施，企业内部制定严格的管理条例和岗位责任制，加强职工的安全生产教育，提高风险意识。通过上述风险控制对策，本项目可最大限度地降低环境风险，一旦意外事件发生，也能最大限度地减少环境污染危害和人民生命财产的损失。</w:t>
            </w:r>
          </w:p>
          <w:p>
            <w:pPr>
              <w:pStyle w:val="29"/>
              <w:spacing w:before="0" w:line="360" w:lineRule="auto"/>
              <w:ind w:firstLine="480" w:firstLineChars="200"/>
              <w:rPr>
                <w:rStyle w:val="75"/>
                <w:rFonts w:hint="eastAsia" w:ascii="Times New Roman"/>
                <w:b/>
                <w:color w:val="auto"/>
                <w:spacing w:val="0"/>
                <w:kern w:val="2"/>
                <w:sz w:val="24"/>
                <w:szCs w:val="24"/>
                <w:lang w:val="en-US" w:eastAsia="zh-CN"/>
              </w:rPr>
            </w:pPr>
            <w:r>
              <w:rPr>
                <w:rStyle w:val="75"/>
                <w:rFonts w:hint="eastAsia" w:ascii="Times New Roman"/>
                <w:b/>
                <w:color w:val="auto"/>
                <w:spacing w:val="0"/>
                <w:kern w:val="2"/>
                <w:sz w:val="24"/>
                <w:szCs w:val="24"/>
                <w:lang w:val="en-US" w:eastAsia="zh-CN"/>
              </w:rPr>
              <w:t>（6）分析结论</w:t>
            </w:r>
          </w:p>
          <w:p>
            <w:pPr>
              <w:pStyle w:val="29"/>
              <w:spacing w:before="0" w:line="360" w:lineRule="auto"/>
              <w:ind w:firstLine="480" w:firstLineChars="200"/>
              <w:rPr>
                <w:rStyle w:val="75"/>
                <w:rFonts w:hint="eastAsia" w:ascii="Times New Roman"/>
                <w:b w:val="0"/>
                <w:bCs/>
                <w:color w:val="auto"/>
                <w:spacing w:val="0"/>
                <w:kern w:val="2"/>
                <w:sz w:val="24"/>
                <w:szCs w:val="24"/>
                <w:lang w:val="en-US" w:eastAsia="zh-CN"/>
              </w:rPr>
            </w:pPr>
            <w:r>
              <w:rPr>
                <w:rStyle w:val="75"/>
                <w:rFonts w:hint="eastAsia" w:ascii="Times New Roman"/>
                <w:b w:val="0"/>
                <w:bCs/>
                <w:color w:val="auto"/>
                <w:spacing w:val="0"/>
                <w:kern w:val="2"/>
                <w:sz w:val="24"/>
                <w:szCs w:val="24"/>
                <w:lang w:val="en-US" w:eastAsia="zh-CN"/>
              </w:rPr>
              <w:t>综上所述，本项目的环境风险值水平与同行业比较是可以接受的。但项目仍应设立风险防范措施，最大限度防止风险事故的发生并进行有效处置，结合企业在下一步设计、运营过程中不断制定和完善的风险防范和应急措施，将发生环境风险的可能性降至最低。在各环境风险防范措施落实到位的情况下，将可大大降低本项目的环境风险，最大程度减少对环境可能造成的危害。</w:t>
            </w:r>
          </w:p>
          <w:p>
            <w:pPr>
              <w:pStyle w:val="29"/>
              <w:spacing w:before="0" w:line="240" w:lineRule="auto"/>
              <w:jc w:val="center"/>
              <w:rPr>
                <w:rStyle w:val="75"/>
                <w:rFonts w:hint="eastAsia" w:ascii="Times New Roman"/>
                <w:b/>
                <w:color w:val="auto"/>
                <w:spacing w:val="0"/>
                <w:kern w:val="2"/>
                <w:sz w:val="21"/>
                <w:szCs w:val="21"/>
                <w:lang w:val="en-US" w:eastAsia="zh-CN"/>
              </w:rPr>
            </w:pPr>
          </w:p>
          <w:p>
            <w:pPr>
              <w:pStyle w:val="29"/>
              <w:spacing w:before="0" w:line="240" w:lineRule="auto"/>
              <w:jc w:val="center"/>
              <w:rPr>
                <w:rStyle w:val="75"/>
                <w:rFonts w:hint="eastAsia" w:ascii="Times New Roman"/>
                <w:b/>
                <w:color w:val="auto"/>
                <w:spacing w:val="0"/>
                <w:kern w:val="2"/>
                <w:sz w:val="21"/>
                <w:szCs w:val="21"/>
                <w:lang w:val="en-US" w:eastAsia="zh-CN"/>
              </w:rPr>
            </w:pPr>
          </w:p>
          <w:p>
            <w:pPr>
              <w:pStyle w:val="29"/>
              <w:spacing w:before="0" w:line="240" w:lineRule="auto"/>
              <w:jc w:val="center"/>
              <w:rPr>
                <w:rStyle w:val="75"/>
                <w:rFonts w:hint="eastAsia" w:ascii="Times New Roman"/>
                <w:b/>
                <w:color w:val="auto"/>
                <w:spacing w:val="0"/>
                <w:kern w:val="2"/>
                <w:sz w:val="21"/>
                <w:szCs w:val="21"/>
                <w:lang w:val="en-US" w:eastAsia="zh-CN"/>
              </w:rPr>
            </w:pPr>
          </w:p>
          <w:p>
            <w:pPr>
              <w:pStyle w:val="29"/>
              <w:spacing w:before="0" w:line="240" w:lineRule="auto"/>
              <w:jc w:val="center"/>
              <w:rPr>
                <w:rStyle w:val="75"/>
                <w:rFonts w:hint="eastAsia" w:ascii="Times New Roman"/>
                <w:b/>
                <w:color w:val="auto"/>
                <w:spacing w:val="0"/>
                <w:kern w:val="2"/>
                <w:sz w:val="21"/>
                <w:szCs w:val="21"/>
                <w:vertAlign w:val="baseline"/>
                <w:lang w:val="en-US" w:eastAsia="zh-CN"/>
              </w:rPr>
            </w:pPr>
            <w:r>
              <w:rPr>
                <w:rStyle w:val="75"/>
                <w:rFonts w:hint="eastAsia" w:ascii="Times New Roman"/>
                <w:b/>
                <w:color w:val="auto"/>
                <w:spacing w:val="0"/>
                <w:kern w:val="2"/>
                <w:sz w:val="21"/>
                <w:szCs w:val="21"/>
                <w:lang w:val="en-US" w:eastAsia="zh-CN"/>
              </w:rPr>
              <w:t>表7-34建设项目环境风险简单分析内容表</w:t>
            </w:r>
          </w:p>
          <w:tbl>
            <w:tblPr>
              <w:tblStyle w:val="57"/>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661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0"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建设项目名称</w:t>
                  </w:r>
                </w:p>
              </w:tc>
              <w:tc>
                <w:tcPr>
                  <w:tcW w:w="3979"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年产5000件机械零部件项目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0"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建设地点</w:t>
                  </w:r>
                </w:p>
              </w:tc>
              <w:tc>
                <w:tcPr>
                  <w:tcW w:w="3979"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常州市金坛区龙湖路2号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0"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地理坐标</w:t>
                  </w:r>
                </w:p>
              </w:tc>
              <w:tc>
                <w:tcPr>
                  <w:tcW w:w="3979"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E，N</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0"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主要危险物质及分布</w:t>
                  </w:r>
                </w:p>
              </w:tc>
              <w:tc>
                <w:tcPr>
                  <w:tcW w:w="3979"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生产车间（印刷区、上光区）、危废仓库、危化品仓库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0"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Fonts w:ascii="宋体" w:hAnsi="宋体" w:eastAsia="宋体" w:cs="宋体"/>
                      <w:b w:val="0"/>
                      <w:bCs/>
                      <w:color w:val="auto"/>
                      <w:sz w:val="21"/>
                      <w:szCs w:val="21"/>
                    </w:rPr>
                    <w:t>环境影响影响途径及危害后果</w:t>
                  </w:r>
                </w:p>
              </w:tc>
              <w:tc>
                <w:tcPr>
                  <w:tcW w:w="3979" w:type="pct"/>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因操作不当，碰撞泄漏；不慎引起火灾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0" w:type="pct"/>
                  <w:tcBorders>
                    <w:tl2br w:val="nil"/>
                    <w:tr2bl w:val="nil"/>
                  </w:tcBorders>
                  <w:vAlign w:val="center"/>
                </w:tcPr>
                <w:p>
                  <w:pPr>
                    <w:pStyle w:val="29"/>
                    <w:spacing w:before="0" w:line="240" w:lineRule="auto"/>
                    <w:jc w:val="center"/>
                    <w:rPr>
                      <w:rFonts w:ascii="宋体" w:hAnsi="宋体" w:eastAsia="宋体" w:cs="宋体"/>
                      <w:b w:val="0"/>
                      <w:bCs/>
                      <w:color w:val="auto"/>
                      <w:sz w:val="21"/>
                      <w:szCs w:val="21"/>
                    </w:rPr>
                  </w:pPr>
                  <w:r>
                    <w:rPr>
                      <w:rFonts w:hint="eastAsia" w:ascii="宋体" w:hAnsi="宋体" w:eastAsia="宋体" w:cs="宋体"/>
                      <w:b w:val="0"/>
                      <w:bCs/>
                      <w:color w:val="auto"/>
                      <w:sz w:val="21"/>
                      <w:szCs w:val="21"/>
                    </w:rPr>
                    <w:t>风险防范措施要求</w:t>
                  </w:r>
                </w:p>
              </w:tc>
              <w:tc>
                <w:tcPr>
                  <w:tcW w:w="3979" w:type="pct"/>
                  <w:tcBorders>
                    <w:tl2br w:val="nil"/>
                    <w:tr2bl w:val="nil"/>
                  </w:tcBorders>
                  <w:vAlign w:val="center"/>
                </w:tcPr>
                <w:p>
                  <w:pPr>
                    <w:pStyle w:val="29"/>
                    <w:spacing w:before="0" w:line="240" w:lineRule="auto"/>
                    <w:jc w:val="center"/>
                    <w:rPr>
                      <w:rStyle w:val="75"/>
                      <w:rFonts w:hint="default"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生产车间（喷漆房、喷塑流水线）、危废仓库、危化品仓库重点防渗，设置事故应急储罐 40m</w:t>
                  </w:r>
                  <w:r>
                    <w:rPr>
                      <w:rStyle w:val="75"/>
                      <w:rFonts w:hint="eastAsia" w:ascii="Times New Roman"/>
                      <w:b w:val="0"/>
                      <w:bCs/>
                      <w:color w:val="auto"/>
                      <w:spacing w:val="0"/>
                      <w:kern w:val="2"/>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00" w:type="pct"/>
                  <w:gridSpan w:val="2"/>
                  <w:tcBorders>
                    <w:tl2br w:val="nil"/>
                    <w:tr2bl w:val="nil"/>
                  </w:tcBorders>
                  <w:vAlign w:val="center"/>
                </w:tcPr>
                <w:p>
                  <w:pPr>
                    <w:pStyle w:val="29"/>
                    <w:spacing w:before="0" w:line="240" w:lineRule="auto"/>
                    <w:jc w:val="center"/>
                    <w:rPr>
                      <w:rStyle w:val="75"/>
                      <w:rFonts w:hint="eastAsia" w:ascii="Times New Roman"/>
                      <w:b w:val="0"/>
                      <w:bCs/>
                      <w:color w:val="auto"/>
                      <w:spacing w:val="0"/>
                      <w:kern w:val="2"/>
                      <w:sz w:val="21"/>
                      <w:szCs w:val="21"/>
                      <w:vertAlign w:val="baseline"/>
                      <w:lang w:val="en-US" w:eastAsia="zh-CN"/>
                    </w:rPr>
                  </w:pPr>
                  <w:r>
                    <w:rPr>
                      <w:rStyle w:val="75"/>
                      <w:rFonts w:hint="eastAsia" w:ascii="Times New Roman"/>
                      <w:b w:val="0"/>
                      <w:bCs/>
                      <w:color w:val="auto"/>
                      <w:spacing w:val="0"/>
                      <w:kern w:val="2"/>
                      <w:sz w:val="21"/>
                      <w:szCs w:val="21"/>
                      <w:vertAlign w:val="baseline"/>
                      <w:lang w:val="en-US" w:eastAsia="zh-CN"/>
                    </w:rPr>
                    <w:t>填表说明：依据《建设项目环境风险评价技术导则》（HJ/T 169-2018）判断，本项目产生的风险物质主要是水性漆（包括水性漆固化剂）、切削液、润滑油及产生的危险废物废切削液、废润滑油、漆渣、含漆废物、废过滤棉；风险类别主要为水性漆（包括水性漆固化剂）、切削液、润滑油及产生的危险废物废切削液、废润滑油、漆渣、含漆废物、废过滤棉着火引起火灾。本项目根据定量分析危险物质数量与临界量的比值（Q）Q&lt;1，建设项目评价工作等级判定结果：I，进行简单分析。</w:t>
                  </w:r>
                </w:p>
              </w:tc>
            </w:tr>
          </w:tbl>
          <w:p>
            <w:pPr>
              <w:pStyle w:val="29"/>
              <w:keepNext w:val="0"/>
              <w:keepLines w:val="0"/>
              <w:pageBreakBefore w:val="0"/>
              <w:widowControl w:val="0"/>
              <w:kinsoku/>
              <w:wordWrap/>
              <w:overflowPunct/>
              <w:topLinePunct w:val="0"/>
              <w:autoSpaceDE/>
              <w:autoSpaceDN/>
              <w:bidi w:val="0"/>
              <w:adjustRightInd w:val="0"/>
              <w:snapToGrid/>
              <w:spacing w:before="0" w:line="360" w:lineRule="auto"/>
              <w:ind w:firstLine="480" w:firstLineChars="200"/>
              <w:textAlignment w:val="baseline"/>
              <w:rPr>
                <w:rFonts w:ascii="Times New Roman"/>
                <w:b/>
                <w:color w:val="auto"/>
                <w:sz w:val="24"/>
                <w:szCs w:val="24"/>
              </w:rPr>
            </w:pPr>
            <w:r>
              <w:rPr>
                <w:rStyle w:val="75"/>
                <w:rFonts w:hint="eastAsia" w:ascii="Times New Roman"/>
                <w:b/>
                <w:color w:val="auto"/>
                <w:spacing w:val="0"/>
                <w:kern w:val="2"/>
                <w:sz w:val="24"/>
                <w:szCs w:val="24"/>
                <w:lang w:val="en-US" w:eastAsia="zh-CN"/>
              </w:rPr>
              <w:t>8</w:t>
            </w:r>
            <w:r>
              <w:rPr>
                <w:rFonts w:ascii="Times New Roman"/>
                <w:b/>
                <w:color w:val="auto"/>
                <w:sz w:val="24"/>
                <w:szCs w:val="24"/>
              </w:rPr>
              <w:t>、环境管理与环境监测</w:t>
            </w:r>
          </w:p>
          <w:p>
            <w:pPr>
              <w:autoSpaceDE w:val="0"/>
              <w:autoSpaceDN w:val="0"/>
              <w:adjustRightInd w:val="0"/>
              <w:spacing w:line="360" w:lineRule="auto"/>
              <w:ind w:firstLine="480" w:firstLineChars="200"/>
              <w:rPr>
                <w:b/>
                <w:color w:val="auto"/>
                <w:sz w:val="24"/>
                <w:lang w:val="zh-CN"/>
              </w:rPr>
            </w:pPr>
            <w:r>
              <w:rPr>
                <w:rFonts w:hint="eastAsia"/>
                <w:b/>
                <w:color w:val="auto"/>
                <w:sz w:val="24"/>
                <w:lang w:val="en-US" w:eastAsia="zh-CN"/>
              </w:rPr>
              <w:t>8</w:t>
            </w:r>
            <w:r>
              <w:rPr>
                <w:rFonts w:hint="eastAsia"/>
                <w:b/>
                <w:color w:val="auto"/>
                <w:sz w:val="24"/>
              </w:rPr>
              <w:t>.</w:t>
            </w:r>
            <w:r>
              <w:rPr>
                <w:b/>
                <w:color w:val="auto"/>
                <w:sz w:val="24"/>
                <w:lang w:val="zh-CN"/>
              </w:rPr>
              <w:t>1环境管理内容</w:t>
            </w:r>
          </w:p>
          <w:p>
            <w:pPr>
              <w:pStyle w:val="29"/>
              <w:spacing w:before="0" w:line="360" w:lineRule="auto"/>
              <w:ind w:firstLine="512" w:firstLineChars="200"/>
              <w:rPr>
                <w:color w:val="auto"/>
                <w:kern w:val="0"/>
                <w:sz w:val="24"/>
                <w:lang w:val="zh-CN"/>
              </w:rPr>
            </w:pPr>
            <w:r>
              <w:rPr>
                <w:rFonts w:hint="eastAsia"/>
                <w:color w:val="auto"/>
                <w:spacing w:val="8"/>
                <w:kern w:val="24"/>
                <w:sz w:val="24"/>
                <w:szCs w:val="24"/>
              </w:rPr>
              <w:t>本项目非生态性项目，因此施工期较为简单，本次环评主要分析运行期环境管理。</w:t>
            </w:r>
          </w:p>
          <w:p>
            <w:pPr>
              <w:pStyle w:val="29"/>
              <w:spacing w:before="0" w:line="360" w:lineRule="auto"/>
              <w:ind w:firstLine="512" w:firstLineChars="200"/>
              <w:rPr>
                <w:color w:val="auto"/>
                <w:spacing w:val="8"/>
                <w:kern w:val="24"/>
                <w:sz w:val="24"/>
                <w:szCs w:val="24"/>
              </w:rPr>
            </w:pPr>
            <w:r>
              <w:rPr>
                <w:rFonts w:hint="eastAsia"/>
                <w:color w:val="auto"/>
                <w:spacing w:val="8"/>
                <w:kern w:val="24"/>
                <w:sz w:val="24"/>
                <w:szCs w:val="24"/>
              </w:rPr>
              <w:t>（1）环境管理机构：</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为了做好生产全过程的环境保护工作，</w:t>
            </w:r>
            <w:r>
              <w:rPr>
                <w:color w:val="auto"/>
                <w:sz w:val="24"/>
                <w:lang w:val="zh-CN"/>
              </w:rPr>
              <w:t>减轻本项目外排污染物对环境的影响，公司还将高度重视环境保护工作，设立环境保护管理科室，设专职环境监督人员1~2名，负责环境监督管理工作，同时实行定岗定员，岗位责任制，负责各生产环节的环境保护管理，保证环保设施的正常运行。</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环境管理机构职责如下：</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①</w:t>
            </w:r>
            <w:r>
              <w:rPr>
                <w:rFonts w:hint="eastAsia"/>
                <w:color w:val="auto"/>
                <w:sz w:val="24"/>
                <w:lang w:val="zh-CN"/>
              </w:rPr>
              <w:t>保持与环境保护主管机构的密切联系，及时了解国家、地方有关环境保护的法律、法规和其他要求，及时向环境保护主管机构反映与项目有关的污染因素、存在的环境问题、采取的污染控制对策等环境保护方面的内容，听取环境保护主管机构的批示意见。</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②</w:t>
            </w:r>
            <w:r>
              <w:rPr>
                <w:rFonts w:hint="eastAsia"/>
                <w:color w:val="auto"/>
                <w:sz w:val="24"/>
                <w:lang w:val="zh-CN"/>
              </w:rPr>
              <w:t>及时将国家、地方环境保护有关的法律、法规和规定向单位负责人汇报，及时向本单位有关机构、人员通报，组织职工进行环境保护方面的教育、培训，提高环保意识。</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③</w:t>
            </w:r>
            <w:r>
              <w:rPr>
                <w:rFonts w:hint="eastAsia"/>
                <w:color w:val="auto"/>
                <w:sz w:val="24"/>
                <w:lang w:val="zh-CN"/>
              </w:rPr>
              <w:t>及时向单位负责人汇报与本项目有关的污染因素、存在的环境问题、采取的污染控制对策、实施情况等，提出改进建议。</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④</w:t>
            </w:r>
            <w:r>
              <w:rPr>
                <w:rFonts w:hint="eastAsia"/>
                <w:color w:val="auto"/>
                <w:sz w:val="24"/>
                <w:lang w:val="zh-CN"/>
              </w:rPr>
              <w:t>负责制定、监督实施本单位的有关环境保护管理规章制度，负责实施污染控制措施、管理污染治理措施，并进行详细的记录，做好环境统计，监测报表、污染源等基本工作，以备检查。</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⑤</w:t>
            </w:r>
            <w:r>
              <w:rPr>
                <w:rFonts w:hint="eastAsia"/>
                <w:color w:val="auto"/>
                <w:sz w:val="24"/>
                <w:lang w:val="zh-CN"/>
              </w:rPr>
              <w:t>负责组织突发性污染事故的应急处置和善后处理，追查事故原因及事故隐患，总结经验教训，并根据有关规章制度对事故责任人作出妥善处理。</w:t>
            </w:r>
          </w:p>
          <w:p>
            <w:pPr>
              <w:pStyle w:val="29"/>
              <w:spacing w:before="0" w:line="360" w:lineRule="auto"/>
              <w:ind w:firstLine="472" w:firstLineChars="200"/>
              <w:rPr>
                <w:color w:val="auto"/>
                <w:kern w:val="0"/>
                <w:sz w:val="24"/>
                <w:lang w:val="zh-CN"/>
              </w:rPr>
            </w:pPr>
            <w:r>
              <w:rPr>
                <w:rFonts w:hint="eastAsia"/>
                <w:color w:val="auto"/>
                <w:kern w:val="0"/>
                <w:sz w:val="24"/>
                <w:lang w:val="zh-CN"/>
              </w:rPr>
              <w:t>⑥负责与周边群众、企业及其他社会各界单位有关环保问题的协调工作。</w:t>
            </w:r>
          </w:p>
          <w:p>
            <w:pPr>
              <w:pStyle w:val="5"/>
              <w:numPr>
                <w:ilvl w:val="0"/>
                <w:numId w:val="0"/>
              </w:numPr>
              <w:spacing w:before="0" w:after="0" w:line="360" w:lineRule="auto"/>
              <w:ind w:left="482"/>
              <w:rPr>
                <w:color w:val="auto"/>
                <w:sz w:val="24"/>
              </w:rPr>
            </w:pPr>
            <w:r>
              <w:rPr>
                <w:rFonts w:hint="eastAsia"/>
                <w:color w:val="auto"/>
                <w:sz w:val="24"/>
              </w:rPr>
              <w:t>（2）环境管理制度</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①</w:t>
            </w:r>
            <w:r>
              <w:rPr>
                <w:rFonts w:hint="eastAsia"/>
                <w:color w:val="auto"/>
                <w:sz w:val="24"/>
                <w:lang w:val="zh-CN"/>
              </w:rPr>
              <w:t>“三同时”制度</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在项目筹备、实施和建设阶段，应严格执行“三同时”，确保各三废处理等环保设施能够和生产工艺“同时设计、同时施工、同时投产使用”。</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②</w:t>
            </w:r>
            <w:r>
              <w:rPr>
                <w:rFonts w:hint="eastAsia"/>
                <w:color w:val="auto"/>
                <w:sz w:val="24"/>
                <w:lang w:val="zh-CN"/>
              </w:rPr>
              <w:t>报告制度</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要定期向当地环保部门报告污染治理设施运行情况，污染物排放情况以及污染事故、污染纠纷等情况。</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企业排污发生重大变化、污染治理设施改变或企业改、扩建等都必须向当地环保部门申报，按《建设项目环境保护管理条例》等相关文件要求实施。</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③排污申报</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根据《固定污染源排污许可分类管理名录》（2019年版）的要求，及时在全国排污许可证管理信息平台申报</w:t>
            </w:r>
            <w:r>
              <w:rPr>
                <w:color w:val="auto"/>
                <w:sz w:val="24"/>
                <w:lang w:val="zh-CN"/>
              </w:rPr>
              <w:t>污染物排放情况</w:t>
            </w:r>
            <w:r>
              <w:rPr>
                <w:rFonts w:hint="eastAsia"/>
                <w:color w:val="auto"/>
                <w:sz w:val="24"/>
                <w:lang w:val="zh-CN"/>
              </w:rPr>
              <w:t>。</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④</w:t>
            </w:r>
            <w:r>
              <w:rPr>
                <w:rFonts w:hint="eastAsia"/>
                <w:color w:val="auto"/>
                <w:sz w:val="24"/>
                <w:lang w:val="zh-CN"/>
              </w:rPr>
              <w:t>污染治理设施的管理制度</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本项目建成后，必须确保污染处理设施长期、稳定、有效地运行，不得擅自拆除或者闲置污染处理设施，不得故意不正常使用污染处理设施。污染处理设施的管理必须与生产经营活动一起纳入企事业单位日常管理工作的范畴，落实责任人、操作人员、维修人员、运行经费、设备的备品备件、其他原辅材料，同时要明确岗位责任制、操作规程和管理台账。企业应制定并逐步完善对各类生产和消防安全事故的环保处置预案、建设环保应急处置设施。报当地环保局备案，并定期组织演练。</w:t>
            </w:r>
          </w:p>
          <w:p>
            <w:pPr>
              <w:autoSpaceDE w:val="0"/>
              <w:autoSpaceDN w:val="0"/>
              <w:adjustRightInd w:val="0"/>
              <w:spacing w:line="360" w:lineRule="auto"/>
              <w:ind w:firstLine="480" w:firstLineChars="200"/>
              <w:rPr>
                <w:color w:val="auto"/>
                <w:sz w:val="24"/>
                <w:lang w:val="zh-CN"/>
              </w:rPr>
            </w:pPr>
            <w:r>
              <w:rPr>
                <w:rFonts w:hint="eastAsia" w:ascii="宋体"/>
                <w:color w:val="auto"/>
                <w:sz w:val="24"/>
                <w:lang w:val="zh-CN"/>
              </w:rPr>
              <w:t>⑤</w:t>
            </w:r>
            <w:r>
              <w:rPr>
                <w:rFonts w:hint="eastAsia"/>
                <w:color w:val="auto"/>
                <w:sz w:val="24"/>
                <w:lang w:val="zh-CN"/>
              </w:rPr>
              <w:t>环保奖惩条例</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企业应加强宣传教育，提高员工的污染隐患意识和环境风险意识；制定员工参与环保技术培训的计划，提高员工技术资质水平；设立岗位实则制，制定严格的奖、罚制度。建议企业设置环境保护奖励条例，纳入人员考核体系。对爱护环保设施、节能降耗、改善环境者实行奖励；对环保观念淡薄、不按环保管理要求，造成环保设施损坏、环境污染及资源和能源浪费者予以处罚。</w:t>
            </w:r>
          </w:p>
          <w:p>
            <w:pPr>
              <w:pStyle w:val="29"/>
              <w:spacing w:before="0" w:line="360" w:lineRule="auto"/>
              <w:ind w:firstLine="472" w:firstLineChars="200"/>
              <w:rPr>
                <w:color w:val="auto"/>
                <w:kern w:val="0"/>
                <w:sz w:val="24"/>
              </w:rPr>
            </w:pPr>
            <w:r>
              <w:rPr>
                <w:rFonts w:hint="eastAsia"/>
                <w:color w:val="auto"/>
                <w:kern w:val="0"/>
                <w:sz w:val="24"/>
              </w:rPr>
              <w:t>⑥排污口规范化设置</w:t>
            </w:r>
          </w:p>
          <w:p>
            <w:pPr>
              <w:autoSpaceDE w:val="0"/>
              <w:autoSpaceDN w:val="0"/>
              <w:adjustRightInd w:val="0"/>
              <w:spacing w:line="360" w:lineRule="auto"/>
              <w:ind w:firstLine="480" w:firstLineChars="200"/>
              <w:rPr>
                <w:color w:val="auto"/>
                <w:sz w:val="24"/>
                <w:lang w:val="zh-CN"/>
              </w:rPr>
            </w:pPr>
            <w:r>
              <w:rPr>
                <w:rFonts w:hint="eastAsia"/>
                <w:color w:val="auto"/>
                <w:sz w:val="24"/>
              </w:rPr>
              <w:t>a、</w:t>
            </w:r>
            <w:r>
              <w:rPr>
                <w:color w:val="auto"/>
                <w:sz w:val="24"/>
                <w:lang w:val="zh-CN"/>
              </w:rPr>
              <w:t>排放口附近树立图形标志牌。</w:t>
            </w:r>
          </w:p>
          <w:p>
            <w:pPr>
              <w:pStyle w:val="29"/>
              <w:spacing w:before="0" w:line="360" w:lineRule="auto"/>
              <w:ind w:firstLine="472" w:firstLineChars="200"/>
              <w:rPr>
                <w:color w:val="auto"/>
                <w:kern w:val="0"/>
                <w:sz w:val="24"/>
                <w:lang w:val="zh-CN"/>
              </w:rPr>
            </w:pPr>
            <w:r>
              <w:rPr>
                <w:rFonts w:hint="eastAsia"/>
                <w:color w:val="auto"/>
                <w:kern w:val="0"/>
                <w:sz w:val="24"/>
                <w:lang w:val="zh-CN"/>
              </w:rPr>
              <w:t>b、</w:t>
            </w:r>
            <w:r>
              <w:rPr>
                <w:color w:val="auto"/>
                <w:kern w:val="0"/>
                <w:sz w:val="24"/>
                <w:lang w:val="zh-CN"/>
              </w:rPr>
              <w:t>排污口管理。建设单位应在各个排污口处树立标志牌，并如实填写《中华人民共和国规范化排污口标记登记证》，由环保部门签发。环保主管部门和建设单位可分别按以下内容建立排污口管理的专门档案：排污口性质和编号；位置；排放主要污染物种类、数量、浓度；排放去向；达标情况；治理设施运行情况及整改意见。</w:t>
            </w:r>
          </w:p>
          <w:p>
            <w:pPr>
              <w:autoSpaceDE w:val="0"/>
              <w:autoSpaceDN w:val="0"/>
              <w:adjustRightInd w:val="0"/>
              <w:spacing w:line="360" w:lineRule="auto"/>
              <w:ind w:firstLine="480" w:firstLineChars="200"/>
              <w:rPr>
                <w:color w:val="auto"/>
                <w:sz w:val="24"/>
                <w:lang w:val="zh-CN"/>
              </w:rPr>
            </w:pPr>
            <w:r>
              <w:rPr>
                <w:rFonts w:hint="eastAsia"/>
                <w:color w:val="auto"/>
                <w:sz w:val="24"/>
                <w:lang w:val="zh-CN"/>
              </w:rPr>
              <w:t>c、</w:t>
            </w:r>
            <w:r>
              <w:rPr>
                <w:color w:val="auto"/>
                <w:sz w:val="24"/>
                <w:lang w:val="zh-CN"/>
              </w:rPr>
              <w:t>环境保护图形标志</w:t>
            </w:r>
          </w:p>
          <w:p>
            <w:pPr>
              <w:pStyle w:val="29"/>
              <w:spacing w:before="0" w:line="360" w:lineRule="auto"/>
              <w:ind w:firstLine="472" w:firstLineChars="200"/>
              <w:rPr>
                <w:rFonts w:ascii="Times New Roman"/>
                <w:color w:val="auto"/>
                <w:kern w:val="0"/>
                <w:sz w:val="24"/>
                <w:lang w:val="zh-CN"/>
              </w:rPr>
            </w:pPr>
            <w:r>
              <w:rPr>
                <w:rFonts w:ascii="Times New Roman"/>
                <w:color w:val="auto"/>
                <w:kern w:val="0"/>
                <w:sz w:val="24"/>
                <w:lang w:val="zh-CN"/>
              </w:rPr>
              <w:t>在厂区的废水排放口、固体废物贮存处置场应设置环境保护图形标志，图形符号分为提示图形和警告图形符号两种，分别按GB15562.1-1995、GB15562.2-1995执行。环境保护图形符号见表</w:t>
            </w:r>
            <w:r>
              <w:rPr>
                <w:rFonts w:hint="eastAsia" w:ascii="Times New Roman"/>
                <w:color w:val="auto"/>
                <w:kern w:val="0"/>
                <w:sz w:val="24"/>
              </w:rPr>
              <w:t>7-</w:t>
            </w:r>
            <w:r>
              <w:rPr>
                <w:rFonts w:hint="eastAsia" w:ascii="Times New Roman"/>
                <w:color w:val="auto"/>
                <w:kern w:val="0"/>
                <w:sz w:val="24"/>
                <w:lang w:val="en-US" w:eastAsia="zh-CN"/>
              </w:rPr>
              <w:t>35</w:t>
            </w:r>
            <w:r>
              <w:rPr>
                <w:rFonts w:ascii="Times New Roman"/>
                <w:color w:val="auto"/>
                <w:kern w:val="0"/>
                <w:sz w:val="24"/>
                <w:lang w:val="zh-CN"/>
              </w:rPr>
              <w:t>，环境保护图形标志的形状及颜色见表</w:t>
            </w:r>
            <w:r>
              <w:rPr>
                <w:rFonts w:hint="eastAsia" w:ascii="Times New Roman"/>
                <w:color w:val="auto"/>
                <w:kern w:val="0"/>
                <w:sz w:val="24"/>
                <w:lang w:val="zh-CN"/>
              </w:rPr>
              <w:t>7-</w:t>
            </w:r>
            <w:r>
              <w:rPr>
                <w:rFonts w:hint="eastAsia" w:ascii="Times New Roman"/>
                <w:color w:val="auto"/>
                <w:kern w:val="0"/>
                <w:sz w:val="24"/>
              </w:rPr>
              <w:t>3</w:t>
            </w:r>
            <w:r>
              <w:rPr>
                <w:rFonts w:hint="eastAsia" w:ascii="Times New Roman"/>
                <w:color w:val="auto"/>
                <w:kern w:val="0"/>
                <w:sz w:val="24"/>
                <w:lang w:val="en-US" w:eastAsia="zh-CN"/>
              </w:rPr>
              <w:t>6</w:t>
            </w:r>
            <w:r>
              <w:rPr>
                <w:rFonts w:ascii="Times New Roman"/>
                <w:color w:val="auto"/>
                <w:kern w:val="0"/>
                <w:sz w:val="24"/>
                <w:lang w:val="zh-CN"/>
              </w:rPr>
              <w:t>。</w:t>
            </w:r>
          </w:p>
          <w:p>
            <w:pPr>
              <w:snapToGrid w:val="0"/>
              <w:jc w:val="center"/>
              <w:rPr>
                <w:b/>
                <w:color w:val="auto"/>
                <w:szCs w:val="21"/>
              </w:rPr>
            </w:pPr>
            <w:r>
              <w:rPr>
                <w:b/>
                <w:color w:val="auto"/>
                <w:szCs w:val="21"/>
              </w:rPr>
              <w:t>表7-</w:t>
            </w:r>
            <w:r>
              <w:rPr>
                <w:rFonts w:hint="eastAsia"/>
                <w:b/>
                <w:color w:val="auto"/>
                <w:szCs w:val="21"/>
                <w:lang w:val="en-US" w:eastAsia="zh-CN"/>
              </w:rPr>
              <w:t>35</w:t>
            </w:r>
            <w:r>
              <w:rPr>
                <w:b/>
                <w:color w:val="auto"/>
                <w:szCs w:val="21"/>
              </w:rPr>
              <w:t xml:space="preserve"> 环境保护图形符号一览表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97"/>
              <w:gridCol w:w="1657"/>
              <w:gridCol w:w="1800"/>
              <w:gridCol w:w="1275"/>
              <w:gridCol w:w="27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97" w:type="dxa"/>
                  <w:vAlign w:val="center"/>
                </w:tcPr>
                <w:p>
                  <w:pPr>
                    <w:jc w:val="center"/>
                    <w:rPr>
                      <w:b/>
                      <w:color w:val="auto"/>
                      <w:szCs w:val="21"/>
                    </w:rPr>
                  </w:pPr>
                  <w:r>
                    <w:rPr>
                      <w:b/>
                      <w:color w:val="auto"/>
                      <w:szCs w:val="21"/>
                    </w:rPr>
                    <w:t>序号</w:t>
                  </w:r>
                </w:p>
              </w:tc>
              <w:tc>
                <w:tcPr>
                  <w:tcW w:w="1657" w:type="dxa"/>
                  <w:vAlign w:val="center"/>
                </w:tcPr>
                <w:p>
                  <w:pPr>
                    <w:jc w:val="center"/>
                    <w:rPr>
                      <w:b/>
                      <w:color w:val="auto"/>
                      <w:szCs w:val="21"/>
                    </w:rPr>
                  </w:pPr>
                  <w:r>
                    <w:rPr>
                      <w:b/>
                      <w:color w:val="auto"/>
                      <w:szCs w:val="21"/>
                    </w:rPr>
                    <w:t>提示图形符号</w:t>
                  </w:r>
                </w:p>
              </w:tc>
              <w:tc>
                <w:tcPr>
                  <w:tcW w:w="1800" w:type="dxa"/>
                  <w:vAlign w:val="center"/>
                </w:tcPr>
                <w:p>
                  <w:pPr>
                    <w:jc w:val="center"/>
                    <w:rPr>
                      <w:b/>
                      <w:color w:val="auto"/>
                      <w:szCs w:val="21"/>
                    </w:rPr>
                  </w:pPr>
                  <w:r>
                    <w:rPr>
                      <w:b/>
                      <w:color w:val="auto"/>
                      <w:szCs w:val="21"/>
                    </w:rPr>
                    <w:t>警告图形符号</w:t>
                  </w:r>
                </w:p>
              </w:tc>
              <w:tc>
                <w:tcPr>
                  <w:tcW w:w="1275" w:type="dxa"/>
                  <w:vAlign w:val="center"/>
                </w:tcPr>
                <w:p>
                  <w:pPr>
                    <w:jc w:val="center"/>
                    <w:rPr>
                      <w:b/>
                      <w:color w:val="auto"/>
                      <w:szCs w:val="21"/>
                    </w:rPr>
                  </w:pPr>
                  <w:r>
                    <w:rPr>
                      <w:b/>
                      <w:color w:val="auto"/>
                      <w:szCs w:val="21"/>
                    </w:rPr>
                    <w:t>名 称</w:t>
                  </w:r>
                </w:p>
              </w:tc>
              <w:tc>
                <w:tcPr>
                  <w:tcW w:w="2783" w:type="dxa"/>
                  <w:vAlign w:val="center"/>
                </w:tcPr>
                <w:p>
                  <w:pPr>
                    <w:jc w:val="center"/>
                    <w:rPr>
                      <w:b/>
                      <w:color w:val="auto"/>
                      <w:szCs w:val="21"/>
                    </w:rPr>
                  </w:pPr>
                  <w:r>
                    <w:rPr>
                      <w:b/>
                      <w:color w:val="auto"/>
                      <w:szCs w:val="21"/>
                    </w:rPr>
                    <w:t>功 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797" w:type="dxa"/>
                  <w:vAlign w:val="center"/>
                </w:tcPr>
                <w:p>
                  <w:pPr>
                    <w:jc w:val="center"/>
                    <w:rPr>
                      <w:color w:val="auto"/>
                      <w:szCs w:val="21"/>
                    </w:rPr>
                  </w:pPr>
                  <w:r>
                    <w:rPr>
                      <w:color w:val="auto"/>
                      <w:szCs w:val="21"/>
                    </w:rPr>
                    <w:t>1</w:t>
                  </w:r>
                </w:p>
              </w:tc>
              <w:tc>
                <w:tcPr>
                  <w:tcW w:w="1657" w:type="dxa"/>
                  <w:vAlign w:val="center"/>
                </w:tcPr>
                <w:p>
                  <w:pPr>
                    <w:jc w:val="center"/>
                    <w:rPr>
                      <w:color w:val="auto"/>
                      <w:szCs w:val="21"/>
                    </w:rPr>
                  </w:pPr>
                  <w:r>
                    <w:rPr>
                      <w:color w:val="auto"/>
                      <w:szCs w:val="21"/>
                    </w:rPr>
                    <w:drawing>
                      <wp:inline distT="0" distB="0" distL="114300" distR="114300">
                        <wp:extent cx="694690" cy="703580"/>
                        <wp:effectExtent l="0" t="0" r="10160" b="1270"/>
                        <wp:docPr id="6" name="图片 12" descr="371265482155650503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3712654821556505032553"/>
                                <pic:cNvPicPr>
                                  <a:picLocks noChangeAspect="1"/>
                                </pic:cNvPicPr>
                              </pic:nvPicPr>
                              <pic:blipFill>
                                <a:blip r:embed="rId38"/>
                                <a:stretch>
                                  <a:fillRect/>
                                </a:stretch>
                              </pic:blipFill>
                              <pic:spPr>
                                <a:xfrm>
                                  <a:off x="0" y="0"/>
                                  <a:ext cx="694690" cy="703580"/>
                                </a:xfrm>
                                <a:prstGeom prst="rect">
                                  <a:avLst/>
                                </a:prstGeom>
                                <a:noFill/>
                                <a:ln>
                                  <a:noFill/>
                                </a:ln>
                              </pic:spPr>
                            </pic:pic>
                          </a:graphicData>
                        </a:graphic>
                      </wp:inline>
                    </w:drawing>
                  </w:r>
                </w:p>
              </w:tc>
              <w:tc>
                <w:tcPr>
                  <w:tcW w:w="1800" w:type="dxa"/>
                  <w:vAlign w:val="center"/>
                </w:tcPr>
                <w:p>
                  <w:pPr>
                    <w:jc w:val="center"/>
                    <w:rPr>
                      <w:color w:val="auto"/>
                      <w:szCs w:val="21"/>
                    </w:rPr>
                  </w:pPr>
                  <w:r>
                    <w:rPr>
                      <w:color w:val="auto"/>
                      <w:szCs w:val="21"/>
                    </w:rPr>
                    <w:drawing>
                      <wp:inline distT="0" distB="0" distL="114300" distR="114300">
                        <wp:extent cx="648335" cy="657860"/>
                        <wp:effectExtent l="0" t="0" r="18415" b="8890"/>
                        <wp:docPr id="7" name="图片 13" descr="90372364155650503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descr="903723641556505032555"/>
                                <pic:cNvPicPr>
                                  <a:picLocks noChangeAspect="1"/>
                                </pic:cNvPicPr>
                              </pic:nvPicPr>
                              <pic:blipFill>
                                <a:blip r:embed="rId39"/>
                                <a:stretch>
                                  <a:fillRect/>
                                </a:stretch>
                              </pic:blipFill>
                              <pic:spPr>
                                <a:xfrm>
                                  <a:off x="0" y="0"/>
                                  <a:ext cx="648335" cy="657860"/>
                                </a:xfrm>
                                <a:prstGeom prst="rect">
                                  <a:avLst/>
                                </a:prstGeom>
                                <a:noFill/>
                                <a:ln>
                                  <a:noFill/>
                                </a:ln>
                              </pic:spPr>
                            </pic:pic>
                          </a:graphicData>
                        </a:graphic>
                      </wp:inline>
                    </w:drawing>
                  </w:r>
                </w:p>
              </w:tc>
              <w:tc>
                <w:tcPr>
                  <w:tcW w:w="1275"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废水排放口</w:t>
                  </w:r>
                </w:p>
              </w:tc>
              <w:tc>
                <w:tcPr>
                  <w:tcW w:w="2783"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表示废水</w:t>
                  </w:r>
                  <w:r>
                    <w:rPr>
                      <w:rFonts w:hint="eastAsia" w:ascii="Times New Roman" w:hAnsi="Times New Roman"/>
                      <w:color w:val="auto"/>
                      <w:spacing w:val="0"/>
                      <w:sz w:val="21"/>
                      <w:szCs w:val="21"/>
                    </w:rPr>
                    <w:t>排入园区化粪池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797" w:type="dxa"/>
                  <w:vAlign w:val="center"/>
                </w:tcPr>
                <w:p>
                  <w:pPr>
                    <w:jc w:val="center"/>
                    <w:rPr>
                      <w:color w:val="auto"/>
                      <w:szCs w:val="21"/>
                    </w:rPr>
                  </w:pPr>
                  <w:r>
                    <w:rPr>
                      <w:rFonts w:hint="eastAsia"/>
                      <w:color w:val="auto"/>
                      <w:szCs w:val="21"/>
                    </w:rPr>
                    <w:t>2</w:t>
                  </w:r>
                </w:p>
              </w:tc>
              <w:tc>
                <w:tcPr>
                  <w:tcW w:w="1657" w:type="dxa"/>
                  <w:vAlign w:val="center"/>
                </w:tcPr>
                <w:p>
                  <w:pPr>
                    <w:jc w:val="center"/>
                    <w:rPr>
                      <w:color w:val="auto"/>
                      <w:szCs w:val="21"/>
                    </w:rPr>
                  </w:pPr>
                  <w:r>
                    <w:rPr>
                      <w:color w:val="auto"/>
                      <w:szCs w:val="21"/>
                    </w:rPr>
                    <w:drawing>
                      <wp:inline distT="0" distB="0" distL="114300" distR="114300">
                        <wp:extent cx="708025" cy="622300"/>
                        <wp:effectExtent l="0" t="0" r="15875" b="6350"/>
                        <wp:docPr id="14" name="图片 14" descr="9035689531556505032557"/>
                        <wp:cNvGraphicFramePr/>
                        <a:graphic xmlns:a="http://schemas.openxmlformats.org/drawingml/2006/main">
                          <a:graphicData uri="http://schemas.openxmlformats.org/drawingml/2006/picture">
                            <pic:pic xmlns:pic="http://schemas.openxmlformats.org/drawingml/2006/picture">
                              <pic:nvPicPr>
                                <pic:cNvPr id="14" name="图片 14" descr="9035689531556505032557"/>
                                <pic:cNvPicPr/>
                              </pic:nvPicPr>
                              <pic:blipFill>
                                <a:blip r:embed="rId40" cstate="print"/>
                                <a:stretch>
                                  <a:fillRect/>
                                </a:stretch>
                              </pic:blipFill>
                              <pic:spPr>
                                <a:xfrm>
                                  <a:off x="0" y="0"/>
                                  <a:ext cx="708025" cy="622300"/>
                                </a:xfrm>
                                <a:prstGeom prst="rect">
                                  <a:avLst/>
                                </a:prstGeom>
                                <a:noFill/>
                                <a:ln>
                                  <a:noFill/>
                                </a:ln>
                              </pic:spPr>
                            </pic:pic>
                          </a:graphicData>
                        </a:graphic>
                      </wp:inline>
                    </w:drawing>
                  </w:r>
                </w:p>
              </w:tc>
              <w:tc>
                <w:tcPr>
                  <w:tcW w:w="1800" w:type="dxa"/>
                  <w:vAlign w:val="center"/>
                </w:tcPr>
                <w:p>
                  <w:pPr>
                    <w:jc w:val="center"/>
                    <w:rPr>
                      <w:color w:val="auto"/>
                      <w:szCs w:val="21"/>
                    </w:rPr>
                  </w:pPr>
                  <w:r>
                    <w:rPr>
                      <w:color w:val="auto"/>
                      <w:szCs w:val="21"/>
                    </w:rPr>
                    <w:drawing>
                      <wp:inline distT="0" distB="0" distL="114300" distR="114300">
                        <wp:extent cx="666750" cy="606425"/>
                        <wp:effectExtent l="0" t="0" r="0" b="3175"/>
                        <wp:docPr id="15" name="图片 15" descr="4721478651556505032558"/>
                        <wp:cNvGraphicFramePr/>
                        <a:graphic xmlns:a="http://schemas.openxmlformats.org/drawingml/2006/main">
                          <a:graphicData uri="http://schemas.openxmlformats.org/drawingml/2006/picture">
                            <pic:pic xmlns:pic="http://schemas.openxmlformats.org/drawingml/2006/picture">
                              <pic:nvPicPr>
                                <pic:cNvPr id="15" name="图片 15" descr="4721478651556505032558"/>
                                <pic:cNvPicPr/>
                              </pic:nvPicPr>
                              <pic:blipFill>
                                <a:blip r:embed="rId41" cstate="print"/>
                                <a:stretch>
                                  <a:fillRect/>
                                </a:stretch>
                              </pic:blipFill>
                              <pic:spPr>
                                <a:xfrm>
                                  <a:off x="0" y="0"/>
                                  <a:ext cx="666750" cy="606425"/>
                                </a:xfrm>
                                <a:prstGeom prst="rect">
                                  <a:avLst/>
                                </a:prstGeom>
                                <a:noFill/>
                                <a:ln>
                                  <a:noFill/>
                                </a:ln>
                              </pic:spPr>
                            </pic:pic>
                          </a:graphicData>
                        </a:graphic>
                      </wp:inline>
                    </w:drawing>
                  </w:r>
                </w:p>
              </w:tc>
              <w:tc>
                <w:tcPr>
                  <w:tcW w:w="1275"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废气排放口</w:t>
                  </w:r>
                </w:p>
              </w:tc>
              <w:tc>
                <w:tcPr>
                  <w:tcW w:w="2783"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表示废气向大气环境排放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797" w:type="dxa"/>
                  <w:vAlign w:val="center"/>
                </w:tcPr>
                <w:p>
                  <w:pPr>
                    <w:jc w:val="center"/>
                    <w:rPr>
                      <w:color w:val="auto"/>
                      <w:szCs w:val="21"/>
                    </w:rPr>
                  </w:pPr>
                  <w:r>
                    <w:rPr>
                      <w:color w:val="auto"/>
                      <w:szCs w:val="21"/>
                    </w:rPr>
                    <w:t>3</w:t>
                  </w:r>
                </w:p>
              </w:tc>
              <w:tc>
                <w:tcPr>
                  <w:tcW w:w="1657" w:type="dxa"/>
                  <w:vAlign w:val="center"/>
                </w:tcPr>
                <w:p>
                  <w:pPr>
                    <w:jc w:val="center"/>
                    <w:rPr>
                      <w:color w:val="auto"/>
                      <w:szCs w:val="21"/>
                    </w:rPr>
                  </w:pPr>
                  <w:r>
                    <w:rPr>
                      <w:color w:val="auto"/>
                      <w:szCs w:val="21"/>
                    </w:rPr>
                    <w:drawing>
                      <wp:inline distT="0" distB="0" distL="114300" distR="114300">
                        <wp:extent cx="716280" cy="614680"/>
                        <wp:effectExtent l="0" t="0" r="7620" b="13970"/>
                        <wp:docPr id="10" name="图片 16" descr="2436057031556505032560"/>
                        <wp:cNvGraphicFramePr/>
                        <a:graphic xmlns:a="http://schemas.openxmlformats.org/drawingml/2006/main">
                          <a:graphicData uri="http://schemas.openxmlformats.org/drawingml/2006/picture">
                            <pic:pic xmlns:pic="http://schemas.openxmlformats.org/drawingml/2006/picture">
                              <pic:nvPicPr>
                                <pic:cNvPr id="10" name="图片 16" descr="2436057031556505032560"/>
                                <pic:cNvPicPr/>
                              </pic:nvPicPr>
                              <pic:blipFill>
                                <a:blip r:embed="rId42"/>
                                <a:stretch>
                                  <a:fillRect/>
                                </a:stretch>
                              </pic:blipFill>
                              <pic:spPr>
                                <a:xfrm>
                                  <a:off x="0" y="0"/>
                                  <a:ext cx="716280" cy="614680"/>
                                </a:xfrm>
                                <a:prstGeom prst="rect">
                                  <a:avLst/>
                                </a:prstGeom>
                                <a:noFill/>
                                <a:ln>
                                  <a:noFill/>
                                </a:ln>
                              </pic:spPr>
                            </pic:pic>
                          </a:graphicData>
                        </a:graphic>
                      </wp:inline>
                    </w:drawing>
                  </w:r>
                </w:p>
              </w:tc>
              <w:tc>
                <w:tcPr>
                  <w:tcW w:w="1800" w:type="dxa"/>
                  <w:vAlign w:val="center"/>
                </w:tcPr>
                <w:p>
                  <w:pPr>
                    <w:jc w:val="center"/>
                    <w:rPr>
                      <w:color w:val="auto"/>
                      <w:szCs w:val="21"/>
                    </w:rPr>
                  </w:pPr>
                  <w:r>
                    <w:rPr>
                      <w:color w:val="auto"/>
                      <w:szCs w:val="21"/>
                    </w:rPr>
                    <w:drawing>
                      <wp:inline distT="0" distB="0" distL="114300" distR="114300">
                        <wp:extent cx="666750" cy="600075"/>
                        <wp:effectExtent l="0" t="0" r="0" b="9525"/>
                        <wp:docPr id="11" name="图片 17" descr="4264834721556505032561"/>
                        <wp:cNvGraphicFramePr/>
                        <a:graphic xmlns:a="http://schemas.openxmlformats.org/drawingml/2006/main">
                          <a:graphicData uri="http://schemas.openxmlformats.org/drawingml/2006/picture">
                            <pic:pic xmlns:pic="http://schemas.openxmlformats.org/drawingml/2006/picture">
                              <pic:nvPicPr>
                                <pic:cNvPr id="11" name="图片 17" descr="4264834721556505032561"/>
                                <pic:cNvPicPr/>
                              </pic:nvPicPr>
                              <pic:blipFill>
                                <a:blip r:embed="rId43"/>
                                <a:stretch>
                                  <a:fillRect/>
                                </a:stretch>
                              </pic:blipFill>
                              <pic:spPr>
                                <a:xfrm>
                                  <a:off x="0" y="0"/>
                                  <a:ext cx="666750" cy="600075"/>
                                </a:xfrm>
                                <a:prstGeom prst="rect">
                                  <a:avLst/>
                                </a:prstGeom>
                                <a:noFill/>
                                <a:ln>
                                  <a:noFill/>
                                </a:ln>
                              </pic:spPr>
                            </pic:pic>
                          </a:graphicData>
                        </a:graphic>
                      </wp:inline>
                    </w:drawing>
                  </w:r>
                </w:p>
              </w:tc>
              <w:tc>
                <w:tcPr>
                  <w:tcW w:w="1275"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噪声排放源</w:t>
                  </w:r>
                </w:p>
              </w:tc>
              <w:tc>
                <w:tcPr>
                  <w:tcW w:w="2783" w:type="dxa"/>
                  <w:vAlign w:val="center"/>
                </w:tcPr>
                <w:p>
                  <w:pPr>
                    <w:pStyle w:val="50"/>
                    <w:spacing w:before="0" w:line="240" w:lineRule="auto"/>
                    <w:ind w:firstLine="0"/>
                    <w:rPr>
                      <w:rFonts w:ascii="Times New Roman" w:hAnsi="Times New Roman"/>
                      <w:color w:val="auto"/>
                      <w:spacing w:val="0"/>
                      <w:sz w:val="21"/>
                      <w:szCs w:val="21"/>
                    </w:rPr>
                  </w:pPr>
                  <w:r>
                    <w:rPr>
                      <w:rFonts w:ascii="Times New Roman" w:hAnsi="Times New Roman"/>
                      <w:color w:val="auto"/>
                      <w:spacing w:val="0"/>
                      <w:sz w:val="21"/>
                      <w:szCs w:val="21"/>
                    </w:rPr>
                    <w:t>表示噪声向外环境排放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797" w:type="dxa"/>
                  <w:vAlign w:val="center"/>
                </w:tcPr>
                <w:p>
                  <w:pPr>
                    <w:jc w:val="center"/>
                    <w:rPr>
                      <w:color w:val="auto"/>
                      <w:szCs w:val="21"/>
                    </w:rPr>
                  </w:pPr>
                  <w:r>
                    <w:rPr>
                      <w:rFonts w:hint="eastAsia"/>
                      <w:color w:val="auto"/>
                      <w:szCs w:val="21"/>
                    </w:rPr>
                    <w:t>4</w:t>
                  </w:r>
                </w:p>
              </w:tc>
              <w:tc>
                <w:tcPr>
                  <w:tcW w:w="1657" w:type="dxa"/>
                  <w:vAlign w:val="center"/>
                </w:tcPr>
                <w:p>
                  <w:pPr>
                    <w:jc w:val="center"/>
                    <w:rPr>
                      <w:color w:val="auto"/>
                      <w:szCs w:val="21"/>
                    </w:rPr>
                  </w:pPr>
                  <w:r>
                    <w:rPr>
                      <w:color w:val="auto"/>
                      <w:szCs w:val="21"/>
                    </w:rPr>
                    <w:drawing>
                      <wp:inline distT="0" distB="0" distL="114300" distR="114300">
                        <wp:extent cx="762635" cy="699135"/>
                        <wp:effectExtent l="0" t="0" r="18415" b="5715"/>
                        <wp:docPr id="12" name="图片 18" descr="8445833261556505032563"/>
                        <wp:cNvGraphicFramePr/>
                        <a:graphic xmlns:a="http://schemas.openxmlformats.org/drawingml/2006/main">
                          <a:graphicData uri="http://schemas.openxmlformats.org/drawingml/2006/picture">
                            <pic:pic xmlns:pic="http://schemas.openxmlformats.org/drawingml/2006/picture">
                              <pic:nvPicPr>
                                <pic:cNvPr id="12" name="图片 18" descr="8445833261556505032563"/>
                                <pic:cNvPicPr/>
                              </pic:nvPicPr>
                              <pic:blipFill>
                                <a:blip r:embed="rId44"/>
                                <a:stretch>
                                  <a:fillRect/>
                                </a:stretch>
                              </pic:blipFill>
                              <pic:spPr>
                                <a:xfrm>
                                  <a:off x="0" y="0"/>
                                  <a:ext cx="762635" cy="699135"/>
                                </a:xfrm>
                                <a:prstGeom prst="rect">
                                  <a:avLst/>
                                </a:prstGeom>
                                <a:noFill/>
                                <a:ln>
                                  <a:noFill/>
                                </a:ln>
                              </pic:spPr>
                            </pic:pic>
                          </a:graphicData>
                        </a:graphic>
                      </wp:inline>
                    </w:drawing>
                  </w:r>
                </w:p>
              </w:tc>
              <w:tc>
                <w:tcPr>
                  <w:tcW w:w="1800" w:type="dxa"/>
                  <w:vAlign w:val="center"/>
                </w:tcPr>
                <w:p>
                  <w:pPr>
                    <w:jc w:val="center"/>
                    <w:rPr>
                      <w:color w:val="auto"/>
                      <w:szCs w:val="21"/>
                    </w:rPr>
                  </w:pPr>
                  <w:r>
                    <w:rPr>
                      <w:color w:val="auto"/>
                      <w:szCs w:val="21"/>
                    </w:rPr>
                    <w:drawing>
                      <wp:inline distT="0" distB="0" distL="114300" distR="114300">
                        <wp:extent cx="666115" cy="589280"/>
                        <wp:effectExtent l="0" t="0" r="635" b="1270"/>
                        <wp:docPr id="13" name="图片 19" descr="5147436171556505032565"/>
                        <wp:cNvGraphicFramePr/>
                        <a:graphic xmlns:a="http://schemas.openxmlformats.org/drawingml/2006/main">
                          <a:graphicData uri="http://schemas.openxmlformats.org/drawingml/2006/picture">
                            <pic:pic xmlns:pic="http://schemas.openxmlformats.org/drawingml/2006/picture">
                              <pic:nvPicPr>
                                <pic:cNvPr id="13" name="图片 19" descr="5147436171556505032565"/>
                                <pic:cNvPicPr/>
                              </pic:nvPicPr>
                              <pic:blipFill>
                                <a:blip r:embed="rId45"/>
                                <a:stretch>
                                  <a:fillRect/>
                                </a:stretch>
                              </pic:blipFill>
                              <pic:spPr>
                                <a:xfrm>
                                  <a:off x="0" y="0"/>
                                  <a:ext cx="666115" cy="589280"/>
                                </a:xfrm>
                                <a:prstGeom prst="rect">
                                  <a:avLst/>
                                </a:prstGeom>
                                <a:noFill/>
                                <a:ln>
                                  <a:noFill/>
                                </a:ln>
                              </pic:spPr>
                            </pic:pic>
                          </a:graphicData>
                        </a:graphic>
                      </wp:inline>
                    </w:drawing>
                  </w:r>
                </w:p>
              </w:tc>
              <w:tc>
                <w:tcPr>
                  <w:tcW w:w="1275"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一般固</w:t>
                  </w:r>
                </w:p>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体废物</w:t>
                  </w:r>
                </w:p>
              </w:tc>
              <w:tc>
                <w:tcPr>
                  <w:tcW w:w="2783" w:type="dxa"/>
                  <w:vAlign w:val="center"/>
                </w:tcPr>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表示一般固体废物贮存、</w:t>
                  </w:r>
                </w:p>
                <w:p>
                  <w:pPr>
                    <w:pStyle w:val="50"/>
                    <w:spacing w:before="0" w:line="240" w:lineRule="auto"/>
                    <w:ind w:firstLine="0"/>
                    <w:jc w:val="center"/>
                    <w:rPr>
                      <w:rFonts w:ascii="Times New Roman" w:hAnsi="Times New Roman"/>
                      <w:color w:val="auto"/>
                      <w:spacing w:val="0"/>
                      <w:sz w:val="21"/>
                      <w:szCs w:val="21"/>
                    </w:rPr>
                  </w:pPr>
                  <w:r>
                    <w:rPr>
                      <w:rFonts w:ascii="Times New Roman" w:hAnsi="Times New Roman"/>
                      <w:color w:val="auto"/>
                      <w:spacing w:val="0"/>
                      <w:sz w:val="21"/>
                      <w:szCs w:val="21"/>
                    </w:rPr>
                    <w:t>处置场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797" w:type="dxa"/>
                  <w:vAlign w:val="center"/>
                </w:tcPr>
                <w:p>
                  <w:pPr>
                    <w:jc w:val="center"/>
                    <w:rPr>
                      <w:color w:val="auto"/>
                      <w:szCs w:val="21"/>
                    </w:rPr>
                  </w:pPr>
                  <w:r>
                    <w:rPr>
                      <w:rFonts w:hint="eastAsia"/>
                      <w:color w:val="auto"/>
                      <w:szCs w:val="21"/>
                    </w:rPr>
                    <w:t>5</w:t>
                  </w:r>
                </w:p>
              </w:tc>
              <w:tc>
                <w:tcPr>
                  <w:tcW w:w="1657" w:type="dxa"/>
                  <w:vAlign w:val="center"/>
                </w:tcPr>
                <w:p>
                  <w:pPr>
                    <w:jc w:val="center"/>
                    <w:rPr>
                      <w:color w:val="auto"/>
                      <w:szCs w:val="21"/>
                    </w:rPr>
                  </w:pPr>
                  <w:r>
                    <w:rPr>
                      <w:rFonts w:hint="eastAsia"/>
                      <w:color w:val="auto"/>
                      <w:szCs w:val="21"/>
                    </w:rPr>
                    <w:t>/</w:t>
                  </w:r>
                </w:p>
              </w:tc>
              <w:tc>
                <w:tcPr>
                  <w:tcW w:w="1800" w:type="dxa"/>
                  <w:vAlign w:val="center"/>
                </w:tcPr>
                <w:p>
                  <w:pPr>
                    <w:jc w:val="center"/>
                    <w:rPr>
                      <w:color w:val="auto"/>
                      <w:szCs w:val="21"/>
                    </w:rPr>
                  </w:pPr>
                  <w:r>
                    <w:rPr>
                      <w:color w:val="auto"/>
                    </w:rPr>
                    <w:drawing>
                      <wp:inline distT="0" distB="0" distL="114300" distR="114300">
                        <wp:extent cx="927735" cy="908685"/>
                        <wp:effectExtent l="0" t="0" r="5715" b="5715"/>
                        <wp:docPr id="17" name="图片 20" descr="688008836155650503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6880088361556505032567"/>
                                <pic:cNvPicPr>
                                  <a:picLocks noChangeAspect="1"/>
                                </pic:cNvPicPr>
                              </pic:nvPicPr>
                              <pic:blipFill>
                                <a:blip r:embed="rId46"/>
                                <a:stretch>
                                  <a:fillRect/>
                                </a:stretch>
                              </pic:blipFill>
                              <pic:spPr>
                                <a:xfrm>
                                  <a:off x="0" y="0"/>
                                  <a:ext cx="927735" cy="908685"/>
                                </a:xfrm>
                                <a:prstGeom prst="rect">
                                  <a:avLst/>
                                </a:prstGeom>
                                <a:noFill/>
                                <a:ln>
                                  <a:noFill/>
                                </a:ln>
                              </pic:spPr>
                            </pic:pic>
                          </a:graphicData>
                        </a:graphic>
                      </wp:inline>
                    </w:drawing>
                  </w:r>
                </w:p>
              </w:tc>
              <w:tc>
                <w:tcPr>
                  <w:tcW w:w="1275" w:type="dxa"/>
                  <w:vAlign w:val="center"/>
                </w:tcPr>
                <w:p>
                  <w:pPr>
                    <w:pStyle w:val="50"/>
                    <w:spacing w:before="0" w:line="240" w:lineRule="auto"/>
                    <w:ind w:firstLine="0"/>
                    <w:jc w:val="center"/>
                    <w:rPr>
                      <w:rFonts w:ascii="Times New Roman" w:hAnsi="Times New Roman"/>
                      <w:color w:val="auto"/>
                      <w:spacing w:val="0"/>
                      <w:sz w:val="21"/>
                      <w:szCs w:val="21"/>
                    </w:rPr>
                  </w:pPr>
                  <w:r>
                    <w:rPr>
                      <w:rFonts w:hint="eastAsia" w:ascii="Times New Roman" w:hAnsi="Times New Roman"/>
                      <w:color w:val="auto"/>
                      <w:spacing w:val="0"/>
                      <w:sz w:val="21"/>
                      <w:szCs w:val="21"/>
                    </w:rPr>
                    <w:t>危险废物</w:t>
                  </w:r>
                </w:p>
              </w:tc>
              <w:tc>
                <w:tcPr>
                  <w:tcW w:w="2783" w:type="dxa"/>
                  <w:vAlign w:val="center"/>
                </w:tcPr>
                <w:p>
                  <w:pPr>
                    <w:pStyle w:val="50"/>
                    <w:spacing w:before="0" w:line="240" w:lineRule="auto"/>
                    <w:ind w:firstLine="0"/>
                    <w:jc w:val="center"/>
                    <w:rPr>
                      <w:rFonts w:ascii="Times New Roman" w:hAnsi="Times New Roman"/>
                      <w:color w:val="auto"/>
                      <w:spacing w:val="0"/>
                      <w:sz w:val="21"/>
                      <w:szCs w:val="21"/>
                    </w:rPr>
                  </w:pPr>
                  <w:r>
                    <w:rPr>
                      <w:rFonts w:hint="eastAsia" w:ascii="Times New Roman" w:hAnsi="Times New Roman"/>
                      <w:color w:val="auto"/>
                      <w:spacing w:val="0"/>
                      <w:sz w:val="21"/>
                      <w:szCs w:val="21"/>
                    </w:rPr>
                    <w:t>表示危险废物贮存、处置场</w:t>
                  </w:r>
                </w:p>
              </w:tc>
            </w:tr>
          </w:tbl>
          <w:p>
            <w:pPr>
              <w:snapToGrid w:val="0"/>
              <w:jc w:val="center"/>
              <w:rPr>
                <w:b/>
                <w:color w:val="auto"/>
                <w:szCs w:val="21"/>
              </w:rPr>
            </w:pPr>
            <w:r>
              <w:rPr>
                <w:b/>
                <w:color w:val="auto"/>
                <w:szCs w:val="21"/>
              </w:rPr>
              <w:t>表7-</w:t>
            </w:r>
            <w:r>
              <w:rPr>
                <w:rFonts w:hint="eastAsia"/>
                <w:b/>
                <w:color w:val="auto"/>
                <w:szCs w:val="21"/>
              </w:rPr>
              <w:t>3</w:t>
            </w:r>
            <w:r>
              <w:rPr>
                <w:rFonts w:hint="eastAsia"/>
                <w:b/>
                <w:color w:val="auto"/>
                <w:szCs w:val="21"/>
                <w:lang w:val="en-US" w:eastAsia="zh-CN"/>
              </w:rPr>
              <w:t xml:space="preserve">6 </w:t>
            </w:r>
            <w:r>
              <w:rPr>
                <w:b/>
                <w:color w:val="auto"/>
                <w:szCs w:val="21"/>
              </w:rPr>
              <w:t>环境保护图形标志的形状及颜色表</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24"/>
              <w:gridCol w:w="2123"/>
              <w:gridCol w:w="2123"/>
              <w:gridCol w:w="19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4" w:type="dxa"/>
                  <w:vAlign w:val="center"/>
                </w:tcPr>
                <w:p>
                  <w:pPr>
                    <w:jc w:val="center"/>
                    <w:rPr>
                      <w:b/>
                      <w:color w:val="auto"/>
                      <w:szCs w:val="21"/>
                    </w:rPr>
                  </w:pPr>
                  <w:r>
                    <w:rPr>
                      <w:b/>
                      <w:color w:val="auto"/>
                      <w:szCs w:val="21"/>
                    </w:rPr>
                    <w:t>标志名称</w:t>
                  </w:r>
                </w:p>
              </w:tc>
              <w:tc>
                <w:tcPr>
                  <w:tcW w:w="2123" w:type="dxa"/>
                  <w:vAlign w:val="center"/>
                </w:tcPr>
                <w:p>
                  <w:pPr>
                    <w:jc w:val="center"/>
                    <w:rPr>
                      <w:b/>
                      <w:color w:val="auto"/>
                      <w:szCs w:val="21"/>
                    </w:rPr>
                  </w:pPr>
                  <w:r>
                    <w:rPr>
                      <w:b/>
                      <w:color w:val="auto"/>
                      <w:szCs w:val="21"/>
                    </w:rPr>
                    <w:t>形 状</w:t>
                  </w:r>
                </w:p>
              </w:tc>
              <w:tc>
                <w:tcPr>
                  <w:tcW w:w="2123" w:type="dxa"/>
                  <w:vAlign w:val="center"/>
                </w:tcPr>
                <w:p>
                  <w:pPr>
                    <w:jc w:val="center"/>
                    <w:rPr>
                      <w:b/>
                      <w:color w:val="auto"/>
                      <w:szCs w:val="21"/>
                    </w:rPr>
                  </w:pPr>
                  <w:r>
                    <w:rPr>
                      <w:b/>
                      <w:color w:val="auto"/>
                      <w:szCs w:val="21"/>
                    </w:rPr>
                    <w:t>背景颜色</w:t>
                  </w:r>
                </w:p>
              </w:tc>
              <w:tc>
                <w:tcPr>
                  <w:tcW w:w="1942" w:type="dxa"/>
                  <w:vAlign w:val="center"/>
                </w:tcPr>
                <w:p>
                  <w:pPr>
                    <w:jc w:val="center"/>
                    <w:rPr>
                      <w:b/>
                      <w:color w:val="auto"/>
                      <w:szCs w:val="21"/>
                    </w:rPr>
                  </w:pPr>
                  <w:r>
                    <w:rPr>
                      <w:b/>
                      <w:color w:val="auto"/>
                      <w:szCs w:val="21"/>
                    </w:rPr>
                    <w:t>图形颜色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4" w:type="dxa"/>
                  <w:vAlign w:val="center"/>
                </w:tcPr>
                <w:p>
                  <w:pPr>
                    <w:jc w:val="center"/>
                    <w:rPr>
                      <w:color w:val="auto"/>
                      <w:szCs w:val="21"/>
                    </w:rPr>
                  </w:pPr>
                  <w:r>
                    <w:rPr>
                      <w:color w:val="auto"/>
                      <w:szCs w:val="21"/>
                    </w:rPr>
                    <w:t>警告标志</w:t>
                  </w:r>
                </w:p>
              </w:tc>
              <w:tc>
                <w:tcPr>
                  <w:tcW w:w="2123" w:type="dxa"/>
                  <w:vAlign w:val="center"/>
                </w:tcPr>
                <w:p>
                  <w:pPr>
                    <w:jc w:val="center"/>
                    <w:rPr>
                      <w:color w:val="auto"/>
                      <w:szCs w:val="21"/>
                    </w:rPr>
                  </w:pPr>
                  <w:r>
                    <w:rPr>
                      <w:color w:val="auto"/>
                      <w:szCs w:val="21"/>
                    </w:rPr>
                    <w:t>三角形边框</w:t>
                  </w:r>
                </w:p>
              </w:tc>
              <w:tc>
                <w:tcPr>
                  <w:tcW w:w="2123" w:type="dxa"/>
                  <w:vAlign w:val="center"/>
                </w:tcPr>
                <w:p>
                  <w:pPr>
                    <w:jc w:val="center"/>
                    <w:rPr>
                      <w:color w:val="auto"/>
                      <w:szCs w:val="21"/>
                    </w:rPr>
                  </w:pPr>
                  <w:r>
                    <w:rPr>
                      <w:color w:val="auto"/>
                      <w:szCs w:val="21"/>
                    </w:rPr>
                    <w:t>黄色</w:t>
                  </w:r>
                </w:p>
              </w:tc>
              <w:tc>
                <w:tcPr>
                  <w:tcW w:w="1942" w:type="dxa"/>
                  <w:vAlign w:val="center"/>
                </w:tcPr>
                <w:p>
                  <w:pPr>
                    <w:jc w:val="center"/>
                    <w:rPr>
                      <w:color w:val="auto"/>
                      <w:szCs w:val="21"/>
                    </w:rPr>
                  </w:pPr>
                  <w:r>
                    <w:rPr>
                      <w:color w:val="auto"/>
                      <w:szCs w:val="21"/>
                    </w:rPr>
                    <w:t>黑色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4" w:type="dxa"/>
                  <w:vAlign w:val="center"/>
                </w:tcPr>
                <w:p>
                  <w:pPr>
                    <w:jc w:val="center"/>
                    <w:rPr>
                      <w:color w:val="auto"/>
                      <w:szCs w:val="21"/>
                    </w:rPr>
                  </w:pPr>
                  <w:r>
                    <w:rPr>
                      <w:color w:val="auto"/>
                      <w:szCs w:val="21"/>
                    </w:rPr>
                    <w:t>提示标志</w:t>
                  </w:r>
                </w:p>
              </w:tc>
              <w:tc>
                <w:tcPr>
                  <w:tcW w:w="2123" w:type="dxa"/>
                  <w:vAlign w:val="center"/>
                </w:tcPr>
                <w:p>
                  <w:pPr>
                    <w:jc w:val="center"/>
                    <w:rPr>
                      <w:color w:val="auto"/>
                      <w:szCs w:val="21"/>
                    </w:rPr>
                  </w:pPr>
                  <w:r>
                    <w:rPr>
                      <w:color w:val="auto"/>
                      <w:szCs w:val="21"/>
                    </w:rPr>
                    <w:t>正方形边框</w:t>
                  </w:r>
                </w:p>
              </w:tc>
              <w:tc>
                <w:tcPr>
                  <w:tcW w:w="2123" w:type="dxa"/>
                  <w:vAlign w:val="center"/>
                </w:tcPr>
                <w:p>
                  <w:pPr>
                    <w:jc w:val="center"/>
                    <w:rPr>
                      <w:color w:val="auto"/>
                      <w:szCs w:val="21"/>
                    </w:rPr>
                  </w:pPr>
                  <w:r>
                    <w:rPr>
                      <w:color w:val="auto"/>
                      <w:szCs w:val="21"/>
                    </w:rPr>
                    <w:t>绿色</w:t>
                  </w:r>
                </w:p>
              </w:tc>
              <w:tc>
                <w:tcPr>
                  <w:tcW w:w="1942" w:type="dxa"/>
                  <w:vAlign w:val="center"/>
                </w:tcPr>
                <w:p>
                  <w:pPr>
                    <w:jc w:val="center"/>
                    <w:rPr>
                      <w:color w:val="auto"/>
                      <w:szCs w:val="21"/>
                    </w:rPr>
                  </w:pPr>
                  <w:r>
                    <w:rPr>
                      <w:color w:val="auto"/>
                      <w:szCs w:val="21"/>
                    </w:rPr>
                    <w:t>白色</w:t>
                  </w:r>
                </w:p>
              </w:tc>
            </w:tr>
          </w:tbl>
          <w:p>
            <w:pPr>
              <w:spacing w:line="360" w:lineRule="auto"/>
              <w:ind w:firstLine="480" w:firstLineChars="200"/>
              <w:rPr>
                <w:b/>
                <w:color w:val="auto"/>
                <w:sz w:val="24"/>
                <w:lang w:val="zh-CN"/>
              </w:rPr>
            </w:pPr>
            <w:r>
              <w:rPr>
                <w:b/>
                <w:color w:val="auto"/>
                <w:sz w:val="24"/>
                <w:lang w:val="zh-CN"/>
              </w:rPr>
              <w:t>（3）分区防渗管理</w:t>
            </w:r>
          </w:p>
          <w:p>
            <w:pPr>
              <w:spacing w:line="360" w:lineRule="auto"/>
              <w:ind w:firstLine="480" w:firstLineChars="200"/>
              <w:rPr>
                <w:color w:val="auto"/>
                <w:sz w:val="24"/>
              </w:rPr>
            </w:pPr>
            <w:r>
              <w:rPr>
                <w:color w:val="auto"/>
                <w:sz w:val="24"/>
              </w:rPr>
              <w:t>根据《环境影响评价技术导则 地下水环境》（HJ610-2016）</w:t>
            </w:r>
            <w:r>
              <w:rPr>
                <w:rFonts w:hint="eastAsia"/>
                <w:color w:val="auto"/>
                <w:sz w:val="24"/>
              </w:rPr>
              <w:t>，</w:t>
            </w:r>
            <w:r>
              <w:rPr>
                <w:color w:val="auto"/>
                <w:sz w:val="24"/>
              </w:rPr>
              <w:t>本项目生产车间、一般固废仓库要求</w:t>
            </w:r>
            <w:r>
              <w:rPr>
                <w:rFonts w:hint="eastAsia"/>
                <w:color w:val="auto"/>
                <w:sz w:val="24"/>
              </w:rPr>
              <w:t>一般地面硬化，危险废物</w:t>
            </w:r>
            <w:r>
              <w:rPr>
                <w:color w:val="auto"/>
                <w:sz w:val="24"/>
              </w:rPr>
              <w:t>仓库渗透系数小于10</w:t>
            </w:r>
            <w:r>
              <w:rPr>
                <w:color w:val="auto"/>
                <w:sz w:val="24"/>
                <w:vertAlign w:val="superscript"/>
              </w:rPr>
              <w:t>-9</w:t>
            </w:r>
            <w:r>
              <w:rPr>
                <w:color w:val="auto"/>
                <w:sz w:val="24"/>
              </w:rPr>
              <w:t>cm/h</w:t>
            </w:r>
            <w:r>
              <w:rPr>
                <w:rFonts w:hint="eastAsia"/>
                <w:color w:val="auto"/>
                <w:sz w:val="24"/>
              </w:rPr>
              <w:t>。</w:t>
            </w:r>
          </w:p>
          <w:p>
            <w:pPr>
              <w:spacing w:line="360" w:lineRule="auto"/>
              <w:ind w:firstLine="480" w:firstLineChars="200"/>
              <w:rPr>
                <w:b/>
                <w:color w:val="auto"/>
                <w:sz w:val="24"/>
                <w:lang w:val="zh-CN"/>
              </w:rPr>
            </w:pPr>
            <w:r>
              <w:rPr>
                <w:b/>
                <w:color w:val="auto"/>
                <w:sz w:val="24"/>
                <w:lang w:val="zh-CN"/>
              </w:rPr>
              <w:t>（4）信息公开</w:t>
            </w:r>
          </w:p>
          <w:p>
            <w:pPr>
              <w:autoSpaceDE w:val="0"/>
              <w:autoSpaceDN w:val="0"/>
              <w:adjustRightInd w:val="0"/>
              <w:spacing w:line="360" w:lineRule="auto"/>
              <w:ind w:firstLine="480" w:firstLineChars="200"/>
              <w:rPr>
                <w:color w:val="auto"/>
                <w:sz w:val="24"/>
                <w:lang w:val="zh-CN"/>
              </w:rPr>
            </w:pPr>
            <w:r>
              <w:rPr>
                <w:color w:val="auto"/>
                <w:sz w:val="24"/>
                <w:lang w:val="zh-CN"/>
              </w:rPr>
              <w:t>本项目不属于重点排污单位，即公开下列信息：</w:t>
            </w:r>
          </w:p>
          <w:p>
            <w:pPr>
              <w:autoSpaceDE w:val="0"/>
              <w:autoSpaceDN w:val="0"/>
              <w:adjustRightInd w:val="0"/>
              <w:spacing w:line="360" w:lineRule="auto"/>
              <w:ind w:firstLine="480" w:firstLineChars="200"/>
              <w:rPr>
                <w:color w:val="auto"/>
                <w:sz w:val="24"/>
                <w:lang w:val="zh-CN"/>
              </w:rPr>
            </w:pPr>
            <w:r>
              <w:rPr>
                <w:color w:val="auto"/>
                <w:sz w:val="24"/>
                <w:lang w:val="zh-CN"/>
              </w:rPr>
              <w:t>1、基础信息，包括单位名称、组织机构代码、法定代表人、生产地址、联系方式，以及生产经营和管理服务的主要内容、产品及规模；</w:t>
            </w:r>
          </w:p>
          <w:p>
            <w:pPr>
              <w:autoSpaceDE w:val="0"/>
              <w:autoSpaceDN w:val="0"/>
              <w:adjustRightInd w:val="0"/>
              <w:spacing w:line="360" w:lineRule="auto"/>
              <w:ind w:firstLine="480" w:firstLineChars="200"/>
              <w:rPr>
                <w:color w:val="auto"/>
                <w:sz w:val="24"/>
                <w:lang w:val="zh-CN"/>
              </w:rPr>
            </w:pPr>
            <w:r>
              <w:rPr>
                <w:color w:val="auto"/>
                <w:sz w:val="24"/>
                <w:lang w:val="zh-CN"/>
              </w:rPr>
              <w:t>2、排污信息，包括主要污染物及特征污染物的名称、排放方式、排放口数量和分布情况、排放浓度和总量、超标情况，以及执行的污染物排放标准、核定的排放总量；</w:t>
            </w:r>
          </w:p>
          <w:p>
            <w:pPr>
              <w:autoSpaceDE w:val="0"/>
              <w:autoSpaceDN w:val="0"/>
              <w:adjustRightInd w:val="0"/>
              <w:spacing w:line="360" w:lineRule="auto"/>
              <w:ind w:firstLine="480" w:firstLineChars="200"/>
              <w:rPr>
                <w:color w:val="auto"/>
                <w:sz w:val="24"/>
                <w:lang w:val="zh-CN"/>
              </w:rPr>
            </w:pPr>
            <w:r>
              <w:rPr>
                <w:color w:val="auto"/>
                <w:sz w:val="24"/>
                <w:lang w:val="zh-CN"/>
              </w:rPr>
              <w:t>3、防治污染设施的建设和运行情况；</w:t>
            </w:r>
          </w:p>
          <w:p>
            <w:pPr>
              <w:autoSpaceDE w:val="0"/>
              <w:autoSpaceDN w:val="0"/>
              <w:adjustRightInd w:val="0"/>
              <w:spacing w:line="360" w:lineRule="auto"/>
              <w:ind w:firstLine="480" w:firstLineChars="200"/>
              <w:rPr>
                <w:color w:val="auto"/>
                <w:sz w:val="24"/>
                <w:lang w:val="zh-CN"/>
              </w:rPr>
            </w:pPr>
            <w:r>
              <w:rPr>
                <w:color w:val="auto"/>
                <w:sz w:val="24"/>
                <w:lang w:val="zh-CN"/>
              </w:rPr>
              <w:t>4、建设项目环境影响评价及其他环境保护行政许可情况；</w:t>
            </w:r>
          </w:p>
          <w:p>
            <w:pPr>
              <w:autoSpaceDE w:val="0"/>
              <w:autoSpaceDN w:val="0"/>
              <w:adjustRightInd w:val="0"/>
              <w:spacing w:line="360" w:lineRule="auto"/>
              <w:ind w:firstLine="480" w:firstLineChars="200"/>
              <w:rPr>
                <w:color w:val="auto"/>
                <w:sz w:val="24"/>
                <w:lang w:val="zh-CN"/>
              </w:rPr>
            </w:pPr>
            <w:r>
              <w:rPr>
                <w:color w:val="auto"/>
                <w:sz w:val="24"/>
                <w:lang w:val="zh-CN"/>
              </w:rPr>
              <w:t>5、突发环境事件应急预案。</w:t>
            </w:r>
          </w:p>
          <w:p>
            <w:pPr>
              <w:pStyle w:val="29"/>
              <w:spacing w:before="0" w:line="360" w:lineRule="auto"/>
              <w:ind w:firstLine="472" w:firstLineChars="200"/>
              <w:rPr>
                <w:rFonts w:ascii="Times New Roman"/>
                <w:b/>
                <w:color w:val="auto"/>
                <w:sz w:val="24"/>
                <w:szCs w:val="24"/>
              </w:rPr>
            </w:pPr>
            <w:r>
              <w:rPr>
                <w:rFonts w:hint="eastAsia" w:ascii="Times New Roman"/>
                <w:b/>
                <w:color w:val="auto"/>
                <w:sz w:val="24"/>
                <w:szCs w:val="24"/>
                <w:lang w:val="en-US" w:eastAsia="zh-CN"/>
              </w:rPr>
              <w:t>8</w:t>
            </w:r>
            <w:r>
              <w:rPr>
                <w:rFonts w:ascii="Times New Roman"/>
                <w:b/>
                <w:color w:val="auto"/>
                <w:sz w:val="24"/>
                <w:szCs w:val="24"/>
              </w:rPr>
              <w:t>.2环境监测</w:t>
            </w:r>
          </w:p>
          <w:p>
            <w:pPr>
              <w:pStyle w:val="29"/>
              <w:spacing w:before="0" w:line="360" w:lineRule="auto"/>
              <w:ind w:firstLine="512" w:firstLineChars="200"/>
              <w:rPr>
                <w:rFonts w:ascii="Times New Roman"/>
                <w:b/>
                <w:color w:val="auto"/>
                <w:spacing w:val="8"/>
                <w:kern w:val="24"/>
                <w:sz w:val="24"/>
                <w:szCs w:val="24"/>
              </w:rPr>
            </w:pPr>
            <w:r>
              <w:rPr>
                <w:rFonts w:ascii="Times New Roman"/>
                <w:b/>
                <w:color w:val="auto"/>
                <w:spacing w:val="8"/>
                <w:kern w:val="24"/>
                <w:sz w:val="24"/>
                <w:szCs w:val="24"/>
              </w:rPr>
              <w:t>（1）竣工验收监测</w:t>
            </w:r>
          </w:p>
          <w:p>
            <w:pPr>
              <w:pStyle w:val="2"/>
              <w:spacing w:line="360" w:lineRule="auto"/>
              <w:ind w:firstLine="480"/>
              <w:rPr>
                <w:color w:val="auto"/>
                <w:sz w:val="24"/>
              </w:rPr>
            </w:pPr>
            <w:r>
              <w:rPr>
                <w:color w:val="auto"/>
                <w:sz w:val="24"/>
              </w:rPr>
              <w:t>竣工验收监测计划主要从以下几方面入手：</w:t>
            </w:r>
          </w:p>
          <w:p>
            <w:pPr>
              <w:pStyle w:val="2"/>
              <w:spacing w:line="360" w:lineRule="auto"/>
              <w:ind w:firstLine="480"/>
              <w:rPr>
                <w:color w:val="auto"/>
                <w:sz w:val="24"/>
              </w:rPr>
            </w:pPr>
            <w:r>
              <w:rPr>
                <w:rFonts w:hint="eastAsia" w:ascii="宋体" w:cs="宋体"/>
                <w:color w:val="auto"/>
                <w:sz w:val="24"/>
              </w:rPr>
              <w:t>①</w:t>
            </w:r>
            <w:r>
              <w:rPr>
                <w:color w:val="auto"/>
                <w:sz w:val="24"/>
              </w:rPr>
              <w:t>各生产装置的实际生产能力是否具备竣工验收条件。</w:t>
            </w:r>
          </w:p>
          <w:p>
            <w:pPr>
              <w:pStyle w:val="2"/>
              <w:spacing w:line="360" w:lineRule="auto"/>
              <w:ind w:firstLine="480"/>
              <w:rPr>
                <w:color w:val="auto"/>
                <w:sz w:val="24"/>
                <w:szCs w:val="22"/>
              </w:rPr>
            </w:pPr>
            <w:r>
              <w:rPr>
                <w:rFonts w:hint="eastAsia" w:ascii="宋体" w:cs="宋体"/>
                <w:color w:val="auto"/>
                <w:sz w:val="24"/>
              </w:rPr>
              <w:t>②</w:t>
            </w:r>
            <w:r>
              <w:rPr>
                <w:color w:val="auto"/>
                <w:sz w:val="24"/>
              </w:rPr>
              <w:t>按照“三同时”要求，各项环保设</w:t>
            </w:r>
            <w:r>
              <w:rPr>
                <w:rFonts w:hint="eastAsia"/>
                <w:color w:val="auto"/>
                <w:sz w:val="24"/>
                <w:szCs w:val="22"/>
              </w:rPr>
              <w:t>施是否安装到位，运转是否正常。</w:t>
            </w:r>
          </w:p>
          <w:p>
            <w:pPr>
              <w:pStyle w:val="2"/>
              <w:spacing w:line="360" w:lineRule="auto"/>
              <w:ind w:firstLine="480"/>
              <w:rPr>
                <w:color w:val="auto"/>
                <w:sz w:val="24"/>
                <w:szCs w:val="22"/>
              </w:rPr>
            </w:pPr>
            <w:r>
              <w:rPr>
                <w:rFonts w:hint="eastAsia"/>
                <w:color w:val="auto"/>
                <w:sz w:val="24"/>
                <w:szCs w:val="22"/>
              </w:rPr>
              <w:t>③各废气采样监测。监测因子为：</w:t>
            </w:r>
            <w:r>
              <w:rPr>
                <w:rFonts w:hint="eastAsia"/>
                <w:color w:val="auto"/>
                <w:sz w:val="24"/>
                <w:szCs w:val="22"/>
                <w:lang w:val="en-US" w:eastAsia="zh-CN"/>
              </w:rPr>
              <w:t>颗粒物、非甲烷总烃、VOCs</w:t>
            </w:r>
            <w:r>
              <w:rPr>
                <w:rFonts w:hint="eastAsia"/>
                <w:color w:val="auto"/>
                <w:sz w:val="24"/>
                <w:szCs w:val="22"/>
              </w:rPr>
              <w:t>。监测项目为有组织排放浓度、排放速率；无组织厂界浓度</w:t>
            </w:r>
            <w:r>
              <w:rPr>
                <w:rFonts w:hint="eastAsia"/>
                <w:color w:val="auto"/>
                <w:sz w:val="24"/>
                <w:szCs w:val="22"/>
                <w:lang w:eastAsia="zh-CN"/>
              </w:rPr>
              <w:t>、</w:t>
            </w:r>
            <w:r>
              <w:rPr>
                <w:rFonts w:hint="eastAsia"/>
                <w:color w:val="auto"/>
                <w:sz w:val="24"/>
                <w:szCs w:val="22"/>
              </w:rPr>
              <w:t>。</w:t>
            </w:r>
          </w:p>
          <w:p>
            <w:pPr>
              <w:pStyle w:val="2"/>
              <w:spacing w:line="360" w:lineRule="auto"/>
              <w:ind w:firstLine="480" w:firstLineChars="0"/>
              <w:rPr>
                <w:color w:val="auto"/>
                <w:sz w:val="24"/>
              </w:rPr>
            </w:pPr>
            <w:r>
              <w:rPr>
                <w:rFonts w:hint="eastAsia" w:ascii="宋体" w:hAnsi="宋体"/>
                <w:color w:val="auto"/>
                <w:sz w:val="24"/>
              </w:rPr>
              <w:t>④</w:t>
            </w:r>
            <w:r>
              <w:rPr>
                <w:rFonts w:hint="eastAsia"/>
                <w:color w:val="auto"/>
                <w:sz w:val="24"/>
              </w:rPr>
              <w:t>厂区污水排放口</w:t>
            </w:r>
            <w:r>
              <w:rPr>
                <w:color w:val="auto"/>
                <w:sz w:val="24"/>
              </w:rPr>
              <w:t>处取样监测。监测因子为：水量、pH、COD、SS、氨氮、T</w:t>
            </w:r>
            <w:r>
              <w:rPr>
                <w:rFonts w:hint="eastAsia"/>
                <w:color w:val="auto"/>
                <w:sz w:val="24"/>
              </w:rPr>
              <w:t>P</w:t>
            </w:r>
            <w:r>
              <w:rPr>
                <w:color w:val="auto"/>
                <w:sz w:val="24"/>
              </w:rPr>
              <w:t>、TN等。</w:t>
            </w:r>
          </w:p>
          <w:p>
            <w:pPr>
              <w:pStyle w:val="2"/>
              <w:spacing w:line="360" w:lineRule="auto"/>
              <w:ind w:left="465" w:firstLine="0" w:firstLineChars="0"/>
              <w:rPr>
                <w:color w:val="auto"/>
                <w:sz w:val="24"/>
              </w:rPr>
            </w:pPr>
            <w:r>
              <w:rPr>
                <w:rFonts w:hint="eastAsia" w:ascii="宋体" w:cs="宋体"/>
                <w:color w:val="auto"/>
                <w:sz w:val="24"/>
              </w:rPr>
              <w:t>⑤</w:t>
            </w:r>
            <w:r>
              <w:rPr>
                <w:color w:val="auto"/>
                <w:sz w:val="24"/>
              </w:rPr>
              <w:t>厂界噪声点布设监测，布点原则与现状监测布点一致。</w:t>
            </w:r>
          </w:p>
          <w:p>
            <w:pPr>
              <w:pStyle w:val="2"/>
              <w:spacing w:line="360" w:lineRule="auto"/>
              <w:ind w:firstLine="480"/>
              <w:rPr>
                <w:color w:val="auto"/>
                <w:sz w:val="24"/>
              </w:rPr>
            </w:pPr>
            <w:r>
              <w:rPr>
                <w:rFonts w:hint="eastAsia" w:ascii="宋体" w:cs="宋体"/>
                <w:color w:val="auto"/>
                <w:sz w:val="24"/>
              </w:rPr>
              <w:t>⑥</w:t>
            </w:r>
            <w:r>
              <w:rPr>
                <w:color w:val="auto"/>
                <w:sz w:val="24"/>
              </w:rPr>
              <w:t>固体废物处理情况。</w:t>
            </w:r>
          </w:p>
          <w:p>
            <w:pPr>
              <w:pStyle w:val="2"/>
              <w:spacing w:line="360" w:lineRule="auto"/>
              <w:ind w:firstLine="480"/>
              <w:rPr>
                <w:color w:val="auto"/>
                <w:sz w:val="24"/>
              </w:rPr>
            </w:pPr>
            <w:r>
              <w:rPr>
                <w:color w:val="auto"/>
                <w:sz w:val="24"/>
              </w:rPr>
              <w:t>⑦卫生防护距离的核实，确定。</w:t>
            </w:r>
          </w:p>
          <w:p>
            <w:pPr>
              <w:pStyle w:val="2"/>
              <w:spacing w:line="360" w:lineRule="auto"/>
              <w:ind w:firstLine="480"/>
              <w:rPr>
                <w:color w:val="auto"/>
                <w:sz w:val="24"/>
              </w:rPr>
            </w:pPr>
            <w:r>
              <w:rPr>
                <w:rFonts w:hint="eastAsia"/>
                <w:color w:val="auto"/>
                <w:sz w:val="24"/>
              </w:rPr>
              <w:t>⑧</w:t>
            </w:r>
            <w:r>
              <w:rPr>
                <w:color w:val="auto"/>
                <w:sz w:val="24"/>
              </w:rPr>
              <w:t>污染物排放总量的核算，各指标是否控制在环评批复范围内，各排污口是否设置规范化。</w:t>
            </w:r>
          </w:p>
          <w:p>
            <w:pPr>
              <w:pStyle w:val="29"/>
              <w:spacing w:before="0" w:line="360" w:lineRule="auto"/>
              <w:ind w:firstLine="512" w:firstLineChars="200"/>
              <w:rPr>
                <w:rFonts w:ascii="Times New Roman"/>
                <w:b/>
                <w:color w:val="auto"/>
                <w:spacing w:val="8"/>
                <w:kern w:val="24"/>
                <w:sz w:val="24"/>
                <w:szCs w:val="24"/>
              </w:rPr>
            </w:pPr>
            <w:r>
              <w:rPr>
                <w:rFonts w:ascii="Times New Roman"/>
                <w:b/>
                <w:color w:val="auto"/>
                <w:spacing w:val="8"/>
                <w:kern w:val="24"/>
                <w:sz w:val="24"/>
                <w:szCs w:val="24"/>
              </w:rPr>
              <w:t>（2）</w:t>
            </w:r>
            <w:r>
              <w:rPr>
                <w:rFonts w:ascii="Times New Roman"/>
                <w:b/>
                <w:color w:val="auto"/>
                <w:kern w:val="0"/>
                <w:sz w:val="24"/>
              </w:rPr>
              <w:t>污染源监测计划</w:t>
            </w:r>
          </w:p>
          <w:p>
            <w:pPr>
              <w:pStyle w:val="2"/>
              <w:spacing w:line="360" w:lineRule="auto"/>
              <w:ind w:firstLine="480"/>
              <w:rPr>
                <w:color w:val="auto"/>
                <w:sz w:val="24"/>
              </w:rPr>
            </w:pPr>
            <w:r>
              <w:rPr>
                <w:color w:val="auto"/>
                <w:sz w:val="24"/>
              </w:rPr>
              <w:t>主要包括废气、废水、噪声等污染源监测。</w:t>
            </w:r>
          </w:p>
          <w:p>
            <w:pPr>
              <w:pStyle w:val="2"/>
              <w:spacing w:line="360" w:lineRule="auto"/>
              <w:ind w:firstLine="480"/>
              <w:rPr>
                <w:color w:val="auto"/>
                <w:sz w:val="24"/>
              </w:rPr>
            </w:pPr>
            <w:r>
              <w:rPr>
                <w:rFonts w:hint="eastAsia" w:ascii="宋体" w:cs="宋体"/>
                <w:color w:val="auto"/>
                <w:sz w:val="24"/>
              </w:rPr>
              <w:t>①</w:t>
            </w:r>
            <w:r>
              <w:rPr>
                <w:color w:val="auto"/>
                <w:sz w:val="24"/>
              </w:rPr>
              <w:t>废水监测</w:t>
            </w:r>
          </w:p>
          <w:p>
            <w:pPr>
              <w:pStyle w:val="2"/>
              <w:spacing w:line="360" w:lineRule="auto"/>
              <w:ind w:firstLine="480"/>
              <w:rPr>
                <w:color w:val="auto"/>
                <w:sz w:val="24"/>
              </w:rPr>
            </w:pPr>
            <w:r>
              <w:rPr>
                <w:color w:val="auto"/>
                <w:sz w:val="24"/>
              </w:rPr>
              <w:t>监测位置：</w:t>
            </w:r>
            <w:r>
              <w:rPr>
                <w:rFonts w:hint="eastAsia"/>
                <w:color w:val="auto"/>
                <w:sz w:val="24"/>
              </w:rPr>
              <w:t>厂区</w:t>
            </w:r>
            <w:r>
              <w:rPr>
                <w:color w:val="auto"/>
                <w:sz w:val="24"/>
              </w:rPr>
              <w:t>总排放口。</w:t>
            </w:r>
          </w:p>
          <w:p>
            <w:pPr>
              <w:pStyle w:val="2"/>
              <w:spacing w:line="360" w:lineRule="auto"/>
              <w:ind w:firstLine="480"/>
              <w:rPr>
                <w:color w:val="auto"/>
                <w:sz w:val="24"/>
              </w:rPr>
            </w:pPr>
            <w:r>
              <w:rPr>
                <w:color w:val="auto"/>
                <w:sz w:val="24"/>
              </w:rPr>
              <w:t>监测项目：水量、pH、COD、NH</w:t>
            </w:r>
            <w:r>
              <w:rPr>
                <w:color w:val="auto"/>
                <w:sz w:val="24"/>
                <w:vertAlign w:val="subscript"/>
              </w:rPr>
              <w:t>3</w:t>
            </w:r>
            <w:r>
              <w:rPr>
                <w:color w:val="auto"/>
                <w:sz w:val="24"/>
              </w:rPr>
              <w:t>－N、SS、TP、TN；</w:t>
            </w:r>
          </w:p>
          <w:p>
            <w:pPr>
              <w:pStyle w:val="2"/>
              <w:spacing w:line="360" w:lineRule="auto"/>
              <w:ind w:firstLine="480"/>
              <w:rPr>
                <w:color w:val="auto"/>
                <w:sz w:val="24"/>
              </w:rPr>
            </w:pPr>
            <w:r>
              <w:rPr>
                <w:color w:val="auto"/>
                <w:sz w:val="24"/>
              </w:rPr>
              <w:t>监测制度：每年1次。</w:t>
            </w:r>
          </w:p>
          <w:p>
            <w:pPr>
              <w:pStyle w:val="2"/>
              <w:spacing w:line="360" w:lineRule="auto"/>
              <w:ind w:firstLine="480"/>
              <w:rPr>
                <w:color w:val="auto"/>
                <w:sz w:val="24"/>
              </w:rPr>
            </w:pPr>
            <w:r>
              <w:rPr>
                <w:color w:val="auto"/>
                <w:sz w:val="24"/>
              </w:rPr>
              <w:t>监测和分析方法：根据《环境监测技术规范》（地表水环境部分）执行。</w:t>
            </w:r>
          </w:p>
          <w:p>
            <w:pPr>
              <w:pStyle w:val="2"/>
              <w:spacing w:line="360" w:lineRule="auto"/>
              <w:ind w:firstLine="480"/>
              <w:rPr>
                <w:color w:val="auto"/>
                <w:sz w:val="24"/>
              </w:rPr>
            </w:pPr>
            <w:r>
              <w:rPr>
                <w:rFonts w:hint="eastAsia"/>
                <w:color w:val="auto"/>
                <w:sz w:val="24"/>
              </w:rPr>
              <w:t>②废气监测</w:t>
            </w:r>
          </w:p>
          <w:p>
            <w:pPr>
              <w:pStyle w:val="2"/>
              <w:spacing w:line="360" w:lineRule="auto"/>
              <w:ind w:firstLine="480"/>
              <w:rPr>
                <w:color w:val="auto"/>
                <w:sz w:val="24"/>
              </w:rPr>
            </w:pPr>
            <w:r>
              <w:rPr>
                <w:color w:val="auto"/>
                <w:sz w:val="24"/>
              </w:rPr>
              <w:t>根据《排污单位自行监测技术指南总则》（HJ 819-2017）中“5.2 废气排放监测”及</w:t>
            </w:r>
            <w:r>
              <w:rPr>
                <w:rFonts w:hint="eastAsia"/>
                <w:color w:val="auto"/>
                <w:sz w:val="24"/>
                <w:shd w:val="clear"/>
              </w:rPr>
              <w:t>《挥发性有机物无组织排放控制标准》（GB37822-2019）</w:t>
            </w:r>
            <w:r>
              <w:rPr>
                <w:rFonts w:hint="eastAsia"/>
                <w:color w:val="auto"/>
                <w:sz w:val="24"/>
              </w:rPr>
              <w:t>中</w:t>
            </w:r>
            <w:r>
              <w:rPr>
                <w:color w:val="auto"/>
                <w:sz w:val="24"/>
              </w:rPr>
              <w:t>相关要求，建设单位大气监测计划详见下表。</w:t>
            </w:r>
          </w:p>
          <w:p>
            <w:pPr>
              <w:pStyle w:val="2"/>
              <w:ind w:firstLine="0" w:firstLineChars="0"/>
              <w:jc w:val="center"/>
              <w:rPr>
                <w:b/>
                <w:color w:val="auto"/>
                <w:szCs w:val="21"/>
              </w:rPr>
            </w:pPr>
            <w:r>
              <w:rPr>
                <w:b/>
                <w:color w:val="auto"/>
                <w:kern w:val="0"/>
                <w:szCs w:val="21"/>
              </w:rPr>
              <w:t>表7-</w:t>
            </w:r>
            <w:r>
              <w:rPr>
                <w:rFonts w:hint="eastAsia"/>
                <w:b/>
                <w:color w:val="auto"/>
                <w:kern w:val="0"/>
                <w:szCs w:val="21"/>
              </w:rPr>
              <w:t>3</w:t>
            </w:r>
            <w:r>
              <w:rPr>
                <w:rFonts w:hint="eastAsia"/>
                <w:b/>
                <w:color w:val="auto"/>
                <w:kern w:val="0"/>
                <w:szCs w:val="21"/>
                <w:lang w:val="en-US" w:eastAsia="zh-CN"/>
              </w:rPr>
              <w:t>7</w:t>
            </w:r>
            <w:r>
              <w:rPr>
                <w:rFonts w:hint="eastAsia"/>
                <w:b/>
                <w:color w:val="auto"/>
                <w:kern w:val="0"/>
                <w:szCs w:val="21"/>
              </w:rPr>
              <w:t xml:space="preserve"> </w:t>
            </w:r>
            <w:r>
              <w:rPr>
                <w:b/>
                <w:color w:val="auto"/>
                <w:kern w:val="0"/>
                <w:szCs w:val="21"/>
              </w:rPr>
              <w:t xml:space="preserve"> 大气污染源监测计划</w:t>
            </w:r>
          </w:p>
          <w:tbl>
            <w:tblPr>
              <w:tblStyle w:val="5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725"/>
              <w:gridCol w:w="1785"/>
              <w:gridCol w:w="2299"/>
              <w:gridCol w:w="140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0" w:type="dxa"/>
                  <w:vAlign w:val="center"/>
                </w:tcPr>
                <w:p>
                  <w:pPr>
                    <w:jc w:val="center"/>
                    <w:rPr>
                      <w:b/>
                      <w:color w:val="auto"/>
                      <w:szCs w:val="21"/>
                    </w:rPr>
                  </w:pPr>
                  <w:r>
                    <w:rPr>
                      <w:b/>
                      <w:color w:val="auto"/>
                      <w:szCs w:val="21"/>
                    </w:rPr>
                    <w:t>监测项目</w:t>
                  </w:r>
                </w:p>
              </w:tc>
              <w:tc>
                <w:tcPr>
                  <w:tcW w:w="1725" w:type="dxa"/>
                  <w:vAlign w:val="center"/>
                </w:tcPr>
                <w:p>
                  <w:pPr>
                    <w:jc w:val="center"/>
                    <w:rPr>
                      <w:b/>
                      <w:color w:val="auto"/>
                      <w:szCs w:val="21"/>
                    </w:rPr>
                  </w:pPr>
                  <w:r>
                    <w:rPr>
                      <w:b/>
                      <w:color w:val="auto"/>
                      <w:szCs w:val="21"/>
                    </w:rPr>
                    <w:t>监测位置</w:t>
                  </w:r>
                </w:p>
              </w:tc>
              <w:tc>
                <w:tcPr>
                  <w:tcW w:w="1785" w:type="dxa"/>
                  <w:vAlign w:val="center"/>
                </w:tcPr>
                <w:p>
                  <w:pPr>
                    <w:jc w:val="center"/>
                    <w:rPr>
                      <w:b/>
                      <w:color w:val="auto"/>
                      <w:szCs w:val="21"/>
                    </w:rPr>
                  </w:pPr>
                  <w:r>
                    <w:rPr>
                      <w:b/>
                      <w:color w:val="auto"/>
                      <w:szCs w:val="21"/>
                    </w:rPr>
                    <w:t>检测点位</w:t>
                  </w:r>
                </w:p>
              </w:tc>
              <w:tc>
                <w:tcPr>
                  <w:tcW w:w="2299" w:type="dxa"/>
                  <w:vAlign w:val="center"/>
                </w:tcPr>
                <w:p>
                  <w:pPr>
                    <w:jc w:val="center"/>
                    <w:rPr>
                      <w:b/>
                      <w:color w:val="auto"/>
                      <w:szCs w:val="21"/>
                    </w:rPr>
                  </w:pPr>
                  <w:r>
                    <w:rPr>
                      <w:b/>
                      <w:color w:val="auto"/>
                      <w:szCs w:val="21"/>
                    </w:rPr>
                    <w:t>监测因子</w:t>
                  </w:r>
                </w:p>
              </w:tc>
              <w:tc>
                <w:tcPr>
                  <w:tcW w:w="1403" w:type="dxa"/>
                  <w:vAlign w:val="center"/>
                </w:tcPr>
                <w:p>
                  <w:pPr>
                    <w:jc w:val="center"/>
                    <w:rPr>
                      <w:b/>
                      <w:color w:val="auto"/>
                      <w:szCs w:val="21"/>
                    </w:rPr>
                  </w:pPr>
                  <w:r>
                    <w:rPr>
                      <w:b/>
                      <w:color w:val="auto"/>
                      <w:szCs w:val="21"/>
                    </w:rPr>
                    <w:t>监测频率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100" w:type="dxa"/>
                  <w:vMerge w:val="restart"/>
                  <w:vAlign w:val="center"/>
                </w:tcPr>
                <w:p>
                  <w:pPr>
                    <w:jc w:val="center"/>
                    <w:rPr>
                      <w:color w:val="auto"/>
                      <w:szCs w:val="21"/>
                    </w:rPr>
                  </w:pPr>
                  <w:r>
                    <w:rPr>
                      <w:color w:val="auto"/>
                      <w:szCs w:val="21"/>
                    </w:rPr>
                    <w:t>有组织</w:t>
                  </w:r>
                  <w:r>
                    <w:rPr>
                      <w:rFonts w:hint="eastAsia"/>
                      <w:color w:val="auto"/>
                      <w:szCs w:val="21"/>
                    </w:rPr>
                    <w:t>监测</w:t>
                  </w:r>
                </w:p>
              </w:tc>
              <w:tc>
                <w:tcPr>
                  <w:tcW w:w="1725" w:type="dxa"/>
                  <w:vAlign w:val="center"/>
                </w:tcPr>
                <w:p>
                  <w:pPr>
                    <w:jc w:val="center"/>
                    <w:rPr>
                      <w:color w:val="auto"/>
                      <w:szCs w:val="21"/>
                    </w:rPr>
                  </w:pPr>
                  <w:r>
                    <w:rPr>
                      <w:color w:val="auto"/>
                      <w:szCs w:val="21"/>
                    </w:rPr>
                    <w:t>排气筒</w:t>
                  </w:r>
                  <w:r>
                    <w:rPr>
                      <w:rFonts w:hint="eastAsia"/>
                      <w:color w:val="auto"/>
                      <w:szCs w:val="21"/>
                    </w:rPr>
                    <w:t>DA001</w:t>
                  </w:r>
                </w:p>
              </w:tc>
              <w:tc>
                <w:tcPr>
                  <w:tcW w:w="1785" w:type="dxa"/>
                  <w:vAlign w:val="center"/>
                </w:tcPr>
                <w:p>
                  <w:pPr>
                    <w:jc w:val="center"/>
                    <w:rPr>
                      <w:rFonts w:hint="eastAsia" w:eastAsia="宋体"/>
                      <w:color w:val="auto"/>
                      <w:szCs w:val="21"/>
                      <w:lang w:val="en-US" w:eastAsia="zh-CN"/>
                    </w:rPr>
                  </w:pPr>
                  <w:r>
                    <w:rPr>
                      <w:rFonts w:hint="eastAsia"/>
                      <w:color w:val="auto"/>
                      <w:szCs w:val="21"/>
                      <w:lang w:val="en-US" w:eastAsia="zh-CN"/>
                    </w:rPr>
                    <w:t>出口</w:t>
                  </w:r>
                </w:p>
              </w:tc>
              <w:tc>
                <w:tcPr>
                  <w:tcW w:w="2299" w:type="dxa"/>
                  <w:vAlign w:val="center"/>
                </w:tcPr>
                <w:p>
                  <w:pPr>
                    <w:jc w:val="center"/>
                    <w:rPr>
                      <w:rFonts w:hint="default" w:eastAsia="宋体"/>
                      <w:color w:val="auto"/>
                      <w:kern w:val="0"/>
                      <w:szCs w:val="21"/>
                      <w:lang w:val="en-US" w:eastAsia="zh-CN"/>
                    </w:rPr>
                  </w:pPr>
                  <w:r>
                    <w:rPr>
                      <w:rFonts w:hint="eastAsia"/>
                      <w:color w:val="auto"/>
                      <w:kern w:val="0"/>
                      <w:szCs w:val="21"/>
                      <w:lang w:val="en-US" w:eastAsia="zh-CN"/>
                    </w:rPr>
                    <w:t>颗粒物</w:t>
                  </w:r>
                </w:p>
              </w:tc>
              <w:tc>
                <w:tcPr>
                  <w:tcW w:w="1403" w:type="dxa"/>
                  <w:vAlign w:val="center"/>
                </w:tcPr>
                <w:p>
                  <w:pPr>
                    <w:jc w:val="center"/>
                    <w:rPr>
                      <w:color w:val="auto"/>
                      <w:szCs w:val="21"/>
                    </w:rPr>
                  </w:pPr>
                  <w:r>
                    <w:rPr>
                      <w:rFonts w:hint="eastAsia"/>
                      <w:color w:val="auto"/>
                      <w:szCs w:val="21"/>
                    </w:rPr>
                    <w:t>1次/年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100" w:type="dxa"/>
                  <w:vMerge w:val="continue"/>
                  <w:vAlign w:val="center"/>
                </w:tcPr>
                <w:p>
                  <w:pPr>
                    <w:jc w:val="center"/>
                    <w:rPr>
                      <w:color w:val="auto"/>
                      <w:szCs w:val="21"/>
                    </w:rPr>
                  </w:pPr>
                </w:p>
              </w:tc>
              <w:tc>
                <w:tcPr>
                  <w:tcW w:w="1725" w:type="dxa"/>
                  <w:vAlign w:val="center"/>
                </w:tcPr>
                <w:p>
                  <w:pPr>
                    <w:jc w:val="center"/>
                    <w:rPr>
                      <w:rFonts w:hint="eastAsia" w:eastAsia="宋体"/>
                      <w:color w:val="auto"/>
                      <w:szCs w:val="21"/>
                      <w:lang w:eastAsia="zh-CN"/>
                    </w:rPr>
                  </w:pPr>
                  <w:r>
                    <w:rPr>
                      <w:color w:val="auto"/>
                      <w:szCs w:val="21"/>
                    </w:rPr>
                    <w:t>排气筒</w:t>
                  </w:r>
                  <w:r>
                    <w:rPr>
                      <w:rFonts w:hint="eastAsia"/>
                      <w:color w:val="auto"/>
                      <w:szCs w:val="21"/>
                    </w:rPr>
                    <w:t>DA00</w:t>
                  </w:r>
                  <w:r>
                    <w:rPr>
                      <w:rFonts w:hint="eastAsia"/>
                      <w:color w:val="auto"/>
                      <w:szCs w:val="21"/>
                      <w:lang w:val="en-US" w:eastAsia="zh-CN"/>
                    </w:rPr>
                    <w:t>2</w:t>
                  </w:r>
                </w:p>
              </w:tc>
              <w:tc>
                <w:tcPr>
                  <w:tcW w:w="1785" w:type="dxa"/>
                  <w:vAlign w:val="center"/>
                </w:tcPr>
                <w:p>
                  <w:pPr>
                    <w:jc w:val="center"/>
                    <w:rPr>
                      <w:rFonts w:hint="default" w:eastAsia="宋体"/>
                      <w:color w:val="auto"/>
                      <w:szCs w:val="21"/>
                      <w:lang w:val="en-US" w:eastAsia="zh-CN"/>
                    </w:rPr>
                  </w:pPr>
                  <w:r>
                    <w:rPr>
                      <w:rFonts w:hint="eastAsia"/>
                      <w:color w:val="auto"/>
                      <w:szCs w:val="21"/>
                      <w:lang w:val="en-US" w:eastAsia="zh-CN"/>
                    </w:rPr>
                    <w:t>进口、出口</w:t>
                  </w:r>
                </w:p>
              </w:tc>
              <w:tc>
                <w:tcPr>
                  <w:tcW w:w="2299" w:type="dxa"/>
                  <w:vAlign w:val="center"/>
                </w:tcPr>
                <w:p>
                  <w:pPr>
                    <w:jc w:val="center"/>
                    <w:rPr>
                      <w:rFonts w:hint="default" w:eastAsia="宋体"/>
                      <w:color w:val="auto"/>
                      <w:kern w:val="0"/>
                      <w:szCs w:val="21"/>
                      <w:lang w:val="en-US" w:eastAsia="zh-CN"/>
                    </w:rPr>
                  </w:pPr>
                  <w:r>
                    <w:rPr>
                      <w:rFonts w:hint="eastAsia"/>
                      <w:color w:val="auto"/>
                      <w:kern w:val="0"/>
                      <w:szCs w:val="21"/>
                      <w:lang w:val="en-US" w:eastAsia="zh-CN"/>
                    </w:rPr>
                    <w:t>颗粒物、非甲烷总烃</w:t>
                  </w:r>
                </w:p>
              </w:tc>
              <w:tc>
                <w:tcPr>
                  <w:tcW w:w="1403" w:type="dxa"/>
                  <w:vAlign w:val="center"/>
                </w:tcPr>
                <w:p>
                  <w:pPr>
                    <w:jc w:val="center"/>
                    <w:rPr>
                      <w:rFonts w:hint="eastAsia"/>
                      <w:color w:val="auto"/>
                      <w:szCs w:val="21"/>
                    </w:rPr>
                  </w:pPr>
                  <w:r>
                    <w:rPr>
                      <w:rFonts w:hint="eastAsia"/>
                      <w:color w:val="auto"/>
                      <w:szCs w:val="21"/>
                    </w:rPr>
                    <w:t>1次/年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100" w:type="dxa"/>
                  <w:vMerge w:val="continue"/>
                  <w:vAlign w:val="center"/>
                </w:tcPr>
                <w:p>
                  <w:pPr>
                    <w:jc w:val="center"/>
                    <w:rPr>
                      <w:color w:val="auto"/>
                      <w:szCs w:val="21"/>
                    </w:rPr>
                  </w:pPr>
                </w:p>
              </w:tc>
              <w:tc>
                <w:tcPr>
                  <w:tcW w:w="1725" w:type="dxa"/>
                  <w:vAlign w:val="center"/>
                </w:tcPr>
                <w:p>
                  <w:pPr>
                    <w:jc w:val="center"/>
                    <w:rPr>
                      <w:rFonts w:hint="eastAsia" w:eastAsia="宋体"/>
                      <w:color w:val="auto"/>
                      <w:szCs w:val="21"/>
                      <w:lang w:eastAsia="zh-CN"/>
                    </w:rPr>
                  </w:pPr>
                  <w:r>
                    <w:rPr>
                      <w:color w:val="auto"/>
                      <w:szCs w:val="21"/>
                    </w:rPr>
                    <w:t>排气筒</w:t>
                  </w:r>
                  <w:r>
                    <w:rPr>
                      <w:rFonts w:hint="eastAsia"/>
                      <w:color w:val="auto"/>
                      <w:szCs w:val="21"/>
                    </w:rPr>
                    <w:t>DA00</w:t>
                  </w:r>
                  <w:r>
                    <w:rPr>
                      <w:rFonts w:hint="eastAsia"/>
                      <w:color w:val="auto"/>
                      <w:szCs w:val="21"/>
                      <w:lang w:val="en-US" w:eastAsia="zh-CN"/>
                    </w:rPr>
                    <w:t>3</w:t>
                  </w:r>
                </w:p>
              </w:tc>
              <w:tc>
                <w:tcPr>
                  <w:tcW w:w="1785" w:type="dxa"/>
                  <w:vAlign w:val="center"/>
                </w:tcPr>
                <w:p>
                  <w:pPr>
                    <w:jc w:val="center"/>
                    <w:rPr>
                      <w:rFonts w:hint="eastAsia"/>
                      <w:color w:val="auto"/>
                      <w:szCs w:val="21"/>
                    </w:rPr>
                  </w:pPr>
                  <w:r>
                    <w:rPr>
                      <w:rFonts w:hint="eastAsia"/>
                      <w:color w:val="auto"/>
                      <w:szCs w:val="21"/>
                      <w:lang w:val="en-US" w:eastAsia="zh-CN"/>
                    </w:rPr>
                    <w:t>进口、出口</w:t>
                  </w:r>
                </w:p>
              </w:tc>
              <w:tc>
                <w:tcPr>
                  <w:tcW w:w="2299" w:type="dxa"/>
                  <w:vAlign w:val="center"/>
                </w:tcPr>
                <w:p>
                  <w:pPr>
                    <w:jc w:val="center"/>
                    <w:rPr>
                      <w:rFonts w:hint="default"/>
                      <w:color w:val="auto"/>
                      <w:kern w:val="0"/>
                      <w:szCs w:val="21"/>
                      <w:lang w:val="en-US"/>
                    </w:rPr>
                  </w:pPr>
                  <w:r>
                    <w:rPr>
                      <w:rFonts w:hint="eastAsia"/>
                      <w:color w:val="auto"/>
                      <w:kern w:val="0"/>
                      <w:szCs w:val="21"/>
                      <w:lang w:val="en-US" w:eastAsia="zh-CN"/>
                    </w:rPr>
                    <w:t>颗粒物、VOCs</w:t>
                  </w:r>
                </w:p>
              </w:tc>
              <w:tc>
                <w:tcPr>
                  <w:tcW w:w="1403" w:type="dxa"/>
                  <w:vAlign w:val="center"/>
                </w:tcPr>
                <w:p>
                  <w:pPr>
                    <w:jc w:val="center"/>
                    <w:rPr>
                      <w:rFonts w:hint="eastAsia"/>
                      <w:color w:val="auto"/>
                      <w:szCs w:val="21"/>
                    </w:rPr>
                  </w:pPr>
                  <w:r>
                    <w:rPr>
                      <w:rFonts w:hint="eastAsia"/>
                      <w:color w:val="auto"/>
                      <w:szCs w:val="21"/>
                    </w:rPr>
                    <w:t>1次/年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0" w:type="dxa"/>
                  <w:vMerge w:val="restart"/>
                  <w:vAlign w:val="center"/>
                </w:tcPr>
                <w:p>
                  <w:pPr>
                    <w:jc w:val="center"/>
                    <w:rPr>
                      <w:color w:val="auto"/>
                      <w:szCs w:val="21"/>
                    </w:rPr>
                  </w:pPr>
                  <w:r>
                    <w:rPr>
                      <w:rFonts w:hint="eastAsia"/>
                      <w:color w:val="auto"/>
                      <w:szCs w:val="21"/>
                    </w:rPr>
                    <w:t>无组织监测</w:t>
                  </w:r>
                </w:p>
              </w:tc>
              <w:tc>
                <w:tcPr>
                  <w:tcW w:w="1725" w:type="dxa"/>
                  <w:vAlign w:val="center"/>
                </w:tcPr>
                <w:p>
                  <w:pPr>
                    <w:jc w:val="center"/>
                    <w:rPr>
                      <w:color w:val="auto"/>
                      <w:szCs w:val="21"/>
                    </w:rPr>
                  </w:pPr>
                  <w:r>
                    <w:rPr>
                      <w:color w:val="auto"/>
                      <w:szCs w:val="21"/>
                    </w:rPr>
                    <w:t>厂界</w:t>
                  </w:r>
                </w:p>
              </w:tc>
              <w:tc>
                <w:tcPr>
                  <w:tcW w:w="1785" w:type="dxa"/>
                  <w:vAlign w:val="center"/>
                </w:tcPr>
                <w:p>
                  <w:pPr>
                    <w:jc w:val="center"/>
                    <w:rPr>
                      <w:color w:val="auto"/>
                      <w:szCs w:val="21"/>
                    </w:rPr>
                  </w:pPr>
                  <w:r>
                    <w:rPr>
                      <w:color w:val="auto"/>
                      <w:szCs w:val="21"/>
                    </w:rPr>
                    <w:t>厂界下风向三个监测点位</w:t>
                  </w:r>
                  <w:r>
                    <w:rPr>
                      <w:rFonts w:hint="eastAsia"/>
                      <w:color w:val="auto"/>
                      <w:szCs w:val="21"/>
                    </w:rPr>
                    <w:t>、上风向一个</w:t>
                  </w:r>
                  <w:r>
                    <w:rPr>
                      <w:color w:val="auto"/>
                      <w:szCs w:val="21"/>
                    </w:rPr>
                    <w:t>监测点位</w:t>
                  </w:r>
                </w:p>
              </w:tc>
              <w:tc>
                <w:tcPr>
                  <w:tcW w:w="2299" w:type="dxa"/>
                  <w:vAlign w:val="center"/>
                </w:tcPr>
                <w:p>
                  <w:pPr>
                    <w:jc w:val="center"/>
                    <w:rPr>
                      <w:rFonts w:hint="default" w:eastAsia="宋体"/>
                      <w:color w:val="auto"/>
                      <w:szCs w:val="21"/>
                      <w:lang w:val="en-US" w:eastAsia="zh-CN"/>
                    </w:rPr>
                  </w:pPr>
                  <w:r>
                    <w:rPr>
                      <w:rFonts w:hint="eastAsia"/>
                      <w:color w:val="auto"/>
                      <w:szCs w:val="21"/>
                      <w:lang w:val="en-US" w:eastAsia="zh-CN"/>
                    </w:rPr>
                    <w:t>颗粒物、VOCs</w:t>
                  </w:r>
                </w:p>
              </w:tc>
              <w:tc>
                <w:tcPr>
                  <w:tcW w:w="1403" w:type="dxa"/>
                  <w:vAlign w:val="center"/>
                </w:tcPr>
                <w:p>
                  <w:pPr>
                    <w:jc w:val="center"/>
                    <w:rPr>
                      <w:color w:val="auto"/>
                      <w:szCs w:val="21"/>
                    </w:rPr>
                  </w:pPr>
                  <w:r>
                    <w:rPr>
                      <w:rFonts w:hint="eastAsia"/>
                      <w:color w:val="auto"/>
                      <w:szCs w:val="21"/>
                    </w:rPr>
                    <w:t>1次/年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0" w:type="dxa"/>
                  <w:vMerge w:val="continue"/>
                  <w:vAlign w:val="center"/>
                </w:tcPr>
                <w:p>
                  <w:pPr>
                    <w:jc w:val="center"/>
                    <w:rPr>
                      <w:color w:val="auto"/>
                      <w:szCs w:val="21"/>
                    </w:rPr>
                  </w:pPr>
                </w:p>
              </w:tc>
              <w:tc>
                <w:tcPr>
                  <w:tcW w:w="1725" w:type="dxa"/>
                  <w:vAlign w:val="center"/>
                </w:tcPr>
                <w:p>
                  <w:pPr>
                    <w:jc w:val="center"/>
                    <w:rPr>
                      <w:color w:val="auto"/>
                      <w:szCs w:val="21"/>
                    </w:rPr>
                  </w:pPr>
                  <w:r>
                    <w:rPr>
                      <w:rFonts w:hint="eastAsia"/>
                      <w:color w:val="auto"/>
                      <w:szCs w:val="21"/>
                    </w:rPr>
                    <w:t>厂界内车间</w:t>
                  </w:r>
                </w:p>
                <w:p>
                  <w:pPr>
                    <w:jc w:val="center"/>
                    <w:rPr>
                      <w:color w:val="auto"/>
                      <w:szCs w:val="21"/>
                    </w:rPr>
                  </w:pPr>
                  <w:r>
                    <w:rPr>
                      <w:rFonts w:hint="eastAsia"/>
                      <w:color w:val="auto"/>
                      <w:szCs w:val="21"/>
                    </w:rPr>
                    <w:t>外 1m 处</w:t>
                  </w:r>
                </w:p>
              </w:tc>
              <w:tc>
                <w:tcPr>
                  <w:tcW w:w="1785" w:type="dxa"/>
                  <w:vAlign w:val="center"/>
                </w:tcPr>
                <w:p>
                  <w:pPr>
                    <w:jc w:val="center"/>
                    <w:rPr>
                      <w:color w:val="auto"/>
                      <w:szCs w:val="21"/>
                    </w:rPr>
                  </w:pPr>
                  <w:r>
                    <w:rPr>
                      <w:rFonts w:hint="eastAsia"/>
                      <w:color w:val="auto"/>
                      <w:szCs w:val="21"/>
                    </w:rPr>
                    <w:t>1 个监测点位</w:t>
                  </w:r>
                </w:p>
              </w:tc>
              <w:tc>
                <w:tcPr>
                  <w:tcW w:w="2299" w:type="dxa"/>
                  <w:vAlign w:val="center"/>
                </w:tcPr>
                <w:p>
                  <w:pPr>
                    <w:jc w:val="center"/>
                    <w:rPr>
                      <w:color w:val="auto"/>
                      <w:szCs w:val="21"/>
                    </w:rPr>
                  </w:pPr>
                  <w:r>
                    <w:rPr>
                      <w:rFonts w:hint="eastAsia"/>
                      <w:color w:val="auto"/>
                      <w:szCs w:val="21"/>
                    </w:rPr>
                    <w:t>NMHC</w:t>
                  </w:r>
                </w:p>
              </w:tc>
              <w:tc>
                <w:tcPr>
                  <w:tcW w:w="1403" w:type="dxa"/>
                  <w:vAlign w:val="center"/>
                </w:tcPr>
                <w:p>
                  <w:pPr>
                    <w:jc w:val="center"/>
                    <w:rPr>
                      <w:color w:val="auto"/>
                      <w:szCs w:val="21"/>
                    </w:rPr>
                  </w:pPr>
                  <w:r>
                    <w:rPr>
                      <w:rFonts w:hint="eastAsia"/>
                      <w:color w:val="auto"/>
                      <w:szCs w:val="21"/>
                    </w:rPr>
                    <w:t>1次/年</w:t>
                  </w:r>
                </w:p>
              </w:tc>
            </w:tr>
          </w:tbl>
          <w:p>
            <w:pPr>
              <w:pStyle w:val="2"/>
              <w:spacing w:line="360" w:lineRule="auto"/>
              <w:ind w:firstLine="480"/>
              <w:rPr>
                <w:color w:val="auto"/>
                <w:sz w:val="24"/>
              </w:rPr>
            </w:pPr>
            <w:r>
              <w:rPr>
                <w:color w:val="auto"/>
                <w:sz w:val="24"/>
              </w:rPr>
              <w:t>监测和分析方法：环境空气监测方法按《环境监测技术规范》（大气部分）和《空气和废气监测分析方法》以及有关规定和要求进行。</w:t>
            </w:r>
          </w:p>
          <w:p>
            <w:pPr>
              <w:pStyle w:val="2"/>
              <w:spacing w:line="360" w:lineRule="auto"/>
              <w:ind w:firstLine="480"/>
              <w:rPr>
                <w:color w:val="auto"/>
                <w:sz w:val="24"/>
              </w:rPr>
            </w:pPr>
            <w:r>
              <w:rPr>
                <w:rFonts w:hint="eastAsia" w:ascii="宋体" w:cs="宋体"/>
                <w:color w:val="auto"/>
                <w:sz w:val="24"/>
              </w:rPr>
              <w:t>②</w:t>
            </w:r>
            <w:r>
              <w:rPr>
                <w:color w:val="auto"/>
                <w:sz w:val="24"/>
              </w:rPr>
              <w:t>噪声监测</w:t>
            </w:r>
          </w:p>
          <w:p>
            <w:pPr>
              <w:pStyle w:val="2"/>
              <w:spacing w:line="360" w:lineRule="auto"/>
              <w:ind w:firstLine="480"/>
              <w:rPr>
                <w:color w:val="auto"/>
                <w:sz w:val="24"/>
              </w:rPr>
            </w:pPr>
            <w:r>
              <w:rPr>
                <w:color w:val="auto"/>
                <w:sz w:val="24"/>
              </w:rPr>
              <w:t>根据《排污单位自行监测技术指南总则》（HJ 819-2017）</w:t>
            </w:r>
            <w:r>
              <w:rPr>
                <w:rFonts w:hint="eastAsia"/>
                <w:color w:val="auto"/>
                <w:sz w:val="24"/>
              </w:rPr>
              <w:t>，</w:t>
            </w:r>
            <w:r>
              <w:rPr>
                <w:color w:val="auto"/>
                <w:sz w:val="24"/>
              </w:rPr>
              <w:t>厂周界噪声每</w:t>
            </w:r>
            <w:r>
              <w:rPr>
                <w:rFonts w:hint="eastAsia"/>
                <w:color w:val="auto"/>
                <w:sz w:val="24"/>
              </w:rPr>
              <w:t>季度</w:t>
            </w:r>
            <w:r>
              <w:rPr>
                <w:color w:val="auto"/>
                <w:sz w:val="24"/>
              </w:rPr>
              <w:t>测1次，噪声监测按《环境监测技术规范》执行，采用积分声级计或具有相同功能的测量仪器测量等效连续A声级。</w:t>
            </w:r>
          </w:p>
          <w:p>
            <w:pPr>
              <w:pStyle w:val="2"/>
              <w:spacing w:line="360" w:lineRule="auto"/>
              <w:ind w:firstLine="480"/>
              <w:rPr>
                <w:color w:val="auto"/>
                <w:sz w:val="24"/>
                <w:szCs w:val="22"/>
              </w:rPr>
            </w:pPr>
            <w:r>
              <w:rPr>
                <w:color w:val="auto"/>
                <w:sz w:val="24"/>
                <w:szCs w:val="22"/>
                <w:lang w:val="zh-CN"/>
              </w:rPr>
              <w:t>上述监测内容均按国家规定的数据采集、处理、采样和分析方法进行监测，若企业不具备监测条件，可委托有资质的检测单位进行监测，监测结果以报告形式上报当地环保部门。</w:t>
            </w:r>
          </w:p>
          <w:p>
            <w:pPr>
              <w:spacing w:line="360" w:lineRule="auto"/>
              <w:ind w:firstLine="480" w:firstLineChars="200"/>
              <w:rPr>
                <w:b/>
                <w:color w:val="auto"/>
                <w:sz w:val="24"/>
              </w:rPr>
            </w:pPr>
            <w:r>
              <w:rPr>
                <w:rFonts w:hint="eastAsia"/>
                <w:b/>
                <w:color w:val="auto"/>
                <w:sz w:val="24"/>
                <w:lang w:val="en-US" w:eastAsia="zh-CN"/>
              </w:rPr>
              <w:t>9</w:t>
            </w:r>
            <w:r>
              <w:rPr>
                <w:b/>
                <w:color w:val="auto"/>
                <w:sz w:val="24"/>
              </w:rPr>
              <w:t>、竣工环保验收</w:t>
            </w:r>
          </w:p>
          <w:p>
            <w:pPr>
              <w:spacing w:line="360" w:lineRule="auto"/>
              <w:ind w:firstLine="480" w:firstLineChars="200"/>
              <w:rPr>
                <w:color w:val="auto"/>
                <w:sz w:val="24"/>
              </w:rPr>
            </w:pPr>
            <w:r>
              <w:rPr>
                <w:color w:val="auto"/>
                <w:sz w:val="24"/>
              </w:rPr>
              <w:t>“建设项目竣工环保验收一览表”见表7-</w:t>
            </w:r>
            <w:r>
              <w:rPr>
                <w:rFonts w:hint="eastAsia"/>
                <w:color w:val="auto"/>
                <w:sz w:val="24"/>
              </w:rPr>
              <w:t>3</w:t>
            </w:r>
            <w:r>
              <w:rPr>
                <w:rFonts w:hint="eastAsia"/>
                <w:color w:val="auto"/>
                <w:sz w:val="24"/>
                <w:lang w:val="en-US" w:eastAsia="zh-CN"/>
              </w:rPr>
              <w:t>8</w:t>
            </w:r>
            <w:r>
              <w:rPr>
                <w:color w:val="auto"/>
                <w:sz w:val="24"/>
              </w:rPr>
              <w:t>。</w:t>
            </w:r>
          </w:p>
          <w:p>
            <w:pPr>
              <w:ind w:firstLine="420" w:firstLineChars="200"/>
              <w:jc w:val="center"/>
              <w:rPr>
                <w:b/>
                <w:color w:val="auto"/>
                <w:szCs w:val="21"/>
              </w:rPr>
            </w:pPr>
            <w:r>
              <w:rPr>
                <w:b/>
                <w:color w:val="auto"/>
                <w:szCs w:val="21"/>
              </w:rPr>
              <w:t>表7-</w:t>
            </w:r>
            <w:r>
              <w:rPr>
                <w:rFonts w:hint="eastAsia"/>
                <w:b/>
                <w:color w:val="auto"/>
                <w:szCs w:val="21"/>
              </w:rPr>
              <w:t>3</w:t>
            </w:r>
            <w:r>
              <w:rPr>
                <w:rFonts w:hint="eastAsia"/>
                <w:b/>
                <w:color w:val="auto"/>
                <w:szCs w:val="21"/>
                <w:lang w:val="en-US" w:eastAsia="zh-CN"/>
              </w:rPr>
              <w:t>8</w:t>
            </w:r>
            <w:r>
              <w:rPr>
                <w:b/>
                <w:color w:val="auto"/>
                <w:szCs w:val="21"/>
              </w:rPr>
              <w:t xml:space="preserve">  建设项目竣工环保验收一览表</w:t>
            </w:r>
          </w:p>
          <w:tbl>
            <w:tblPr>
              <w:tblStyle w:val="56"/>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549"/>
              <w:gridCol w:w="746"/>
              <w:gridCol w:w="1185"/>
              <w:gridCol w:w="1629"/>
              <w:gridCol w:w="141"/>
              <w:gridCol w:w="3746"/>
              <w:gridCol w:w="31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07" w:hRule="atLeast"/>
              </w:trPr>
              <w:tc>
                <w:tcPr>
                  <w:tcW w:w="330" w:type="pct"/>
                  <w:vAlign w:val="center"/>
                </w:tcPr>
                <w:p>
                  <w:pPr>
                    <w:adjustRightInd w:val="0"/>
                    <w:snapToGrid w:val="0"/>
                    <w:jc w:val="center"/>
                    <w:rPr>
                      <w:b/>
                      <w:color w:val="auto"/>
                      <w:szCs w:val="21"/>
                    </w:rPr>
                  </w:pPr>
                  <w:bookmarkStart w:id="7" w:name="_Hlk505114431"/>
                  <w:r>
                    <w:rPr>
                      <w:b/>
                      <w:color w:val="auto"/>
                      <w:szCs w:val="21"/>
                    </w:rPr>
                    <w:t>类别</w:t>
                  </w:r>
                </w:p>
              </w:tc>
              <w:tc>
                <w:tcPr>
                  <w:tcW w:w="448" w:type="pct"/>
                  <w:vAlign w:val="center"/>
                </w:tcPr>
                <w:p>
                  <w:pPr>
                    <w:adjustRightInd w:val="0"/>
                    <w:snapToGrid w:val="0"/>
                    <w:jc w:val="center"/>
                    <w:rPr>
                      <w:b/>
                      <w:color w:val="auto"/>
                      <w:szCs w:val="21"/>
                    </w:rPr>
                  </w:pPr>
                  <w:r>
                    <w:rPr>
                      <w:b/>
                      <w:color w:val="auto"/>
                      <w:szCs w:val="21"/>
                    </w:rPr>
                    <w:t>污染源</w:t>
                  </w:r>
                </w:p>
              </w:tc>
              <w:tc>
                <w:tcPr>
                  <w:tcW w:w="713" w:type="pct"/>
                  <w:vAlign w:val="center"/>
                </w:tcPr>
                <w:p>
                  <w:pPr>
                    <w:adjustRightInd w:val="0"/>
                    <w:snapToGrid w:val="0"/>
                    <w:jc w:val="center"/>
                    <w:rPr>
                      <w:b/>
                      <w:color w:val="auto"/>
                      <w:szCs w:val="21"/>
                    </w:rPr>
                  </w:pPr>
                  <w:r>
                    <w:rPr>
                      <w:b/>
                      <w:color w:val="auto"/>
                      <w:szCs w:val="21"/>
                    </w:rPr>
                    <w:t>污染物</w:t>
                  </w:r>
                </w:p>
              </w:tc>
              <w:tc>
                <w:tcPr>
                  <w:tcW w:w="1065" w:type="pct"/>
                  <w:gridSpan w:val="2"/>
                  <w:vAlign w:val="center"/>
                </w:tcPr>
                <w:p>
                  <w:pPr>
                    <w:adjustRightInd w:val="0"/>
                    <w:snapToGrid w:val="0"/>
                    <w:jc w:val="center"/>
                    <w:rPr>
                      <w:b/>
                      <w:color w:val="auto"/>
                      <w:szCs w:val="21"/>
                    </w:rPr>
                  </w:pPr>
                  <w:r>
                    <w:rPr>
                      <w:b/>
                      <w:color w:val="auto"/>
                      <w:szCs w:val="21"/>
                    </w:rPr>
                    <w:t>治理措施（设施数量、规模、处理能力等）</w:t>
                  </w:r>
                </w:p>
              </w:tc>
              <w:tc>
                <w:tcPr>
                  <w:tcW w:w="2254" w:type="pct"/>
                  <w:vAlign w:val="center"/>
                </w:tcPr>
                <w:p>
                  <w:pPr>
                    <w:adjustRightInd w:val="0"/>
                    <w:snapToGrid w:val="0"/>
                    <w:jc w:val="center"/>
                    <w:rPr>
                      <w:b/>
                      <w:color w:val="auto"/>
                      <w:szCs w:val="21"/>
                    </w:rPr>
                  </w:pPr>
                  <w:r>
                    <w:rPr>
                      <w:b/>
                      <w:color w:val="auto"/>
                      <w:szCs w:val="21"/>
                    </w:rPr>
                    <w:t>处理效果、执行标准或拟达要求</w:t>
                  </w:r>
                </w:p>
              </w:tc>
              <w:tc>
                <w:tcPr>
                  <w:tcW w:w="188" w:type="pct"/>
                  <w:vAlign w:val="center"/>
                </w:tcPr>
                <w:p>
                  <w:pPr>
                    <w:adjustRightInd w:val="0"/>
                    <w:snapToGrid w:val="0"/>
                    <w:jc w:val="center"/>
                    <w:rPr>
                      <w:b/>
                      <w:color w:val="auto"/>
                      <w:szCs w:val="21"/>
                    </w:rPr>
                  </w:pPr>
                  <w:r>
                    <w:rPr>
                      <w:rFonts w:hint="eastAsia"/>
                      <w:b/>
                      <w:color w:val="auto"/>
                      <w:szCs w:val="21"/>
                    </w:rPr>
                    <w:t>完成时间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restart"/>
                  <w:vAlign w:val="center"/>
                </w:tcPr>
                <w:p>
                  <w:pPr>
                    <w:adjustRightInd w:val="0"/>
                    <w:snapToGrid w:val="0"/>
                    <w:jc w:val="center"/>
                    <w:rPr>
                      <w:color w:val="auto"/>
                      <w:szCs w:val="21"/>
                    </w:rPr>
                  </w:pPr>
                  <w:r>
                    <w:rPr>
                      <w:rFonts w:hint="eastAsia"/>
                      <w:color w:val="auto"/>
                      <w:szCs w:val="21"/>
                    </w:rPr>
                    <w:t>有组织废气</w:t>
                  </w:r>
                </w:p>
              </w:tc>
              <w:tc>
                <w:tcPr>
                  <w:tcW w:w="448" w:type="pct"/>
                  <w:vAlign w:val="center"/>
                </w:tcPr>
                <w:p>
                  <w:pPr>
                    <w:adjustRightInd w:val="0"/>
                    <w:snapToGrid w:val="0"/>
                    <w:jc w:val="center"/>
                    <w:rPr>
                      <w:rFonts w:hint="default" w:eastAsia="宋体"/>
                      <w:color w:val="auto"/>
                      <w:szCs w:val="21"/>
                      <w:lang w:val="en-US" w:eastAsia="zh-CN"/>
                    </w:rPr>
                  </w:pPr>
                  <w:r>
                    <w:rPr>
                      <w:rFonts w:hint="eastAsia"/>
                      <w:color w:val="auto"/>
                      <w:szCs w:val="21"/>
                    </w:rPr>
                    <w:t>排气筒</w:t>
                  </w:r>
                  <w:r>
                    <w:rPr>
                      <w:rFonts w:hint="eastAsia"/>
                      <w:color w:val="auto"/>
                      <w:szCs w:val="21"/>
                      <w:lang w:val="en-US" w:eastAsia="zh-CN"/>
                    </w:rPr>
                    <w:t>DA001</w:t>
                  </w:r>
                </w:p>
              </w:tc>
              <w:tc>
                <w:tcPr>
                  <w:tcW w:w="713"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c>
                <w:tcPr>
                  <w:tcW w:w="1065" w:type="pct"/>
                  <w:gridSpan w:val="2"/>
                  <w:vAlign w:val="center"/>
                </w:tcPr>
                <w:p>
                  <w:pPr>
                    <w:adjustRightInd w:val="0"/>
                    <w:snapToGrid w:val="0"/>
                    <w:jc w:val="center"/>
                    <w:rPr>
                      <w:rFonts w:hint="eastAsia" w:ascii="Times New Roman" w:hAnsi="Times New Roman" w:cs="Times New Roman"/>
                      <w:color w:val="auto"/>
                      <w:szCs w:val="21"/>
                    </w:rPr>
                  </w:pPr>
                  <w:r>
                    <w:rPr>
                      <w:rFonts w:hint="eastAsia" w:ascii="Times New Roman" w:hAnsi="Times New Roman" w:cs="Times New Roman"/>
                      <w:color w:val="auto"/>
                      <w:szCs w:val="21"/>
                      <w:lang w:val="en-US" w:eastAsia="zh-CN"/>
                    </w:rPr>
                    <w:t>设备自带的布袋除尘器（TA001、TA002）</w:t>
                  </w:r>
                </w:p>
              </w:tc>
              <w:tc>
                <w:tcPr>
                  <w:tcW w:w="2254" w:type="pc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《大气污染物综合排放标准》（GB 16297-1996）表2中标准限值</w:t>
                  </w:r>
                </w:p>
              </w:tc>
              <w:tc>
                <w:tcPr>
                  <w:tcW w:w="188" w:type="pct"/>
                  <w:vMerge w:val="restart"/>
                  <w:vAlign w:val="center"/>
                </w:tcPr>
                <w:p>
                  <w:pPr>
                    <w:adjustRightInd w:val="0"/>
                    <w:snapToGrid w:val="0"/>
                    <w:jc w:val="center"/>
                    <w:rPr>
                      <w:color w:val="auto"/>
                      <w:szCs w:val="21"/>
                    </w:rPr>
                  </w:pPr>
                  <w:r>
                    <w:rPr>
                      <w:rFonts w:hint="eastAsia"/>
                      <w:color w:val="auto"/>
                      <w:szCs w:val="21"/>
                    </w:rPr>
                    <w:t>与主体工程同时实施，同时完成，同时投入使用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rFonts w:hint="eastAsia"/>
                      <w:color w:val="auto"/>
                      <w:szCs w:val="21"/>
                    </w:rPr>
                  </w:pPr>
                </w:p>
              </w:tc>
              <w:tc>
                <w:tcPr>
                  <w:tcW w:w="448" w:type="pct"/>
                  <w:vMerge w:val="restart"/>
                  <w:vAlign w:val="center"/>
                </w:tcPr>
                <w:p>
                  <w:pPr>
                    <w:adjustRightInd w:val="0"/>
                    <w:snapToGrid w:val="0"/>
                    <w:jc w:val="center"/>
                    <w:rPr>
                      <w:rFonts w:hint="default"/>
                      <w:color w:val="auto"/>
                      <w:szCs w:val="21"/>
                      <w:lang w:val="en-US"/>
                    </w:rPr>
                  </w:pPr>
                  <w:r>
                    <w:rPr>
                      <w:rFonts w:hint="eastAsia"/>
                      <w:color w:val="auto"/>
                      <w:szCs w:val="21"/>
                    </w:rPr>
                    <w:t>排气筒</w:t>
                  </w:r>
                  <w:r>
                    <w:rPr>
                      <w:rFonts w:hint="eastAsia"/>
                      <w:color w:val="auto"/>
                      <w:szCs w:val="21"/>
                      <w:lang w:val="en-US" w:eastAsia="zh-CN"/>
                    </w:rPr>
                    <w:t>DA002</w:t>
                  </w:r>
                </w:p>
              </w:tc>
              <w:tc>
                <w:tcPr>
                  <w:tcW w:w="713"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颗粒物</w:t>
                  </w:r>
                </w:p>
              </w:tc>
              <w:tc>
                <w:tcPr>
                  <w:tcW w:w="1065" w:type="pct"/>
                  <w:gridSpan w:val="2"/>
                  <w:vAlign w:val="center"/>
                </w:tcPr>
                <w:p>
                  <w:pPr>
                    <w:adjustRightInd w:val="0"/>
                    <w:snapToGrid w:val="0"/>
                    <w:jc w:val="center"/>
                    <w:rPr>
                      <w:rFonts w:hint="eastAsia" w:ascii="Times New Roman" w:hAnsi="Times New Roman" w:cs="Times New Roman"/>
                      <w:color w:val="auto"/>
                      <w:szCs w:val="21"/>
                    </w:rPr>
                  </w:pPr>
                  <w:r>
                    <w:rPr>
                      <w:rFonts w:hint="eastAsia" w:ascii="Times New Roman" w:hAnsi="Times New Roman" w:cs="Times New Roman"/>
                      <w:color w:val="auto"/>
                      <w:szCs w:val="21"/>
                    </w:rPr>
                    <w:t>设备自带塑粉回收滤筒（TA003）</w:t>
                  </w:r>
                </w:p>
              </w:tc>
              <w:tc>
                <w:tcPr>
                  <w:tcW w:w="2254" w:type="pct"/>
                  <w:vMerge w:val="restar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《合成树脂工业污染物排放标准》（GB 31572-2015）表5中标准限值</w:t>
                  </w:r>
                </w:p>
              </w:tc>
              <w:tc>
                <w:tcPr>
                  <w:tcW w:w="188" w:type="pct"/>
                  <w:vMerge w:val="continue"/>
                  <w:vAlign w:val="center"/>
                </w:tcPr>
                <w:p>
                  <w:pPr>
                    <w:adjustRightInd w:val="0"/>
                    <w:snapToGrid w:val="0"/>
                    <w:jc w:val="center"/>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rFonts w:hint="eastAsia"/>
                      <w:color w:val="auto"/>
                      <w:szCs w:val="21"/>
                    </w:rPr>
                  </w:pPr>
                </w:p>
              </w:tc>
              <w:tc>
                <w:tcPr>
                  <w:tcW w:w="448" w:type="pct"/>
                  <w:vMerge w:val="continue"/>
                  <w:vAlign w:val="center"/>
                </w:tcPr>
                <w:p>
                  <w:pPr>
                    <w:adjustRightInd w:val="0"/>
                    <w:snapToGrid w:val="0"/>
                    <w:jc w:val="center"/>
                    <w:rPr>
                      <w:rFonts w:hint="eastAsia"/>
                      <w:color w:val="auto"/>
                      <w:szCs w:val="21"/>
                    </w:rPr>
                  </w:pPr>
                </w:p>
              </w:tc>
              <w:tc>
                <w:tcPr>
                  <w:tcW w:w="713" w:type="pct"/>
                  <w:vAlign w:val="center"/>
                </w:tcPr>
                <w:p>
                  <w:pPr>
                    <w:adjustRightInd w:val="0"/>
                    <w:snapToGrid w:val="0"/>
                    <w:jc w:val="center"/>
                    <w:rPr>
                      <w:rFonts w:hint="eastAsia"/>
                      <w:color w:val="auto"/>
                      <w:szCs w:val="21"/>
                      <w:lang w:val="en-US" w:eastAsia="zh-CN"/>
                    </w:rPr>
                  </w:pPr>
                  <w:r>
                    <w:rPr>
                      <w:rFonts w:hint="eastAsia"/>
                      <w:color w:val="auto"/>
                      <w:szCs w:val="21"/>
                      <w:lang w:val="en-US" w:eastAsia="zh-CN"/>
                    </w:rPr>
                    <w:t>非甲烷总烃</w:t>
                  </w:r>
                </w:p>
              </w:tc>
              <w:tc>
                <w:tcPr>
                  <w:tcW w:w="1065" w:type="pct"/>
                  <w:gridSpan w:val="2"/>
                  <w:vAlign w:val="center"/>
                </w:tcPr>
                <w:p>
                  <w:pPr>
                    <w:adjustRightInd w:val="0"/>
                    <w:snapToGrid w:val="0"/>
                    <w:jc w:val="center"/>
                    <w:rPr>
                      <w:rFonts w:hint="eastAsia" w:ascii="Times New Roman" w:hAnsi="Times New Roman" w:cs="Times New Roman"/>
                      <w:color w:val="auto"/>
                      <w:szCs w:val="21"/>
                    </w:rPr>
                  </w:pPr>
                  <w:r>
                    <w:rPr>
                      <w:rFonts w:hint="eastAsia" w:ascii="Times New Roman" w:hAnsi="Times New Roman" w:cs="Times New Roman"/>
                      <w:color w:val="auto"/>
                      <w:szCs w:val="21"/>
                    </w:rPr>
                    <w:t>二级活性炭吸附设备（TA004）</w:t>
                  </w:r>
                </w:p>
              </w:tc>
              <w:tc>
                <w:tcPr>
                  <w:tcW w:w="2254" w:type="pct"/>
                  <w:vMerge w:val="continue"/>
                  <w:vAlign w:val="center"/>
                </w:tcPr>
                <w:p>
                  <w:pPr>
                    <w:adjustRightInd w:val="0"/>
                    <w:snapToGrid w:val="0"/>
                    <w:jc w:val="center"/>
                    <w:rPr>
                      <w:color w:val="auto"/>
                      <w:szCs w:val="21"/>
                    </w:rPr>
                  </w:pPr>
                </w:p>
              </w:tc>
              <w:tc>
                <w:tcPr>
                  <w:tcW w:w="188" w:type="pct"/>
                  <w:vMerge w:val="continue"/>
                  <w:vAlign w:val="center"/>
                </w:tcPr>
                <w:p>
                  <w:pPr>
                    <w:adjustRightInd w:val="0"/>
                    <w:snapToGrid w:val="0"/>
                    <w:jc w:val="center"/>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rFonts w:hint="eastAsia"/>
                      <w:color w:val="auto"/>
                      <w:szCs w:val="21"/>
                    </w:rPr>
                  </w:pPr>
                </w:p>
              </w:tc>
              <w:tc>
                <w:tcPr>
                  <w:tcW w:w="448" w:type="pct"/>
                  <w:vMerge w:val="restart"/>
                  <w:vAlign w:val="center"/>
                </w:tcPr>
                <w:p>
                  <w:pPr>
                    <w:adjustRightInd w:val="0"/>
                    <w:snapToGrid w:val="0"/>
                    <w:jc w:val="center"/>
                    <w:rPr>
                      <w:rFonts w:hint="eastAsia"/>
                      <w:color w:val="auto"/>
                      <w:szCs w:val="21"/>
                    </w:rPr>
                  </w:pPr>
                  <w:r>
                    <w:rPr>
                      <w:rFonts w:hint="eastAsia"/>
                      <w:color w:val="auto"/>
                      <w:szCs w:val="21"/>
                    </w:rPr>
                    <w:t>排气筒</w:t>
                  </w:r>
                  <w:r>
                    <w:rPr>
                      <w:rFonts w:hint="eastAsia"/>
                      <w:color w:val="auto"/>
                      <w:szCs w:val="21"/>
                      <w:lang w:val="en-US" w:eastAsia="zh-CN"/>
                    </w:rPr>
                    <w:t>DA003</w:t>
                  </w:r>
                </w:p>
              </w:tc>
              <w:tc>
                <w:tcPr>
                  <w:tcW w:w="713"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颗粒物</w:t>
                  </w:r>
                </w:p>
              </w:tc>
              <w:tc>
                <w:tcPr>
                  <w:tcW w:w="1065" w:type="pct"/>
                  <w:gridSpan w:val="2"/>
                  <w:vAlign w:val="center"/>
                </w:tcPr>
                <w:p>
                  <w:pPr>
                    <w:adjustRightInd w:val="0"/>
                    <w:snapToGrid w:val="0"/>
                    <w:jc w:val="center"/>
                    <w:rPr>
                      <w:rFonts w:hint="eastAsia" w:ascii="Times New Roman" w:hAnsi="Times New Roman" w:cs="Times New Roman"/>
                      <w:color w:val="auto"/>
                      <w:szCs w:val="21"/>
                    </w:rPr>
                  </w:pPr>
                  <w:r>
                    <w:rPr>
                      <w:rFonts w:hint="eastAsia" w:ascii="Times New Roman" w:hAnsi="Times New Roman" w:cs="Times New Roman"/>
                      <w:color w:val="auto"/>
                      <w:szCs w:val="21"/>
                      <w:lang w:val="en-US" w:eastAsia="zh-CN"/>
                    </w:rPr>
                    <w:t>布袋除尘器（TA005）、</w:t>
                  </w:r>
                  <w:r>
                    <w:rPr>
                      <w:rFonts w:hint="eastAsia" w:ascii="Times New Roman" w:hAnsi="Times New Roman" w:cs="Times New Roman"/>
                      <w:color w:val="auto"/>
                      <w:szCs w:val="21"/>
                    </w:rPr>
                    <w:t>干式喷漆柜（TA006）</w:t>
                  </w:r>
                </w:p>
              </w:tc>
              <w:tc>
                <w:tcPr>
                  <w:tcW w:w="2254" w:type="pc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《大气污染物综合排放标准》（GB 16297-1996）表2中标准限值</w:t>
                  </w:r>
                </w:p>
              </w:tc>
              <w:tc>
                <w:tcPr>
                  <w:tcW w:w="188" w:type="pct"/>
                  <w:vMerge w:val="continue"/>
                  <w:vAlign w:val="center"/>
                </w:tcPr>
                <w:p>
                  <w:pPr>
                    <w:adjustRightInd w:val="0"/>
                    <w:snapToGrid w:val="0"/>
                    <w:jc w:val="center"/>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rFonts w:hint="eastAsia"/>
                      <w:color w:val="auto"/>
                      <w:szCs w:val="21"/>
                    </w:rPr>
                  </w:pPr>
                </w:p>
              </w:tc>
              <w:tc>
                <w:tcPr>
                  <w:tcW w:w="448" w:type="pct"/>
                  <w:vMerge w:val="continue"/>
                  <w:vAlign w:val="center"/>
                </w:tcPr>
                <w:p>
                  <w:pPr>
                    <w:adjustRightInd w:val="0"/>
                    <w:snapToGrid w:val="0"/>
                    <w:jc w:val="center"/>
                    <w:rPr>
                      <w:rFonts w:hint="eastAsia"/>
                      <w:color w:val="auto"/>
                      <w:szCs w:val="21"/>
                    </w:rPr>
                  </w:pPr>
                </w:p>
              </w:tc>
              <w:tc>
                <w:tcPr>
                  <w:tcW w:w="713" w:type="pct"/>
                  <w:vAlign w:val="center"/>
                </w:tcPr>
                <w:p>
                  <w:pPr>
                    <w:adjustRightInd w:val="0"/>
                    <w:snapToGrid w:val="0"/>
                    <w:jc w:val="center"/>
                    <w:rPr>
                      <w:rFonts w:hint="default"/>
                      <w:color w:val="auto"/>
                      <w:szCs w:val="21"/>
                      <w:lang w:val="en-US" w:eastAsia="zh-CN"/>
                    </w:rPr>
                  </w:pPr>
                  <w:r>
                    <w:rPr>
                      <w:rFonts w:hint="eastAsia"/>
                      <w:color w:val="auto"/>
                      <w:szCs w:val="21"/>
                      <w:lang w:val="en-US" w:eastAsia="zh-CN"/>
                    </w:rPr>
                    <w:t>VOCs</w:t>
                  </w:r>
                </w:p>
              </w:tc>
              <w:tc>
                <w:tcPr>
                  <w:tcW w:w="1065" w:type="pct"/>
                  <w:gridSpan w:val="2"/>
                  <w:vAlign w:val="center"/>
                </w:tcPr>
                <w:p>
                  <w:pPr>
                    <w:adjustRightInd w:val="0"/>
                    <w:snapToGrid w:val="0"/>
                    <w:jc w:val="center"/>
                    <w:rPr>
                      <w:rFonts w:hint="eastAsia" w:ascii="Times New Roman" w:hAnsi="Times New Roman" w:cs="Times New Roman"/>
                      <w:color w:val="auto"/>
                      <w:szCs w:val="21"/>
                    </w:rPr>
                  </w:pPr>
                  <w:r>
                    <w:rPr>
                      <w:rFonts w:hint="eastAsia" w:ascii="Times New Roman" w:hAnsi="Times New Roman" w:cs="Times New Roman"/>
                      <w:color w:val="auto"/>
                      <w:szCs w:val="21"/>
                    </w:rPr>
                    <w:t>二级活性炭吸附装置（TA007）</w:t>
                  </w:r>
                </w:p>
              </w:tc>
              <w:tc>
                <w:tcPr>
                  <w:tcW w:w="2254" w:type="pc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《工业企业挥发性有机物排放控制标准》（DB12/524-2020）表1中“表面涂装行业 TRVOC”标准限值</w:t>
                  </w:r>
                </w:p>
              </w:tc>
              <w:tc>
                <w:tcPr>
                  <w:tcW w:w="188" w:type="pct"/>
                  <w:vMerge w:val="continue"/>
                  <w:vAlign w:val="center"/>
                </w:tcPr>
                <w:p>
                  <w:pPr>
                    <w:adjustRightInd w:val="0"/>
                    <w:snapToGrid w:val="0"/>
                    <w:jc w:val="center"/>
                    <w:rPr>
                      <w:rFonts w:hint="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restart"/>
                  <w:vAlign w:val="center"/>
                </w:tcPr>
                <w:p>
                  <w:pPr>
                    <w:adjustRightInd w:val="0"/>
                    <w:snapToGrid w:val="0"/>
                    <w:jc w:val="center"/>
                    <w:rPr>
                      <w:color w:val="auto"/>
                      <w:szCs w:val="21"/>
                    </w:rPr>
                  </w:pPr>
                  <w:r>
                    <w:rPr>
                      <w:rFonts w:hint="eastAsia"/>
                      <w:color w:val="auto"/>
                      <w:szCs w:val="21"/>
                    </w:rPr>
                    <w:t>无组织废气</w:t>
                  </w:r>
                </w:p>
              </w:tc>
              <w:tc>
                <w:tcPr>
                  <w:tcW w:w="448" w:type="pct"/>
                  <w:vMerge w:val="restart"/>
                  <w:vAlign w:val="center"/>
                </w:tcPr>
                <w:p>
                  <w:pPr>
                    <w:adjustRightInd w:val="0"/>
                    <w:snapToGrid w:val="0"/>
                    <w:jc w:val="center"/>
                    <w:rPr>
                      <w:color w:val="auto"/>
                      <w:szCs w:val="21"/>
                    </w:rPr>
                  </w:pPr>
                  <w:r>
                    <w:rPr>
                      <w:rFonts w:hint="eastAsia"/>
                      <w:color w:val="auto"/>
                      <w:szCs w:val="21"/>
                    </w:rPr>
                    <w:t>生产车间</w:t>
                  </w:r>
                </w:p>
              </w:tc>
              <w:tc>
                <w:tcPr>
                  <w:tcW w:w="713" w:type="pct"/>
                  <w:vAlign w:val="center"/>
                </w:tcPr>
                <w:p>
                  <w:pPr>
                    <w:adjustRightInd w:val="0"/>
                    <w:snapToGrid w:val="0"/>
                    <w:jc w:val="center"/>
                    <w:rPr>
                      <w:rFonts w:hint="eastAsia" w:eastAsia="宋体"/>
                      <w:color w:val="auto"/>
                      <w:szCs w:val="21"/>
                      <w:lang w:val="en-US" w:eastAsia="zh-CN"/>
                    </w:rPr>
                  </w:pPr>
                  <w:r>
                    <w:rPr>
                      <w:rFonts w:hint="eastAsia"/>
                      <w:color w:val="auto"/>
                      <w:szCs w:val="21"/>
                      <w:lang w:val="en-US" w:eastAsia="zh-CN"/>
                    </w:rPr>
                    <w:t>颗粒物</w:t>
                  </w:r>
                </w:p>
              </w:tc>
              <w:tc>
                <w:tcPr>
                  <w:tcW w:w="1065" w:type="pct"/>
                  <w:gridSpan w:val="2"/>
                  <w:vMerge w:val="restart"/>
                  <w:vAlign w:val="center"/>
                </w:tcPr>
                <w:p>
                  <w:pPr>
                    <w:adjustRightInd w:val="0"/>
                    <w:snapToGrid w:val="0"/>
                    <w:jc w:val="center"/>
                    <w:rPr>
                      <w:color w:val="auto"/>
                      <w:szCs w:val="21"/>
                    </w:rPr>
                  </w:pPr>
                  <w:r>
                    <w:rPr>
                      <w:rFonts w:hint="eastAsia"/>
                      <w:color w:val="auto"/>
                      <w:szCs w:val="21"/>
                    </w:rPr>
                    <w:t>增加车间通风频次</w:t>
                  </w:r>
                </w:p>
              </w:tc>
              <w:tc>
                <w:tcPr>
                  <w:tcW w:w="2254" w:type="pct"/>
                  <w:vAlign w:val="center"/>
                </w:tcPr>
                <w:p>
                  <w:pPr>
                    <w:adjustRightInd w:val="0"/>
                    <w:snapToGrid w:val="0"/>
                    <w:jc w:val="center"/>
                    <w:rPr>
                      <w:rFonts w:hint="eastAsia"/>
                      <w:color w:val="auto"/>
                      <w:szCs w:val="21"/>
                    </w:rPr>
                  </w:pPr>
                  <w:r>
                    <w:rPr>
                      <w:rFonts w:hint="eastAsia"/>
                      <w:color w:val="auto"/>
                      <w:szCs w:val="21"/>
                      <w:lang w:val="en-US" w:eastAsia="zh-CN"/>
                    </w:rPr>
                    <w:t>满足</w:t>
                  </w:r>
                  <w:r>
                    <w:rPr>
                      <w:rFonts w:hint="eastAsia"/>
                      <w:color w:val="auto"/>
                      <w:szCs w:val="21"/>
                    </w:rPr>
                    <w:t>《大气污染物综合排放标准》（GB 16297-1996）表2中标准限值</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rFonts w:hint="eastAsia"/>
                      <w:color w:val="auto"/>
                      <w:szCs w:val="21"/>
                    </w:rPr>
                  </w:pPr>
                </w:p>
              </w:tc>
              <w:tc>
                <w:tcPr>
                  <w:tcW w:w="448" w:type="pct"/>
                  <w:vMerge w:val="continue"/>
                  <w:vAlign w:val="center"/>
                </w:tcPr>
                <w:p>
                  <w:pPr>
                    <w:adjustRightInd w:val="0"/>
                    <w:snapToGrid w:val="0"/>
                    <w:jc w:val="center"/>
                    <w:rPr>
                      <w:rFonts w:hint="eastAsia"/>
                      <w:color w:val="auto"/>
                      <w:szCs w:val="21"/>
                    </w:rPr>
                  </w:pPr>
                </w:p>
              </w:tc>
              <w:tc>
                <w:tcPr>
                  <w:tcW w:w="713" w:type="pct"/>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非甲烷总烃</w:t>
                  </w:r>
                </w:p>
              </w:tc>
              <w:tc>
                <w:tcPr>
                  <w:tcW w:w="1065" w:type="pct"/>
                  <w:gridSpan w:val="2"/>
                  <w:vMerge w:val="continue"/>
                  <w:vAlign w:val="center"/>
                </w:tcPr>
                <w:p>
                  <w:pPr>
                    <w:adjustRightInd w:val="0"/>
                    <w:snapToGrid w:val="0"/>
                    <w:jc w:val="center"/>
                    <w:rPr>
                      <w:rFonts w:hint="eastAsia"/>
                      <w:color w:val="auto"/>
                      <w:szCs w:val="21"/>
                    </w:rPr>
                  </w:pPr>
                </w:p>
              </w:tc>
              <w:tc>
                <w:tcPr>
                  <w:tcW w:w="2254" w:type="pct"/>
                  <w:vAlign w:val="center"/>
                </w:tcPr>
                <w:p>
                  <w:pPr>
                    <w:adjustRightInd w:val="0"/>
                    <w:snapToGrid w:val="0"/>
                    <w:jc w:val="center"/>
                    <w:rPr>
                      <w:rFonts w:hint="eastAsia"/>
                      <w:color w:val="auto"/>
                      <w:szCs w:val="21"/>
                    </w:rPr>
                  </w:pPr>
                  <w:r>
                    <w:rPr>
                      <w:rFonts w:hint="eastAsia"/>
                      <w:color w:val="auto"/>
                      <w:szCs w:val="21"/>
                      <w:lang w:val="en-US" w:eastAsia="zh-CN"/>
                    </w:rPr>
                    <w:t>满足</w:t>
                  </w:r>
                  <w:r>
                    <w:rPr>
                      <w:rFonts w:hint="eastAsia"/>
                      <w:color w:val="auto"/>
                      <w:szCs w:val="21"/>
                    </w:rPr>
                    <w:t>《合成树脂工业污染物排放标准》（GB 31572-2015）表9中标准限值</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97" w:hRule="atLeast"/>
              </w:trPr>
              <w:tc>
                <w:tcPr>
                  <w:tcW w:w="330" w:type="pct"/>
                  <w:vMerge w:val="continue"/>
                  <w:vAlign w:val="center"/>
                </w:tcPr>
                <w:p>
                  <w:pPr>
                    <w:adjustRightInd w:val="0"/>
                    <w:snapToGrid w:val="0"/>
                    <w:jc w:val="center"/>
                    <w:rPr>
                      <w:color w:val="auto"/>
                      <w:szCs w:val="21"/>
                    </w:rPr>
                  </w:pPr>
                </w:p>
              </w:tc>
              <w:tc>
                <w:tcPr>
                  <w:tcW w:w="448" w:type="pct"/>
                  <w:vMerge w:val="continue"/>
                  <w:vAlign w:val="center"/>
                </w:tcPr>
                <w:p>
                  <w:pPr>
                    <w:adjustRightInd w:val="0"/>
                    <w:snapToGrid w:val="0"/>
                    <w:jc w:val="center"/>
                    <w:rPr>
                      <w:color w:val="auto"/>
                      <w:szCs w:val="21"/>
                    </w:rPr>
                  </w:pPr>
                </w:p>
              </w:tc>
              <w:tc>
                <w:tcPr>
                  <w:tcW w:w="713" w:type="pct"/>
                  <w:vAlign w:val="center"/>
                </w:tcPr>
                <w:p>
                  <w:pPr>
                    <w:adjustRightInd w:val="0"/>
                    <w:snapToGrid w:val="0"/>
                    <w:jc w:val="center"/>
                    <w:rPr>
                      <w:color w:val="auto"/>
                      <w:szCs w:val="21"/>
                    </w:rPr>
                  </w:pPr>
                  <w:r>
                    <w:rPr>
                      <w:rFonts w:hint="eastAsia"/>
                      <w:color w:val="auto"/>
                      <w:szCs w:val="21"/>
                    </w:rPr>
                    <w:t>VOCs</w:t>
                  </w:r>
                </w:p>
              </w:tc>
              <w:tc>
                <w:tcPr>
                  <w:tcW w:w="1065" w:type="pct"/>
                  <w:gridSpan w:val="2"/>
                  <w:vMerge w:val="continue"/>
                  <w:vAlign w:val="center"/>
                </w:tcPr>
                <w:p>
                  <w:pPr>
                    <w:adjustRightInd w:val="0"/>
                    <w:snapToGrid w:val="0"/>
                    <w:jc w:val="center"/>
                    <w:rPr>
                      <w:color w:val="auto"/>
                      <w:szCs w:val="21"/>
                    </w:rPr>
                  </w:pPr>
                </w:p>
              </w:tc>
              <w:tc>
                <w:tcPr>
                  <w:tcW w:w="2254" w:type="pct"/>
                  <w:vAlign w:val="center"/>
                </w:tcPr>
                <w:p>
                  <w:pPr>
                    <w:adjustRightInd w:val="0"/>
                    <w:snapToGrid w:val="0"/>
                    <w:jc w:val="center"/>
                    <w:rPr>
                      <w:color w:val="auto"/>
                      <w:szCs w:val="21"/>
                    </w:rPr>
                  </w:pPr>
                  <w:r>
                    <w:rPr>
                      <w:rFonts w:hint="eastAsia"/>
                      <w:color w:val="auto"/>
                      <w:szCs w:val="21"/>
                    </w:rPr>
                    <w:t>VOCs</w:t>
                  </w:r>
                  <w:r>
                    <w:rPr>
                      <w:rFonts w:hint="eastAsia"/>
                      <w:color w:val="auto"/>
                      <w:szCs w:val="21"/>
                      <w:lang w:val="en-US" w:eastAsia="zh-CN"/>
                    </w:rPr>
                    <w:t>满足</w:t>
                  </w:r>
                  <w:r>
                    <w:rPr>
                      <w:rFonts w:hint="eastAsia"/>
                      <w:color w:val="auto"/>
                      <w:szCs w:val="21"/>
                    </w:rPr>
                    <w:t>《工业企业挥发性有机物排放控制标准》（DB12/524-2020）表1中“表面涂装行业 TRVOC”标准限值；车间外1m：NMHC达到《挥发性有机物无组织排放控制标准》（GB37822-2019）中控制标准</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86" w:hRule="atLeast"/>
              </w:trPr>
              <w:tc>
                <w:tcPr>
                  <w:tcW w:w="330" w:type="pct"/>
                  <w:vMerge w:val="restart"/>
                  <w:vAlign w:val="center"/>
                </w:tcPr>
                <w:p>
                  <w:pPr>
                    <w:adjustRightInd w:val="0"/>
                    <w:snapToGrid w:val="0"/>
                    <w:jc w:val="center"/>
                    <w:rPr>
                      <w:color w:val="auto"/>
                      <w:szCs w:val="21"/>
                    </w:rPr>
                  </w:pPr>
                  <w:r>
                    <w:rPr>
                      <w:color w:val="auto"/>
                      <w:szCs w:val="21"/>
                    </w:rPr>
                    <w:t>废水</w:t>
                  </w:r>
                </w:p>
              </w:tc>
              <w:tc>
                <w:tcPr>
                  <w:tcW w:w="448" w:type="pct"/>
                  <w:vAlign w:val="center"/>
                </w:tcPr>
                <w:p>
                  <w:pPr>
                    <w:adjustRightInd w:val="0"/>
                    <w:snapToGrid w:val="0"/>
                    <w:jc w:val="center"/>
                    <w:rPr>
                      <w:color w:val="auto"/>
                      <w:szCs w:val="21"/>
                    </w:rPr>
                  </w:pPr>
                  <w:r>
                    <w:rPr>
                      <w:color w:val="auto"/>
                      <w:szCs w:val="21"/>
                    </w:rPr>
                    <w:t>生</w:t>
                  </w:r>
                  <w:r>
                    <w:rPr>
                      <w:rFonts w:hint="eastAsia"/>
                      <w:color w:val="auto"/>
                      <w:szCs w:val="21"/>
                    </w:rPr>
                    <w:t>活</w:t>
                  </w:r>
                  <w:r>
                    <w:rPr>
                      <w:color w:val="auto"/>
                      <w:szCs w:val="21"/>
                    </w:rPr>
                    <w:t>废水</w:t>
                  </w:r>
                </w:p>
              </w:tc>
              <w:tc>
                <w:tcPr>
                  <w:tcW w:w="713" w:type="pct"/>
                  <w:vAlign w:val="center"/>
                </w:tcPr>
                <w:p>
                  <w:pPr>
                    <w:adjustRightInd w:val="0"/>
                    <w:snapToGrid w:val="0"/>
                    <w:contextualSpacing/>
                    <w:jc w:val="center"/>
                    <w:rPr>
                      <w:color w:val="auto"/>
                      <w:szCs w:val="21"/>
                    </w:rPr>
                  </w:pPr>
                  <w:r>
                    <w:rPr>
                      <w:color w:val="auto"/>
                      <w:szCs w:val="21"/>
                    </w:rPr>
                    <w:t>COD、SS、NH</w:t>
                  </w:r>
                  <w:r>
                    <w:rPr>
                      <w:color w:val="auto"/>
                      <w:szCs w:val="21"/>
                      <w:vertAlign w:val="subscript"/>
                    </w:rPr>
                    <w:t>3</w:t>
                  </w:r>
                  <w:r>
                    <w:rPr>
                      <w:color w:val="auto"/>
                      <w:szCs w:val="21"/>
                    </w:rPr>
                    <w:t>-N、TP</w:t>
                  </w:r>
                  <w:r>
                    <w:rPr>
                      <w:rFonts w:hint="eastAsia"/>
                      <w:color w:val="auto"/>
                      <w:szCs w:val="21"/>
                    </w:rPr>
                    <w:t>、TN</w:t>
                  </w:r>
                </w:p>
              </w:tc>
              <w:tc>
                <w:tcPr>
                  <w:tcW w:w="1065" w:type="pct"/>
                  <w:gridSpan w:val="2"/>
                  <w:vAlign w:val="center"/>
                </w:tcPr>
                <w:p>
                  <w:pPr>
                    <w:adjustRightInd w:val="0"/>
                    <w:snapToGrid w:val="0"/>
                    <w:jc w:val="center"/>
                    <w:rPr>
                      <w:color w:val="auto"/>
                      <w:szCs w:val="21"/>
                    </w:rPr>
                  </w:pPr>
                  <w:r>
                    <w:rPr>
                      <w:rFonts w:hint="eastAsia"/>
                      <w:color w:val="auto"/>
                      <w:szCs w:val="21"/>
                    </w:rPr>
                    <w:t>依托厂区现有1座</w:t>
                  </w:r>
                  <w:r>
                    <w:rPr>
                      <w:color w:val="auto"/>
                      <w:szCs w:val="21"/>
                    </w:rPr>
                    <w:t>化粪池</w:t>
                  </w:r>
                  <w:r>
                    <w:rPr>
                      <w:rFonts w:hint="eastAsia"/>
                      <w:color w:val="auto"/>
                      <w:szCs w:val="21"/>
                    </w:rPr>
                    <w:t>预处理</w:t>
                  </w:r>
                </w:p>
              </w:tc>
              <w:tc>
                <w:tcPr>
                  <w:tcW w:w="2254" w:type="pct"/>
                  <w:vAlign w:val="center"/>
                </w:tcPr>
                <w:p>
                  <w:pPr>
                    <w:adjustRightInd w:val="0"/>
                    <w:snapToGrid w:val="0"/>
                    <w:jc w:val="both"/>
                    <w:rPr>
                      <w:color w:val="auto"/>
                      <w:szCs w:val="21"/>
                    </w:rPr>
                  </w:pPr>
                  <w:r>
                    <w:rPr>
                      <w:rFonts w:hint="eastAsia"/>
                      <w:color w:val="auto"/>
                      <w:kern w:val="0"/>
                      <w:szCs w:val="21"/>
                    </w:rPr>
                    <w:t>废水经预处理后达金坛区第二污水处理厂接管标准</w:t>
                  </w:r>
                </w:p>
              </w:tc>
              <w:tc>
                <w:tcPr>
                  <w:tcW w:w="188" w:type="pct"/>
                  <w:vMerge w:val="continue"/>
                  <w:vAlign w:val="center"/>
                </w:tcPr>
                <w:p>
                  <w:pPr>
                    <w:adjustRightInd w:val="0"/>
                    <w:snapToGrid w:val="0"/>
                    <w:jc w:val="center"/>
                    <w:rPr>
                      <w:color w:val="auto"/>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537" w:hRule="atLeast"/>
              </w:trPr>
              <w:tc>
                <w:tcPr>
                  <w:tcW w:w="330" w:type="pct"/>
                  <w:vMerge w:val="continue"/>
                  <w:vAlign w:val="center"/>
                </w:tcPr>
                <w:p>
                  <w:pPr>
                    <w:adjustRightInd w:val="0"/>
                    <w:snapToGrid w:val="0"/>
                    <w:jc w:val="center"/>
                    <w:rPr>
                      <w:color w:val="auto"/>
                      <w:szCs w:val="21"/>
                    </w:rPr>
                  </w:pPr>
                </w:p>
              </w:tc>
              <w:tc>
                <w:tcPr>
                  <w:tcW w:w="1161" w:type="pct"/>
                  <w:gridSpan w:val="2"/>
                  <w:vAlign w:val="center"/>
                </w:tcPr>
                <w:p>
                  <w:pPr>
                    <w:adjustRightInd w:val="0"/>
                    <w:snapToGrid w:val="0"/>
                    <w:contextualSpacing/>
                    <w:jc w:val="center"/>
                    <w:rPr>
                      <w:color w:val="auto"/>
                      <w:szCs w:val="21"/>
                    </w:rPr>
                  </w:pPr>
                  <w:r>
                    <w:rPr>
                      <w:rFonts w:hint="eastAsia"/>
                      <w:color w:val="auto"/>
                      <w:szCs w:val="21"/>
                      <w:lang w:val="en-US" w:eastAsia="zh-CN"/>
                    </w:rPr>
                    <w:t>清洗水</w:t>
                  </w:r>
                </w:p>
              </w:tc>
              <w:tc>
                <w:tcPr>
                  <w:tcW w:w="1065" w:type="pct"/>
                  <w:gridSpan w:val="2"/>
                  <w:vAlign w:val="center"/>
                </w:tcPr>
                <w:p>
                  <w:pPr>
                    <w:adjustRightInd w:val="0"/>
                    <w:snapToGrid w:val="0"/>
                    <w:jc w:val="center"/>
                    <w:rPr>
                      <w:rFonts w:hint="default" w:eastAsia="宋体"/>
                      <w:color w:val="auto"/>
                      <w:szCs w:val="21"/>
                      <w:lang w:val="en-US" w:eastAsia="zh-CN"/>
                    </w:rPr>
                  </w:pPr>
                  <w:r>
                    <w:rPr>
                      <w:rFonts w:hint="eastAsia"/>
                      <w:color w:val="auto"/>
                      <w:szCs w:val="21"/>
                      <w:lang w:val="en-US" w:eastAsia="zh-CN"/>
                    </w:rPr>
                    <w:t>新建</w:t>
                  </w:r>
                  <w:r>
                    <w:rPr>
                      <w:rFonts w:hint="eastAsia"/>
                      <w:color w:val="auto"/>
                      <w:lang w:val="en-US" w:eastAsia="zh-CN"/>
                    </w:rPr>
                    <w:t>隔油+气浮一体设备1座</w:t>
                  </w:r>
                </w:p>
              </w:tc>
              <w:tc>
                <w:tcPr>
                  <w:tcW w:w="2254" w:type="pct"/>
                  <w:vAlign w:val="center"/>
                </w:tcPr>
                <w:p>
                  <w:pPr>
                    <w:adjustRightInd w:val="0"/>
                    <w:snapToGrid w:val="0"/>
                    <w:jc w:val="both"/>
                    <w:rPr>
                      <w:rFonts w:hint="default" w:eastAsia="宋体"/>
                      <w:color w:val="auto"/>
                      <w:kern w:val="0"/>
                      <w:szCs w:val="21"/>
                      <w:lang w:val="en-US" w:eastAsia="zh-CN"/>
                    </w:rPr>
                  </w:pPr>
                  <w:r>
                    <w:rPr>
                      <w:rFonts w:hint="eastAsia"/>
                      <w:color w:val="auto"/>
                      <w:kern w:val="0"/>
                      <w:szCs w:val="21"/>
                      <w:lang w:val="en-US" w:eastAsia="zh-CN"/>
                    </w:rPr>
                    <w:t>生产工序中清洗用水经隔油+气浮一体设备（16t）处理后循环使用，不外排</w:t>
                  </w:r>
                </w:p>
              </w:tc>
              <w:tc>
                <w:tcPr>
                  <w:tcW w:w="188" w:type="pct"/>
                  <w:vMerge w:val="continue"/>
                  <w:vAlign w:val="center"/>
                </w:tcPr>
                <w:p>
                  <w:pPr>
                    <w:adjustRightInd w:val="0"/>
                    <w:snapToGrid w:val="0"/>
                    <w:jc w:val="center"/>
                    <w:rPr>
                      <w:color w:val="auto"/>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519" w:hRule="atLeast"/>
              </w:trPr>
              <w:tc>
                <w:tcPr>
                  <w:tcW w:w="330" w:type="pct"/>
                  <w:vAlign w:val="center"/>
                </w:tcPr>
                <w:p>
                  <w:pPr>
                    <w:adjustRightInd w:val="0"/>
                    <w:snapToGrid w:val="0"/>
                    <w:jc w:val="center"/>
                    <w:rPr>
                      <w:color w:val="auto"/>
                      <w:szCs w:val="21"/>
                    </w:rPr>
                  </w:pPr>
                  <w:r>
                    <w:rPr>
                      <w:color w:val="auto"/>
                      <w:szCs w:val="21"/>
                    </w:rPr>
                    <w:t>噪声</w:t>
                  </w:r>
                </w:p>
              </w:tc>
              <w:tc>
                <w:tcPr>
                  <w:tcW w:w="448" w:type="pct"/>
                  <w:vAlign w:val="center"/>
                </w:tcPr>
                <w:p>
                  <w:pPr>
                    <w:adjustRightInd w:val="0"/>
                    <w:snapToGrid w:val="0"/>
                    <w:jc w:val="center"/>
                    <w:rPr>
                      <w:color w:val="auto"/>
                      <w:szCs w:val="21"/>
                    </w:rPr>
                  </w:pPr>
                  <w:r>
                    <w:rPr>
                      <w:color w:val="auto"/>
                      <w:szCs w:val="21"/>
                    </w:rPr>
                    <w:t>车间</w:t>
                  </w:r>
                </w:p>
              </w:tc>
              <w:tc>
                <w:tcPr>
                  <w:tcW w:w="713" w:type="pct"/>
                  <w:vAlign w:val="center"/>
                </w:tcPr>
                <w:p>
                  <w:pPr>
                    <w:adjustRightInd w:val="0"/>
                    <w:snapToGrid w:val="0"/>
                    <w:jc w:val="center"/>
                    <w:rPr>
                      <w:color w:val="auto"/>
                      <w:szCs w:val="21"/>
                    </w:rPr>
                  </w:pPr>
                  <w:r>
                    <w:rPr>
                      <w:color w:val="auto"/>
                      <w:szCs w:val="21"/>
                    </w:rPr>
                    <w:t>机械设备</w:t>
                  </w:r>
                </w:p>
              </w:tc>
              <w:tc>
                <w:tcPr>
                  <w:tcW w:w="1065" w:type="pct"/>
                  <w:gridSpan w:val="2"/>
                  <w:vAlign w:val="center"/>
                </w:tcPr>
                <w:p>
                  <w:pPr>
                    <w:adjustRightInd w:val="0"/>
                    <w:snapToGrid w:val="0"/>
                    <w:jc w:val="center"/>
                    <w:rPr>
                      <w:color w:val="auto"/>
                      <w:szCs w:val="21"/>
                    </w:rPr>
                  </w:pPr>
                  <w:r>
                    <w:rPr>
                      <w:color w:val="auto"/>
                      <w:szCs w:val="21"/>
                    </w:rPr>
                    <w:t>厂房隔声、减振</w:t>
                  </w:r>
                </w:p>
              </w:tc>
              <w:tc>
                <w:tcPr>
                  <w:tcW w:w="2254" w:type="pct"/>
                  <w:vAlign w:val="center"/>
                </w:tcPr>
                <w:p>
                  <w:pPr>
                    <w:adjustRightInd w:val="0"/>
                    <w:snapToGrid w:val="0"/>
                    <w:jc w:val="center"/>
                    <w:rPr>
                      <w:color w:val="auto"/>
                      <w:szCs w:val="21"/>
                    </w:rPr>
                  </w:pPr>
                  <w:r>
                    <w:rPr>
                      <w:color w:val="auto"/>
                      <w:szCs w:val="21"/>
                    </w:rPr>
                    <w:t>《工业企业厂界环境噪声排放标准》（GB12348－2008）中</w:t>
                  </w:r>
                  <w:r>
                    <w:rPr>
                      <w:rFonts w:hint="eastAsia"/>
                      <w:color w:val="auto"/>
                      <w:szCs w:val="21"/>
                      <w:lang w:val="en-US" w:eastAsia="zh-CN"/>
                    </w:rPr>
                    <w:t>2</w:t>
                  </w:r>
                  <w:r>
                    <w:rPr>
                      <w:color w:val="auto"/>
                      <w:szCs w:val="21"/>
                    </w:rPr>
                    <w:t>类</w:t>
                  </w:r>
                  <w:r>
                    <w:rPr>
                      <w:rFonts w:hint="eastAsia"/>
                      <w:color w:val="auto"/>
                      <w:szCs w:val="21"/>
                    </w:rPr>
                    <w:t>区限值</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559" w:hRule="atLeast"/>
              </w:trPr>
              <w:tc>
                <w:tcPr>
                  <w:tcW w:w="330" w:type="pct"/>
                  <w:vMerge w:val="restart"/>
                  <w:vAlign w:val="center"/>
                </w:tcPr>
                <w:p>
                  <w:pPr>
                    <w:adjustRightInd w:val="0"/>
                    <w:snapToGrid w:val="0"/>
                    <w:jc w:val="center"/>
                    <w:rPr>
                      <w:color w:val="auto"/>
                      <w:szCs w:val="21"/>
                    </w:rPr>
                  </w:pPr>
                  <w:r>
                    <w:rPr>
                      <w:color w:val="auto"/>
                      <w:szCs w:val="21"/>
                    </w:rPr>
                    <w:t>固废</w:t>
                  </w:r>
                </w:p>
              </w:tc>
              <w:tc>
                <w:tcPr>
                  <w:tcW w:w="448" w:type="pct"/>
                  <w:vMerge w:val="restart"/>
                  <w:vAlign w:val="center"/>
                </w:tcPr>
                <w:p>
                  <w:pPr>
                    <w:adjustRightInd w:val="0"/>
                    <w:snapToGrid w:val="0"/>
                    <w:jc w:val="center"/>
                    <w:rPr>
                      <w:color w:val="auto"/>
                      <w:szCs w:val="21"/>
                    </w:rPr>
                  </w:pPr>
                  <w:r>
                    <w:rPr>
                      <w:color w:val="auto"/>
                      <w:szCs w:val="21"/>
                    </w:rPr>
                    <w:t>生产</w:t>
                  </w:r>
                  <w:r>
                    <w:rPr>
                      <w:rFonts w:hint="eastAsia"/>
                      <w:color w:val="auto"/>
                      <w:szCs w:val="21"/>
                    </w:rPr>
                    <w:t>过程</w:t>
                  </w:r>
                </w:p>
              </w:tc>
              <w:tc>
                <w:tcPr>
                  <w:tcW w:w="713" w:type="pct"/>
                  <w:vAlign w:val="center"/>
                </w:tcPr>
                <w:p>
                  <w:pPr>
                    <w:adjustRightInd w:val="0"/>
                    <w:snapToGrid w:val="0"/>
                    <w:rPr>
                      <w:color w:val="auto"/>
                      <w:szCs w:val="21"/>
                    </w:rPr>
                  </w:pPr>
                  <w:r>
                    <w:rPr>
                      <w:color w:val="auto"/>
                      <w:szCs w:val="21"/>
                    </w:rPr>
                    <w:t>一般固废</w:t>
                  </w:r>
                </w:p>
              </w:tc>
              <w:tc>
                <w:tcPr>
                  <w:tcW w:w="1065" w:type="pct"/>
                  <w:gridSpan w:val="2"/>
                  <w:vAlign w:val="center"/>
                </w:tcPr>
                <w:p>
                  <w:pPr>
                    <w:adjustRightInd w:val="0"/>
                    <w:snapToGrid w:val="0"/>
                    <w:jc w:val="center"/>
                    <w:rPr>
                      <w:color w:val="auto"/>
                      <w:szCs w:val="21"/>
                    </w:rPr>
                  </w:pPr>
                  <w:r>
                    <w:rPr>
                      <w:rFonts w:hint="eastAsia"/>
                      <w:color w:val="auto"/>
                      <w:szCs w:val="21"/>
                    </w:rPr>
                    <w:t>一般</w:t>
                  </w:r>
                  <w:r>
                    <w:rPr>
                      <w:color w:val="auto"/>
                      <w:szCs w:val="21"/>
                    </w:rPr>
                    <w:t>固废堆场</w:t>
                  </w:r>
                  <w:r>
                    <w:rPr>
                      <w:rFonts w:hint="eastAsia"/>
                      <w:color w:val="auto"/>
                      <w:szCs w:val="21"/>
                      <w:lang w:val="en-US" w:eastAsia="zh-CN"/>
                    </w:rPr>
                    <w:t>20</w:t>
                  </w:r>
                  <w:r>
                    <w:rPr>
                      <w:color w:val="auto"/>
                      <w:szCs w:val="21"/>
                    </w:rPr>
                    <w:t>m</w:t>
                  </w:r>
                  <w:r>
                    <w:rPr>
                      <w:color w:val="auto"/>
                      <w:szCs w:val="21"/>
                      <w:vertAlign w:val="superscript"/>
                    </w:rPr>
                    <w:t>2</w:t>
                  </w:r>
                </w:p>
              </w:tc>
              <w:tc>
                <w:tcPr>
                  <w:tcW w:w="2254" w:type="pct"/>
                  <w:vMerge w:val="restart"/>
                  <w:vAlign w:val="center"/>
                </w:tcPr>
                <w:p>
                  <w:pPr>
                    <w:adjustRightInd w:val="0"/>
                    <w:snapToGrid w:val="0"/>
                    <w:jc w:val="center"/>
                    <w:rPr>
                      <w:color w:val="auto"/>
                      <w:szCs w:val="21"/>
                    </w:rPr>
                  </w:pPr>
                  <w:r>
                    <w:rPr>
                      <w:color w:val="auto"/>
                      <w:szCs w:val="21"/>
                    </w:rPr>
                    <w:t>固废100%</w:t>
                  </w:r>
                  <w:r>
                    <w:rPr>
                      <w:rFonts w:hint="eastAsia"/>
                      <w:color w:val="auto"/>
                      <w:szCs w:val="21"/>
                    </w:rPr>
                    <w:t>收集</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559" w:hRule="atLeast"/>
              </w:trPr>
              <w:tc>
                <w:tcPr>
                  <w:tcW w:w="330" w:type="pct"/>
                  <w:vMerge w:val="continue"/>
                  <w:vAlign w:val="center"/>
                </w:tcPr>
                <w:p>
                  <w:pPr>
                    <w:adjustRightInd w:val="0"/>
                    <w:snapToGrid w:val="0"/>
                    <w:jc w:val="center"/>
                    <w:rPr>
                      <w:color w:val="auto"/>
                      <w:szCs w:val="21"/>
                    </w:rPr>
                  </w:pPr>
                </w:p>
              </w:tc>
              <w:tc>
                <w:tcPr>
                  <w:tcW w:w="448" w:type="pct"/>
                  <w:vMerge w:val="continue"/>
                  <w:vAlign w:val="center"/>
                </w:tcPr>
                <w:p>
                  <w:pPr>
                    <w:adjustRightInd w:val="0"/>
                    <w:snapToGrid w:val="0"/>
                    <w:jc w:val="center"/>
                    <w:rPr>
                      <w:color w:val="auto"/>
                      <w:szCs w:val="21"/>
                    </w:rPr>
                  </w:pPr>
                </w:p>
              </w:tc>
              <w:tc>
                <w:tcPr>
                  <w:tcW w:w="713" w:type="pct"/>
                  <w:vAlign w:val="center"/>
                </w:tcPr>
                <w:p>
                  <w:pPr>
                    <w:adjustRightInd w:val="0"/>
                    <w:snapToGrid w:val="0"/>
                    <w:rPr>
                      <w:color w:val="auto"/>
                      <w:szCs w:val="21"/>
                    </w:rPr>
                  </w:pPr>
                  <w:r>
                    <w:rPr>
                      <w:rFonts w:hint="eastAsia"/>
                      <w:color w:val="auto"/>
                      <w:szCs w:val="21"/>
                    </w:rPr>
                    <w:t>危险废物</w:t>
                  </w:r>
                </w:p>
              </w:tc>
              <w:tc>
                <w:tcPr>
                  <w:tcW w:w="1065" w:type="pct"/>
                  <w:gridSpan w:val="2"/>
                  <w:vAlign w:val="center"/>
                </w:tcPr>
                <w:p>
                  <w:pPr>
                    <w:adjustRightInd w:val="0"/>
                    <w:snapToGrid w:val="0"/>
                    <w:jc w:val="center"/>
                    <w:rPr>
                      <w:color w:val="auto"/>
                      <w:szCs w:val="21"/>
                    </w:rPr>
                  </w:pPr>
                  <w:r>
                    <w:rPr>
                      <w:rFonts w:hint="eastAsia"/>
                      <w:color w:val="auto"/>
                      <w:szCs w:val="21"/>
                    </w:rPr>
                    <w:t>危险废物</w:t>
                  </w:r>
                  <w:r>
                    <w:rPr>
                      <w:color w:val="auto"/>
                      <w:szCs w:val="21"/>
                    </w:rPr>
                    <w:t>堆场</w:t>
                  </w:r>
                  <w:r>
                    <w:rPr>
                      <w:rFonts w:hint="eastAsia"/>
                      <w:color w:val="auto"/>
                      <w:szCs w:val="21"/>
                      <w:lang w:val="en-US" w:eastAsia="zh-CN"/>
                    </w:rPr>
                    <w:t>20</w:t>
                  </w:r>
                  <w:r>
                    <w:rPr>
                      <w:color w:val="auto"/>
                      <w:szCs w:val="21"/>
                    </w:rPr>
                    <w:t>m</w:t>
                  </w:r>
                  <w:r>
                    <w:rPr>
                      <w:color w:val="auto"/>
                      <w:szCs w:val="21"/>
                      <w:vertAlign w:val="superscript"/>
                    </w:rPr>
                    <w:t>2</w:t>
                  </w:r>
                </w:p>
              </w:tc>
              <w:tc>
                <w:tcPr>
                  <w:tcW w:w="2254" w:type="pct"/>
                  <w:vMerge w:val="continue"/>
                  <w:vAlign w:val="center"/>
                </w:tcPr>
                <w:p>
                  <w:pPr>
                    <w:adjustRightInd w:val="0"/>
                    <w:snapToGrid w:val="0"/>
                    <w:jc w:val="center"/>
                    <w:rPr>
                      <w:color w:val="auto"/>
                      <w:szCs w:val="21"/>
                    </w:rPr>
                  </w:pP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92" w:hRule="atLeast"/>
              </w:trPr>
              <w:tc>
                <w:tcPr>
                  <w:tcW w:w="330" w:type="pct"/>
                  <w:vMerge w:val="continue"/>
                  <w:vAlign w:val="center"/>
                </w:tcPr>
                <w:p>
                  <w:pPr>
                    <w:adjustRightInd w:val="0"/>
                    <w:snapToGrid w:val="0"/>
                    <w:jc w:val="center"/>
                    <w:rPr>
                      <w:color w:val="auto"/>
                      <w:szCs w:val="21"/>
                    </w:rPr>
                  </w:pPr>
                </w:p>
              </w:tc>
              <w:tc>
                <w:tcPr>
                  <w:tcW w:w="448" w:type="pct"/>
                  <w:vAlign w:val="center"/>
                </w:tcPr>
                <w:p>
                  <w:pPr>
                    <w:adjustRightInd w:val="0"/>
                    <w:snapToGrid w:val="0"/>
                    <w:jc w:val="center"/>
                    <w:rPr>
                      <w:color w:val="auto"/>
                      <w:szCs w:val="21"/>
                    </w:rPr>
                  </w:pPr>
                  <w:r>
                    <w:rPr>
                      <w:color w:val="auto"/>
                      <w:szCs w:val="21"/>
                    </w:rPr>
                    <w:t>生活过程</w:t>
                  </w:r>
                </w:p>
              </w:tc>
              <w:tc>
                <w:tcPr>
                  <w:tcW w:w="713" w:type="pct"/>
                  <w:vAlign w:val="center"/>
                </w:tcPr>
                <w:p>
                  <w:pPr>
                    <w:adjustRightInd w:val="0"/>
                    <w:snapToGrid w:val="0"/>
                    <w:jc w:val="center"/>
                    <w:rPr>
                      <w:color w:val="auto"/>
                      <w:szCs w:val="21"/>
                    </w:rPr>
                  </w:pPr>
                  <w:r>
                    <w:rPr>
                      <w:color w:val="auto"/>
                      <w:szCs w:val="21"/>
                    </w:rPr>
                    <w:t>生活垃圾</w:t>
                  </w:r>
                </w:p>
              </w:tc>
              <w:tc>
                <w:tcPr>
                  <w:tcW w:w="1065" w:type="pct"/>
                  <w:gridSpan w:val="2"/>
                  <w:vAlign w:val="center"/>
                </w:tcPr>
                <w:p>
                  <w:pPr>
                    <w:adjustRightInd w:val="0"/>
                    <w:snapToGrid w:val="0"/>
                    <w:jc w:val="center"/>
                    <w:rPr>
                      <w:color w:val="auto"/>
                      <w:szCs w:val="21"/>
                    </w:rPr>
                  </w:pPr>
                  <w:r>
                    <w:rPr>
                      <w:color w:val="auto"/>
                      <w:szCs w:val="21"/>
                    </w:rPr>
                    <w:t>垃圾桶</w:t>
                  </w:r>
                </w:p>
              </w:tc>
              <w:tc>
                <w:tcPr>
                  <w:tcW w:w="2254" w:type="pct"/>
                  <w:vMerge w:val="continue"/>
                  <w:vAlign w:val="center"/>
                </w:tcPr>
                <w:p>
                  <w:pPr>
                    <w:adjustRightInd w:val="0"/>
                    <w:snapToGrid w:val="0"/>
                    <w:jc w:val="center"/>
                    <w:rPr>
                      <w:color w:val="auto"/>
                      <w:szCs w:val="21"/>
                    </w:rPr>
                  </w:pP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64" w:hRule="atLeast"/>
              </w:trPr>
              <w:tc>
                <w:tcPr>
                  <w:tcW w:w="1492" w:type="pct"/>
                  <w:gridSpan w:val="3"/>
                  <w:vAlign w:val="center"/>
                </w:tcPr>
                <w:p>
                  <w:pPr>
                    <w:adjustRightInd w:val="0"/>
                    <w:snapToGrid w:val="0"/>
                    <w:jc w:val="center"/>
                    <w:rPr>
                      <w:color w:val="auto"/>
                      <w:szCs w:val="21"/>
                    </w:rPr>
                  </w:pPr>
                  <w:r>
                    <w:rPr>
                      <w:color w:val="auto"/>
                      <w:szCs w:val="21"/>
                    </w:rPr>
                    <w:t>绿化</w:t>
                  </w:r>
                </w:p>
              </w:tc>
              <w:tc>
                <w:tcPr>
                  <w:tcW w:w="1065" w:type="pct"/>
                  <w:gridSpan w:val="2"/>
                  <w:vAlign w:val="center"/>
                </w:tcPr>
                <w:p>
                  <w:pPr>
                    <w:adjustRightInd w:val="0"/>
                    <w:snapToGrid w:val="0"/>
                    <w:jc w:val="center"/>
                    <w:rPr>
                      <w:color w:val="auto"/>
                      <w:szCs w:val="21"/>
                    </w:rPr>
                  </w:pPr>
                  <w:r>
                    <w:rPr>
                      <w:color w:val="auto"/>
                      <w:szCs w:val="21"/>
                    </w:rPr>
                    <w:t>—</w:t>
                  </w:r>
                </w:p>
              </w:tc>
              <w:tc>
                <w:tcPr>
                  <w:tcW w:w="2254" w:type="pct"/>
                  <w:vAlign w:val="center"/>
                </w:tcPr>
                <w:p>
                  <w:pPr>
                    <w:adjustRightInd w:val="0"/>
                    <w:snapToGrid w:val="0"/>
                    <w:jc w:val="center"/>
                    <w:rPr>
                      <w:color w:val="auto"/>
                      <w:szCs w:val="21"/>
                    </w:rPr>
                  </w:pPr>
                  <w:r>
                    <w:rPr>
                      <w:color w:val="auto"/>
                      <w:szCs w:val="21"/>
                    </w:rPr>
                    <w:t>依托现有</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777" w:hRule="atLeast"/>
              </w:trPr>
              <w:tc>
                <w:tcPr>
                  <w:tcW w:w="1492" w:type="pct"/>
                  <w:gridSpan w:val="3"/>
                  <w:vAlign w:val="center"/>
                </w:tcPr>
                <w:p>
                  <w:pPr>
                    <w:adjustRightInd w:val="0"/>
                    <w:snapToGrid w:val="0"/>
                    <w:jc w:val="center"/>
                    <w:rPr>
                      <w:rFonts w:hint="eastAsia"/>
                      <w:color w:val="auto"/>
                      <w:szCs w:val="21"/>
                    </w:rPr>
                  </w:pPr>
                  <w:r>
                    <w:rPr>
                      <w:rFonts w:hint="eastAsia"/>
                      <w:color w:val="auto"/>
                      <w:szCs w:val="21"/>
                    </w:rPr>
                    <w:t>总量平衡具体</w:t>
                  </w:r>
                </w:p>
                <w:p>
                  <w:pPr>
                    <w:adjustRightInd w:val="0"/>
                    <w:snapToGrid w:val="0"/>
                    <w:jc w:val="center"/>
                    <w:rPr>
                      <w:color w:val="auto"/>
                      <w:szCs w:val="21"/>
                    </w:rPr>
                  </w:pPr>
                  <w:r>
                    <w:rPr>
                      <w:rFonts w:hint="eastAsia"/>
                      <w:color w:val="auto"/>
                      <w:szCs w:val="21"/>
                    </w:rPr>
                    <w:t>方案</w:t>
                  </w:r>
                </w:p>
              </w:tc>
              <w:tc>
                <w:tcPr>
                  <w:tcW w:w="3319" w:type="pct"/>
                  <w:gridSpan w:val="3"/>
                  <w:vAlign w:val="center"/>
                </w:tcPr>
                <w:p>
                  <w:pPr>
                    <w:adjustRightInd w:val="0"/>
                    <w:snapToGrid w:val="0"/>
                    <w:jc w:val="center"/>
                    <w:rPr>
                      <w:rFonts w:hint="eastAsia" w:eastAsia="宋体"/>
                      <w:color w:val="auto"/>
                      <w:szCs w:val="21"/>
                      <w:lang w:eastAsia="zh-CN"/>
                    </w:rPr>
                  </w:pPr>
                  <w:r>
                    <w:rPr>
                      <w:rFonts w:hint="eastAsia"/>
                      <w:color w:val="auto"/>
                      <w:szCs w:val="21"/>
                    </w:rPr>
                    <w:t>废气：</w:t>
                  </w:r>
                  <w:r>
                    <w:rPr>
                      <w:rFonts w:hint="eastAsia"/>
                      <w:color w:val="auto"/>
                      <w:szCs w:val="21"/>
                      <w:lang w:val="en-US" w:eastAsia="zh-CN"/>
                    </w:rPr>
                    <w:t>颗粒物0.411t/a，非甲烷总烃0.013t/a，</w:t>
                  </w:r>
                  <w:r>
                    <w:rPr>
                      <w:rFonts w:hint="eastAsia"/>
                      <w:color w:val="auto"/>
                      <w:szCs w:val="21"/>
                    </w:rPr>
                    <w:t>VOCs</w:t>
                  </w:r>
                  <w:r>
                    <w:rPr>
                      <w:rFonts w:hint="eastAsia"/>
                      <w:color w:val="auto"/>
                      <w:szCs w:val="21"/>
                      <w:lang w:val="en-US" w:eastAsia="zh-CN"/>
                    </w:rPr>
                    <w:t>0.12</w:t>
                  </w:r>
                  <w:r>
                    <w:rPr>
                      <w:rFonts w:hint="eastAsia"/>
                      <w:color w:val="auto"/>
                      <w:szCs w:val="21"/>
                    </w:rPr>
                    <w:t>t/a；废水</w:t>
                  </w:r>
                  <w:r>
                    <w:rPr>
                      <w:rFonts w:hint="eastAsia"/>
                      <w:color w:val="auto"/>
                      <w:szCs w:val="21"/>
                      <w:lang w:eastAsia="zh-CN"/>
                    </w:rPr>
                    <w:t>（</w:t>
                  </w:r>
                  <w:r>
                    <w:rPr>
                      <w:rFonts w:hint="eastAsia"/>
                      <w:color w:val="auto"/>
                      <w:szCs w:val="21"/>
                      <w:lang w:val="en-US" w:eastAsia="zh-CN"/>
                    </w:rPr>
                    <w:t>接管考核量</w:t>
                  </w:r>
                  <w:r>
                    <w:rPr>
                      <w:rFonts w:hint="eastAsia"/>
                      <w:color w:val="auto"/>
                      <w:szCs w:val="21"/>
                      <w:lang w:eastAsia="zh-CN"/>
                    </w:rPr>
                    <w:t>）</w:t>
                  </w:r>
                  <w:r>
                    <w:rPr>
                      <w:rFonts w:hint="eastAsia"/>
                      <w:color w:val="auto"/>
                      <w:szCs w:val="21"/>
                    </w:rPr>
                    <w:t>：生活污水排放量</w:t>
                  </w:r>
                  <w:r>
                    <w:rPr>
                      <w:rFonts w:hint="eastAsia"/>
                      <w:color w:val="auto"/>
                      <w:szCs w:val="21"/>
                      <w:lang w:val="en-US" w:eastAsia="zh-CN"/>
                    </w:rPr>
                    <w:t>120</w:t>
                  </w:r>
                  <w:r>
                    <w:rPr>
                      <w:rFonts w:hint="eastAsia"/>
                      <w:color w:val="auto"/>
                      <w:szCs w:val="21"/>
                    </w:rPr>
                    <w:t>t/a，COD</w:t>
                  </w:r>
                  <w:r>
                    <w:rPr>
                      <w:rFonts w:hint="eastAsia"/>
                      <w:color w:val="auto"/>
                      <w:szCs w:val="21"/>
                      <w:lang w:val="en-US" w:eastAsia="zh-CN"/>
                    </w:rPr>
                    <w:t>0.041</w:t>
                  </w:r>
                  <w:r>
                    <w:rPr>
                      <w:rFonts w:hint="eastAsia"/>
                      <w:color w:val="auto"/>
                      <w:szCs w:val="21"/>
                    </w:rPr>
                    <w:t>t/a、SS0.0</w:t>
                  </w:r>
                  <w:r>
                    <w:rPr>
                      <w:rFonts w:hint="eastAsia"/>
                      <w:color w:val="auto"/>
                      <w:szCs w:val="21"/>
                      <w:lang w:val="en-US" w:eastAsia="zh-CN"/>
                    </w:rPr>
                    <w:t>19</w:t>
                  </w:r>
                  <w:r>
                    <w:rPr>
                      <w:rFonts w:hint="eastAsia"/>
                      <w:color w:val="auto"/>
                      <w:szCs w:val="21"/>
                    </w:rPr>
                    <w:t>t/a、氨氮</w:t>
                  </w:r>
                  <w:r>
                    <w:rPr>
                      <w:rFonts w:hint="eastAsia"/>
                      <w:color w:val="auto"/>
                      <w:szCs w:val="21"/>
                      <w:lang w:val="en-US" w:eastAsia="zh-CN"/>
                    </w:rPr>
                    <w:t>0.0042</w:t>
                  </w:r>
                  <w:r>
                    <w:rPr>
                      <w:rFonts w:hint="eastAsia"/>
                      <w:color w:val="auto"/>
                      <w:szCs w:val="21"/>
                    </w:rPr>
                    <w:t>t/a、总磷</w:t>
                  </w:r>
                  <w:r>
                    <w:rPr>
                      <w:rFonts w:hint="eastAsia"/>
                      <w:color w:val="auto"/>
                      <w:szCs w:val="21"/>
                      <w:lang w:val="en-US" w:eastAsia="zh-CN"/>
                    </w:rPr>
                    <w:t>0.0006</w:t>
                  </w:r>
                  <w:r>
                    <w:rPr>
                      <w:rFonts w:hint="eastAsia"/>
                      <w:color w:val="auto"/>
                      <w:szCs w:val="21"/>
                    </w:rPr>
                    <w:t>t/a、总氮</w:t>
                  </w:r>
                  <w:r>
                    <w:rPr>
                      <w:rFonts w:hint="eastAsia"/>
                      <w:color w:val="auto"/>
                      <w:szCs w:val="21"/>
                      <w:lang w:val="en-US" w:eastAsia="zh-CN"/>
                    </w:rPr>
                    <w:t>0.006</w:t>
                  </w:r>
                  <w:r>
                    <w:rPr>
                      <w:rFonts w:hint="eastAsia"/>
                      <w:color w:val="auto"/>
                      <w:szCs w:val="21"/>
                    </w:rPr>
                    <w:t>t/a</w:t>
                  </w:r>
                  <w:r>
                    <w:rPr>
                      <w:rFonts w:hint="eastAsia"/>
                      <w:color w:val="auto"/>
                      <w:szCs w:val="21"/>
                      <w:lang w:eastAsia="zh-CN"/>
                    </w:rPr>
                    <w:t>；固废：固废排放总量为零。</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64" w:hRule="atLeast"/>
              </w:trPr>
              <w:tc>
                <w:tcPr>
                  <w:tcW w:w="1492" w:type="pct"/>
                  <w:gridSpan w:val="3"/>
                  <w:vMerge w:val="restart"/>
                  <w:vAlign w:val="center"/>
                </w:tcPr>
                <w:p>
                  <w:pPr>
                    <w:adjustRightInd w:val="0"/>
                    <w:snapToGrid w:val="0"/>
                    <w:jc w:val="center"/>
                    <w:rPr>
                      <w:color w:val="auto"/>
                      <w:szCs w:val="21"/>
                    </w:rPr>
                  </w:pPr>
                  <w:r>
                    <w:rPr>
                      <w:color w:val="auto"/>
                      <w:szCs w:val="21"/>
                    </w:rPr>
                    <w:t>雨污分流</w:t>
                  </w:r>
                </w:p>
              </w:tc>
              <w:tc>
                <w:tcPr>
                  <w:tcW w:w="1065" w:type="pct"/>
                  <w:gridSpan w:val="2"/>
                  <w:vAlign w:val="center"/>
                </w:tcPr>
                <w:p>
                  <w:pPr>
                    <w:adjustRightInd w:val="0"/>
                    <w:snapToGrid w:val="0"/>
                    <w:jc w:val="center"/>
                    <w:rPr>
                      <w:color w:val="auto"/>
                      <w:szCs w:val="21"/>
                    </w:rPr>
                  </w:pPr>
                  <w:r>
                    <w:rPr>
                      <w:color w:val="auto"/>
                      <w:szCs w:val="21"/>
                    </w:rPr>
                    <w:t>雨水排口1个</w:t>
                  </w:r>
                </w:p>
              </w:tc>
              <w:tc>
                <w:tcPr>
                  <w:tcW w:w="2254" w:type="pct"/>
                  <w:vAlign w:val="center"/>
                </w:tcPr>
                <w:p>
                  <w:pPr>
                    <w:adjustRightInd w:val="0"/>
                    <w:snapToGrid w:val="0"/>
                    <w:jc w:val="center"/>
                    <w:rPr>
                      <w:color w:val="auto"/>
                      <w:szCs w:val="21"/>
                    </w:rPr>
                  </w:pPr>
                  <w:r>
                    <w:rPr>
                      <w:color w:val="auto"/>
                      <w:szCs w:val="21"/>
                    </w:rPr>
                    <w:t>依托现有</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64" w:hRule="atLeast"/>
              </w:trPr>
              <w:tc>
                <w:tcPr>
                  <w:tcW w:w="1492" w:type="pct"/>
                  <w:gridSpan w:val="3"/>
                  <w:vMerge w:val="continue"/>
                  <w:vAlign w:val="center"/>
                </w:tcPr>
                <w:p>
                  <w:pPr>
                    <w:adjustRightInd w:val="0"/>
                    <w:snapToGrid w:val="0"/>
                    <w:jc w:val="center"/>
                    <w:rPr>
                      <w:color w:val="auto"/>
                      <w:szCs w:val="21"/>
                    </w:rPr>
                  </w:pPr>
                </w:p>
              </w:tc>
              <w:tc>
                <w:tcPr>
                  <w:tcW w:w="1065" w:type="pct"/>
                  <w:gridSpan w:val="2"/>
                  <w:vAlign w:val="center"/>
                </w:tcPr>
                <w:p>
                  <w:pPr>
                    <w:adjustRightInd w:val="0"/>
                    <w:snapToGrid w:val="0"/>
                    <w:jc w:val="center"/>
                    <w:rPr>
                      <w:color w:val="auto"/>
                      <w:szCs w:val="21"/>
                    </w:rPr>
                  </w:pPr>
                  <w:r>
                    <w:rPr>
                      <w:rFonts w:hint="eastAsia"/>
                      <w:color w:val="auto"/>
                      <w:szCs w:val="21"/>
                    </w:rPr>
                    <w:t>污水排放口1个</w:t>
                  </w:r>
                </w:p>
              </w:tc>
              <w:tc>
                <w:tcPr>
                  <w:tcW w:w="2254" w:type="pct"/>
                  <w:vAlign w:val="center"/>
                </w:tcPr>
                <w:p>
                  <w:pPr>
                    <w:adjustRightInd w:val="0"/>
                    <w:snapToGrid w:val="0"/>
                    <w:jc w:val="center"/>
                    <w:rPr>
                      <w:color w:val="auto"/>
                      <w:szCs w:val="21"/>
                    </w:rPr>
                  </w:pPr>
                  <w:r>
                    <w:rPr>
                      <w:color w:val="auto"/>
                      <w:szCs w:val="21"/>
                    </w:rPr>
                    <w:t>依托现有</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64" w:hRule="atLeast"/>
              </w:trPr>
              <w:tc>
                <w:tcPr>
                  <w:tcW w:w="1492" w:type="pct"/>
                  <w:gridSpan w:val="3"/>
                  <w:vAlign w:val="center"/>
                </w:tcPr>
                <w:p>
                  <w:pPr>
                    <w:adjustRightInd w:val="0"/>
                    <w:snapToGrid w:val="0"/>
                    <w:jc w:val="center"/>
                    <w:rPr>
                      <w:color w:val="auto"/>
                      <w:szCs w:val="21"/>
                    </w:rPr>
                  </w:pPr>
                  <w:r>
                    <w:rPr>
                      <w:rFonts w:hint="eastAsia"/>
                      <w:color w:val="auto"/>
                      <w:szCs w:val="21"/>
                    </w:rPr>
                    <w:t>事故应急措施</w:t>
                  </w:r>
                </w:p>
              </w:tc>
              <w:tc>
                <w:tcPr>
                  <w:tcW w:w="3319" w:type="pct"/>
                  <w:gridSpan w:val="3"/>
                  <w:vAlign w:val="center"/>
                </w:tcPr>
                <w:p>
                  <w:pPr>
                    <w:adjustRightInd w:val="0"/>
                    <w:snapToGrid w:val="0"/>
                    <w:jc w:val="center"/>
                    <w:rPr>
                      <w:color w:val="auto"/>
                      <w:szCs w:val="21"/>
                    </w:rPr>
                  </w:pPr>
                  <w:r>
                    <w:rPr>
                      <w:rFonts w:hint="eastAsia"/>
                      <w:color w:val="auto"/>
                      <w:szCs w:val="21"/>
                    </w:rPr>
                    <w:t>做好仓库、生产车间的环境风险管理、风险应急物质配备，定期进行应急演练；事故应急储罐 40m</w:t>
                  </w:r>
                  <w:r>
                    <w:rPr>
                      <w:rFonts w:hint="eastAsia"/>
                      <w:color w:val="auto"/>
                      <w:szCs w:val="21"/>
                      <w:vertAlign w:val="superscript"/>
                    </w:rPr>
                    <w:t>3</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264" w:hRule="atLeast"/>
              </w:trPr>
              <w:tc>
                <w:tcPr>
                  <w:tcW w:w="1492" w:type="pct"/>
                  <w:gridSpan w:val="3"/>
                  <w:vAlign w:val="center"/>
                </w:tcPr>
                <w:p>
                  <w:pPr>
                    <w:adjustRightInd w:val="0"/>
                    <w:snapToGrid w:val="0"/>
                    <w:jc w:val="center"/>
                    <w:rPr>
                      <w:color w:val="auto"/>
                      <w:szCs w:val="21"/>
                    </w:rPr>
                  </w:pPr>
                  <w:r>
                    <w:rPr>
                      <w:color w:val="auto"/>
                      <w:szCs w:val="21"/>
                    </w:rPr>
                    <w:t>环境管理（机构、监测能力等）</w:t>
                  </w:r>
                </w:p>
              </w:tc>
              <w:tc>
                <w:tcPr>
                  <w:tcW w:w="3319" w:type="pct"/>
                  <w:gridSpan w:val="3"/>
                  <w:vAlign w:val="center"/>
                </w:tcPr>
                <w:p>
                  <w:pPr>
                    <w:adjustRightInd w:val="0"/>
                    <w:snapToGrid w:val="0"/>
                    <w:jc w:val="center"/>
                    <w:rPr>
                      <w:color w:val="auto"/>
                      <w:szCs w:val="21"/>
                    </w:rPr>
                  </w:pPr>
                  <w:r>
                    <w:rPr>
                      <w:color w:val="auto"/>
                      <w:szCs w:val="21"/>
                    </w:rPr>
                    <w:t>公司环境管理机构、环境管理体系建立，</w:t>
                  </w:r>
                  <w:r>
                    <w:rPr>
                      <w:rFonts w:hint="eastAsia"/>
                      <w:color w:val="auto"/>
                      <w:szCs w:val="21"/>
                    </w:rPr>
                    <w:t>营运期</w:t>
                  </w:r>
                  <w:r>
                    <w:rPr>
                      <w:color w:val="auto"/>
                      <w:szCs w:val="21"/>
                    </w:rPr>
                    <w:t>监测计划和实施</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0" w:hRule="atLeast"/>
              </w:trPr>
              <w:tc>
                <w:tcPr>
                  <w:tcW w:w="1492" w:type="pct"/>
                  <w:gridSpan w:val="3"/>
                  <w:vAlign w:val="center"/>
                </w:tcPr>
                <w:p>
                  <w:pPr>
                    <w:adjustRightInd w:val="0"/>
                    <w:snapToGrid w:val="0"/>
                    <w:jc w:val="center"/>
                    <w:rPr>
                      <w:color w:val="auto"/>
                      <w:szCs w:val="21"/>
                    </w:rPr>
                  </w:pPr>
                  <w:r>
                    <w:rPr>
                      <w:color w:val="auto"/>
                      <w:szCs w:val="21"/>
                    </w:rPr>
                    <w:t>规范设置</w:t>
                  </w:r>
                </w:p>
              </w:tc>
              <w:tc>
                <w:tcPr>
                  <w:tcW w:w="980" w:type="pct"/>
                  <w:vAlign w:val="center"/>
                </w:tcPr>
                <w:p>
                  <w:pPr>
                    <w:adjustRightInd w:val="0"/>
                    <w:snapToGrid w:val="0"/>
                    <w:jc w:val="center"/>
                    <w:rPr>
                      <w:color w:val="auto"/>
                      <w:szCs w:val="21"/>
                    </w:rPr>
                  </w:pPr>
                  <w:r>
                    <w:rPr>
                      <w:rFonts w:hint="eastAsia"/>
                      <w:color w:val="auto"/>
                      <w:szCs w:val="21"/>
                    </w:rPr>
                    <w:t>废水、</w:t>
                  </w:r>
                  <w:r>
                    <w:rPr>
                      <w:color w:val="auto"/>
                      <w:szCs w:val="21"/>
                    </w:rPr>
                    <w:t>固废排污标志牌、说明</w:t>
                  </w:r>
                </w:p>
                <w:p>
                  <w:pPr>
                    <w:adjustRightInd w:val="0"/>
                    <w:snapToGrid w:val="0"/>
                    <w:jc w:val="center"/>
                    <w:rPr>
                      <w:color w:val="auto"/>
                      <w:szCs w:val="21"/>
                    </w:rPr>
                  </w:pPr>
                </w:p>
              </w:tc>
              <w:tc>
                <w:tcPr>
                  <w:tcW w:w="2339" w:type="pct"/>
                  <w:gridSpan w:val="2"/>
                  <w:vAlign w:val="center"/>
                </w:tcPr>
                <w:p>
                  <w:pPr>
                    <w:adjustRightInd w:val="0"/>
                    <w:snapToGrid w:val="0"/>
                    <w:jc w:val="center"/>
                    <w:rPr>
                      <w:color w:val="auto"/>
                      <w:szCs w:val="21"/>
                    </w:rPr>
                  </w:pPr>
                  <w:r>
                    <w:rPr>
                      <w:color w:val="auto"/>
                      <w:szCs w:val="21"/>
                    </w:rPr>
                    <w:t>规范化设置、满足环境管理要求</w:t>
                  </w:r>
                </w:p>
              </w:tc>
              <w:tc>
                <w:tcPr>
                  <w:tcW w:w="188" w:type="pct"/>
                  <w:vMerge w:val="continue"/>
                  <w:vAlign w:val="center"/>
                </w:tcPr>
                <w:p>
                  <w:pPr>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0" w:hRule="atLeast"/>
              </w:trPr>
              <w:tc>
                <w:tcPr>
                  <w:tcW w:w="1492" w:type="pct"/>
                  <w:gridSpan w:val="3"/>
                  <w:vAlign w:val="center"/>
                </w:tcPr>
                <w:p>
                  <w:pPr>
                    <w:adjustRightInd w:val="0"/>
                    <w:snapToGrid w:val="0"/>
                    <w:jc w:val="center"/>
                    <w:rPr>
                      <w:color w:val="auto"/>
                      <w:szCs w:val="21"/>
                    </w:rPr>
                  </w:pPr>
                  <w:r>
                    <w:rPr>
                      <w:color w:val="auto"/>
                      <w:szCs w:val="21"/>
                    </w:rPr>
                    <w:t>卫生防护距离</w:t>
                  </w:r>
                </w:p>
              </w:tc>
              <w:tc>
                <w:tcPr>
                  <w:tcW w:w="3319" w:type="pct"/>
                  <w:gridSpan w:val="3"/>
                  <w:vAlign w:val="center"/>
                </w:tcPr>
                <w:p>
                  <w:pPr>
                    <w:adjustRightInd w:val="0"/>
                    <w:snapToGrid w:val="0"/>
                    <w:jc w:val="center"/>
                    <w:rPr>
                      <w:color w:val="auto"/>
                      <w:szCs w:val="21"/>
                    </w:rPr>
                  </w:pPr>
                  <w:r>
                    <w:rPr>
                      <w:rFonts w:hint="eastAsia"/>
                      <w:color w:val="auto"/>
                      <w:szCs w:val="21"/>
                    </w:rPr>
                    <w:t>车间为边界外延</w:t>
                  </w:r>
                  <w:r>
                    <w:rPr>
                      <w:rFonts w:hint="eastAsia"/>
                      <w:color w:val="auto"/>
                      <w:szCs w:val="21"/>
                      <w:lang w:val="en-US" w:eastAsia="zh-CN"/>
                    </w:rPr>
                    <w:t>100</w:t>
                  </w:r>
                  <w:r>
                    <w:rPr>
                      <w:rFonts w:hint="eastAsia"/>
                      <w:color w:val="auto"/>
                      <w:szCs w:val="21"/>
                    </w:rPr>
                    <w:t>m</w:t>
                  </w:r>
                  <w:r>
                    <w:rPr>
                      <w:color w:val="auto"/>
                      <w:szCs w:val="21"/>
                    </w:rPr>
                    <w:t>范围区域</w:t>
                  </w:r>
                </w:p>
              </w:tc>
              <w:tc>
                <w:tcPr>
                  <w:tcW w:w="188" w:type="pct"/>
                  <w:vMerge w:val="continue"/>
                  <w:vAlign w:val="center"/>
                </w:tcPr>
                <w:p>
                  <w:pPr>
                    <w:adjustRightInd w:val="0"/>
                    <w:snapToGrid w:val="0"/>
                    <w:jc w:val="center"/>
                    <w:rPr>
                      <w:color w:val="auto"/>
                      <w:szCs w:val="21"/>
                    </w:rPr>
                  </w:pPr>
                </w:p>
              </w:tc>
            </w:tr>
            <w:bookmarkEnd w:id="7"/>
          </w:tbl>
          <w:p>
            <w:pPr>
              <w:spacing w:line="360" w:lineRule="auto"/>
              <w:ind w:firstLine="420" w:firstLineChars="200"/>
              <w:rPr>
                <w:b/>
                <w:bCs/>
                <w:color w:val="auto"/>
                <w:szCs w:val="21"/>
              </w:rPr>
            </w:pPr>
          </w:p>
        </w:tc>
      </w:tr>
    </w:tbl>
    <w:p>
      <w:pPr>
        <w:rPr>
          <w:color w:val="auto"/>
        </w:rPr>
      </w:pPr>
    </w:p>
    <w:p>
      <w:pPr>
        <w:pStyle w:val="312"/>
        <w:rPr>
          <w:rFonts w:ascii="Times New Roman" w:hAnsi="Times New Roman"/>
          <w:color w:val="auto"/>
        </w:rPr>
      </w:pPr>
      <w:r>
        <w:rPr>
          <w:rFonts w:ascii="Times New Roman" w:hAnsi="Times New Roman"/>
          <w:color w:val="auto"/>
        </w:rPr>
        <w:t>建设项目拟采取的防治措施及预期治理效果</w:t>
      </w:r>
    </w:p>
    <w:tbl>
      <w:tblPr>
        <w:tblStyle w:val="56"/>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51" w:type="dxa"/>
          <w:bottom w:w="0" w:type="dxa"/>
          <w:right w:w="51" w:type="dxa"/>
        </w:tblCellMar>
      </w:tblPr>
      <w:tblGrid>
        <w:gridCol w:w="835"/>
        <w:gridCol w:w="577"/>
        <w:gridCol w:w="865"/>
        <w:gridCol w:w="1191"/>
        <w:gridCol w:w="1955"/>
        <w:gridCol w:w="298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tcBorders>
              <w:top w:val="single" w:color="auto" w:sz="12" w:space="0"/>
              <w:bottom w:val="single" w:color="auto" w:sz="6" w:space="0"/>
              <w:tl2br w:val="single" w:color="auto" w:sz="6" w:space="0"/>
            </w:tcBorders>
            <w:vAlign w:val="center"/>
          </w:tcPr>
          <w:p>
            <w:pPr>
              <w:snapToGrid w:val="0"/>
              <w:jc w:val="right"/>
              <w:rPr>
                <w:b/>
                <w:color w:val="auto"/>
                <w:szCs w:val="21"/>
              </w:rPr>
            </w:pPr>
            <w:r>
              <w:rPr>
                <w:b/>
                <w:color w:val="auto"/>
                <w:szCs w:val="21"/>
              </w:rPr>
              <w:t>内容</w:t>
            </w:r>
          </w:p>
          <w:p>
            <w:pPr>
              <w:snapToGrid w:val="0"/>
              <w:rPr>
                <w:b/>
                <w:color w:val="auto"/>
                <w:szCs w:val="21"/>
              </w:rPr>
            </w:pPr>
            <w:r>
              <w:rPr>
                <w:b/>
                <w:color w:val="auto"/>
                <w:szCs w:val="21"/>
              </w:rPr>
              <w:t>类型</w:t>
            </w:r>
          </w:p>
        </w:tc>
        <w:tc>
          <w:tcPr>
            <w:tcW w:w="857" w:type="pct"/>
            <w:gridSpan w:val="2"/>
            <w:tcBorders>
              <w:top w:val="single" w:color="auto" w:sz="12" w:space="0"/>
              <w:bottom w:val="single" w:color="auto" w:sz="6" w:space="0"/>
            </w:tcBorders>
            <w:vAlign w:val="center"/>
          </w:tcPr>
          <w:p>
            <w:pPr>
              <w:snapToGrid w:val="0"/>
              <w:jc w:val="center"/>
              <w:rPr>
                <w:b/>
                <w:color w:val="auto"/>
                <w:szCs w:val="21"/>
              </w:rPr>
            </w:pPr>
            <w:r>
              <w:rPr>
                <w:b/>
                <w:color w:val="auto"/>
                <w:szCs w:val="21"/>
              </w:rPr>
              <w:t>排放源</w:t>
            </w:r>
          </w:p>
          <w:p>
            <w:pPr>
              <w:snapToGrid w:val="0"/>
              <w:jc w:val="center"/>
              <w:rPr>
                <w:b/>
                <w:color w:val="auto"/>
                <w:szCs w:val="21"/>
              </w:rPr>
            </w:pPr>
            <w:r>
              <w:rPr>
                <w:b/>
                <w:color w:val="auto"/>
                <w:szCs w:val="21"/>
              </w:rPr>
              <w:t>(编号)</w:t>
            </w:r>
          </w:p>
        </w:tc>
        <w:tc>
          <w:tcPr>
            <w:tcW w:w="708" w:type="pct"/>
            <w:tcBorders>
              <w:top w:val="single" w:color="auto" w:sz="12" w:space="0"/>
              <w:bottom w:val="single" w:color="auto" w:sz="6" w:space="0"/>
            </w:tcBorders>
            <w:vAlign w:val="center"/>
          </w:tcPr>
          <w:p>
            <w:pPr>
              <w:snapToGrid w:val="0"/>
              <w:jc w:val="center"/>
              <w:rPr>
                <w:b/>
                <w:color w:val="auto"/>
                <w:szCs w:val="21"/>
              </w:rPr>
            </w:pPr>
            <w:r>
              <w:rPr>
                <w:b/>
                <w:color w:val="auto"/>
                <w:szCs w:val="21"/>
              </w:rPr>
              <w:t>污染物名称</w:t>
            </w:r>
          </w:p>
        </w:tc>
        <w:tc>
          <w:tcPr>
            <w:tcW w:w="1162" w:type="pct"/>
            <w:tcBorders>
              <w:top w:val="single" w:color="auto" w:sz="12" w:space="0"/>
              <w:bottom w:val="single" w:color="auto" w:sz="6" w:space="0"/>
            </w:tcBorders>
            <w:vAlign w:val="center"/>
          </w:tcPr>
          <w:p>
            <w:pPr>
              <w:snapToGrid w:val="0"/>
              <w:jc w:val="center"/>
              <w:rPr>
                <w:b/>
                <w:color w:val="auto"/>
                <w:szCs w:val="21"/>
              </w:rPr>
            </w:pPr>
            <w:r>
              <w:rPr>
                <w:b/>
                <w:color w:val="auto"/>
                <w:szCs w:val="21"/>
              </w:rPr>
              <w:t>防治措施</w:t>
            </w:r>
          </w:p>
        </w:tc>
        <w:tc>
          <w:tcPr>
            <w:tcW w:w="1775" w:type="pct"/>
            <w:tcBorders>
              <w:top w:val="single" w:color="auto" w:sz="12" w:space="0"/>
              <w:bottom w:val="single" w:color="auto" w:sz="6" w:space="0"/>
            </w:tcBorders>
            <w:vAlign w:val="center"/>
          </w:tcPr>
          <w:p>
            <w:pPr>
              <w:snapToGrid w:val="0"/>
              <w:jc w:val="center"/>
              <w:rPr>
                <w:b/>
                <w:color w:val="auto"/>
                <w:szCs w:val="21"/>
              </w:rPr>
            </w:pPr>
            <w:r>
              <w:rPr>
                <w:b/>
                <w:color w:val="auto"/>
                <w:szCs w:val="21"/>
              </w:rPr>
              <w:t>预期治理效果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1327" w:hRule="atLeast"/>
          <w:jc w:val="center"/>
        </w:trPr>
        <w:tc>
          <w:tcPr>
            <w:tcW w:w="497" w:type="pct"/>
            <w:vMerge w:val="restart"/>
            <w:vAlign w:val="center"/>
          </w:tcPr>
          <w:p>
            <w:pPr>
              <w:snapToGrid w:val="0"/>
              <w:jc w:val="center"/>
              <w:rPr>
                <w:color w:val="auto"/>
                <w:szCs w:val="21"/>
              </w:rPr>
            </w:pPr>
            <w:r>
              <w:rPr>
                <w:color w:val="auto"/>
                <w:szCs w:val="21"/>
              </w:rPr>
              <w:t>大</w:t>
            </w:r>
          </w:p>
          <w:p>
            <w:pPr>
              <w:snapToGrid w:val="0"/>
              <w:jc w:val="center"/>
              <w:rPr>
                <w:color w:val="auto"/>
                <w:szCs w:val="21"/>
              </w:rPr>
            </w:pPr>
            <w:r>
              <w:rPr>
                <w:color w:val="auto"/>
                <w:szCs w:val="21"/>
              </w:rPr>
              <w:t>气</w:t>
            </w:r>
          </w:p>
          <w:p>
            <w:pPr>
              <w:snapToGrid w:val="0"/>
              <w:jc w:val="center"/>
              <w:rPr>
                <w:color w:val="auto"/>
                <w:szCs w:val="21"/>
              </w:rPr>
            </w:pPr>
            <w:r>
              <w:rPr>
                <w:color w:val="auto"/>
                <w:szCs w:val="21"/>
              </w:rPr>
              <w:t>污</w:t>
            </w:r>
          </w:p>
          <w:p>
            <w:pPr>
              <w:snapToGrid w:val="0"/>
              <w:jc w:val="center"/>
              <w:rPr>
                <w:color w:val="auto"/>
                <w:szCs w:val="21"/>
              </w:rPr>
            </w:pPr>
            <w:r>
              <w:rPr>
                <w:color w:val="auto"/>
                <w:szCs w:val="21"/>
              </w:rPr>
              <w:t>染</w:t>
            </w:r>
          </w:p>
          <w:p>
            <w:pPr>
              <w:snapToGrid w:val="0"/>
              <w:jc w:val="center"/>
              <w:rPr>
                <w:color w:val="auto"/>
                <w:szCs w:val="21"/>
              </w:rPr>
            </w:pPr>
            <w:r>
              <w:rPr>
                <w:color w:val="auto"/>
                <w:szCs w:val="21"/>
              </w:rPr>
              <w:t>物</w:t>
            </w:r>
          </w:p>
        </w:tc>
        <w:tc>
          <w:tcPr>
            <w:tcW w:w="343" w:type="pct"/>
            <w:vMerge w:val="restart"/>
            <w:tcBorders>
              <w:top w:val="single" w:color="auto" w:sz="6" w:space="0"/>
            </w:tcBorders>
            <w:vAlign w:val="center"/>
          </w:tcPr>
          <w:p>
            <w:pPr>
              <w:snapToGrid w:val="0"/>
              <w:spacing w:line="320" w:lineRule="exact"/>
              <w:jc w:val="center"/>
              <w:rPr>
                <w:color w:val="auto"/>
                <w:szCs w:val="21"/>
              </w:rPr>
            </w:pPr>
            <w:r>
              <w:rPr>
                <w:rFonts w:hint="eastAsia"/>
                <w:color w:val="auto"/>
                <w:szCs w:val="21"/>
              </w:rPr>
              <w:t>有组织</w:t>
            </w:r>
          </w:p>
        </w:tc>
        <w:tc>
          <w:tcPr>
            <w:tcW w:w="514" w:type="pct"/>
            <w:tcBorders>
              <w:top w:val="single" w:color="auto" w:sz="6" w:space="0"/>
            </w:tcBorders>
            <w:vAlign w:val="center"/>
          </w:tcPr>
          <w:p>
            <w:pPr>
              <w:snapToGrid w:val="0"/>
              <w:spacing w:line="320" w:lineRule="exact"/>
              <w:jc w:val="center"/>
              <w:rPr>
                <w:rFonts w:hint="default" w:eastAsia="宋体"/>
                <w:color w:val="auto"/>
                <w:szCs w:val="21"/>
                <w:lang w:val="en-US" w:eastAsia="zh-CN"/>
              </w:rPr>
            </w:pPr>
            <w:r>
              <w:rPr>
                <w:rFonts w:hint="eastAsia"/>
                <w:color w:val="auto"/>
                <w:szCs w:val="21"/>
              </w:rPr>
              <w:t>排气筒</w:t>
            </w:r>
            <w:r>
              <w:rPr>
                <w:rFonts w:hint="eastAsia"/>
                <w:color w:val="auto"/>
                <w:szCs w:val="21"/>
                <w:lang w:val="en-US" w:eastAsia="zh-CN"/>
              </w:rPr>
              <w:t>DA001</w:t>
            </w:r>
          </w:p>
        </w:tc>
        <w:tc>
          <w:tcPr>
            <w:tcW w:w="708" w:type="pct"/>
            <w:tcBorders>
              <w:top w:val="single" w:color="auto" w:sz="6" w:space="0"/>
            </w:tcBorders>
            <w:vAlign w:val="center"/>
          </w:tcPr>
          <w:p>
            <w:pPr>
              <w:spacing w:line="320" w:lineRule="exact"/>
              <w:jc w:val="center"/>
              <w:rPr>
                <w:rFonts w:hint="eastAsia" w:eastAsia="宋体"/>
                <w:color w:val="auto"/>
                <w:szCs w:val="21"/>
                <w:lang w:eastAsia="zh-CN"/>
              </w:rPr>
            </w:pPr>
            <w:r>
              <w:rPr>
                <w:rFonts w:hint="eastAsia"/>
                <w:color w:val="auto"/>
                <w:szCs w:val="21"/>
                <w:lang w:val="en-US" w:eastAsia="zh-CN"/>
              </w:rPr>
              <w:t>颗粒物</w:t>
            </w:r>
          </w:p>
        </w:tc>
        <w:tc>
          <w:tcPr>
            <w:tcW w:w="1162" w:type="pct"/>
            <w:tcBorders>
              <w:top w:val="single" w:color="auto" w:sz="6" w:space="0"/>
            </w:tcBorders>
            <w:vAlign w:val="center"/>
          </w:tcPr>
          <w:p>
            <w:pPr>
              <w:spacing w:line="320" w:lineRule="exact"/>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设备自带的布袋除尘器（TA001、TA002）</w:t>
            </w:r>
          </w:p>
        </w:tc>
        <w:tc>
          <w:tcPr>
            <w:tcW w:w="1775" w:type="pct"/>
            <w:vAlign w:val="center"/>
          </w:tcPr>
          <w:p>
            <w:pPr>
              <w:snapToGrid w:val="0"/>
              <w:jc w:val="center"/>
              <w:rPr>
                <w:color w:val="auto"/>
                <w:szCs w:val="21"/>
              </w:rPr>
            </w:pPr>
            <w:r>
              <w:rPr>
                <w:rFonts w:hint="eastAsia"/>
                <w:color w:val="auto"/>
                <w:szCs w:val="21"/>
                <w:lang w:val="en-US" w:eastAsia="zh-CN"/>
              </w:rPr>
              <w:t>满足</w:t>
            </w:r>
            <w:r>
              <w:rPr>
                <w:rFonts w:hint="eastAsia"/>
                <w:color w:val="auto"/>
                <w:szCs w:val="21"/>
              </w:rPr>
              <w:t>《大气污染物综合排放标准》（GB 16297-1996）表2中标准限值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327"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restart"/>
            <w:tcBorders>
              <w:top w:val="single" w:color="auto" w:sz="6" w:space="0"/>
            </w:tcBorders>
            <w:vAlign w:val="center"/>
          </w:tcPr>
          <w:p>
            <w:pPr>
              <w:snapToGrid w:val="0"/>
              <w:spacing w:line="320" w:lineRule="exact"/>
              <w:jc w:val="center"/>
              <w:rPr>
                <w:rFonts w:hint="eastAsia"/>
                <w:color w:val="auto"/>
                <w:szCs w:val="21"/>
              </w:rPr>
            </w:pPr>
            <w:r>
              <w:rPr>
                <w:rFonts w:hint="eastAsia"/>
                <w:color w:val="auto"/>
                <w:szCs w:val="21"/>
              </w:rPr>
              <w:t>排气筒</w:t>
            </w:r>
            <w:r>
              <w:rPr>
                <w:rFonts w:hint="eastAsia"/>
                <w:color w:val="auto"/>
                <w:szCs w:val="21"/>
                <w:lang w:val="en-US" w:eastAsia="zh-CN"/>
              </w:rPr>
              <w:t>DA002</w:t>
            </w:r>
          </w:p>
        </w:tc>
        <w:tc>
          <w:tcPr>
            <w:tcW w:w="708" w:type="pct"/>
            <w:tcBorders>
              <w:top w:val="single" w:color="auto" w:sz="6" w:space="0"/>
            </w:tcBorders>
            <w:vAlign w:val="center"/>
          </w:tcPr>
          <w:p>
            <w:pPr>
              <w:spacing w:line="320" w:lineRule="exact"/>
              <w:jc w:val="center"/>
              <w:rPr>
                <w:rFonts w:hint="eastAsia" w:eastAsia="宋体"/>
                <w:color w:val="auto"/>
                <w:szCs w:val="21"/>
                <w:lang w:val="en-US" w:eastAsia="zh-CN"/>
              </w:rPr>
            </w:pPr>
            <w:r>
              <w:rPr>
                <w:rFonts w:hint="eastAsia"/>
                <w:color w:val="auto"/>
                <w:szCs w:val="21"/>
                <w:lang w:val="en-US" w:eastAsia="zh-CN"/>
              </w:rPr>
              <w:t>颗粒物</w:t>
            </w:r>
          </w:p>
        </w:tc>
        <w:tc>
          <w:tcPr>
            <w:tcW w:w="1162" w:type="pct"/>
            <w:tcBorders>
              <w:top w:val="single" w:color="auto" w:sz="6" w:space="0"/>
            </w:tcBorders>
            <w:vAlign w:val="center"/>
          </w:tcPr>
          <w:p>
            <w:pPr>
              <w:spacing w:line="320" w:lineRule="exact"/>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设备自带塑粉回收滤筒（TA003</w:t>
            </w:r>
          </w:p>
        </w:tc>
        <w:tc>
          <w:tcPr>
            <w:tcW w:w="1775" w:type="pct"/>
            <w:vMerge w:val="restart"/>
            <w:vAlign w:val="center"/>
          </w:tcPr>
          <w:p>
            <w:pPr>
              <w:snapToGrid w:val="0"/>
              <w:jc w:val="center"/>
              <w:rPr>
                <w:rFonts w:hint="eastAsia"/>
                <w:color w:val="auto"/>
                <w:kern w:val="0"/>
                <w:szCs w:val="21"/>
              </w:rPr>
            </w:pPr>
            <w:r>
              <w:rPr>
                <w:rFonts w:hint="eastAsia"/>
                <w:color w:val="auto"/>
                <w:szCs w:val="21"/>
                <w:lang w:val="en-US" w:eastAsia="zh-CN"/>
              </w:rPr>
              <w:t>满足</w:t>
            </w:r>
            <w:r>
              <w:rPr>
                <w:rFonts w:hint="eastAsia"/>
                <w:color w:val="auto"/>
                <w:szCs w:val="21"/>
              </w:rPr>
              <w:t>《合成树脂工业污染物排放标准》（GB 31572-2015）表5中标准限值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327"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continue"/>
            <w:vAlign w:val="center"/>
          </w:tcPr>
          <w:p>
            <w:pPr>
              <w:snapToGrid w:val="0"/>
              <w:spacing w:line="320" w:lineRule="exact"/>
              <w:jc w:val="center"/>
              <w:rPr>
                <w:rFonts w:hint="eastAsia"/>
                <w:color w:val="auto"/>
                <w:szCs w:val="21"/>
              </w:rPr>
            </w:pPr>
          </w:p>
        </w:tc>
        <w:tc>
          <w:tcPr>
            <w:tcW w:w="708" w:type="pct"/>
            <w:tcBorders>
              <w:top w:val="single" w:color="auto" w:sz="6" w:space="0"/>
            </w:tcBorders>
            <w:vAlign w:val="center"/>
          </w:tcPr>
          <w:p>
            <w:pPr>
              <w:spacing w:line="320" w:lineRule="exact"/>
              <w:jc w:val="center"/>
              <w:rPr>
                <w:rFonts w:hint="default"/>
                <w:color w:val="auto"/>
                <w:szCs w:val="21"/>
                <w:lang w:val="en-US" w:eastAsia="zh-CN"/>
              </w:rPr>
            </w:pPr>
            <w:r>
              <w:rPr>
                <w:rFonts w:hint="eastAsia"/>
                <w:color w:val="auto"/>
                <w:szCs w:val="21"/>
                <w:lang w:val="en-US" w:eastAsia="zh-CN"/>
              </w:rPr>
              <w:t>非甲烷总烃</w:t>
            </w:r>
          </w:p>
        </w:tc>
        <w:tc>
          <w:tcPr>
            <w:tcW w:w="1162" w:type="pct"/>
            <w:tcBorders>
              <w:top w:val="single" w:color="auto" w:sz="6" w:space="0"/>
            </w:tcBorders>
            <w:vAlign w:val="center"/>
          </w:tcPr>
          <w:p>
            <w:pPr>
              <w:spacing w:line="320" w:lineRule="exact"/>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二级活性炭吸附设备（TA004）</w:t>
            </w:r>
          </w:p>
        </w:tc>
        <w:tc>
          <w:tcPr>
            <w:tcW w:w="1775" w:type="pct"/>
            <w:vMerge w:val="continue"/>
            <w:vAlign w:val="center"/>
          </w:tcPr>
          <w:p>
            <w:pPr>
              <w:snapToGrid w:val="0"/>
              <w:jc w:val="center"/>
              <w:rPr>
                <w:rFonts w:hint="eastAsia"/>
                <w:color w:val="auto"/>
                <w:kern w:val="0"/>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1327"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restart"/>
            <w:tcBorders>
              <w:top w:val="single" w:color="auto" w:sz="6" w:space="0"/>
            </w:tcBorders>
            <w:vAlign w:val="center"/>
          </w:tcPr>
          <w:p>
            <w:pPr>
              <w:snapToGrid w:val="0"/>
              <w:spacing w:line="320" w:lineRule="exact"/>
              <w:jc w:val="center"/>
              <w:rPr>
                <w:rFonts w:hint="eastAsia"/>
                <w:color w:val="auto"/>
                <w:szCs w:val="21"/>
              </w:rPr>
            </w:pPr>
            <w:r>
              <w:rPr>
                <w:rFonts w:hint="eastAsia"/>
                <w:color w:val="auto"/>
                <w:szCs w:val="21"/>
              </w:rPr>
              <w:t>排气筒</w:t>
            </w:r>
            <w:r>
              <w:rPr>
                <w:rFonts w:hint="eastAsia"/>
                <w:color w:val="auto"/>
                <w:szCs w:val="21"/>
                <w:lang w:val="en-US" w:eastAsia="zh-CN"/>
              </w:rPr>
              <w:t>DA003</w:t>
            </w:r>
          </w:p>
        </w:tc>
        <w:tc>
          <w:tcPr>
            <w:tcW w:w="708" w:type="pct"/>
            <w:tcBorders>
              <w:top w:val="single" w:color="auto" w:sz="6" w:space="0"/>
            </w:tcBorders>
            <w:vAlign w:val="center"/>
          </w:tcPr>
          <w:p>
            <w:pPr>
              <w:spacing w:line="320" w:lineRule="exact"/>
              <w:jc w:val="center"/>
              <w:rPr>
                <w:rFonts w:hint="default" w:eastAsia="宋体"/>
                <w:color w:val="auto"/>
                <w:szCs w:val="21"/>
                <w:lang w:val="en-US" w:eastAsia="zh-CN"/>
              </w:rPr>
            </w:pPr>
            <w:r>
              <w:rPr>
                <w:rFonts w:hint="eastAsia"/>
                <w:color w:val="auto"/>
                <w:szCs w:val="21"/>
                <w:lang w:val="en-US" w:eastAsia="zh-CN"/>
              </w:rPr>
              <w:t>颗粒物</w:t>
            </w:r>
          </w:p>
        </w:tc>
        <w:tc>
          <w:tcPr>
            <w:tcW w:w="1162" w:type="pct"/>
            <w:tcBorders>
              <w:top w:val="single" w:color="auto" w:sz="6" w:space="0"/>
            </w:tcBorders>
            <w:vAlign w:val="center"/>
          </w:tcPr>
          <w:p>
            <w:pPr>
              <w:spacing w:line="320" w:lineRule="exact"/>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布袋除尘器（TA005）、干式喷漆柜（TA006）</w:t>
            </w:r>
          </w:p>
        </w:tc>
        <w:tc>
          <w:tcPr>
            <w:tcW w:w="1775" w:type="pct"/>
            <w:vAlign w:val="center"/>
          </w:tcPr>
          <w:p>
            <w:pPr>
              <w:snapToGrid w:val="0"/>
              <w:jc w:val="center"/>
              <w:rPr>
                <w:rFonts w:hint="eastAsia"/>
                <w:color w:val="auto"/>
                <w:kern w:val="0"/>
                <w:szCs w:val="21"/>
              </w:rPr>
            </w:pPr>
            <w:r>
              <w:rPr>
                <w:rFonts w:hint="eastAsia"/>
                <w:color w:val="auto"/>
                <w:szCs w:val="21"/>
                <w:lang w:val="en-US" w:eastAsia="zh-CN"/>
              </w:rPr>
              <w:t>满足</w:t>
            </w:r>
            <w:r>
              <w:rPr>
                <w:rFonts w:hint="eastAsia"/>
                <w:color w:val="auto"/>
                <w:szCs w:val="21"/>
              </w:rPr>
              <w:t>《大气污染物综合排放标准》（GB 16297-1996）表2中标准限值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327"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continue"/>
            <w:vAlign w:val="center"/>
          </w:tcPr>
          <w:p>
            <w:pPr>
              <w:snapToGrid w:val="0"/>
              <w:spacing w:line="320" w:lineRule="exact"/>
              <w:jc w:val="center"/>
              <w:rPr>
                <w:rFonts w:hint="eastAsia"/>
                <w:color w:val="auto"/>
                <w:szCs w:val="21"/>
              </w:rPr>
            </w:pPr>
          </w:p>
        </w:tc>
        <w:tc>
          <w:tcPr>
            <w:tcW w:w="708" w:type="pct"/>
            <w:tcBorders>
              <w:top w:val="single" w:color="auto" w:sz="6" w:space="0"/>
            </w:tcBorders>
            <w:vAlign w:val="center"/>
          </w:tcPr>
          <w:p>
            <w:pPr>
              <w:spacing w:line="320" w:lineRule="exact"/>
              <w:jc w:val="center"/>
              <w:rPr>
                <w:rFonts w:hint="default" w:eastAsia="宋体"/>
                <w:color w:val="auto"/>
                <w:szCs w:val="21"/>
                <w:lang w:val="en-US" w:eastAsia="zh-CN"/>
              </w:rPr>
            </w:pPr>
            <w:r>
              <w:rPr>
                <w:rFonts w:hint="eastAsia"/>
                <w:color w:val="auto"/>
                <w:szCs w:val="21"/>
                <w:lang w:val="en-US" w:eastAsia="zh-CN"/>
              </w:rPr>
              <w:t>VOCs</w:t>
            </w:r>
          </w:p>
        </w:tc>
        <w:tc>
          <w:tcPr>
            <w:tcW w:w="1162" w:type="pct"/>
            <w:tcBorders>
              <w:top w:val="single" w:color="auto" w:sz="6" w:space="0"/>
            </w:tcBorders>
            <w:vAlign w:val="center"/>
          </w:tcPr>
          <w:p>
            <w:pPr>
              <w:spacing w:line="320" w:lineRule="exact"/>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二级活性炭吸附装置（TA007）</w:t>
            </w:r>
          </w:p>
        </w:tc>
        <w:tc>
          <w:tcPr>
            <w:tcW w:w="1775" w:type="pct"/>
            <w:vAlign w:val="center"/>
          </w:tcPr>
          <w:p>
            <w:pPr>
              <w:snapToGrid w:val="0"/>
              <w:jc w:val="center"/>
              <w:rPr>
                <w:rFonts w:hint="eastAsia"/>
                <w:color w:val="auto"/>
                <w:kern w:val="0"/>
                <w:szCs w:val="21"/>
              </w:rPr>
            </w:pPr>
            <w:r>
              <w:rPr>
                <w:rFonts w:hint="eastAsia"/>
                <w:color w:val="auto"/>
                <w:szCs w:val="21"/>
                <w:lang w:val="en-US" w:eastAsia="zh-CN"/>
              </w:rPr>
              <w:t>满足</w:t>
            </w:r>
            <w:r>
              <w:rPr>
                <w:rFonts w:hint="eastAsia"/>
                <w:color w:val="auto"/>
                <w:szCs w:val="21"/>
              </w:rPr>
              <w:t>《工业企业挥发性有机物排放控制标准》（DB12/524-2020）表1中“表面涂装行业 TRVOC”标准限值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303" w:hRule="atLeast"/>
          <w:jc w:val="center"/>
        </w:trPr>
        <w:tc>
          <w:tcPr>
            <w:tcW w:w="497" w:type="pct"/>
            <w:vMerge w:val="continue"/>
            <w:vAlign w:val="center"/>
          </w:tcPr>
          <w:p>
            <w:pPr>
              <w:snapToGrid w:val="0"/>
              <w:jc w:val="center"/>
              <w:rPr>
                <w:color w:val="auto"/>
                <w:szCs w:val="21"/>
              </w:rPr>
            </w:pPr>
          </w:p>
        </w:tc>
        <w:tc>
          <w:tcPr>
            <w:tcW w:w="343" w:type="pct"/>
            <w:vMerge w:val="restart"/>
            <w:tcBorders>
              <w:top w:val="single" w:color="auto" w:sz="6" w:space="0"/>
            </w:tcBorders>
            <w:vAlign w:val="center"/>
          </w:tcPr>
          <w:p>
            <w:pPr>
              <w:snapToGrid w:val="0"/>
              <w:spacing w:line="320" w:lineRule="exact"/>
              <w:jc w:val="center"/>
              <w:rPr>
                <w:color w:val="auto"/>
                <w:szCs w:val="21"/>
              </w:rPr>
            </w:pPr>
            <w:r>
              <w:rPr>
                <w:rFonts w:hint="eastAsia"/>
                <w:color w:val="auto"/>
                <w:szCs w:val="21"/>
              </w:rPr>
              <w:t>无组织</w:t>
            </w:r>
          </w:p>
        </w:tc>
        <w:tc>
          <w:tcPr>
            <w:tcW w:w="514" w:type="pct"/>
            <w:vMerge w:val="restart"/>
            <w:tcBorders>
              <w:top w:val="single" w:color="auto" w:sz="6" w:space="0"/>
            </w:tcBorders>
            <w:vAlign w:val="center"/>
          </w:tcPr>
          <w:p>
            <w:pPr>
              <w:snapToGrid w:val="0"/>
              <w:spacing w:line="320" w:lineRule="exact"/>
              <w:jc w:val="center"/>
              <w:rPr>
                <w:color w:val="auto"/>
                <w:szCs w:val="21"/>
              </w:rPr>
            </w:pPr>
            <w:r>
              <w:rPr>
                <w:rFonts w:hint="eastAsia"/>
                <w:color w:val="auto"/>
                <w:szCs w:val="21"/>
              </w:rPr>
              <w:t>生产车间</w:t>
            </w:r>
          </w:p>
        </w:tc>
        <w:tc>
          <w:tcPr>
            <w:tcW w:w="708" w:type="pct"/>
            <w:tcBorders>
              <w:top w:val="single" w:color="auto" w:sz="6" w:space="0"/>
            </w:tcBorders>
            <w:vAlign w:val="center"/>
          </w:tcPr>
          <w:p>
            <w:pPr>
              <w:adjustRightInd w:val="0"/>
              <w:snapToGrid w:val="0"/>
              <w:jc w:val="center"/>
              <w:rPr>
                <w:color w:val="auto"/>
                <w:szCs w:val="21"/>
              </w:rPr>
            </w:pPr>
            <w:r>
              <w:rPr>
                <w:rFonts w:hint="eastAsia"/>
                <w:color w:val="auto"/>
                <w:szCs w:val="21"/>
                <w:lang w:val="en-US" w:eastAsia="zh-CN"/>
              </w:rPr>
              <w:t>颗粒物</w:t>
            </w:r>
          </w:p>
        </w:tc>
        <w:tc>
          <w:tcPr>
            <w:tcW w:w="1162" w:type="pct"/>
            <w:vMerge w:val="restart"/>
            <w:vAlign w:val="center"/>
          </w:tcPr>
          <w:p>
            <w:pPr>
              <w:adjustRightInd w:val="0"/>
              <w:snapToGrid w:val="0"/>
              <w:jc w:val="center"/>
              <w:rPr>
                <w:color w:val="auto"/>
                <w:szCs w:val="21"/>
              </w:rPr>
            </w:pPr>
            <w:r>
              <w:rPr>
                <w:rFonts w:hint="eastAsia"/>
                <w:color w:val="auto"/>
                <w:szCs w:val="21"/>
              </w:rPr>
              <w:t>增加车间通风频次</w:t>
            </w:r>
          </w:p>
        </w:tc>
        <w:tc>
          <w:tcPr>
            <w:tcW w:w="1775" w:type="pc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《大气污染物综合排放标准》（GB 16297-1996）表2中标准限值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303"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continue"/>
            <w:vAlign w:val="center"/>
          </w:tcPr>
          <w:p>
            <w:pPr>
              <w:snapToGrid w:val="0"/>
              <w:spacing w:line="320" w:lineRule="exact"/>
              <w:jc w:val="center"/>
              <w:rPr>
                <w:rFonts w:hint="eastAsia"/>
                <w:color w:val="auto"/>
                <w:szCs w:val="21"/>
              </w:rPr>
            </w:pPr>
          </w:p>
        </w:tc>
        <w:tc>
          <w:tcPr>
            <w:tcW w:w="708" w:type="pct"/>
            <w:tcBorders>
              <w:top w:val="single" w:color="auto" w:sz="6" w:space="0"/>
            </w:tcBorders>
            <w:vAlign w:val="center"/>
          </w:tcPr>
          <w:p>
            <w:pPr>
              <w:adjustRightInd w:val="0"/>
              <w:snapToGrid w:val="0"/>
              <w:jc w:val="center"/>
              <w:rPr>
                <w:rFonts w:hint="eastAsia"/>
                <w:color w:val="auto"/>
                <w:szCs w:val="21"/>
              </w:rPr>
            </w:pPr>
            <w:r>
              <w:rPr>
                <w:rFonts w:hint="eastAsia"/>
                <w:color w:val="auto"/>
                <w:szCs w:val="21"/>
                <w:lang w:val="en-US" w:eastAsia="zh-CN"/>
              </w:rPr>
              <w:t>非甲烷总烃</w:t>
            </w:r>
          </w:p>
        </w:tc>
        <w:tc>
          <w:tcPr>
            <w:tcW w:w="1162" w:type="pct"/>
            <w:vMerge w:val="continue"/>
            <w:vAlign w:val="center"/>
          </w:tcPr>
          <w:p>
            <w:pPr>
              <w:adjustRightInd w:val="0"/>
              <w:snapToGrid w:val="0"/>
              <w:jc w:val="center"/>
              <w:rPr>
                <w:rFonts w:hint="eastAsia"/>
                <w:color w:val="auto"/>
                <w:szCs w:val="21"/>
              </w:rPr>
            </w:pPr>
          </w:p>
        </w:tc>
        <w:tc>
          <w:tcPr>
            <w:tcW w:w="1775" w:type="pct"/>
            <w:vAlign w:val="center"/>
          </w:tcPr>
          <w:p>
            <w:pPr>
              <w:adjustRightInd w:val="0"/>
              <w:snapToGrid w:val="0"/>
              <w:jc w:val="center"/>
              <w:rPr>
                <w:color w:val="auto"/>
                <w:szCs w:val="21"/>
              </w:rPr>
            </w:pPr>
            <w:r>
              <w:rPr>
                <w:rFonts w:hint="eastAsia"/>
                <w:color w:val="auto"/>
                <w:szCs w:val="21"/>
                <w:lang w:val="en-US" w:eastAsia="zh-CN"/>
              </w:rPr>
              <w:t>满足</w:t>
            </w:r>
            <w:r>
              <w:rPr>
                <w:rFonts w:hint="eastAsia"/>
                <w:color w:val="auto"/>
                <w:szCs w:val="21"/>
              </w:rPr>
              <w:t>《合成树脂工业污染物排放标准》（GB 31572-2015）表9中标准限值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303" w:hRule="atLeast"/>
          <w:jc w:val="center"/>
        </w:trPr>
        <w:tc>
          <w:tcPr>
            <w:tcW w:w="497" w:type="pct"/>
            <w:vMerge w:val="continue"/>
            <w:vAlign w:val="center"/>
          </w:tcPr>
          <w:p>
            <w:pPr>
              <w:snapToGrid w:val="0"/>
              <w:jc w:val="center"/>
              <w:rPr>
                <w:color w:val="auto"/>
                <w:szCs w:val="21"/>
              </w:rPr>
            </w:pPr>
          </w:p>
        </w:tc>
        <w:tc>
          <w:tcPr>
            <w:tcW w:w="343" w:type="pct"/>
            <w:vMerge w:val="continue"/>
            <w:vAlign w:val="center"/>
          </w:tcPr>
          <w:p>
            <w:pPr>
              <w:snapToGrid w:val="0"/>
              <w:spacing w:line="320" w:lineRule="exact"/>
              <w:jc w:val="center"/>
              <w:rPr>
                <w:rFonts w:hint="eastAsia"/>
                <w:color w:val="auto"/>
                <w:szCs w:val="21"/>
              </w:rPr>
            </w:pPr>
          </w:p>
        </w:tc>
        <w:tc>
          <w:tcPr>
            <w:tcW w:w="514" w:type="pct"/>
            <w:vMerge w:val="continue"/>
            <w:vAlign w:val="center"/>
          </w:tcPr>
          <w:p>
            <w:pPr>
              <w:snapToGrid w:val="0"/>
              <w:spacing w:line="320" w:lineRule="exact"/>
              <w:jc w:val="center"/>
              <w:rPr>
                <w:rFonts w:hint="eastAsia"/>
                <w:color w:val="auto"/>
                <w:szCs w:val="21"/>
              </w:rPr>
            </w:pPr>
          </w:p>
        </w:tc>
        <w:tc>
          <w:tcPr>
            <w:tcW w:w="708" w:type="pct"/>
            <w:tcBorders>
              <w:top w:val="single" w:color="auto" w:sz="6" w:space="0"/>
            </w:tcBorders>
            <w:vAlign w:val="center"/>
          </w:tcPr>
          <w:p>
            <w:pPr>
              <w:adjustRightInd w:val="0"/>
              <w:snapToGrid w:val="0"/>
              <w:jc w:val="center"/>
              <w:rPr>
                <w:rFonts w:hint="eastAsia"/>
                <w:color w:val="auto"/>
                <w:szCs w:val="21"/>
              </w:rPr>
            </w:pPr>
            <w:r>
              <w:rPr>
                <w:rFonts w:hint="eastAsia"/>
                <w:color w:val="auto"/>
                <w:szCs w:val="21"/>
              </w:rPr>
              <w:t>VOCs</w:t>
            </w:r>
          </w:p>
        </w:tc>
        <w:tc>
          <w:tcPr>
            <w:tcW w:w="1162" w:type="pct"/>
            <w:vMerge w:val="continue"/>
            <w:vAlign w:val="center"/>
          </w:tcPr>
          <w:p>
            <w:pPr>
              <w:adjustRightInd w:val="0"/>
              <w:snapToGrid w:val="0"/>
              <w:jc w:val="center"/>
              <w:rPr>
                <w:rFonts w:hint="eastAsia"/>
                <w:color w:val="auto"/>
                <w:szCs w:val="21"/>
              </w:rPr>
            </w:pPr>
          </w:p>
        </w:tc>
        <w:tc>
          <w:tcPr>
            <w:tcW w:w="1775" w:type="pct"/>
            <w:vAlign w:val="center"/>
          </w:tcPr>
          <w:p>
            <w:pPr>
              <w:adjustRightInd w:val="0"/>
              <w:snapToGrid w:val="0"/>
              <w:jc w:val="center"/>
              <w:rPr>
                <w:color w:val="auto"/>
                <w:szCs w:val="21"/>
              </w:rPr>
            </w:pPr>
            <w:r>
              <w:rPr>
                <w:rFonts w:hint="eastAsia"/>
                <w:color w:val="auto"/>
                <w:szCs w:val="21"/>
              </w:rPr>
              <w:t>VOCs</w:t>
            </w:r>
            <w:r>
              <w:rPr>
                <w:rFonts w:hint="eastAsia"/>
                <w:color w:val="auto"/>
                <w:szCs w:val="21"/>
                <w:lang w:val="en-US" w:eastAsia="zh-CN"/>
              </w:rPr>
              <w:t>满足</w:t>
            </w:r>
            <w:r>
              <w:rPr>
                <w:rFonts w:hint="eastAsia"/>
                <w:color w:val="auto"/>
                <w:szCs w:val="21"/>
              </w:rPr>
              <w:t>《工业企业挥发性有机物排放控制标准》（DB12/524-2020）表1中“表面涂装行业 TRVOC”标准限值；车间外1m：NMHC达到《挥发性有机物无组织排放控制标准》（GB37822-2019）中控制标准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restart"/>
            <w:tcBorders>
              <w:top w:val="single" w:color="auto" w:sz="4" w:space="0"/>
            </w:tcBorders>
            <w:vAlign w:val="center"/>
          </w:tcPr>
          <w:p>
            <w:pPr>
              <w:snapToGrid w:val="0"/>
              <w:jc w:val="center"/>
              <w:rPr>
                <w:color w:val="auto"/>
                <w:szCs w:val="21"/>
              </w:rPr>
            </w:pPr>
            <w:r>
              <w:rPr>
                <w:color w:val="auto"/>
                <w:szCs w:val="21"/>
              </w:rPr>
              <w:t>水</w:t>
            </w:r>
          </w:p>
          <w:p>
            <w:pPr>
              <w:snapToGrid w:val="0"/>
              <w:jc w:val="center"/>
              <w:rPr>
                <w:color w:val="auto"/>
                <w:szCs w:val="21"/>
              </w:rPr>
            </w:pPr>
            <w:r>
              <w:rPr>
                <w:color w:val="auto"/>
                <w:szCs w:val="21"/>
              </w:rPr>
              <w:t>污</w:t>
            </w:r>
          </w:p>
          <w:p>
            <w:pPr>
              <w:snapToGrid w:val="0"/>
              <w:jc w:val="center"/>
              <w:rPr>
                <w:color w:val="auto"/>
                <w:szCs w:val="21"/>
              </w:rPr>
            </w:pPr>
            <w:r>
              <w:rPr>
                <w:color w:val="auto"/>
                <w:szCs w:val="21"/>
              </w:rPr>
              <w:t>染</w:t>
            </w:r>
          </w:p>
          <w:p>
            <w:pPr>
              <w:snapToGrid w:val="0"/>
              <w:jc w:val="center"/>
              <w:rPr>
                <w:color w:val="auto"/>
                <w:szCs w:val="21"/>
              </w:rPr>
            </w:pPr>
            <w:r>
              <w:rPr>
                <w:color w:val="auto"/>
                <w:szCs w:val="21"/>
              </w:rPr>
              <w:t>物</w:t>
            </w:r>
          </w:p>
        </w:tc>
        <w:tc>
          <w:tcPr>
            <w:tcW w:w="857" w:type="pct"/>
            <w:gridSpan w:val="2"/>
            <w:vMerge w:val="restart"/>
            <w:tcBorders>
              <w:top w:val="single" w:color="auto" w:sz="4" w:space="0"/>
            </w:tcBorders>
            <w:vAlign w:val="center"/>
          </w:tcPr>
          <w:p>
            <w:pPr>
              <w:jc w:val="center"/>
              <w:rPr>
                <w:color w:val="auto"/>
                <w:szCs w:val="21"/>
              </w:rPr>
            </w:pPr>
            <w:r>
              <w:rPr>
                <w:color w:val="auto"/>
                <w:szCs w:val="21"/>
              </w:rPr>
              <w:t>生活污水</w:t>
            </w:r>
          </w:p>
        </w:tc>
        <w:tc>
          <w:tcPr>
            <w:tcW w:w="708" w:type="pct"/>
            <w:tcBorders>
              <w:top w:val="single" w:color="auto" w:sz="6" w:space="0"/>
              <w:bottom w:val="single" w:color="auto" w:sz="4" w:space="0"/>
            </w:tcBorders>
            <w:vAlign w:val="center"/>
          </w:tcPr>
          <w:p>
            <w:pPr>
              <w:adjustRightInd w:val="0"/>
              <w:snapToGrid w:val="0"/>
              <w:jc w:val="center"/>
              <w:rPr>
                <w:color w:val="auto"/>
                <w:szCs w:val="21"/>
              </w:rPr>
            </w:pPr>
            <w:r>
              <w:rPr>
                <w:color w:val="auto"/>
                <w:szCs w:val="21"/>
              </w:rPr>
              <w:t>COD</w:t>
            </w:r>
          </w:p>
        </w:tc>
        <w:tc>
          <w:tcPr>
            <w:tcW w:w="1162" w:type="pct"/>
            <w:vMerge w:val="restart"/>
            <w:tcBorders>
              <w:top w:val="single" w:color="auto" w:sz="6" w:space="0"/>
            </w:tcBorders>
            <w:vAlign w:val="center"/>
          </w:tcPr>
          <w:p>
            <w:pPr>
              <w:jc w:val="center"/>
              <w:rPr>
                <w:color w:val="auto"/>
                <w:szCs w:val="21"/>
              </w:rPr>
            </w:pPr>
            <w:r>
              <w:rPr>
                <w:color w:val="auto"/>
                <w:szCs w:val="21"/>
              </w:rPr>
              <w:t>生活污水依托</w:t>
            </w:r>
            <w:r>
              <w:rPr>
                <w:rFonts w:hint="eastAsia"/>
                <w:color w:val="auto"/>
                <w:szCs w:val="21"/>
              </w:rPr>
              <w:t>厂区现有</w:t>
            </w:r>
            <w:r>
              <w:rPr>
                <w:color w:val="auto"/>
                <w:szCs w:val="21"/>
              </w:rPr>
              <w:t>化粪池收集</w:t>
            </w:r>
            <w:r>
              <w:rPr>
                <w:rFonts w:hint="eastAsia"/>
                <w:color w:val="auto"/>
                <w:szCs w:val="21"/>
              </w:rPr>
              <w:t>预</w:t>
            </w:r>
            <w:r>
              <w:rPr>
                <w:color w:val="auto"/>
                <w:szCs w:val="21"/>
              </w:rPr>
              <w:t>处理后接管至常州金坛区第二污水处理厂集中处理</w:t>
            </w:r>
          </w:p>
        </w:tc>
        <w:tc>
          <w:tcPr>
            <w:tcW w:w="1775" w:type="pct"/>
            <w:vMerge w:val="restart"/>
            <w:tcBorders>
              <w:top w:val="single" w:color="auto" w:sz="6" w:space="0"/>
            </w:tcBorders>
            <w:vAlign w:val="center"/>
          </w:tcPr>
          <w:p>
            <w:pPr>
              <w:adjustRightInd w:val="0"/>
              <w:snapToGrid w:val="0"/>
              <w:jc w:val="center"/>
              <w:rPr>
                <w:color w:val="auto"/>
                <w:szCs w:val="21"/>
              </w:rPr>
            </w:pPr>
            <w:r>
              <w:rPr>
                <w:rFonts w:hint="eastAsia"/>
                <w:color w:val="auto"/>
                <w:kern w:val="0"/>
                <w:szCs w:val="21"/>
              </w:rPr>
              <w:t>废水经处理后达金坛区第二污水处理厂接管标准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Merge w:val="continue"/>
            <w:vAlign w:val="center"/>
          </w:tcPr>
          <w:p>
            <w:pPr>
              <w:jc w:val="center"/>
              <w:rPr>
                <w:color w:val="auto"/>
                <w:szCs w:val="21"/>
              </w:rPr>
            </w:pPr>
          </w:p>
        </w:tc>
        <w:tc>
          <w:tcPr>
            <w:tcW w:w="708" w:type="pct"/>
            <w:tcBorders>
              <w:top w:val="single" w:color="auto" w:sz="6" w:space="0"/>
              <w:bottom w:val="single" w:color="auto" w:sz="4" w:space="0"/>
            </w:tcBorders>
            <w:vAlign w:val="center"/>
          </w:tcPr>
          <w:p>
            <w:pPr>
              <w:adjustRightInd w:val="0"/>
              <w:snapToGrid w:val="0"/>
              <w:jc w:val="center"/>
              <w:rPr>
                <w:color w:val="auto"/>
                <w:szCs w:val="21"/>
              </w:rPr>
            </w:pPr>
            <w:r>
              <w:rPr>
                <w:color w:val="auto"/>
                <w:szCs w:val="21"/>
              </w:rPr>
              <w:t>SS</w:t>
            </w:r>
          </w:p>
        </w:tc>
        <w:tc>
          <w:tcPr>
            <w:tcW w:w="1162" w:type="pct"/>
            <w:vMerge w:val="continue"/>
            <w:vAlign w:val="center"/>
          </w:tcPr>
          <w:p>
            <w:pPr>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Merge w:val="continue"/>
            <w:vAlign w:val="center"/>
          </w:tcPr>
          <w:p>
            <w:pPr>
              <w:jc w:val="center"/>
              <w:rPr>
                <w:color w:val="auto"/>
                <w:szCs w:val="21"/>
              </w:rPr>
            </w:pPr>
          </w:p>
        </w:tc>
        <w:tc>
          <w:tcPr>
            <w:tcW w:w="708" w:type="pct"/>
            <w:tcBorders>
              <w:top w:val="single" w:color="auto" w:sz="6" w:space="0"/>
              <w:bottom w:val="single" w:color="auto" w:sz="4" w:space="0"/>
            </w:tcBorders>
            <w:vAlign w:val="center"/>
          </w:tcPr>
          <w:p>
            <w:pPr>
              <w:adjustRightInd w:val="0"/>
              <w:snapToGrid w:val="0"/>
              <w:jc w:val="center"/>
              <w:rPr>
                <w:color w:val="auto"/>
                <w:szCs w:val="21"/>
              </w:rPr>
            </w:pPr>
            <w:r>
              <w:rPr>
                <w:color w:val="auto"/>
                <w:szCs w:val="21"/>
              </w:rPr>
              <w:t>NH</w:t>
            </w:r>
            <w:r>
              <w:rPr>
                <w:color w:val="auto"/>
                <w:szCs w:val="21"/>
                <w:vertAlign w:val="subscript"/>
              </w:rPr>
              <w:t>3</w:t>
            </w:r>
            <w:r>
              <w:rPr>
                <w:color w:val="auto"/>
                <w:szCs w:val="21"/>
              </w:rPr>
              <w:t>-N</w:t>
            </w:r>
          </w:p>
        </w:tc>
        <w:tc>
          <w:tcPr>
            <w:tcW w:w="1162" w:type="pct"/>
            <w:vMerge w:val="continue"/>
            <w:vAlign w:val="center"/>
          </w:tcPr>
          <w:p>
            <w:pPr>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Merge w:val="continue"/>
            <w:vAlign w:val="center"/>
          </w:tcPr>
          <w:p>
            <w:pPr>
              <w:jc w:val="center"/>
              <w:rPr>
                <w:color w:val="auto"/>
                <w:szCs w:val="21"/>
              </w:rPr>
            </w:pPr>
          </w:p>
        </w:tc>
        <w:tc>
          <w:tcPr>
            <w:tcW w:w="708" w:type="pct"/>
            <w:tcBorders>
              <w:top w:val="single" w:color="auto" w:sz="6" w:space="0"/>
              <w:bottom w:val="single" w:color="auto" w:sz="4" w:space="0"/>
            </w:tcBorders>
            <w:vAlign w:val="center"/>
          </w:tcPr>
          <w:p>
            <w:pPr>
              <w:adjustRightInd w:val="0"/>
              <w:snapToGrid w:val="0"/>
              <w:jc w:val="center"/>
              <w:rPr>
                <w:color w:val="auto"/>
                <w:szCs w:val="21"/>
              </w:rPr>
            </w:pPr>
            <w:r>
              <w:rPr>
                <w:color w:val="auto"/>
                <w:szCs w:val="21"/>
              </w:rPr>
              <w:t>TP</w:t>
            </w:r>
          </w:p>
        </w:tc>
        <w:tc>
          <w:tcPr>
            <w:tcW w:w="1162" w:type="pct"/>
            <w:vMerge w:val="continue"/>
            <w:vAlign w:val="center"/>
          </w:tcPr>
          <w:p>
            <w:pPr>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Merge w:val="continue"/>
            <w:vAlign w:val="center"/>
          </w:tcPr>
          <w:p>
            <w:pPr>
              <w:jc w:val="center"/>
              <w:rPr>
                <w:color w:val="auto"/>
                <w:szCs w:val="21"/>
              </w:rPr>
            </w:pPr>
          </w:p>
        </w:tc>
        <w:tc>
          <w:tcPr>
            <w:tcW w:w="708" w:type="pct"/>
            <w:tcBorders>
              <w:top w:val="single" w:color="auto" w:sz="6" w:space="0"/>
              <w:bottom w:val="single" w:color="auto" w:sz="4" w:space="0"/>
            </w:tcBorders>
            <w:vAlign w:val="center"/>
          </w:tcPr>
          <w:p>
            <w:pPr>
              <w:adjustRightInd w:val="0"/>
              <w:snapToGrid w:val="0"/>
              <w:jc w:val="center"/>
              <w:rPr>
                <w:color w:val="auto"/>
                <w:szCs w:val="21"/>
              </w:rPr>
            </w:pPr>
            <w:r>
              <w:rPr>
                <w:rFonts w:hint="eastAsia"/>
                <w:color w:val="auto"/>
                <w:szCs w:val="21"/>
              </w:rPr>
              <w:t>TN</w:t>
            </w:r>
          </w:p>
        </w:tc>
        <w:tc>
          <w:tcPr>
            <w:tcW w:w="1162" w:type="pct"/>
            <w:vMerge w:val="continue"/>
            <w:vAlign w:val="center"/>
          </w:tcPr>
          <w:p>
            <w:pPr>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restart"/>
            <w:vAlign w:val="center"/>
          </w:tcPr>
          <w:p>
            <w:pPr>
              <w:snapToGrid w:val="0"/>
              <w:jc w:val="center"/>
              <w:rPr>
                <w:color w:val="auto"/>
                <w:szCs w:val="21"/>
              </w:rPr>
            </w:pPr>
            <w:r>
              <w:rPr>
                <w:rFonts w:hint="eastAsia"/>
                <w:color w:val="auto"/>
                <w:szCs w:val="21"/>
              </w:rPr>
              <w:t>固</w:t>
            </w:r>
          </w:p>
          <w:p>
            <w:pPr>
              <w:snapToGrid w:val="0"/>
              <w:jc w:val="center"/>
              <w:rPr>
                <w:color w:val="auto"/>
                <w:szCs w:val="21"/>
              </w:rPr>
            </w:pPr>
            <w:r>
              <w:rPr>
                <w:rFonts w:hint="eastAsia"/>
                <w:color w:val="auto"/>
                <w:szCs w:val="21"/>
              </w:rPr>
              <w:t>体</w:t>
            </w:r>
          </w:p>
          <w:p>
            <w:pPr>
              <w:snapToGrid w:val="0"/>
              <w:jc w:val="center"/>
              <w:rPr>
                <w:color w:val="auto"/>
                <w:szCs w:val="21"/>
              </w:rPr>
            </w:pPr>
            <w:r>
              <w:rPr>
                <w:rFonts w:hint="eastAsia"/>
                <w:color w:val="auto"/>
                <w:szCs w:val="21"/>
              </w:rPr>
              <w:t>废</w:t>
            </w:r>
          </w:p>
          <w:p>
            <w:pPr>
              <w:snapToGrid w:val="0"/>
              <w:jc w:val="center"/>
              <w:rPr>
                <w:color w:val="auto"/>
                <w:szCs w:val="21"/>
              </w:rPr>
            </w:pPr>
            <w:r>
              <w:rPr>
                <w:rFonts w:hint="eastAsia"/>
                <w:color w:val="auto"/>
                <w:szCs w:val="21"/>
              </w:rPr>
              <w:t>物</w:t>
            </w: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废边角料</w:t>
            </w:r>
          </w:p>
        </w:tc>
        <w:tc>
          <w:tcPr>
            <w:tcW w:w="708" w:type="pct"/>
            <w:tcBorders>
              <w:top w:val="single" w:color="auto" w:sz="6" w:space="0"/>
              <w:bottom w:val="single" w:color="auto" w:sz="4" w:space="0"/>
            </w:tcBorders>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镗铣粗加工、打孔</w:t>
            </w:r>
            <w:r>
              <w:rPr>
                <w:rFonts w:hint="eastAsia"/>
                <w:color w:val="auto"/>
                <w:szCs w:val="21"/>
                <w:lang w:eastAsia="zh-CN"/>
              </w:rPr>
              <w:t>、</w:t>
            </w:r>
            <w:r>
              <w:rPr>
                <w:rFonts w:hint="eastAsia"/>
                <w:color w:val="auto"/>
                <w:szCs w:val="21"/>
              </w:rPr>
              <w:t>精加工工序</w:t>
            </w:r>
          </w:p>
        </w:tc>
        <w:tc>
          <w:tcPr>
            <w:tcW w:w="1162" w:type="pct"/>
            <w:vMerge w:val="restart"/>
            <w:vAlign w:val="center"/>
          </w:tcPr>
          <w:p>
            <w:pPr>
              <w:jc w:val="center"/>
              <w:rPr>
                <w:color w:val="auto"/>
                <w:szCs w:val="21"/>
              </w:rPr>
            </w:pPr>
            <w:r>
              <w:rPr>
                <w:rFonts w:hint="eastAsia"/>
                <w:color w:val="auto"/>
                <w:sz w:val="24"/>
                <w:szCs w:val="24"/>
              </w:rPr>
              <w:t>分类收集后物资回收</w:t>
            </w:r>
          </w:p>
        </w:tc>
        <w:tc>
          <w:tcPr>
            <w:tcW w:w="1775" w:type="pct"/>
            <w:vMerge w:val="restart"/>
            <w:vAlign w:val="center"/>
          </w:tcPr>
          <w:p>
            <w:pPr>
              <w:jc w:val="center"/>
              <w:rPr>
                <w:color w:val="auto"/>
                <w:szCs w:val="21"/>
              </w:rPr>
            </w:pPr>
            <w:r>
              <w:rPr>
                <w:color w:val="auto"/>
                <w:szCs w:val="21"/>
              </w:rPr>
              <w:t>均得到有效的处理及处置，固废零排放。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废渣</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清洗工序</w:t>
            </w:r>
          </w:p>
        </w:tc>
        <w:tc>
          <w:tcPr>
            <w:tcW w:w="1162" w:type="pct"/>
            <w:vMerge w:val="continue"/>
            <w:vAlign w:val="center"/>
          </w:tcPr>
          <w:p>
            <w:pPr>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废砂</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喷砂工序</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废铁丸</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抛丸工序</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加工粉尘</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布袋收集</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废塑粉</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喷塑工序</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34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锌颗粒物、废锌丝</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喷锌工序</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废包装材料</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原料拆封</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废切削液</w:t>
            </w:r>
          </w:p>
        </w:tc>
        <w:tc>
          <w:tcPr>
            <w:tcW w:w="708" w:type="pct"/>
            <w:tcBorders>
              <w:top w:val="single" w:color="auto" w:sz="6" w:space="0"/>
              <w:bottom w:val="single" w:color="auto" w:sz="4" w:space="0"/>
            </w:tcBorders>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工、打孔</w:t>
            </w:r>
            <w:r>
              <w:rPr>
                <w:rFonts w:hint="eastAsia"/>
                <w:color w:val="auto"/>
                <w:szCs w:val="21"/>
                <w:lang w:eastAsia="zh-CN"/>
              </w:rPr>
              <w:t>、</w:t>
            </w:r>
            <w:r>
              <w:rPr>
                <w:rFonts w:hint="eastAsia"/>
                <w:color w:val="auto"/>
                <w:szCs w:val="21"/>
              </w:rPr>
              <w:t>精加工工序</w:t>
            </w:r>
          </w:p>
        </w:tc>
        <w:tc>
          <w:tcPr>
            <w:tcW w:w="1162" w:type="pct"/>
            <w:vMerge w:val="restart"/>
            <w:vAlign w:val="center"/>
          </w:tcPr>
          <w:p>
            <w:pPr>
              <w:contextualSpacing/>
              <w:jc w:val="center"/>
              <w:rPr>
                <w:rFonts w:hint="default" w:eastAsia="宋体"/>
                <w:color w:val="auto"/>
                <w:szCs w:val="21"/>
                <w:lang w:val="en-US" w:eastAsia="zh-CN"/>
              </w:rPr>
            </w:pPr>
            <w:r>
              <w:rPr>
                <w:rFonts w:hint="eastAsia"/>
                <w:color w:val="auto"/>
                <w:szCs w:val="21"/>
                <w:lang w:val="en-US" w:eastAsia="zh-CN"/>
              </w:rPr>
              <w:t>委托有资质单位处置</w:t>
            </w: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废润滑油</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设备维护</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rPr>
              <w:t>漆渣</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喷漆工序、</w:t>
            </w:r>
            <w:r>
              <w:rPr>
                <w:rFonts w:hint="default"/>
                <w:color w:val="auto"/>
                <w:szCs w:val="21"/>
              </w:rPr>
              <w:t>废气处理</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含漆废物</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喷漆工序、废气处理</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含漆废液</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喷漆清洗</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废过滤棉</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lang w:eastAsia="zh-CN"/>
              </w:rPr>
              <w:t>废气处理</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rPr>
              <w:t>废活性炭</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color w:val="auto"/>
                <w:szCs w:val="21"/>
              </w:rPr>
              <w:t>废气处理</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原料拆封</w:t>
            </w:r>
          </w:p>
        </w:tc>
        <w:tc>
          <w:tcPr>
            <w:tcW w:w="1162" w:type="pct"/>
            <w:vMerge w:val="continue"/>
            <w:vAlign w:val="center"/>
          </w:tcPr>
          <w:p>
            <w:pPr>
              <w:contextualSpacing/>
              <w:jc w:val="center"/>
              <w:rPr>
                <w:color w:val="auto"/>
                <w:szCs w:val="21"/>
              </w:rPr>
            </w:pP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废劳保用品</w:t>
            </w:r>
          </w:p>
        </w:tc>
        <w:tc>
          <w:tcPr>
            <w:tcW w:w="708" w:type="pct"/>
            <w:tcBorders>
              <w:top w:val="single" w:color="auto" w:sz="6" w:space="0"/>
              <w:bottom w:val="single" w:color="auto" w:sz="4" w:space="0"/>
            </w:tcBorders>
            <w:vAlign w:val="center"/>
          </w:tcPr>
          <w:p>
            <w:pPr>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设备维护</w:t>
            </w:r>
          </w:p>
        </w:tc>
        <w:tc>
          <w:tcPr>
            <w:tcW w:w="1162" w:type="pct"/>
            <w:vAlign w:val="center"/>
          </w:tcPr>
          <w:p>
            <w:pPr>
              <w:contextualSpacing/>
              <w:jc w:val="center"/>
              <w:rPr>
                <w:rFonts w:hint="default" w:eastAsia="宋体"/>
                <w:color w:val="auto"/>
                <w:szCs w:val="21"/>
                <w:lang w:val="en-US" w:eastAsia="zh-CN"/>
              </w:rPr>
            </w:pPr>
            <w:r>
              <w:rPr>
                <w:rFonts w:hint="eastAsia"/>
                <w:color w:val="auto"/>
                <w:szCs w:val="21"/>
                <w:lang w:val="en-US" w:eastAsia="zh-CN"/>
              </w:rPr>
              <w:t>混入生活垃圾的委托环卫部门清运</w:t>
            </w: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vMerge w:val="continue"/>
            <w:vAlign w:val="center"/>
          </w:tcPr>
          <w:p>
            <w:pPr>
              <w:snapToGrid w:val="0"/>
              <w:jc w:val="center"/>
              <w:rPr>
                <w:color w:val="auto"/>
                <w:szCs w:val="21"/>
              </w:rPr>
            </w:pPr>
          </w:p>
        </w:tc>
        <w:tc>
          <w:tcPr>
            <w:tcW w:w="857" w:type="pct"/>
            <w:gridSpan w:val="2"/>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生活垃圾</w:t>
            </w:r>
          </w:p>
        </w:tc>
        <w:tc>
          <w:tcPr>
            <w:tcW w:w="708" w:type="pct"/>
            <w:tcBorders>
              <w:top w:val="single" w:color="auto" w:sz="6" w:space="0"/>
              <w:bottom w:val="single" w:color="auto" w:sz="4" w:space="0"/>
            </w:tcBorders>
            <w:vAlign w:val="center"/>
          </w:tcPr>
          <w:p>
            <w:pPr>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员工日常生活</w:t>
            </w:r>
          </w:p>
        </w:tc>
        <w:tc>
          <w:tcPr>
            <w:tcW w:w="1162" w:type="pct"/>
            <w:vAlign w:val="center"/>
          </w:tcPr>
          <w:p>
            <w:pPr>
              <w:contextualSpacing/>
              <w:jc w:val="center"/>
              <w:rPr>
                <w:color w:val="auto"/>
                <w:szCs w:val="21"/>
              </w:rPr>
            </w:pPr>
            <w:r>
              <w:rPr>
                <w:rFonts w:hint="eastAsia"/>
                <w:color w:val="auto"/>
                <w:szCs w:val="21"/>
                <w:lang w:val="en-US" w:eastAsia="zh-CN"/>
              </w:rPr>
              <w:t>委托环卫部门清运</w:t>
            </w:r>
          </w:p>
        </w:tc>
        <w:tc>
          <w:tcPr>
            <w:tcW w:w="1775" w:type="pct"/>
            <w:vMerge w:val="continue"/>
            <w:vAlign w:val="center"/>
          </w:tcPr>
          <w:p>
            <w:pPr>
              <w:jc w:val="center"/>
              <w:rPr>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454" w:hRule="atLeast"/>
          <w:jc w:val="center"/>
        </w:trPr>
        <w:tc>
          <w:tcPr>
            <w:tcW w:w="497" w:type="pct"/>
            <w:tcBorders>
              <w:top w:val="single" w:color="auto" w:sz="6" w:space="0"/>
            </w:tcBorders>
            <w:vAlign w:val="center"/>
          </w:tcPr>
          <w:p>
            <w:pPr>
              <w:snapToGrid w:val="0"/>
              <w:jc w:val="center"/>
              <w:rPr>
                <w:color w:val="auto"/>
                <w:szCs w:val="21"/>
              </w:rPr>
            </w:pPr>
            <w:r>
              <w:rPr>
                <w:color w:val="auto"/>
                <w:szCs w:val="21"/>
              </w:rPr>
              <w:t>噪</w:t>
            </w:r>
          </w:p>
          <w:p>
            <w:pPr>
              <w:snapToGrid w:val="0"/>
              <w:jc w:val="center"/>
              <w:rPr>
                <w:color w:val="auto"/>
                <w:szCs w:val="21"/>
              </w:rPr>
            </w:pPr>
            <w:r>
              <w:rPr>
                <w:color w:val="auto"/>
                <w:szCs w:val="21"/>
              </w:rPr>
              <w:t>声</w:t>
            </w:r>
          </w:p>
        </w:tc>
        <w:tc>
          <w:tcPr>
            <w:tcW w:w="4502" w:type="pct"/>
            <w:gridSpan w:val="5"/>
            <w:tcBorders>
              <w:top w:val="single" w:color="auto" w:sz="6" w:space="0"/>
            </w:tcBorders>
            <w:vAlign w:val="center"/>
          </w:tcPr>
          <w:p>
            <w:pPr>
              <w:ind w:firstLine="420" w:firstLineChars="200"/>
              <w:rPr>
                <w:color w:val="auto"/>
                <w:szCs w:val="21"/>
              </w:rPr>
            </w:pPr>
            <w:r>
              <w:rPr>
                <w:rFonts w:hint="eastAsia"/>
                <w:color w:val="auto"/>
                <w:szCs w:val="21"/>
                <w:shd w:val="clear" w:color="auto" w:fill="FFFFFF"/>
              </w:rPr>
              <w:t>建设项目主要高噪声设备为</w:t>
            </w:r>
            <w:r>
              <w:rPr>
                <w:rFonts w:hint="eastAsia"/>
                <w:bCs/>
                <w:color w:val="auto"/>
                <w:szCs w:val="21"/>
              </w:rPr>
              <w:t>镗铣床、摇臂钻、喷砂室、抛丸室、喷漆房、风机、空压机组、水泵</w:t>
            </w:r>
            <w:r>
              <w:rPr>
                <w:rFonts w:hint="eastAsia"/>
                <w:color w:val="auto"/>
                <w:szCs w:val="21"/>
                <w:shd w:val="clear" w:color="auto" w:fill="FFFFFF"/>
              </w:rPr>
              <w:t>等设备运行噪声，经减振、隔声与距离衰减后，在经过隔声减振等措施和距离衰减之后，项目营运期厂界噪声排放可满足《工业企业厂界环境噪声排放标准》（GB12348-2008）中的</w:t>
            </w:r>
            <w:r>
              <w:rPr>
                <w:rFonts w:hint="eastAsia"/>
                <w:color w:val="auto"/>
                <w:szCs w:val="21"/>
                <w:shd w:val="clear" w:color="auto" w:fill="FFFFFF"/>
                <w:lang w:val="en-US" w:eastAsia="zh-CN"/>
              </w:rPr>
              <w:t>2</w:t>
            </w:r>
            <w:r>
              <w:rPr>
                <w:rFonts w:hint="eastAsia"/>
                <w:color w:val="auto"/>
                <w:szCs w:val="21"/>
                <w:shd w:val="clear" w:color="auto" w:fill="FFFFFF"/>
              </w:rPr>
              <w:t>类区限值，对环境影响较小。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506" w:hRule="atLeast"/>
          <w:jc w:val="center"/>
        </w:trPr>
        <w:tc>
          <w:tcPr>
            <w:tcW w:w="497" w:type="pct"/>
            <w:tcBorders>
              <w:top w:val="single" w:color="auto" w:sz="6" w:space="0"/>
              <w:bottom w:val="single" w:color="auto" w:sz="6" w:space="0"/>
            </w:tcBorders>
            <w:vAlign w:val="center"/>
          </w:tcPr>
          <w:p>
            <w:pPr>
              <w:snapToGrid w:val="0"/>
              <w:jc w:val="center"/>
              <w:rPr>
                <w:color w:val="auto"/>
                <w:szCs w:val="21"/>
              </w:rPr>
            </w:pPr>
            <w:r>
              <w:rPr>
                <w:color w:val="auto"/>
                <w:szCs w:val="21"/>
              </w:rPr>
              <w:t>其它</w:t>
            </w:r>
          </w:p>
        </w:tc>
        <w:tc>
          <w:tcPr>
            <w:tcW w:w="4502" w:type="pct"/>
            <w:gridSpan w:val="5"/>
            <w:tcBorders>
              <w:top w:val="single" w:color="auto" w:sz="6" w:space="0"/>
              <w:bottom w:val="single" w:color="auto" w:sz="6" w:space="0"/>
            </w:tcBorders>
            <w:vAlign w:val="center"/>
          </w:tcPr>
          <w:p>
            <w:pPr>
              <w:snapToGrid w:val="0"/>
              <w:ind w:firstLine="190" w:firstLineChars="100"/>
              <w:jc w:val="center"/>
              <w:rPr>
                <w:color w:val="auto"/>
                <w:szCs w:val="21"/>
              </w:rPr>
            </w:pPr>
            <w:r>
              <w:rPr>
                <w:color w:val="auto"/>
                <w:spacing w:val="-10"/>
                <w:szCs w:val="21"/>
              </w:rPr>
              <w:t>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1" w:type="dxa"/>
            <w:bottom w:w="0" w:type="dxa"/>
            <w:right w:w="51" w:type="dxa"/>
          </w:tblCellMar>
        </w:tblPrEx>
        <w:trPr>
          <w:trHeight w:val="706" w:hRule="atLeast"/>
          <w:jc w:val="center"/>
        </w:trPr>
        <w:tc>
          <w:tcPr>
            <w:tcW w:w="5000" w:type="pct"/>
            <w:gridSpan w:val="6"/>
            <w:tcBorders>
              <w:top w:val="single" w:color="auto" w:sz="6" w:space="0"/>
              <w:bottom w:val="single" w:color="auto" w:sz="12" w:space="0"/>
            </w:tcBorders>
          </w:tcPr>
          <w:p>
            <w:pPr>
              <w:spacing w:line="360" w:lineRule="auto"/>
              <w:rPr>
                <w:b/>
                <w:bCs/>
                <w:color w:val="auto"/>
                <w:szCs w:val="21"/>
              </w:rPr>
            </w:pPr>
            <w:r>
              <w:rPr>
                <w:b/>
                <w:bCs/>
                <w:color w:val="auto"/>
                <w:szCs w:val="21"/>
              </w:rPr>
              <w:t>生态保护措施及预期效果：</w:t>
            </w:r>
          </w:p>
          <w:p>
            <w:pPr>
              <w:spacing w:line="360" w:lineRule="auto"/>
              <w:ind w:firstLine="420" w:firstLineChars="200"/>
              <w:rPr>
                <w:b/>
                <w:bCs/>
                <w:color w:val="auto"/>
                <w:szCs w:val="21"/>
              </w:rPr>
            </w:pPr>
            <w:r>
              <w:rPr>
                <w:color w:val="auto"/>
                <w:szCs w:val="21"/>
              </w:rPr>
              <w:t>无</w:t>
            </w:r>
          </w:p>
        </w:tc>
      </w:tr>
    </w:tbl>
    <w:p>
      <w:pPr>
        <w:pStyle w:val="312"/>
        <w:rPr>
          <w:rFonts w:ascii="Times New Roman" w:hAnsi="Times New Roman"/>
          <w:color w:val="auto"/>
        </w:rPr>
      </w:pPr>
      <w:r>
        <w:rPr>
          <w:rFonts w:ascii="Times New Roman" w:hAnsi="Times New Roman"/>
          <w:color w:val="auto"/>
        </w:rPr>
        <w:t>结论与建议</w:t>
      </w:r>
    </w:p>
    <w:tbl>
      <w:tblPr>
        <w:tblStyle w:val="56"/>
        <w:tblW w:w="8533"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8485"/>
        <w:gridCol w:w="48"/>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gridAfter w:val="1"/>
          <w:wAfter w:w="48" w:type="dxa"/>
          <w:trHeight w:val="13140" w:hRule="atLeast"/>
          <w:jc w:val="center"/>
        </w:trPr>
        <w:tc>
          <w:tcPr>
            <w:tcW w:w="8485" w:type="dxa"/>
          </w:tcPr>
          <w:p>
            <w:pPr>
              <w:snapToGrid w:val="0"/>
              <w:rPr>
                <w:b/>
                <w:color w:val="auto"/>
                <w:sz w:val="10"/>
              </w:rPr>
            </w:pPr>
          </w:p>
          <w:p>
            <w:pPr>
              <w:spacing w:line="360" w:lineRule="auto"/>
              <w:ind w:firstLine="480" w:firstLineChars="200"/>
              <w:rPr>
                <w:b/>
                <w:color w:val="auto"/>
                <w:sz w:val="24"/>
              </w:rPr>
            </w:pPr>
            <w:r>
              <w:rPr>
                <w:b/>
                <w:color w:val="auto"/>
                <w:sz w:val="24"/>
              </w:rPr>
              <w:t>1、项目概况</w:t>
            </w:r>
          </w:p>
          <w:p>
            <w:pPr>
              <w:spacing w:line="360" w:lineRule="auto"/>
              <w:ind w:firstLine="480" w:firstLineChars="200"/>
              <w:rPr>
                <w:rFonts w:hint="eastAsia"/>
                <w:color w:val="auto"/>
                <w:kern w:val="0"/>
                <w:sz w:val="24"/>
                <w:szCs w:val="24"/>
                <w:lang w:eastAsia="zh-CN"/>
              </w:rPr>
            </w:pPr>
            <w:r>
              <w:rPr>
                <w:rFonts w:hint="eastAsia"/>
                <w:color w:val="auto"/>
                <w:kern w:val="0"/>
                <w:sz w:val="24"/>
                <w:szCs w:val="24"/>
                <w:lang w:eastAsia="zh-CN"/>
              </w:rPr>
              <w:t xml:space="preserve"> 常州旻昱智能科技有限公司成立于2019年06月14日，统一社会信用代码为91320413MA1YJJ312U，公司注册地址为常州市金坛区龙湖路2号，主要经营范围为：智能化设备、机电设备、电线电缆、电子控制组件、遥控遥测设备、电器控制系统、电源、仪器仪表的研发、生产、加工和销售:电机及零配件、机械设备及其零配件、五金交电的销售。(依法须经批准的项目， 经相关部门批准后方可开展经营活动)一般项目：喷涂加工，金属表面处理及热处理加工，金属加工机械制造;机械零件、零部件加工，产业用纺织制成品销售：产业用纺织制成品制造:家用纺织制成品制造;塑料制品制造(除依法须经批准的项目外，凭营业执照依法自主开展经营活动)。</w:t>
            </w:r>
          </w:p>
          <w:p>
            <w:pPr>
              <w:spacing w:line="360" w:lineRule="auto"/>
              <w:ind w:firstLine="480" w:firstLineChars="200"/>
              <w:rPr>
                <w:rFonts w:hint="eastAsia"/>
                <w:color w:val="auto"/>
                <w:sz w:val="24"/>
                <w:szCs w:val="24"/>
              </w:rPr>
            </w:pPr>
            <w:r>
              <w:rPr>
                <w:rFonts w:hint="eastAsia"/>
                <w:color w:val="auto"/>
                <w:sz w:val="24"/>
                <w:szCs w:val="24"/>
                <w:lang w:val="en-US" w:eastAsia="zh-CN"/>
              </w:rPr>
              <w:t>顺应市场发展的潮流</w:t>
            </w:r>
            <w:r>
              <w:rPr>
                <w:rFonts w:hint="eastAsia"/>
                <w:color w:val="auto"/>
                <w:sz w:val="24"/>
                <w:szCs w:val="24"/>
              </w:rPr>
              <w:t>，</w:t>
            </w:r>
            <w:r>
              <w:rPr>
                <w:rFonts w:hint="eastAsia"/>
                <w:color w:val="auto"/>
                <w:sz w:val="24"/>
                <w:szCs w:val="24"/>
                <w:lang w:eastAsia="zh-CN"/>
              </w:rPr>
              <w:t>常州旻昱智能科技有限公司</w:t>
            </w:r>
            <w:r>
              <w:rPr>
                <w:rFonts w:hint="eastAsia"/>
                <w:color w:val="auto"/>
                <w:sz w:val="24"/>
                <w:szCs w:val="24"/>
              </w:rPr>
              <w:t>计划投资</w:t>
            </w:r>
            <w:r>
              <w:rPr>
                <w:rFonts w:hint="eastAsia"/>
                <w:color w:val="auto"/>
                <w:sz w:val="24"/>
                <w:szCs w:val="24"/>
                <w:lang w:val="en-US" w:eastAsia="zh-CN"/>
              </w:rPr>
              <w:t>350</w:t>
            </w:r>
            <w:r>
              <w:rPr>
                <w:rFonts w:hint="eastAsia"/>
                <w:color w:val="auto"/>
                <w:sz w:val="24"/>
                <w:szCs w:val="24"/>
              </w:rPr>
              <w:t>万，购置</w:t>
            </w:r>
            <w:r>
              <w:rPr>
                <w:rFonts w:hint="eastAsia"/>
                <w:color w:val="auto"/>
                <w:sz w:val="24"/>
                <w:szCs w:val="24"/>
                <w:lang w:eastAsia="zh-CN"/>
              </w:rPr>
              <w:t>数控龙门镗铣床</w:t>
            </w:r>
            <w:r>
              <w:rPr>
                <w:rFonts w:hint="eastAsia"/>
                <w:color w:val="auto"/>
                <w:sz w:val="24"/>
                <w:szCs w:val="24"/>
              </w:rPr>
              <w:t>、</w:t>
            </w:r>
            <w:r>
              <w:rPr>
                <w:rFonts w:hint="eastAsia"/>
                <w:color w:val="auto"/>
                <w:sz w:val="24"/>
                <w:szCs w:val="24"/>
                <w:lang w:eastAsia="zh-CN"/>
              </w:rPr>
              <w:t>摇臂钻</w:t>
            </w:r>
            <w:r>
              <w:rPr>
                <w:rFonts w:hint="eastAsia"/>
                <w:color w:val="auto"/>
                <w:sz w:val="24"/>
                <w:szCs w:val="24"/>
              </w:rPr>
              <w:t>、</w:t>
            </w:r>
            <w:r>
              <w:rPr>
                <w:rFonts w:hint="eastAsia"/>
                <w:color w:val="auto"/>
                <w:sz w:val="24"/>
                <w:szCs w:val="24"/>
                <w:lang w:eastAsia="zh-CN"/>
              </w:rPr>
              <w:t>喷砂机</w:t>
            </w:r>
            <w:r>
              <w:rPr>
                <w:rFonts w:hint="eastAsia"/>
                <w:color w:val="auto"/>
                <w:sz w:val="24"/>
                <w:szCs w:val="24"/>
              </w:rPr>
              <w:t>、</w:t>
            </w:r>
            <w:r>
              <w:rPr>
                <w:rFonts w:hint="eastAsia"/>
                <w:color w:val="auto"/>
                <w:sz w:val="24"/>
                <w:szCs w:val="24"/>
                <w:lang w:val="en-US" w:eastAsia="zh-CN"/>
              </w:rPr>
              <w:t>抛丸机、喷漆房</w:t>
            </w:r>
            <w:r>
              <w:rPr>
                <w:rFonts w:hint="eastAsia"/>
                <w:color w:val="auto"/>
                <w:sz w:val="24"/>
                <w:szCs w:val="24"/>
                <w:lang w:eastAsia="zh-CN"/>
              </w:rPr>
              <w:t>等</w:t>
            </w:r>
            <w:r>
              <w:rPr>
                <w:rFonts w:hint="eastAsia"/>
                <w:color w:val="auto"/>
                <w:sz w:val="24"/>
                <w:szCs w:val="24"/>
              </w:rPr>
              <w:t>生产设备，租赁江苏</w:t>
            </w:r>
            <w:r>
              <w:rPr>
                <w:rFonts w:hint="eastAsia"/>
                <w:color w:val="auto"/>
                <w:sz w:val="24"/>
                <w:szCs w:val="24"/>
                <w:lang w:eastAsia="zh-CN"/>
              </w:rPr>
              <w:t>常州科荣经编有限公司</w:t>
            </w:r>
            <w:r>
              <w:rPr>
                <w:rFonts w:hint="eastAsia"/>
                <w:color w:val="auto"/>
                <w:sz w:val="24"/>
                <w:szCs w:val="24"/>
              </w:rPr>
              <w:t>的闲置厂房（建筑面积：2500m</w:t>
            </w:r>
            <w:r>
              <w:rPr>
                <w:rFonts w:hint="eastAsia"/>
                <w:color w:val="auto"/>
                <w:sz w:val="24"/>
                <w:szCs w:val="24"/>
                <w:vertAlign w:val="superscript"/>
              </w:rPr>
              <w:t>2</w:t>
            </w:r>
            <w:r>
              <w:rPr>
                <w:rFonts w:hint="eastAsia"/>
                <w:color w:val="auto"/>
                <w:sz w:val="24"/>
                <w:szCs w:val="24"/>
              </w:rPr>
              <w:t>）用于“年产5000件机械零部件项目”的生产活动。项目建成投产后，可年产5000件机械零部件。</w:t>
            </w:r>
          </w:p>
          <w:p>
            <w:pPr>
              <w:spacing w:line="360" w:lineRule="auto"/>
              <w:ind w:firstLine="480" w:firstLineChars="200"/>
              <w:rPr>
                <w:rFonts w:hint="eastAsia"/>
                <w:color w:val="auto"/>
                <w:sz w:val="24"/>
                <w:szCs w:val="24"/>
              </w:rPr>
            </w:pPr>
            <w:r>
              <w:rPr>
                <w:rFonts w:hint="eastAsia"/>
                <w:color w:val="auto"/>
                <w:sz w:val="24"/>
                <w:szCs w:val="24"/>
              </w:rPr>
              <w:t>本项目已于2020年9月14日取得江苏省金坛经济开发区科技经贸局关于《年产5000件机械零部件项目》(坛开科经备字[2020]212号)，项目编号为2020-320458-34-03-561370。</w:t>
            </w:r>
          </w:p>
          <w:p>
            <w:pPr>
              <w:spacing w:line="360" w:lineRule="auto"/>
              <w:ind w:firstLine="480" w:firstLineChars="200"/>
              <w:rPr>
                <w:b/>
                <w:bCs/>
                <w:color w:val="auto"/>
                <w:sz w:val="24"/>
              </w:rPr>
            </w:pPr>
            <w:r>
              <w:rPr>
                <w:b/>
                <w:bCs/>
                <w:color w:val="auto"/>
                <w:sz w:val="24"/>
              </w:rPr>
              <w:t>2、产业政策</w:t>
            </w:r>
            <w:r>
              <w:rPr>
                <w:rFonts w:hint="eastAsia"/>
                <w:b/>
                <w:bCs/>
                <w:color w:val="auto"/>
                <w:sz w:val="24"/>
              </w:rPr>
              <w:t>和相关文件相符性分析</w:t>
            </w:r>
          </w:p>
          <w:p>
            <w:pPr>
              <w:spacing w:line="360" w:lineRule="auto"/>
              <w:ind w:firstLine="480" w:firstLineChars="200"/>
              <w:rPr>
                <w:color w:val="auto"/>
                <w:sz w:val="24"/>
              </w:rPr>
            </w:pPr>
            <w:r>
              <w:rPr>
                <w:snapToGrid w:val="0"/>
                <w:color w:val="auto"/>
                <w:sz w:val="24"/>
              </w:rPr>
              <w:t>根据《产业结构调整指导目录（201</w:t>
            </w:r>
            <w:r>
              <w:rPr>
                <w:rFonts w:hint="eastAsia"/>
                <w:snapToGrid w:val="0"/>
                <w:color w:val="auto"/>
                <w:sz w:val="24"/>
              </w:rPr>
              <w:t>9</w:t>
            </w:r>
            <w:r>
              <w:rPr>
                <w:snapToGrid w:val="0"/>
                <w:color w:val="auto"/>
                <w:sz w:val="24"/>
              </w:rPr>
              <w:t>年本）》，本项目不属于</w:t>
            </w:r>
            <w:r>
              <w:rPr>
                <w:color w:val="auto"/>
                <w:sz w:val="24"/>
              </w:rPr>
              <w:t>其限制类或淘汰类项目，属于允许建设项目，因此，本项目的建设符合国家产业政策要求。</w:t>
            </w:r>
          </w:p>
          <w:p>
            <w:pPr>
              <w:spacing w:line="360" w:lineRule="auto"/>
              <w:ind w:firstLine="480" w:firstLineChars="200"/>
              <w:rPr>
                <w:b/>
                <w:color w:val="auto"/>
                <w:sz w:val="24"/>
                <w:szCs w:val="24"/>
              </w:rPr>
            </w:pPr>
            <w:r>
              <w:rPr>
                <w:color w:val="auto"/>
                <w:sz w:val="24"/>
                <w:szCs w:val="24"/>
              </w:rPr>
              <w:t>本项目位于金坛开发区内，选址符合土地利用规划，满足</w:t>
            </w:r>
            <w:r>
              <w:rPr>
                <w:bCs/>
                <w:color w:val="auto"/>
                <w:sz w:val="24"/>
                <w:szCs w:val="24"/>
              </w:rPr>
              <w:t>《江苏省生态红线区域保护规划》</w:t>
            </w:r>
            <w:r>
              <w:rPr>
                <w:rFonts w:hint="eastAsia"/>
                <w:bCs/>
                <w:color w:val="auto"/>
                <w:sz w:val="24"/>
                <w:szCs w:val="24"/>
              </w:rPr>
              <w:t>、</w:t>
            </w:r>
            <w:r>
              <w:rPr>
                <w:rFonts w:hint="eastAsia"/>
                <w:color w:val="auto"/>
                <w:sz w:val="24"/>
                <w:szCs w:val="24"/>
              </w:rPr>
              <w:t>《江苏省“三线一单”生态环境分区管控方案》（苏政发〔2020〕49号）</w:t>
            </w:r>
            <w:r>
              <w:rPr>
                <w:bCs/>
                <w:color w:val="auto"/>
                <w:sz w:val="24"/>
                <w:szCs w:val="24"/>
              </w:rPr>
              <w:t>要求，</w:t>
            </w:r>
            <w:r>
              <w:rPr>
                <w:color w:val="auto"/>
                <w:sz w:val="24"/>
                <w:szCs w:val="24"/>
              </w:rPr>
              <w:t>符合开发区产业定位，且项目的建设符合《江苏省“两减六治三提升”环保专项行动方案》，《“十三五”挥发性有机物污染防治工作方案》，《江苏省重点行业挥发性有机物污染控制指南》，《国务院关于印发打赢蓝天保卫战三年行动计划的通知》（国发〔2018〕22号），太湖流域管理条例等文件要求。</w:t>
            </w:r>
          </w:p>
          <w:p>
            <w:pPr>
              <w:spacing w:line="360" w:lineRule="auto"/>
              <w:ind w:firstLine="480" w:firstLineChars="200"/>
              <w:rPr>
                <w:b/>
                <w:bCs/>
                <w:color w:val="auto"/>
                <w:sz w:val="24"/>
              </w:rPr>
            </w:pPr>
            <w:r>
              <w:rPr>
                <w:b/>
                <w:bCs/>
                <w:color w:val="auto"/>
                <w:sz w:val="24"/>
              </w:rPr>
              <w:t>3、环境质量现状</w:t>
            </w:r>
          </w:p>
          <w:p>
            <w:pPr>
              <w:spacing w:line="360" w:lineRule="auto"/>
              <w:ind w:firstLine="480" w:firstLineChars="200"/>
              <w:rPr>
                <w:bCs/>
                <w:color w:val="auto"/>
                <w:sz w:val="24"/>
              </w:rPr>
            </w:pPr>
            <w:r>
              <w:rPr>
                <w:bCs/>
                <w:color w:val="auto"/>
                <w:sz w:val="24"/>
              </w:rPr>
              <w:t>（1）地表水环境质量现状</w:t>
            </w:r>
          </w:p>
          <w:p>
            <w:pPr>
              <w:spacing w:line="360" w:lineRule="auto"/>
              <w:ind w:firstLine="480" w:firstLineChars="200"/>
              <w:rPr>
                <w:color w:val="auto"/>
                <w:sz w:val="24"/>
                <w:szCs w:val="24"/>
              </w:rPr>
            </w:pPr>
            <w:r>
              <w:rPr>
                <w:color w:val="auto"/>
                <w:sz w:val="24"/>
                <w:szCs w:val="24"/>
              </w:rPr>
              <w:t>尧塘河水质满足《地表水环境质量标准》（GB3838-2002）中</w:t>
            </w:r>
            <w:r>
              <w:rPr>
                <w:rFonts w:hint="eastAsia" w:ascii="宋体" w:hAnsi="宋体" w:cs="宋体"/>
                <w:color w:val="auto"/>
                <w:sz w:val="24"/>
                <w:szCs w:val="24"/>
              </w:rPr>
              <w:t>Ⅳ</w:t>
            </w:r>
            <w:r>
              <w:rPr>
                <w:color w:val="auto"/>
                <w:sz w:val="24"/>
                <w:szCs w:val="24"/>
              </w:rPr>
              <w:t>类标准，水质良好。</w:t>
            </w:r>
          </w:p>
          <w:p>
            <w:pPr>
              <w:spacing w:line="360" w:lineRule="auto"/>
              <w:ind w:firstLine="480" w:firstLineChars="200"/>
              <w:rPr>
                <w:bCs/>
                <w:color w:val="auto"/>
                <w:sz w:val="24"/>
              </w:rPr>
            </w:pPr>
            <w:r>
              <w:rPr>
                <w:bCs/>
                <w:color w:val="auto"/>
                <w:sz w:val="24"/>
              </w:rPr>
              <w:t>（2）环境空气质量现状</w:t>
            </w:r>
          </w:p>
          <w:p>
            <w:pPr>
              <w:spacing w:line="360" w:lineRule="auto"/>
              <w:ind w:firstLine="480" w:firstLineChars="200"/>
              <w:jc w:val="left"/>
              <w:rPr>
                <w:color w:val="auto"/>
                <w:sz w:val="24"/>
                <w:szCs w:val="24"/>
              </w:rPr>
            </w:pPr>
            <w:r>
              <w:rPr>
                <w:rFonts w:hint="eastAsia"/>
                <w:color w:val="auto"/>
                <w:sz w:val="24"/>
                <w:szCs w:val="24"/>
              </w:rPr>
              <w:t>2</w:t>
            </w:r>
            <w:r>
              <w:rPr>
                <w:color w:val="auto"/>
                <w:sz w:val="24"/>
                <w:szCs w:val="24"/>
              </w:rPr>
              <w:t>019年常州市环境空气中SO</w:t>
            </w:r>
            <w:r>
              <w:rPr>
                <w:color w:val="auto"/>
                <w:sz w:val="24"/>
                <w:szCs w:val="24"/>
                <w:vertAlign w:val="subscript"/>
              </w:rPr>
              <w:t>2</w:t>
            </w:r>
            <w:r>
              <w:rPr>
                <w:color w:val="auto"/>
                <w:sz w:val="24"/>
                <w:szCs w:val="24"/>
              </w:rPr>
              <w:t>年平均值、NO</w:t>
            </w:r>
            <w:r>
              <w:rPr>
                <w:color w:val="auto"/>
                <w:sz w:val="24"/>
                <w:szCs w:val="24"/>
                <w:vertAlign w:val="subscript"/>
              </w:rPr>
              <w:t>2</w:t>
            </w:r>
            <w:r>
              <w:rPr>
                <w:color w:val="auto"/>
                <w:sz w:val="24"/>
                <w:szCs w:val="24"/>
              </w:rPr>
              <w:t>年平均值、PM</w:t>
            </w:r>
            <w:r>
              <w:rPr>
                <w:color w:val="auto"/>
                <w:sz w:val="24"/>
                <w:szCs w:val="24"/>
                <w:vertAlign w:val="subscript"/>
              </w:rPr>
              <w:t>10</w:t>
            </w:r>
            <w:r>
              <w:rPr>
                <w:color w:val="auto"/>
                <w:sz w:val="24"/>
                <w:szCs w:val="24"/>
              </w:rPr>
              <w:t>年平均值和 CO</w:t>
            </w:r>
            <w:r>
              <w:rPr>
                <w:rFonts w:hint="eastAsia"/>
                <w:color w:val="auto"/>
                <w:sz w:val="24"/>
                <w:szCs w:val="24"/>
              </w:rPr>
              <w:t>的</w:t>
            </w:r>
            <w:r>
              <w:rPr>
                <w:color w:val="auto"/>
                <w:sz w:val="24"/>
                <w:szCs w:val="24"/>
              </w:rPr>
              <w:t>24小时滑动平均值的第</w:t>
            </w:r>
            <w:r>
              <w:rPr>
                <w:rFonts w:hint="eastAsia"/>
                <w:color w:val="auto"/>
                <w:sz w:val="24"/>
                <w:szCs w:val="24"/>
              </w:rPr>
              <w:t>95</w:t>
            </w:r>
            <w:r>
              <w:rPr>
                <w:color w:val="auto"/>
                <w:sz w:val="24"/>
                <w:szCs w:val="24"/>
              </w:rPr>
              <w:t>百分位数《环境空气质量标准》（GB3095-2012）中二级标准， PM</w:t>
            </w:r>
            <w:r>
              <w:rPr>
                <w:color w:val="auto"/>
                <w:sz w:val="24"/>
                <w:szCs w:val="24"/>
                <w:vertAlign w:val="subscript"/>
              </w:rPr>
              <w:t>2.5</w:t>
            </w:r>
            <w:r>
              <w:rPr>
                <w:color w:val="auto"/>
                <w:sz w:val="24"/>
                <w:szCs w:val="24"/>
              </w:rPr>
              <w:t>年平均值和O</w:t>
            </w:r>
            <w:r>
              <w:rPr>
                <w:color w:val="auto"/>
                <w:sz w:val="24"/>
                <w:szCs w:val="24"/>
                <w:vertAlign w:val="subscript"/>
              </w:rPr>
              <w:t>3</w:t>
            </w:r>
            <w:r>
              <w:rPr>
                <w:color w:val="auto"/>
                <w:sz w:val="24"/>
                <w:szCs w:val="24"/>
              </w:rPr>
              <w:t>日最大8小时滑动平均值的第90百分位数超过《环境空气质量标准》（GB3095-2012）中二级标准，因此判定为非达标区域。</w:t>
            </w:r>
          </w:p>
          <w:p>
            <w:pPr>
              <w:spacing w:line="360" w:lineRule="auto"/>
              <w:ind w:firstLine="480" w:firstLineChars="200"/>
              <w:rPr>
                <w:bCs/>
                <w:color w:val="auto"/>
                <w:sz w:val="24"/>
              </w:rPr>
            </w:pPr>
            <w:r>
              <w:rPr>
                <w:color w:val="auto"/>
                <w:sz w:val="24"/>
              </w:rPr>
              <w:t>根据</w:t>
            </w:r>
            <w:r>
              <w:rPr>
                <w:rFonts w:hint="eastAsia"/>
                <w:color w:val="auto"/>
                <w:sz w:val="24"/>
              </w:rPr>
              <w:t>《2020年金坛经济开发区打好污染防治攻坚战工作方案》</w:t>
            </w:r>
            <w:r>
              <w:rPr>
                <w:color w:val="auto"/>
                <w:sz w:val="24"/>
              </w:rPr>
              <w:t>，通过</w:t>
            </w:r>
            <w:r>
              <w:rPr>
                <w:color w:val="auto"/>
                <w:sz w:val="24"/>
                <w:szCs w:val="24"/>
              </w:rPr>
              <w:t>加强重点行业治理改造</w:t>
            </w:r>
            <w:r>
              <w:rPr>
                <w:rFonts w:hint="eastAsia"/>
                <w:color w:val="auto"/>
                <w:sz w:val="24"/>
                <w:szCs w:val="24"/>
              </w:rPr>
              <w:t>，</w:t>
            </w:r>
            <w:r>
              <w:rPr>
                <w:color w:val="auto"/>
                <w:sz w:val="24"/>
                <w:szCs w:val="24"/>
              </w:rPr>
              <w:t>严格管控各类扬尘</w:t>
            </w:r>
            <w:r>
              <w:rPr>
                <w:rFonts w:hint="eastAsia"/>
                <w:color w:val="auto"/>
                <w:sz w:val="24"/>
              </w:rPr>
              <w:t>、</w:t>
            </w:r>
            <w:r>
              <w:rPr>
                <w:color w:val="auto"/>
                <w:sz w:val="24"/>
                <w:szCs w:val="24"/>
              </w:rPr>
              <w:t>深化VOCs专项治理</w:t>
            </w:r>
            <w:r>
              <w:rPr>
                <w:rFonts w:hint="eastAsia"/>
                <w:color w:val="auto"/>
                <w:sz w:val="24"/>
                <w:szCs w:val="24"/>
              </w:rPr>
              <w:t>、</w:t>
            </w:r>
            <w:r>
              <w:rPr>
                <w:color w:val="auto"/>
                <w:sz w:val="24"/>
                <w:szCs w:val="24"/>
              </w:rPr>
              <w:t>加强秸秆禁烧和综合利用</w:t>
            </w:r>
            <w:r>
              <w:rPr>
                <w:rFonts w:hint="eastAsia"/>
                <w:color w:val="auto"/>
                <w:sz w:val="24"/>
                <w:szCs w:val="24"/>
              </w:rPr>
              <w:t>、</w:t>
            </w:r>
            <w:r>
              <w:rPr>
                <w:color w:val="auto"/>
                <w:sz w:val="24"/>
                <w:szCs w:val="24"/>
              </w:rPr>
              <w:t>加强面源污染控制</w:t>
            </w:r>
            <w:r>
              <w:rPr>
                <w:rFonts w:hint="eastAsia"/>
                <w:color w:val="auto"/>
                <w:sz w:val="24"/>
                <w:szCs w:val="24"/>
              </w:rPr>
              <w:t>和</w:t>
            </w:r>
            <w:r>
              <w:rPr>
                <w:color w:val="auto"/>
                <w:sz w:val="24"/>
                <w:szCs w:val="24"/>
              </w:rPr>
              <w:t>加强重污染天气防范应对</w:t>
            </w:r>
            <w:r>
              <w:rPr>
                <w:rFonts w:hint="eastAsia"/>
                <w:color w:val="auto"/>
                <w:sz w:val="24"/>
                <w:szCs w:val="24"/>
              </w:rPr>
              <w:t>等</w:t>
            </w:r>
            <w:r>
              <w:rPr>
                <w:color w:val="auto"/>
                <w:sz w:val="24"/>
              </w:rPr>
              <w:t>污染防治</w:t>
            </w:r>
            <w:r>
              <w:rPr>
                <w:rFonts w:hint="eastAsia"/>
                <w:color w:val="auto"/>
                <w:sz w:val="24"/>
              </w:rPr>
              <w:t>措施</w:t>
            </w:r>
            <w:r>
              <w:rPr>
                <w:color w:val="auto"/>
                <w:sz w:val="24"/>
              </w:rPr>
              <w:t>，大气环境质量状况可以得到进一步改善</w:t>
            </w:r>
            <w:r>
              <w:rPr>
                <w:bCs/>
                <w:color w:val="auto"/>
                <w:sz w:val="24"/>
              </w:rPr>
              <w:t>。</w:t>
            </w:r>
          </w:p>
          <w:p>
            <w:pPr>
              <w:spacing w:line="360" w:lineRule="auto"/>
              <w:ind w:firstLine="480" w:firstLineChars="200"/>
              <w:rPr>
                <w:bCs/>
                <w:color w:val="auto"/>
                <w:sz w:val="24"/>
              </w:rPr>
            </w:pPr>
            <w:r>
              <w:rPr>
                <w:bCs/>
                <w:color w:val="auto"/>
                <w:sz w:val="24"/>
              </w:rPr>
              <w:t>（3）</w:t>
            </w:r>
            <w:r>
              <w:rPr>
                <w:rFonts w:hint="eastAsia"/>
                <w:bCs/>
                <w:color w:val="auto"/>
                <w:sz w:val="24"/>
              </w:rPr>
              <w:t>声环境</w:t>
            </w:r>
            <w:r>
              <w:rPr>
                <w:bCs/>
                <w:color w:val="auto"/>
                <w:sz w:val="24"/>
              </w:rPr>
              <w:t>现状</w:t>
            </w:r>
          </w:p>
          <w:p>
            <w:pPr>
              <w:spacing w:line="360" w:lineRule="auto"/>
              <w:ind w:firstLine="480" w:firstLineChars="200"/>
              <w:rPr>
                <w:bCs/>
                <w:color w:val="auto"/>
                <w:sz w:val="24"/>
              </w:rPr>
            </w:pPr>
            <w:r>
              <w:rPr>
                <w:bCs/>
                <w:color w:val="auto"/>
                <w:sz w:val="24"/>
              </w:rPr>
              <w:t>项目所在地各厂界</w:t>
            </w:r>
            <w:r>
              <w:rPr>
                <w:rFonts w:hint="eastAsia"/>
                <w:bCs/>
                <w:color w:val="auto"/>
                <w:sz w:val="24"/>
              </w:rPr>
              <w:t>声环境质量</w:t>
            </w:r>
            <w:r>
              <w:rPr>
                <w:bCs/>
                <w:color w:val="auto"/>
                <w:sz w:val="24"/>
              </w:rPr>
              <w:t>监测</w:t>
            </w:r>
            <w:r>
              <w:rPr>
                <w:rFonts w:hint="eastAsia"/>
                <w:bCs/>
                <w:color w:val="auto"/>
                <w:sz w:val="24"/>
              </w:rPr>
              <w:t>值</w:t>
            </w:r>
            <w:r>
              <w:rPr>
                <w:bCs/>
                <w:color w:val="auto"/>
                <w:sz w:val="24"/>
              </w:rPr>
              <w:t>均满足《声环境质量标准》（GB3096-2008）中</w:t>
            </w:r>
            <w:r>
              <w:rPr>
                <w:rFonts w:hint="eastAsia"/>
                <w:bCs/>
                <w:color w:val="auto"/>
                <w:sz w:val="24"/>
                <w:lang w:val="en-US" w:eastAsia="zh-CN"/>
              </w:rPr>
              <w:t>2</w:t>
            </w:r>
            <w:r>
              <w:rPr>
                <w:bCs/>
                <w:color w:val="auto"/>
                <w:sz w:val="24"/>
              </w:rPr>
              <w:t>类声环境功能区环境噪声限值要求</w:t>
            </w:r>
            <w:r>
              <w:rPr>
                <w:rFonts w:hint="eastAsia"/>
                <w:bCs/>
                <w:color w:val="auto"/>
                <w:sz w:val="24"/>
                <w:lang w:eastAsia="zh-CN"/>
              </w:rPr>
              <w:t>，</w:t>
            </w:r>
            <w:r>
              <w:rPr>
                <w:rFonts w:hint="eastAsia"/>
                <w:bCs/>
                <w:color w:val="auto"/>
                <w:sz w:val="24"/>
              </w:rPr>
              <w:t>项目周边声环境质量良好</w:t>
            </w:r>
            <w:r>
              <w:rPr>
                <w:bCs/>
                <w:color w:val="auto"/>
                <w:sz w:val="24"/>
              </w:rPr>
              <w:t>。</w:t>
            </w:r>
          </w:p>
          <w:p>
            <w:pPr>
              <w:spacing w:line="360" w:lineRule="auto"/>
              <w:ind w:firstLine="480" w:firstLineChars="200"/>
              <w:rPr>
                <w:b/>
                <w:bCs/>
                <w:color w:val="auto"/>
                <w:sz w:val="24"/>
              </w:rPr>
            </w:pPr>
            <w:r>
              <w:rPr>
                <w:b/>
                <w:bCs/>
                <w:color w:val="auto"/>
                <w:sz w:val="24"/>
              </w:rPr>
              <w:t>4、</w:t>
            </w:r>
            <w:r>
              <w:rPr>
                <w:b/>
                <w:color w:val="auto"/>
                <w:sz w:val="24"/>
              </w:rPr>
              <w:t>污染物产生及达标排放情况</w:t>
            </w:r>
          </w:p>
          <w:p>
            <w:pPr>
              <w:spacing w:line="360" w:lineRule="auto"/>
              <w:ind w:firstLine="470" w:firstLineChars="196"/>
              <w:rPr>
                <w:color w:val="auto"/>
                <w:sz w:val="24"/>
              </w:rPr>
            </w:pPr>
            <w:r>
              <w:rPr>
                <w:color w:val="auto"/>
                <w:sz w:val="24"/>
              </w:rPr>
              <w:t>（1）废气</w:t>
            </w:r>
          </w:p>
          <w:p>
            <w:pPr>
              <w:autoSpaceDE w:val="0"/>
              <w:autoSpaceDN w:val="0"/>
              <w:adjustRightInd w:val="0"/>
              <w:spacing w:line="360" w:lineRule="auto"/>
              <w:ind w:firstLine="480" w:firstLineChars="200"/>
              <w:rPr>
                <w:rFonts w:hint="default" w:eastAsia="宋体"/>
                <w:b w:val="0"/>
                <w:bCs w:val="0"/>
                <w:color w:val="auto"/>
                <w:sz w:val="24"/>
                <w:szCs w:val="22"/>
                <w:lang w:val="en-US" w:eastAsia="zh-CN"/>
              </w:rPr>
            </w:pPr>
            <w:r>
              <w:rPr>
                <w:rFonts w:hint="eastAsia"/>
                <w:b w:val="0"/>
                <w:bCs w:val="0"/>
                <w:color w:val="auto"/>
                <w:sz w:val="24"/>
                <w:szCs w:val="22"/>
                <w:lang w:val="en-US" w:eastAsia="zh-CN"/>
              </w:rPr>
              <w:t>加工粉尘经各自带的引风装置和布袋除尘器处理后经15m排气筒DA001高空排放，排放速率为0.102kg/h&lt;3.5kg/h，排放浓度为2.55mg/m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&lt;120mg/m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，满足《大气污染物综合排放标准》（GB 16297-1996）表2中相应标准限值；喷塑工序产生的颗粒物经</w:t>
            </w:r>
            <w:r>
              <w:rPr>
                <w:rFonts w:hint="eastAsia"/>
                <w:color w:val="auto"/>
                <w:sz w:val="24"/>
                <w:szCs w:val="22"/>
              </w:rPr>
              <w:t>带滤简除尘设施处理后</w:t>
            </w:r>
            <w:r>
              <w:rPr>
                <w:rFonts w:hint="eastAsia"/>
                <w:color w:val="auto"/>
                <w:sz w:val="24"/>
                <w:szCs w:val="22"/>
                <w:lang w:eastAsia="zh-CN"/>
              </w:rPr>
              <w:t>，</w:t>
            </w:r>
            <w:r>
              <w:rPr>
                <w:rFonts w:hint="eastAsia"/>
                <w:color w:val="auto"/>
                <w:sz w:val="24"/>
                <w:szCs w:val="22"/>
                <w:lang w:val="en-US" w:eastAsia="zh-CN"/>
              </w:rPr>
              <w:t>与经二级活性炭吸附装置处理的固化废气非甲烷总烃经15m高排气筒DA002排放，颗粒物</w:t>
            </w:r>
            <w:r>
              <w:rPr>
                <w:rFonts w:hint="eastAsia"/>
                <w:b w:val="0"/>
                <w:bCs w:val="0"/>
                <w:color w:val="auto"/>
                <w:sz w:val="24"/>
                <w:szCs w:val="22"/>
                <w:lang w:val="en-US" w:eastAsia="zh-CN"/>
              </w:rPr>
              <w:t>排放速率为0.011kg/h，排放浓度为2.2mg/m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&lt;20mg/m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，非甲烷总烃排放速率为0.004kg/h，排放浓度为0.8mg/m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&lt;60mg/m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，满足《合成树脂工业污染物排放标准》（GB 31572-2015）表5中标准限值</w:t>
            </w:r>
            <w:r>
              <w:rPr>
                <w:rFonts w:hint="eastAsia"/>
                <w:color w:val="auto"/>
                <w:sz w:val="24"/>
                <w:szCs w:val="22"/>
                <w:lang w:val="en-US" w:eastAsia="zh-CN"/>
              </w:rPr>
              <w:t>；喷锌废气经布袋除尘器处理后，喷漆房废气经干式喷漆柜+二级活性炭吸附装置处理后，共同通过15m高排气筒DA003高空排放，颗粒物</w:t>
            </w:r>
            <w:r>
              <w:rPr>
                <w:rFonts w:hint="eastAsia"/>
                <w:b w:val="0"/>
                <w:bCs w:val="0"/>
                <w:color w:val="auto"/>
                <w:sz w:val="24"/>
                <w:szCs w:val="22"/>
                <w:lang w:val="en-US" w:eastAsia="zh-CN"/>
              </w:rPr>
              <w:t>排放速率为0.055kg/h&lt;3.5kg/h，排放浓度为1.1mg/m</w:t>
            </w:r>
            <w:r>
              <w:rPr>
                <w:rFonts w:hint="eastAsia"/>
                <w:b w:val="0"/>
                <w:bCs w:val="0"/>
                <w:color w:val="auto"/>
                <w:sz w:val="24"/>
                <w:szCs w:val="22"/>
                <w:vertAlign w:val="superscript"/>
                <w:lang w:val="en-US" w:eastAsia="zh-CN"/>
              </w:rPr>
              <w:t>3</w:t>
            </w:r>
            <w:r>
              <w:rPr>
                <w:rFonts w:hint="eastAsia"/>
                <w:b w:val="0"/>
                <w:bCs w:val="0"/>
                <w:color w:val="auto"/>
                <w:sz w:val="24"/>
                <w:szCs w:val="22"/>
                <w:lang w:val="en-US" w:eastAsia="zh-CN"/>
              </w:rPr>
              <w:t>&lt;120mg/m</w:t>
            </w:r>
            <w:r>
              <w:rPr>
                <w:rFonts w:hint="eastAsia"/>
                <w:b w:val="0"/>
                <w:bCs w:val="0"/>
                <w:color w:val="auto"/>
                <w:sz w:val="24"/>
                <w:szCs w:val="22"/>
                <w:vertAlign w:val="superscript"/>
                <w:lang w:val="en-US" w:eastAsia="zh-CN"/>
              </w:rPr>
              <w:t>3</w:t>
            </w:r>
            <w:r>
              <w:rPr>
                <w:rFonts w:hint="eastAsia"/>
                <w:color w:val="auto"/>
                <w:sz w:val="24"/>
                <w:szCs w:val="22"/>
                <w:lang w:val="en-US" w:eastAsia="zh-CN"/>
              </w:rPr>
              <w:t>，满足《大气污染物综合排放标准》（GB 16297-1996）表2中相应标准限值，非甲烷总烃排放速率为0.15kg/h&lt;1.5kg/h，排放浓度为3mg/</w:t>
            </w:r>
            <w:r>
              <w:rPr>
                <w:rFonts w:hint="eastAsia"/>
                <w:b w:val="0"/>
                <w:bCs w:val="0"/>
                <w:color w:val="auto"/>
                <w:sz w:val="24"/>
                <w:szCs w:val="22"/>
                <w:lang w:val="en-US" w:eastAsia="zh-CN"/>
              </w:rPr>
              <w:t>m</w:t>
            </w:r>
            <w:r>
              <w:rPr>
                <w:rFonts w:hint="eastAsia"/>
                <w:b w:val="0"/>
                <w:bCs w:val="0"/>
                <w:color w:val="auto"/>
                <w:sz w:val="24"/>
                <w:szCs w:val="22"/>
                <w:vertAlign w:val="superscript"/>
                <w:lang w:val="en-US" w:eastAsia="zh-CN"/>
              </w:rPr>
              <w:t>3</w:t>
            </w:r>
            <w:r>
              <w:rPr>
                <w:rFonts w:hint="eastAsia"/>
                <w:color w:val="auto"/>
                <w:sz w:val="24"/>
                <w:szCs w:val="22"/>
                <w:lang w:val="en-US" w:eastAsia="zh-CN"/>
              </w:rPr>
              <w:t>&lt;50mg/</w:t>
            </w:r>
            <w:r>
              <w:rPr>
                <w:rFonts w:hint="eastAsia"/>
                <w:b w:val="0"/>
                <w:bCs w:val="0"/>
                <w:color w:val="auto"/>
                <w:sz w:val="24"/>
                <w:szCs w:val="22"/>
                <w:lang w:val="en-US" w:eastAsia="zh-CN"/>
              </w:rPr>
              <w:t>m</w:t>
            </w:r>
            <w:r>
              <w:rPr>
                <w:rFonts w:hint="eastAsia"/>
                <w:b w:val="0"/>
                <w:bCs w:val="0"/>
                <w:color w:val="auto"/>
                <w:sz w:val="24"/>
                <w:szCs w:val="22"/>
                <w:vertAlign w:val="superscript"/>
                <w:lang w:val="en-US" w:eastAsia="zh-CN"/>
              </w:rPr>
              <w:t>3</w:t>
            </w:r>
            <w:r>
              <w:rPr>
                <w:rFonts w:hint="eastAsia"/>
                <w:color w:val="auto"/>
                <w:sz w:val="24"/>
                <w:szCs w:val="22"/>
                <w:lang w:val="en-US" w:eastAsia="zh-CN"/>
              </w:rPr>
              <w:t>，满足《工业企业挥发性有机物排放控制标准》（DB12/524-2020）表1中“表面涂装行业 TRVOC”标准限值。</w:t>
            </w:r>
          </w:p>
          <w:p>
            <w:pPr>
              <w:spacing w:line="360" w:lineRule="auto"/>
              <w:ind w:firstLine="480" w:firstLineChars="200"/>
              <w:rPr>
                <w:bCs/>
                <w:color w:val="auto"/>
                <w:sz w:val="24"/>
                <w:szCs w:val="22"/>
              </w:rPr>
            </w:pPr>
            <w:r>
              <w:rPr>
                <w:bCs/>
                <w:color w:val="auto"/>
                <w:sz w:val="24"/>
                <w:szCs w:val="22"/>
              </w:rPr>
              <w:t>（2）废水</w:t>
            </w:r>
          </w:p>
          <w:p>
            <w:pPr>
              <w:spacing w:line="360" w:lineRule="auto"/>
              <w:ind w:firstLine="480" w:firstLineChars="200"/>
              <w:rPr>
                <w:rFonts w:hint="eastAsia"/>
                <w:bCs/>
                <w:color w:val="auto"/>
                <w:sz w:val="24"/>
                <w:szCs w:val="22"/>
                <w:lang w:eastAsia="zh-CN"/>
              </w:rPr>
            </w:pPr>
            <w:r>
              <w:rPr>
                <w:rFonts w:hint="eastAsia"/>
                <w:bCs/>
                <w:color w:val="auto"/>
                <w:sz w:val="24"/>
                <w:szCs w:val="22"/>
                <w:lang w:val="en-US" w:eastAsia="zh-CN"/>
              </w:rPr>
              <w:t>运营期，</w:t>
            </w:r>
            <w:r>
              <w:rPr>
                <w:rFonts w:hint="eastAsia"/>
                <w:bCs/>
                <w:color w:val="auto"/>
                <w:sz w:val="24"/>
                <w:szCs w:val="22"/>
              </w:rPr>
              <w:t>生产工序中清洗用水经隔油+气浮一体设备处理后循环使用，不外排</w:t>
            </w:r>
            <w:r>
              <w:rPr>
                <w:rFonts w:hint="eastAsia"/>
                <w:bCs/>
                <w:color w:val="auto"/>
                <w:sz w:val="24"/>
                <w:szCs w:val="22"/>
                <w:lang w:eastAsia="zh-CN"/>
              </w:rPr>
              <w:t>；</w:t>
            </w:r>
          </w:p>
          <w:p>
            <w:pPr>
              <w:spacing w:line="360" w:lineRule="auto"/>
              <w:ind w:firstLine="480" w:firstLineChars="200"/>
              <w:rPr>
                <w:bCs/>
                <w:color w:val="auto"/>
                <w:sz w:val="24"/>
                <w:szCs w:val="22"/>
              </w:rPr>
            </w:pPr>
            <w:r>
              <w:rPr>
                <w:bCs/>
                <w:color w:val="auto"/>
                <w:sz w:val="24"/>
                <w:szCs w:val="22"/>
              </w:rPr>
              <w:t>厂区排水“雨污分流”，雨水依托</w:t>
            </w:r>
            <w:r>
              <w:rPr>
                <w:rFonts w:hint="eastAsia"/>
                <w:color w:val="auto"/>
                <w:kern w:val="0"/>
                <w:sz w:val="24"/>
                <w:szCs w:val="22"/>
              </w:rPr>
              <w:t>厂区</w:t>
            </w:r>
            <w:r>
              <w:rPr>
                <w:bCs/>
                <w:color w:val="auto"/>
                <w:sz w:val="24"/>
                <w:szCs w:val="22"/>
              </w:rPr>
              <w:t>现有雨水管网收集后，排入当地市政雨水管网，最终汇入附近河流。</w:t>
            </w:r>
          </w:p>
          <w:p>
            <w:pPr>
              <w:spacing w:line="360" w:lineRule="auto"/>
              <w:ind w:firstLine="480" w:firstLineChars="200"/>
              <w:rPr>
                <w:color w:val="auto"/>
                <w:sz w:val="24"/>
              </w:rPr>
            </w:pPr>
            <w:r>
              <w:rPr>
                <w:bCs/>
                <w:color w:val="auto"/>
                <w:sz w:val="24"/>
                <w:szCs w:val="22"/>
              </w:rPr>
              <w:t>本项目职工生活污水（</w:t>
            </w:r>
            <w:r>
              <w:rPr>
                <w:rFonts w:hint="eastAsia"/>
                <w:bCs/>
                <w:color w:val="auto"/>
                <w:sz w:val="24"/>
                <w:szCs w:val="22"/>
                <w:lang w:val="en-US" w:eastAsia="zh-CN"/>
              </w:rPr>
              <w:t>120</w:t>
            </w:r>
            <w:r>
              <w:rPr>
                <w:rFonts w:hint="eastAsia"/>
                <w:bCs/>
                <w:color w:val="auto"/>
                <w:sz w:val="24"/>
                <w:szCs w:val="22"/>
              </w:rPr>
              <w:t>t</w:t>
            </w:r>
            <w:r>
              <w:rPr>
                <w:bCs/>
                <w:color w:val="auto"/>
                <w:sz w:val="24"/>
                <w:szCs w:val="22"/>
              </w:rPr>
              <w:t>/a）</w:t>
            </w:r>
            <w:r>
              <w:rPr>
                <w:rFonts w:hint="eastAsia"/>
                <w:bCs/>
                <w:color w:val="auto"/>
                <w:sz w:val="24"/>
                <w:szCs w:val="22"/>
              </w:rPr>
              <w:t>经化粪池预处理后</w:t>
            </w:r>
            <w:r>
              <w:rPr>
                <w:bCs/>
                <w:color w:val="auto"/>
                <w:sz w:val="24"/>
                <w:szCs w:val="22"/>
              </w:rPr>
              <w:t>，</w:t>
            </w:r>
            <w:r>
              <w:rPr>
                <w:rFonts w:hint="eastAsia"/>
                <w:bCs/>
                <w:color w:val="auto"/>
                <w:sz w:val="24"/>
                <w:szCs w:val="22"/>
              </w:rPr>
              <w:t>接管当地市政污水</w:t>
            </w:r>
            <w:r>
              <w:rPr>
                <w:rFonts w:hint="eastAsia"/>
                <w:color w:val="auto"/>
                <w:sz w:val="24"/>
              </w:rPr>
              <w:t>管网</w:t>
            </w:r>
            <w:r>
              <w:rPr>
                <w:color w:val="auto"/>
                <w:sz w:val="24"/>
              </w:rPr>
              <w:t>排入常州金坛区第二污水处理厂集中处理</w:t>
            </w:r>
            <w:r>
              <w:rPr>
                <w:rFonts w:hint="eastAsia"/>
                <w:color w:val="auto"/>
                <w:sz w:val="24"/>
              </w:rPr>
              <w:t>，尾水排入尧塘河</w:t>
            </w:r>
            <w:r>
              <w:rPr>
                <w:color w:val="auto"/>
                <w:sz w:val="24"/>
              </w:rPr>
              <w:t>。</w:t>
            </w:r>
          </w:p>
          <w:p>
            <w:pPr>
              <w:spacing w:line="360" w:lineRule="auto"/>
              <w:ind w:firstLine="480" w:firstLineChars="200"/>
              <w:rPr>
                <w:color w:val="auto"/>
                <w:sz w:val="24"/>
              </w:rPr>
            </w:pPr>
            <w:r>
              <w:rPr>
                <w:color w:val="auto"/>
                <w:sz w:val="24"/>
              </w:rPr>
              <w:t>（3）噪声</w:t>
            </w:r>
          </w:p>
          <w:p>
            <w:pPr>
              <w:tabs>
                <w:tab w:val="left" w:pos="6962"/>
              </w:tabs>
              <w:spacing w:line="360" w:lineRule="auto"/>
              <w:ind w:firstLine="480" w:firstLineChars="200"/>
              <w:rPr>
                <w:color w:val="auto"/>
                <w:sz w:val="24"/>
              </w:rPr>
            </w:pPr>
            <w:r>
              <w:rPr>
                <w:bCs/>
                <w:color w:val="auto"/>
                <w:sz w:val="24"/>
              </w:rPr>
              <w:t>本项目主要噪声设备为</w:t>
            </w:r>
            <w:r>
              <w:rPr>
                <w:rFonts w:hint="eastAsia"/>
                <w:bCs/>
                <w:color w:val="auto"/>
                <w:sz w:val="24"/>
              </w:rPr>
              <w:t>镗铣床、摇臂钻、喷砂室、抛丸室、喷漆房、风机、空压机组、水泵等</w:t>
            </w:r>
            <w:r>
              <w:rPr>
                <w:bCs/>
                <w:color w:val="auto"/>
                <w:sz w:val="24"/>
              </w:rPr>
              <w:t>，</w:t>
            </w:r>
            <w:r>
              <w:rPr>
                <w:color w:val="auto"/>
                <w:sz w:val="24"/>
              </w:rPr>
              <w:t>项目采取了隔声、减振措施，噪声可以得到较大的削减，</w:t>
            </w:r>
            <w:r>
              <w:rPr>
                <w:color w:val="auto"/>
                <w:sz w:val="24"/>
                <w:szCs w:val="24"/>
              </w:rPr>
              <w:t>项目厂界</w:t>
            </w:r>
            <w:r>
              <w:rPr>
                <w:rFonts w:hint="eastAsia"/>
                <w:color w:val="auto"/>
                <w:sz w:val="24"/>
                <w:szCs w:val="24"/>
              </w:rPr>
              <w:t>噪声排放</w:t>
            </w:r>
            <w:r>
              <w:rPr>
                <w:color w:val="auto"/>
                <w:sz w:val="24"/>
                <w:szCs w:val="24"/>
              </w:rPr>
              <w:t>达到</w:t>
            </w:r>
            <w:r>
              <w:rPr>
                <w:rFonts w:hint="eastAsia"/>
                <w:color w:val="auto"/>
                <w:sz w:val="24"/>
                <w:szCs w:val="24"/>
              </w:rPr>
              <w:t>《工业企业厂界环境噪声排放标准》（GB12348-2008）表1中</w:t>
            </w:r>
            <w:r>
              <w:rPr>
                <w:rFonts w:hint="eastAsia"/>
                <w:color w:val="auto"/>
                <w:sz w:val="24"/>
                <w:szCs w:val="24"/>
                <w:lang w:val="en-US" w:eastAsia="zh-CN"/>
              </w:rPr>
              <w:t>2</w:t>
            </w:r>
            <w:r>
              <w:rPr>
                <w:rFonts w:hint="eastAsia"/>
                <w:color w:val="auto"/>
                <w:sz w:val="24"/>
                <w:szCs w:val="24"/>
              </w:rPr>
              <w:t>类区限值</w:t>
            </w:r>
            <w:r>
              <w:rPr>
                <w:color w:val="auto"/>
                <w:sz w:val="24"/>
                <w:szCs w:val="24"/>
              </w:rPr>
              <w:t>，</w:t>
            </w:r>
            <w:r>
              <w:rPr>
                <w:color w:val="auto"/>
                <w:kern w:val="0"/>
                <w:sz w:val="24"/>
                <w:szCs w:val="24"/>
              </w:rPr>
              <w:t>即：昼间≤</w:t>
            </w:r>
            <w:r>
              <w:rPr>
                <w:rFonts w:hint="eastAsia"/>
                <w:color w:val="auto"/>
                <w:kern w:val="0"/>
                <w:sz w:val="24"/>
                <w:szCs w:val="24"/>
              </w:rPr>
              <w:t>6</w:t>
            </w:r>
            <w:r>
              <w:rPr>
                <w:rFonts w:hint="eastAsia"/>
                <w:color w:val="auto"/>
                <w:kern w:val="0"/>
                <w:sz w:val="24"/>
                <w:szCs w:val="24"/>
                <w:lang w:val="en-US" w:eastAsia="zh-CN"/>
              </w:rPr>
              <w:t>0</w:t>
            </w:r>
            <w:r>
              <w:rPr>
                <w:color w:val="auto"/>
                <w:kern w:val="0"/>
                <w:sz w:val="24"/>
                <w:szCs w:val="24"/>
              </w:rPr>
              <w:t>dB(A)。因此项目噪声</w:t>
            </w:r>
            <w:r>
              <w:rPr>
                <w:rFonts w:hint="eastAsia"/>
                <w:color w:val="auto"/>
                <w:kern w:val="0"/>
                <w:sz w:val="24"/>
                <w:szCs w:val="24"/>
              </w:rPr>
              <w:t>排放</w:t>
            </w:r>
            <w:r>
              <w:rPr>
                <w:color w:val="auto"/>
                <w:sz w:val="24"/>
              </w:rPr>
              <w:t>不会对周围</w:t>
            </w:r>
            <w:r>
              <w:rPr>
                <w:rFonts w:hint="eastAsia"/>
                <w:color w:val="auto"/>
                <w:sz w:val="24"/>
                <w:lang w:val="en-US" w:eastAsia="zh-CN"/>
              </w:rPr>
              <w:t>声环境产生</w:t>
            </w:r>
            <w:r>
              <w:rPr>
                <w:color w:val="auto"/>
                <w:sz w:val="24"/>
              </w:rPr>
              <w:t>明显的影响。</w:t>
            </w:r>
          </w:p>
          <w:p>
            <w:pPr>
              <w:spacing w:line="360" w:lineRule="auto"/>
              <w:ind w:firstLine="480" w:firstLineChars="200"/>
              <w:rPr>
                <w:color w:val="auto"/>
                <w:sz w:val="24"/>
              </w:rPr>
            </w:pPr>
            <w:r>
              <w:rPr>
                <w:color w:val="auto"/>
                <w:sz w:val="24"/>
              </w:rPr>
              <w:t>（4）固废</w:t>
            </w:r>
          </w:p>
          <w:p>
            <w:pPr>
              <w:spacing w:line="360" w:lineRule="auto"/>
              <w:ind w:firstLine="480" w:firstLineChars="200"/>
              <w:rPr>
                <w:color w:val="auto"/>
                <w:kern w:val="0"/>
                <w:sz w:val="24"/>
              </w:rPr>
            </w:pPr>
            <w:r>
              <w:rPr>
                <w:rFonts w:hint="eastAsia"/>
                <w:color w:val="auto"/>
                <w:sz w:val="24"/>
              </w:rPr>
              <w:t>本项目生产运行期产生的固废主要为镗铣粗加工工序、打孔工序和精加工工序产生的废边角料、废切削液、废导轨润滑油；清洗工序产生的废渣；喷砂和抛丸工序产生的废砂、废铁丸、收集的加工粉尘；喷塑工序产生的废塑粉；喷锌工序产生的锌颗粒物、废锌丝；喷漆工序产生的漆渣、含漆废物；喷枪清洗工序产生的含漆废液；喷塑、喷漆废气处理工序产生的废活性炭、废过滤棉；原料拆封工序产生的废包装桶、及员工过程中产生的废劳保用品（废含油抹布、手套等）和生活垃圾</w:t>
            </w:r>
            <w:r>
              <w:rPr>
                <w:rFonts w:hint="eastAsia"/>
                <w:color w:val="auto"/>
                <w:sz w:val="24"/>
                <w:szCs w:val="24"/>
              </w:rPr>
              <w:t>。一般固废经分类收集后售卖</w:t>
            </w:r>
            <w:r>
              <w:rPr>
                <w:color w:val="auto"/>
                <w:sz w:val="24"/>
              </w:rPr>
              <w:t>；</w:t>
            </w:r>
            <w:r>
              <w:rPr>
                <w:rFonts w:hint="eastAsia"/>
                <w:color w:val="auto"/>
                <w:sz w:val="24"/>
              </w:rPr>
              <w:t>危险废物</w:t>
            </w:r>
            <w:r>
              <w:rPr>
                <w:rFonts w:hint="eastAsia"/>
                <w:color w:val="auto"/>
                <w:sz w:val="24"/>
                <w:szCs w:val="24"/>
              </w:rPr>
              <w:t>经收集后委托有资质单位处置；</w:t>
            </w:r>
            <w:r>
              <w:rPr>
                <w:rFonts w:hint="eastAsia"/>
                <w:color w:val="auto"/>
                <w:sz w:val="24"/>
                <w:szCs w:val="24"/>
                <w:lang w:val="en-US" w:eastAsia="zh-CN"/>
              </w:rPr>
              <w:t>混入生活垃圾的废劳保用品和</w:t>
            </w:r>
            <w:r>
              <w:rPr>
                <w:rFonts w:hint="eastAsia"/>
                <w:color w:val="auto"/>
                <w:sz w:val="24"/>
                <w:szCs w:val="24"/>
              </w:rPr>
              <w:t>生活垃圾委托环卫部门清运</w:t>
            </w:r>
            <w:r>
              <w:rPr>
                <w:color w:val="auto"/>
                <w:sz w:val="24"/>
              </w:rPr>
              <w:t>。</w:t>
            </w:r>
            <w:r>
              <w:rPr>
                <w:color w:val="auto"/>
                <w:sz w:val="24"/>
                <w:szCs w:val="24"/>
              </w:rPr>
              <w:t>本项目产生的固体废物能够得到有效的处理和利用，对周围环境影响较小，固体废物防治措施可行。</w:t>
            </w:r>
          </w:p>
          <w:p>
            <w:pPr>
              <w:spacing w:line="360" w:lineRule="auto"/>
              <w:ind w:firstLine="480" w:firstLineChars="200"/>
              <w:rPr>
                <w:b/>
                <w:bCs/>
                <w:color w:val="auto"/>
                <w:sz w:val="24"/>
                <w:szCs w:val="24"/>
              </w:rPr>
            </w:pPr>
            <w:r>
              <w:rPr>
                <w:b/>
                <w:color w:val="auto"/>
                <w:sz w:val="24"/>
              </w:rPr>
              <w:t>5</w:t>
            </w:r>
            <w:r>
              <w:rPr>
                <w:b/>
                <w:color w:val="auto"/>
                <w:spacing w:val="-2"/>
                <w:sz w:val="24"/>
              </w:rPr>
              <w:t>、</w:t>
            </w:r>
            <w:r>
              <w:rPr>
                <w:b/>
                <w:bCs/>
                <w:color w:val="auto"/>
                <w:sz w:val="24"/>
                <w:szCs w:val="24"/>
              </w:rPr>
              <w:t>总量控制结论</w:t>
            </w:r>
          </w:p>
          <w:p>
            <w:pPr>
              <w:spacing w:line="360" w:lineRule="auto"/>
              <w:ind w:firstLine="480" w:firstLineChars="200"/>
              <w:rPr>
                <w:color w:val="auto"/>
                <w:sz w:val="24"/>
              </w:rPr>
            </w:pPr>
            <w:r>
              <w:rPr>
                <w:color w:val="auto"/>
                <w:sz w:val="24"/>
              </w:rPr>
              <w:t>废水：</w:t>
            </w:r>
            <w:r>
              <w:rPr>
                <w:rFonts w:hint="eastAsia"/>
                <w:color w:val="auto"/>
                <w:sz w:val="24"/>
              </w:rPr>
              <w:t>生活污水排放量</w:t>
            </w:r>
            <w:r>
              <w:rPr>
                <w:rFonts w:hint="eastAsia"/>
                <w:color w:val="auto"/>
                <w:sz w:val="24"/>
                <w:lang w:val="en-US" w:eastAsia="zh-CN"/>
              </w:rPr>
              <w:t>120</w:t>
            </w:r>
            <w:r>
              <w:rPr>
                <w:color w:val="auto"/>
                <w:sz w:val="24"/>
              </w:rPr>
              <w:t>t/a，水污染物排放总量COD</w:t>
            </w:r>
            <w:r>
              <w:rPr>
                <w:rFonts w:hint="eastAsia"/>
                <w:color w:val="auto"/>
                <w:sz w:val="24"/>
              </w:rPr>
              <w:t>0.</w:t>
            </w:r>
            <w:r>
              <w:rPr>
                <w:rFonts w:hint="eastAsia"/>
                <w:color w:val="auto"/>
                <w:sz w:val="24"/>
                <w:lang w:val="en-US" w:eastAsia="zh-CN"/>
              </w:rPr>
              <w:t>041</w:t>
            </w:r>
            <w:r>
              <w:rPr>
                <w:color w:val="auto"/>
                <w:sz w:val="24"/>
              </w:rPr>
              <w:t>t/a、SS</w:t>
            </w:r>
            <w:r>
              <w:rPr>
                <w:rFonts w:hint="eastAsia"/>
                <w:color w:val="auto"/>
                <w:sz w:val="24"/>
                <w:lang w:val="en-US" w:eastAsia="zh-CN"/>
              </w:rPr>
              <w:t>0.019</w:t>
            </w:r>
            <w:r>
              <w:rPr>
                <w:color w:val="auto"/>
                <w:sz w:val="24"/>
              </w:rPr>
              <w:t>t/a、氨氮</w:t>
            </w:r>
            <w:r>
              <w:rPr>
                <w:rFonts w:hint="eastAsia"/>
                <w:color w:val="auto"/>
                <w:sz w:val="24"/>
                <w:lang w:val="en-US" w:eastAsia="zh-CN"/>
              </w:rPr>
              <w:t>0.0042</w:t>
            </w:r>
            <w:r>
              <w:rPr>
                <w:color w:val="auto"/>
                <w:sz w:val="24"/>
              </w:rPr>
              <w:t>t/a、总磷</w:t>
            </w:r>
            <w:r>
              <w:rPr>
                <w:rFonts w:hint="eastAsia"/>
                <w:color w:val="auto"/>
                <w:sz w:val="24"/>
                <w:lang w:val="en-US" w:eastAsia="zh-CN"/>
              </w:rPr>
              <w:t>0.0006</w:t>
            </w:r>
            <w:r>
              <w:rPr>
                <w:color w:val="auto"/>
                <w:sz w:val="24"/>
              </w:rPr>
              <w:t>t/a</w:t>
            </w:r>
            <w:r>
              <w:rPr>
                <w:rFonts w:hint="eastAsia"/>
                <w:color w:val="auto"/>
                <w:sz w:val="24"/>
              </w:rPr>
              <w:t>、总氮</w:t>
            </w:r>
            <w:r>
              <w:rPr>
                <w:rFonts w:hint="eastAsia"/>
                <w:color w:val="auto"/>
                <w:sz w:val="24"/>
                <w:lang w:val="en-US" w:eastAsia="zh-CN"/>
              </w:rPr>
              <w:t>0.006</w:t>
            </w:r>
            <w:r>
              <w:rPr>
                <w:rFonts w:hint="eastAsia"/>
                <w:color w:val="auto"/>
                <w:sz w:val="24"/>
              </w:rPr>
              <w:t>t/a，</w:t>
            </w:r>
            <w:r>
              <w:rPr>
                <w:color w:val="auto"/>
                <w:sz w:val="24"/>
              </w:rPr>
              <w:t>向</w:t>
            </w:r>
            <w:r>
              <w:rPr>
                <w:rFonts w:hint="eastAsia"/>
                <w:color w:val="auto"/>
                <w:sz w:val="24"/>
              </w:rPr>
              <w:t>常州市金坛生态环境局</w:t>
            </w:r>
            <w:r>
              <w:rPr>
                <w:color w:val="auto"/>
                <w:sz w:val="24"/>
              </w:rPr>
              <w:t>申请核定，总量在金坛区内平衡。</w:t>
            </w:r>
          </w:p>
          <w:p>
            <w:pPr>
              <w:spacing w:line="360" w:lineRule="auto"/>
              <w:ind w:firstLine="480" w:firstLineChars="200"/>
              <w:rPr>
                <w:color w:val="auto"/>
                <w:sz w:val="24"/>
              </w:rPr>
            </w:pPr>
            <w:r>
              <w:rPr>
                <w:color w:val="auto"/>
                <w:sz w:val="24"/>
                <w:szCs w:val="24"/>
              </w:rPr>
              <w:t>经污水处理厂处理后的终排量为：</w:t>
            </w:r>
            <w:r>
              <w:rPr>
                <w:rFonts w:hint="eastAsia"/>
                <w:color w:val="auto"/>
                <w:sz w:val="24"/>
                <w:szCs w:val="24"/>
              </w:rPr>
              <w:t>生活污水</w:t>
            </w:r>
            <w:r>
              <w:rPr>
                <w:color w:val="auto"/>
                <w:sz w:val="24"/>
                <w:szCs w:val="24"/>
              </w:rPr>
              <w:t>量</w:t>
            </w:r>
            <w:r>
              <w:rPr>
                <w:rFonts w:hint="eastAsia"/>
                <w:color w:val="auto"/>
                <w:sz w:val="24"/>
                <w:szCs w:val="24"/>
                <w:lang w:val="en-US" w:eastAsia="zh-CN"/>
              </w:rPr>
              <w:t>120</w:t>
            </w:r>
            <w:r>
              <w:rPr>
                <w:rFonts w:hint="eastAsia"/>
                <w:color w:val="auto"/>
                <w:sz w:val="24"/>
                <w:szCs w:val="24"/>
              </w:rPr>
              <w:t>t</w:t>
            </w:r>
            <w:r>
              <w:rPr>
                <w:color w:val="auto"/>
                <w:sz w:val="24"/>
                <w:szCs w:val="24"/>
              </w:rPr>
              <w:t>/a；COD：</w:t>
            </w:r>
            <w:r>
              <w:rPr>
                <w:rFonts w:hint="eastAsia"/>
                <w:color w:val="auto"/>
                <w:sz w:val="24"/>
                <w:szCs w:val="24"/>
                <w:lang w:val="en-US" w:eastAsia="zh-CN"/>
              </w:rPr>
              <w:t>0.006</w:t>
            </w:r>
            <w:r>
              <w:rPr>
                <w:color w:val="auto"/>
                <w:sz w:val="24"/>
                <w:szCs w:val="24"/>
              </w:rPr>
              <w:t>t/a；</w:t>
            </w:r>
            <w:r>
              <w:rPr>
                <w:rFonts w:hint="eastAsia"/>
                <w:color w:val="auto"/>
                <w:sz w:val="24"/>
                <w:szCs w:val="24"/>
              </w:rPr>
              <w:t>SS</w:t>
            </w:r>
            <w:r>
              <w:rPr>
                <w:color w:val="auto"/>
                <w:sz w:val="24"/>
                <w:szCs w:val="24"/>
              </w:rPr>
              <w:t>：</w:t>
            </w:r>
            <w:r>
              <w:rPr>
                <w:rFonts w:hint="eastAsia"/>
                <w:color w:val="auto"/>
                <w:kern w:val="0"/>
                <w:sz w:val="24"/>
                <w:szCs w:val="24"/>
                <w:lang w:val="en-US" w:eastAsia="zh-CN" w:bidi="ar"/>
              </w:rPr>
              <w:t>0.0012</w:t>
            </w:r>
            <w:r>
              <w:rPr>
                <w:color w:val="auto"/>
                <w:sz w:val="24"/>
                <w:szCs w:val="24"/>
              </w:rPr>
              <w:t>t/a；氨氮</w:t>
            </w:r>
            <w:r>
              <w:rPr>
                <w:rFonts w:hint="eastAsia"/>
                <w:color w:val="auto"/>
                <w:kern w:val="0"/>
                <w:sz w:val="24"/>
                <w:szCs w:val="24"/>
                <w:lang w:val="en-US" w:eastAsia="zh-CN" w:bidi="ar"/>
              </w:rPr>
              <w:t>0.0006</w:t>
            </w:r>
            <w:r>
              <w:rPr>
                <w:color w:val="auto"/>
                <w:sz w:val="24"/>
                <w:szCs w:val="24"/>
              </w:rPr>
              <w:t>t/a；总磷：</w:t>
            </w:r>
            <w:r>
              <w:rPr>
                <w:rFonts w:hint="eastAsia"/>
                <w:color w:val="auto"/>
                <w:kern w:val="0"/>
                <w:sz w:val="24"/>
                <w:szCs w:val="24"/>
                <w:lang w:val="en-US" w:eastAsia="zh-CN" w:bidi="ar"/>
              </w:rPr>
              <w:t>0.00006</w:t>
            </w:r>
            <w:r>
              <w:rPr>
                <w:color w:val="auto"/>
                <w:sz w:val="24"/>
                <w:szCs w:val="24"/>
              </w:rPr>
              <w:t>t/a、总氮：</w:t>
            </w:r>
            <w:r>
              <w:rPr>
                <w:rFonts w:hint="eastAsia"/>
                <w:color w:val="auto"/>
                <w:kern w:val="0"/>
                <w:sz w:val="24"/>
                <w:szCs w:val="24"/>
                <w:lang w:val="en-US" w:eastAsia="zh-CN" w:bidi="ar"/>
              </w:rPr>
              <w:t>0.0018</w:t>
            </w:r>
            <w:r>
              <w:rPr>
                <w:color w:val="auto"/>
                <w:sz w:val="24"/>
                <w:szCs w:val="24"/>
              </w:rPr>
              <w:t>t/a。</w:t>
            </w:r>
            <w:r>
              <w:rPr>
                <w:rFonts w:hint="eastAsia"/>
                <w:color w:val="auto"/>
                <w:sz w:val="24"/>
                <w:szCs w:val="24"/>
              </w:rPr>
              <w:t xml:space="preserve">  </w:t>
            </w:r>
          </w:p>
          <w:p>
            <w:pPr>
              <w:spacing w:line="360" w:lineRule="auto"/>
              <w:ind w:firstLine="480" w:firstLineChars="200"/>
              <w:rPr>
                <w:color w:val="auto"/>
                <w:sz w:val="24"/>
              </w:rPr>
            </w:pPr>
            <w:r>
              <w:rPr>
                <w:color w:val="auto"/>
                <w:sz w:val="24"/>
              </w:rPr>
              <w:t>废气：</w:t>
            </w:r>
            <w:r>
              <w:rPr>
                <w:color w:val="auto"/>
                <w:sz w:val="24"/>
                <w:szCs w:val="24"/>
              </w:rPr>
              <w:t>本企业废气</w:t>
            </w:r>
            <w:r>
              <w:rPr>
                <w:rFonts w:hint="eastAsia"/>
                <w:color w:val="auto"/>
                <w:sz w:val="24"/>
                <w:szCs w:val="24"/>
                <w:lang w:val="en-US" w:eastAsia="zh-CN"/>
              </w:rPr>
              <w:t>颗粒物有组织排放量为0.411t/a，</w:t>
            </w:r>
            <w:r>
              <w:rPr>
                <w:color w:val="auto"/>
                <w:sz w:val="24"/>
                <w:szCs w:val="24"/>
              </w:rPr>
              <w:t>需申请总量控制</w:t>
            </w:r>
            <w:r>
              <w:rPr>
                <w:rFonts w:hint="eastAsia"/>
                <w:color w:val="auto"/>
                <w:sz w:val="24"/>
                <w:szCs w:val="24"/>
              </w:rPr>
              <w:t>0.</w:t>
            </w:r>
            <w:r>
              <w:rPr>
                <w:rFonts w:hint="eastAsia"/>
                <w:color w:val="auto"/>
                <w:sz w:val="24"/>
                <w:szCs w:val="24"/>
                <w:lang w:val="en-US" w:eastAsia="zh-CN"/>
              </w:rPr>
              <w:t>411</w:t>
            </w:r>
            <w:r>
              <w:rPr>
                <w:color w:val="auto"/>
                <w:sz w:val="24"/>
                <w:szCs w:val="24"/>
              </w:rPr>
              <w:t>t/a</w:t>
            </w:r>
            <w:r>
              <w:rPr>
                <w:rFonts w:hint="eastAsia"/>
                <w:color w:val="auto"/>
                <w:sz w:val="24"/>
                <w:szCs w:val="24"/>
              </w:rPr>
              <w:t>；</w:t>
            </w:r>
            <w:r>
              <w:rPr>
                <w:rFonts w:hint="eastAsia"/>
                <w:color w:val="auto"/>
                <w:sz w:val="24"/>
                <w:szCs w:val="24"/>
                <w:lang w:val="en-US" w:eastAsia="zh-CN"/>
              </w:rPr>
              <w:t>非甲烷总烃有组织排放量为0.013t/a，</w:t>
            </w:r>
            <w:r>
              <w:rPr>
                <w:color w:val="auto"/>
                <w:sz w:val="24"/>
                <w:szCs w:val="24"/>
              </w:rPr>
              <w:t>需申请总量控制</w:t>
            </w:r>
            <w:r>
              <w:rPr>
                <w:rFonts w:hint="eastAsia"/>
                <w:color w:val="auto"/>
                <w:sz w:val="24"/>
                <w:szCs w:val="24"/>
              </w:rPr>
              <w:t>0.</w:t>
            </w:r>
            <w:r>
              <w:rPr>
                <w:rFonts w:hint="eastAsia"/>
                <w:color w:val="auto"/>
                <w:sz w:val="24"/>
                <w:szCs w:val="24"/>
                <w:lang w:val="en-US" w:eastAsia="zh-CN"/>
              </w:rPr>
              <w:t>013</w:t>
            </w:r>
            <w:r>
              <w:rPr>
                <w:color w:val="auto"/>
                <w:sz w:val="24"/>
                <w:szCs w:val="24"/>
              </w:rPr>
              <w:t>t/a</w:t>
            </w:r>
            <w:r>
              <w:rPr>
                <w:rFonts w:hint="eastAsia"/>
                <w:color w:val="auto"/>
                <w:sz w:val="24"/>
                <w:szCs w:val="24"/>
              </w:rPr>
              <w:t>；VOCs</w:t>
            </w:r>
            <w:r>
              <w:rPr>
                <w:rFonts w:hint="eastAsia"/>
                <w:color w:val="auto"/>
                <w:sz w:val="24"/>
                <w:szCs w:val="24"/>
                <w:lang w:eastAsia="zh-CN"/>
              </w:rPr>
              <w:t>（</w:t>
            </w:r>
            <w:r>
              <w:rPr>
                <w:rFonts w:hint="eastAsia"/>
                <w:color w:val="auto"/>
                <w:sz w:val="24"/>
                <w:szCs w:val="24"/>
                <w:lang w:val="en-US" w:eastAsia="zh-CN"/>
              </w:rPr>
              <w:t>含非甲烷总烃</w:t>
            </w:r>
            <w:r>
              <w:rPr>
                <w:rFonts w:hint="eastAsia"/>
                <w:color w:val="auto"/>
                <w:sz w:val="24"/>
                <w:szCs w:val="24"/>
                <w:lang w:eastAsia="zh-CN"/>
              </w:rPr>
              <w:t>）</w:t>
            </w:r>
            <w:r>
              <w:rPr>
                <w:color w:val="auto"/>
                <w:sz w:val="24"/>
                <w:szCs w:val="24"/>
              </w:rPr>
              <w:t>有组织排放量为</w:t>
            </w:r>
            <w:r>
              <w:rPr>
                <w:rFonts w:hint="eastAsia"/>
                <w:color w:val="auto"/>
                <w:sz w:val="24"/>
                <w:szCs w:val="24"/>
              </w:rPr>
              <w:t>0.</w:t>
            </w:r>
            <w:r>
              <w:rPr>
                <w:rFonts w:hint="eastAsia"/>
                <w:color w:val="auto"/>
                <w:sz w:val="24"/>
                <w:szCs w:val="24"/>
                <w:lang w:val="en-US" w:eastAsia="zh-CN"/>
              </w:rPr>
              <w:t>12</w:t>
            </w:r>
            <w:r>
              <w:rPr>
                <w:color w:val="auto"/>
                <w:sz w:val="24"/>
                <w:szCs w:val="24"/>
              </w:rPr>
              <w:t>t/a，需申请总量控制</w:t>
            </w:r>
            <w:r>
              <w:rPr>
                <w:rFonts w:hint="eastAsia"/>
                <w:color w:val="auto"/>
                <w:sz w:val="24"/>
                <w:szCs w:val="24"/>
              </w:rPr>
              <w:t>0.</w:t>
            </w:r>
            <w:r>
              <w:rPr>
                <w:rFonts w:hint="eastAsia"/>
                <w:color w:val="auto"/>
                <w:sz w:val="24"/>
                <w:szCs w:val="24"/>
                <w:lang w:val="en-US" w:eastAsia="zh-CN"/>
              </w:rPr>
              <w:t>12</w:t>
            </w:r>
            <w:r>
              <w:rPr>
                <w:color w:val="auto"/>
                <w:sz w:val="24"/>
                <w:szCs w:val="24"/>
              </w:rPr>
              <w:t>t/a</w:t>
            </w:r>
            <w:r>
              <w:rPr>
                <w:rFonts w:hint="eastAsia"/>
                <w:color w:val="auto"/>
                <w:sz w:val="24"/>
                <w:szCs w:val="24"/>
              </w:rPr>
              <w:t>；</w:t>
            </w:r>
            <w:r>
              <w:rPr>
                <w:color w:val="auto"/>
                <w:sz w:val="24"/>
                <w:szCs w:val="24"/>
              </w:rPr>
              <w:t>其总量在金坛区境内平衡。</w:t>
            </w:r>
          </w:p>
          <w:p>
            <w:pPr>
              <w:spacing w:line="360" w:lineRule="auto"/>
              <w:ind w:firstLine="480" w:firstLineChars="200"/>
              <w:rPr>
                <w:color w:val="auto"/>
                <w:sz w:val="24"/>
                <w:szCs w:val="24"/>
              </w:rPr>
            </w:pPr>
            <w:r>
              <w:rPr>
                <w:color w:val="auto"/>
                <w:sz w:val="24"/>
              </w:rPr>
              <w:t>固废：固废排放总量为零</w:t>
            </w:r>
            <w:r>
              <w:rPr>
                <w:color w:val="auto"/>
                <w:sz w:val="24"/>
                <w:szCs w:val="24"/>
              </w:rPr>
              <w:t>。</w:t>
            </w:r>
          </w:p>
          <w:p>
            <w:pPr>
              <w:spacing w:line="360" w:lineRule="auto"/>
              <w:ind w:firstLine="480" w:firstLineChars="200"/>
              <w:rPr>
                <w:b/>
                <w:color w:val="auto"/>
                <w:sz w:val="24"/>
              </w:rPr>
            </w:pPr>
            <w:r>
              <w:rPr>
                <w:b/>
                <w:color w:val="auto"/>
                <w:sz w:val="24"/>
              </w:rPr>
              <w:t>综上所述，建设项目符合国家及地方产业政策，工艺成熟简单，采取的各项环保措施合理可行，总体上对评价区域环境影响较小。因此，建设单位在落实本报告提出的各项对策措施、建议和要求的前提下，从环境保护的角度来讲，该项目是可行的。</w:t>
            </w:r>
          </w:p>
          <w:p>
            <w:pPr>
              <w:pStyle w:val="79"/>
              <w:spacing w:after="0" w:line="360" w:lineRule="auto"/>
              <w:ind w:firstLine="480" w:firstLineChars="200"/>
              <w:jc w:val="both"/>
              <w:rPr>
                <w:rFonts w:ascii="Times New Roman" w:hAnsi="Times New Roman" w:cs="Times New Roman"/>
                <w:b/>
                <w:color w:val="auto"/>
              </w:rPr>
            </w:pPr>
            <w:r>
              <w:rPr>
                <w:rFonts w:ascii="Times New Roman" w:hAnsi="Times New Roman" w:cs="Times New Roman"/>
                <w:b/>
                <w:color w:val="auto"/>
              </w:rPr>
              <w:t>二、建议与要求</w:t>
            </w:r>
          </w:p>
          <w:p>
            <w:pPr>
              <w:spacing w:line="360" w:lineRule="auto"/>
              <w:ind w:firstLine="480" w:firstLineChars="200"/>
              <w:rPr>
                <w:color w:val="auto"/>
                <w:sz w:val="24"/>
              </w:rPr>
            </w:pPr>
            <w:r>
              <w:rPr>
                <w:color w:val="auto"/>
                <w:sz w:val="24"/>
              </w:rPr>
              <w:t>1、合理布局噪声设备，加强设备噪声设治理，尽量减轻噪声对周围环境的影响；</w:t>
            </w:r>
          </w:p>
          <w:p>
            <w:pPr>
              <w:spacing w:line="360" w:lineRule="auto"/>
              <w:ind w:firstLine="480" w:firstLineChars="200"/>
              <w:rPr>
                <w:color w:val="auto"/>
                <w:sz w:val="24"/>
                <w:szCs w:val="24"/>
              </w:rPr>
            </w:pPr>
            <w:r>
              <w:rPr>
                <w:color w:val="auto"/>
                <w:sz w:val="24"/>
              </w:rPr>
              <w:t>2、加强生产设施和污染防治设施运行保养检修，确保污染物达标排放，加强生产管理以及对员工进行环保知识培训，提高环保意识。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6978" w:hRule="atLeast"/>
          <w:jc w:val="center"/>
        </w:trPr>
        <w:tc>
          <w:tcPr>
            <w:tcW w:w="8533" w:type="dxa"/>
            <w:gridSpan w:val="2"/>
            <w:tcBorders>
              <w:bottom w:val="single" w:color="auto" w:sz="4" w:space="0"/>
            </w:tcBorders>
          </w:tcPr>
          <w:p>
            <w:pPr>
              <w:ind w:firstLine="240" w:firstLineChars="100"/>
              <w:rPr>
                <w:color w:val="auto"/>
                <w:sz w:val="24"/>
              </w:rPr>
            </w:pPr>
            <w:r>
              <w:rPr>
                <w:color w:val="auto"/>
                <w:sz w:val="24"/>
              </w:rPr>
              <w:t>预审意见：</w:t>
            </w: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r>
              <w:rPr>
                <w:color w:val="auto"/>
                <w:sz w:val="24"/>
              </w:rPr>
              <w:t>公  章</w:t>
            </w:r>
          </w:p>
          <w:p>
            <w:pPr>
              <w:rPr>
                <w:color w:val="auto"/>
                <w:sz w:val="24"/>
              </w:rPr>
            </w:pPr>
          </w:p>
          <w:p>
            <w:pPr>
              <w:rPr>
                <w:color w:val="auto"/>
                <w:sz w:val="24"/>
              </w:rPr>
            </w:pPr>
            <w:r>
              <w:rPr>
                <w:color w:val="auto"/>
                <w:sz w:val="24"/>
              </w:rPr>
              <w:t>经办：          签发：                             年   月   日</w:t>
            </w:r>
          </w:p>
          <w:p>
            <w:pPr>
              <w:rPr>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6180" w:hRule="atLeast"/>
          <w:jc w:val="center"/>
        </w:trPr>
        <w:tc>
          <w:tcPr>
            <w:tcW w:w="8533" w:type="dxa"/>
            <w:gridSpan w:val="2"/>
            <w:tcBorders>
              <w:bottom w:val="single" w:color="auto" w:sz="12" w:space="0"/>
            </w:tcBorders>
          </w:tcPr>
          <w:p>
            <w:pPr>
              <w:ind w:firstLine="240" w:firstLineChars="100"/>
              <w:rPr>
                <w:color w:val="auto"/>
                <w:sz w:val="24"/>
              </w:rPr>
            </w:pPr>
            <w:r>
              <w:rPr>
                <w:color w:val="auto"/>
                <w:sz w:val="24"/>
              </w:rPr>
              <w:t>下一级环境保护行政主管部门审查意见：</w:t>
            </w: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r>
              <w:rPr>
                <w:color w:val="auto"/>
                <w:sz w:val="24"/>
              </w:rPr>
              <w:t xml:space="preserve">                                                     公  章</w:t>
            </w:r>
          </w:p>
          <w:p>
            <w:pPr>
              <w:rPr>
                <w:color w:val="auto"/>
                <w:sz w:val="24"/>
              </w:rPr>
            </w:pPr>
          </w:p>
          <w:p>
            <w:pPr>
              <w:rPr>
                <w:color w:val="auto"/>
                <w:sz w:val="24"/>
              </w:rPr>
            </w:pPr>
            <w:r>
              <w:rPr>
                <w:color w:val="auto"/>
                <w:sz w:val="24"/>
              </w:rPr>
              <w:t xml:space="preserve"> 经办：          签发：                             年   月   日</w:t>
            </w:r>
          </w:p>
          <w:p>
            <w:pPr>
              <w:rPr>
                <w:color w:val="auto"/>
                <w:sz w:val="24"/>
              </w:rPr>
            </w:pPr>
          </w:p>
          <w:p>
            <w:pPr>
              <w:rPr>
                <w:color w:val="auto"/>
                <w:sz w:val="24"/>
              </w:rPr>
            </w:pPr>
          </w:p>
          <w:p>
            <w:pPr>
              <w:rPr>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13830" w:hRule="atLeast"/>
          <w:jc w:val="center"/>
        </w:trPr>
        <w:tc>
          <w:tcPr>
            <w:tcW w:w="8533" w:type="dxa"/>
            <w:gridSpan w:val="2"/>
            <w:tcBorders>
              <w:top w:val="single" w:color="auto" w:sz="12" w:space="0"/>
              <w:bottom w:val="single" w:color="auto" w:sz="12" w:space="0"/>
            </w:tcBorders>
          </w:tcPr>
          <w:p>
            <w:pPr>
              <w:rPr>
                <w:color w:val="auto"/>
                <w:sz w:val="24"/>
              </w:rPr>
            </w:pPr>
            <w:r>
              <w:rPr>
                <w:color w:val="auto"/>
                <w:sz w:val="24"/>
              </w:rPr>
              <w:t xml:space="preserve"> 审批意见：</w:t>
            </w: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p>
          <w:p>
            <w:pPr>
              <w:rPr>
                <w:color w:val="auto"/>
                <w:sz w:val="24"/>
              </w:rPr>
            </w:pPr>
            <w:r>
              <w:rPr>
                <w:color w:val="auto"/>
                <w:sz w:val="24"/>
              </w:rPr>
              <w:t xml:space="preserve">                                                   公  章</w:t>
            </w:r>
          </w:p>
          <w:p>
            <w:pPr>
              <w:rPr>
                <w:color w:val="auto"/>
                <w:sz w:val="24"/>
              </w:rPr>
            </w:pPr>
          </w:p>
          <w:p>
            <w:pPr>
              <w:rPr>
                <w:color w:val="auto"/>
                <w:sz w:val="24"/>
              </w:rPr>
            </w:pPr>
          </w:p>
          <w:p>
            <w:pPr>
              <w:rPr>
                <w:color w:val="auto"/>
                <w:sz w:val="24"/>
              </w:rPr>
            </w:pPr>
            <w:r>
              <w:rPr>
                <w:color w:val="auto"/>
                <w:sz w:val="24"/>
              </w:rPr>
              <w:t>经办：             签发：                        年   月   日</w:t>
            </w:r>
          </w:p>
          <w:p>
            <w:pPr>
              <w:rPr>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13519" w:hRule="atLeast"/>
          <w:jc w:val="center"/>
        </w:trPr>
        <w:tc>
          <w:tcPr>
            <w:tcW w:w="8533" w:type="dxa"/>
            <w:gridSpan w:val="2"/>
            <w:tcBorders>
              <w:top w:val="single" w:color="auto" w:sz="12" w:space="0"/>
            </w:tcBorders>
          </w:tcPr>
          <w:p>
            <w:pPr>
              <w:jc w:val="center"/>
              <w:rPr>
                <w:b/>
                <w:color w:val="auto"/>
                <w:sz w:val="24"/>
              </w:rPr>
            </w:pPr>
            <w:r>
              <w:rPr>
                <w:b/>
                <w:bCs/>
                <w:color w:val="auto"/>
                <w:sz w:val="28"/>
                <w:szCs w:val="28"/>
              </w:rPr>
              <w:t>注       释</w:t>
            </w:r>
          </w:p>
          <w:p>
            <w:pPr>
              <w:adjustRightInd w:val="0"/>
              <w:snapToGrid w:val="0"/>
              <w:spacing w:line="360" w:lineRule="auto"/>
              <w:ind w:firstLine="720" w:firstLineChars="300"/>
              <w:rPr>
                <w:color w:val="auto"/>
                <w:sz w:val="24"/>
                <w:szCs w:val="24"/>
              </w:rPr>
            </w:pPr>
            <w:r>
              <w:rPr>
                <w:color w:val="auto"/>
                <w:sz w:val="24"/>
                <w:szCs w:val="24"/>
              </w:rPr>
              <w:t>本报告表应附以下附件、附图：</w:t>
            </w:r>
          </w:p>
          <w:p>
            <w:pPr>
              <w:adjustRightInd w:val="0"/>
              <w:snapToGrid w:val="0"/>
              <w:spacing w:line="360" w:lineRule="auto"/>
              <w:ind w:firstLine="720" w:firstLineChars="300"/>
              <w:rPr>
                <w:color w:val="auto"/>
                <w:sz w:val="24"/>
                <w:szCs w:val="24"/>
              </w:rPr>
            </w:pPr>
            <w:r>
              <w:rPr>
                <w:color w:val="auto"/>
                <w:sz w:val="24"/>
                <w:szCs w:val="24"/>
              </w:rPr>
              <w:t xml:space="preserve">附图1   </w:t>
            </w:r>
            <w:r>
              <w:rPr>
                <w:rFonts w:hint="eastAsia"/>
                <w:color w:val="auto"/>
                <w:sz w:val="24"/>
                <w:szCs w:val="24"/>
              </w:rPr>
              <w:t>建设</w:t>
            </w:r>
            <w:r>
              <w:rPr>
                <w:color w:val="auto"/>
                <w:sz w:val="24"/>
                <w:szCs w:val="24"/>
              </w:rPr>
              <w:t>项目地理位置图</w:t>
            </w:r>
          </w:p>
          <w:p>
            <w:pPr>
              <w:adjustRightInd w:val="0"/>
              <w:snapToGrid w:val="0"/>
              <w:spacing w:line="360" w:lineRule="auto"/>
              <w:ind w:firstLine="720" w:firstLineChars="300"/>
              <w:rPr>
                <w:color w:val="auto"/>
                <w:sz w:val="24"/>
                <w:szCs w:val="24"/>
              </w:rPr>
            </w:pPr>
            <w:r>
              <w:rPr>
                <w:color w:val="auto"/>
                <w:sz w:val="24"/>
                <w:szCs w:val="24"/>
              </w:rPr>
              <w:t>附图</w:t>
            </w:r>
            <w:r>
              <w:rPr>
                <w:rFonts w:hint="eastAsia"/>
                <w:color w:val="auto"/>
                <w:sz w:val="24"/>
                <w:szCs w:val="24"/>
              </w:rPr>
              <w:t>2</w:t>
            </w:r>
            <w:r>
              <w:rPr>
                <w:color w:val="auto"/>
                <w:sz w:val="24"/>
                <w:szCs w:val="24"/>
              </w:rPr>
              <w:t xml:space="preserve">   </w:t>
            </w:r>
            <w:r>
              <w:rPr>
                <w:rFonts w:hint="eastAsia"/>
                <w:color w:val="auto"/>
                <w:sz w:val="24"/>
                <w:szCs w:val="24"/>
              </w:rPr>
              <w:t>建设</w:t>
            </w:r>
            <w:r>
              <w:rPr>
                <w:color w:val="auto"/>
                <w:sz w:val="24"/>
                <w:szCs w:val="24"/>
              </w:rPr>
              <w:t>项目周边</w:t>
            </w:r>
            <w:r>
              <w:rPr>
                <w:rFonts w:hint="eastAsia"/>
                <w:color w:val="auto"/>
                <w:sz w:val="24"/>
                <w:szCs w:val="24"/>
              </w:rPr>
              <w:t>环境</w:t>
            </w:r>
            <w:r>
              <w:rPr>
                <w:color w:val="auto"/>
                <w:sz w:val="24"/>
                <w:szCs w:val="24"/>
              </w:rPr>
              <w:t>概况图</w:t>
            </w:r>
          </w:p>
          <w:p>
            <w:pPr>
              <w:adjustRightInd w:val="0"/>
              <w:snapToGrid w:val="0"/>
              <w:spacing w:line="360" w:lineRule="auto"/>
              <w:ind w:firstLine="720" w:firstLineChars="300"/>
              <w:rPr>
                <w:color w:val="auto"/>
                <w:sz w:val="24"/>
                <w:szCs w:val="24"/>
              </w:rPr>
            </w:pPr>
            <w:r>
              <w:rPr>
                <w:color w:val="auto"/>
                <w:sz w:val="24"/>
                <w:szCs w:val="24"/>
              </w:rPr>
              <w:t>附图</w:t>
            </w:r>
            <w:r>
              <w:rPr>
                <w:rFonts w:hint="eastAsia"/>
                <w:color w:val="auto"/>
                <w:sz w:val="24"/>
                <w:szCs w:val="24"/>
              </w:rPr>
              <w:t>3</w:t>
            </w:r>
            <w:r>
              <w:rPr>
                <w:color w:val="auto"/>
                <w:sz w:val="24"/>
                <w:szCs w:val="24"/>
              </w:rPr>
              <w:t xml:space="preserve">   </w:t>
            </w:r>
            <w:r>
              <w:rPr>
                <w:rFonts w:hint="eastAsia"/>
                <w:color w:val="auto"/>
                <w:sz w:val="24"/>
                <w:szCs w:val="24"/>
              </w:rPr>
              <w:t>建设</w:t>
            </w:r>
            <w:r>
              <w:rPr>
                <w:color w:val="auto"/>
                <w:sz w:val="24"/>
                <w:szCs w:val="24"/>
              </w:rPr>
              <w:t>项目</w:t>
            </w:r>
            <w:r>
              <w:rPr>
                <w:rFonts w:hint="eastAsia"/>
                <w:color w:val="auto"/>
                <w:sz w:val="24"/>
                <w:szCs w:val="24"/>
              </w:rPr>
              <w:t>厂区布置图</w:t>
            </w:r>
          </w:p>
          <w:p>
            <w:pPr>
              <w:adjustRightInd w:val="0"/>
              <w:snapToGrid w:val="0"/>
              <w:spacing w:line="360" w:lineRule="auto"/>
              <w:ind w:firstLine="720" w:firstLineChars="300"/>
              <w:rPr>
                <w:color w:val="auto"/>
                <w:sz w:val="24"/>
                <w:szCs w:val="24"/>
              </w:rPr>
            </w:pPr>
            <w:r>
              <w:rPr>
                <w:color w:val="auto"/>
                <w:sz w:val="24"/>
                <w:szCs w:val="24"/>
              </w:rPr>
              <w:t xml:space="preserve">附图4   </w:t>
            </w:r>
            <w:r>
              <w:rPr>
                <w:rFonts w:hint="eastAsia"/>
                <w:color w:val="auto"/>
                <w:sz w:val="24"/>
                <w:szCs w:val="24"/>
              </w:rPr>
              <w:t>项目生产车间平面布置图</w:t>
            </w:r>
          </w:p>
          <w:p>
            <w:pPr>
              <w:adjustRightInd w:val="0"/>
              <w:snapToGrid w:val="0"/>
              <w:spacing w:line="360" w:lineRule="auto"/>
              <w:ind w:firstLine="720" w:firstLineChars="300"/>
              <w:rPr>
                <w:color w:val="auto"/>
                <w:sz w:val="24"/>
                <w:szCs w:val="24"/>
              </w:rPr>
            </w:pPr>
            <w:r>
              <w:rPr>
                <w:color w:val="auto"/>
                <w:sz w:val="24"/>
                <w:szCs w:val="24"/>
              </w:rPr>
              <w:t xml:space="preserve">附图5   </w:t>
            </w:r>
            <w:r>
              <w:rPr>
                <w:rFonts w:hint="eastAsia"/>
                <w:color w:val="auto"/>
                <w:sz w:val="24"/>
                <w:szCs w:val="24"/>
              </w:rPr>
              <w:t>项目于生态红线位置关系图</w:t>
            </w:r>
          </w:p>
          <w:p>
            <w:pPr>
              <w:adjustRightInd w:val="0"/>
              <w:snapToGrid w:val="0"/>
              <w:spacing w:line="360" w:lineRule="auto"/>
              <w:ind w:firstLine="720" w:firstLineChars="300"/>
              <w:rPr>
                <w:color w:val="auto"/>
                <w:sz w:val="24"/>
                <w:szCs w:val="24"/>
              </w:rPr>
            </w:pPr>
            <w:r>
              <w:rPr>
                <w:color w:val="auto"/>
                <w:sz w:val="24"/>
                <w:szCs w:val="24"/>
              </w:rPr>
              <w:t>附图6   金坛</w:t>
            </w:r>
            <w:r>
              <w:rPr>
                <w:rFonts w:hint="eastAsia"/>
                <w:color w:val="auto"/>
                <w:sz w:val="24"/>
                <w:szCs w:val="24"/>
              </w:rPr>
              <w:t>经济开发区土地利用规划图</w:t>
            </w:r>
          </w:p>
          <w:p>
            <w:pPr>
              <w:adjustRightInd w:val="0"/>
              <w:snapToGrid w:val="0"/>
              <w:spacing w:line="360" w:lineRule="auto"/>
              <w:ind w:firstLine="720" w:firstLineChars="300"/>
              <w:rPr>
                <w:color w:val="auto"/>
                <w:sz w:val="24"/>
                <w:szCs w:val="24"/>
              </w:rPr>
            </w:pPr>
            <w:r>
              <w:rPr>
                <w:rFonts w:hint="eastAsia"/>
                <w:color w:val="auto"/>
                <w:sz w:val="24"/>
                <w:szCs w:val="24"/>
              </w:rPr>
              <w:t>附图7   金坛区声功能区划图</w:t>
            </w:r>
          </w:p>
          <w:p>
            <w:pPr>
              <w:adjustRightInd w:val="0"/>
              <w:snapToGrid w:val="0"/>
              <w:spacing w:line="360" w:lineRule="auto"/>
              <w:ind w:firstLine="720" w:firstLineChars="300"/>
              <w:rPr>
                <w:color w:val="auto"/>
                <w:sz w:val="24"/>
                <w:szCs w:val="24"/>
              </w:rPr>
            </w:pPr>
            <w:r>
              <w:rPr>
                <w:rFonts w:hint="eastAsia"/>
                <w:color w:val="auto"/>
                <w:sz w:val="24"/>
                <w:szCs w:val="24"/>
              </w:rPr>
              <w:t>附图8   项目所在区域污水管网布置图</w:t>
            </w:r>
          </w:p>
          <w:p>
            <w:pPr>
              <w:adjustRightInd w:val="0"/>
              <w:snapToGrid w:val="0"/>
              <w:spacing w:line="360" w:lineRule="auto"/>
              <w:ind w:firstLine="720" w:firstLineChars="300"/>
              <w:rPr>
                <w:color w:val="auto"/>
                <w:sz w:val="24"/>
                <w:szCs w:val="24"/>
              </w:rPr>
            </w:pPr>
            <w:r>
              <w:rPr>
                <w:rFonts w:hint="eastAsia"/>
                <w:color w:val="auto"/>
                <w:sz w:val="24"/>
                <w:szCs w:val="24"/>
              </w:rPr>
              <w:t>附图9   项目所在区域水系图</w:t>
            </w:r>
          </w:p>
          <w:p>
            <w:pPr>
              <w:adjustRightInd w:val="0"/>
              <w:snapToGrid w:val="0"/>
              <w:spacing w:line="360" w:lineRule="auto"/>
              <w:ind w:firstLine="720" w:firstLineChars="300"/>
              <w:rPr>
                <w:color w:val="auto"/>
                <w:sz w:val="24"/>
                <w:szCs w:val="24"/>
              </w:rPr>
            </w:pPr>
          </w:p>
          <w:p>
            <w:pPr>
              <w:adjustRightInd w:val="0"/>
              <w:snapToGrid w:val="0"/>
              <w:spacing w:line="360" w:lineRule="auto"/>
              <w:ind w:firstLine="720" w:firstLineChars="300"/>
              <w:rPr>
                <w:color w:val="auto"/>
                <w:sz w:val="24"/>
                <w:szCs w:val="24"/>
              </w:rPr>
            </w:pPr>
            <w:r>
              <w:rPr>
                <w:color w:val="auto"/>
                <w:sz w:val="24"/>
                <w:szCs w:val="24"/>
              </w:rPr>
              <w:t xml:space="preserve">附件一  </w:t>
            </w:r>
            <w:r>
              <w:rPr>
                <w:rFonts w:hint="eastAsia"/>
                <w:color w:val="auto"/>
                <w:sz w:val="24"/>
                <w:szCs w:val="24"/>
                <w:lang w:eastAsia="zh-CN"/>
              </w:rPr>
              <w:t>北区</w:t>
            </w:r>
            <w:r>
              <w:rPr>
                <w:color w:val="auto"/>
                <w:sz w:val="24"/>
                <w:szCs w:val="24"/>
              </w:rPr>
              <w:t>环评审查意见</w:t>
            </w:r>
          </w:p>
          <w:p>
            <w:pPr>
              <w:adjustRightInd w:val="0"/>
              <w:snapToGrid w:val="0"/>
              <w:spacing w:line="360" w:lineRule="auto"/>
              <w:ind w:firstLine="720" w:firstLineChars="300"/>
              <w:rPr>
                <w:color w:val="auto"/>
                <w:sz w:val="24"/>
                <w:szCs w:val="24"/>
              </w:rPr>
            </w:pPr>
            <w:r>
              <w:rPr>
                <w:color w:val="auto"/>
                <w:sz w:val="24"/>
                <w:szCs w:val="24"/>
              </w:rPr>
              <w:t>附件二  备案通知书</w:t>
            </w:r>
          </w:p>
          <w:p>
            <w:pPr>
              <w:adjustRightInd w:val="0"/>
              <w:snapToGrid w:val="0"/>
              <w:spacing w:line="360" w:lineRule="auto"/>
              <w:ind w:firstLine="720" w:firstLineChars="300"/>
              <w:rPr>
                <w:color w:val="auto"/>
                <w:sz w:val="24"/>
                <w:szCs w:val="24"/>
              </w:rPr>
            </w:pPr>
            <w:r>
              <w:rPr>
                <w:color w:val="auto"/>
                <w:sz w:val="24"/>
                <w:szCs w:val="24"/>
              </w:rPr>
              <w:t>附件三  营业执照</w:t>
            </w:r>
          </w:p>
          <w:p>
            <w:pPr>
              <w:adjustRightInd w:val="0"/>
              <w:snapToGrid w:val="0"/>
              <w:spacing w:line="360" w:lineRule="auto"/>
              <w:ind w:firstLine="720" w:firstLineChars="300"/>
              <w:rPr>
                <w:color w:val="auto"/>
                <w:sz w:val="24"/>
                <w:szCs w:val="24"/>
              </w:rPr>
            </w:pPr>
            <w:r>
              <w:rPr>
                <w:color w:val="auto"/>
                <w:sz w:val="24"/>
                <w:szCs w:val="24"/>
              </w:rPr>
              <w:t xml:space="preserve">附件四  </w:t>
            </w:r>
            <w:r>
              <w:rPr>
                <w:rFonts w:hint="eastAsia"/>
                <w:color w:val="auto"/>
                <w:sz w:val="24"/>
                <w:szCs w:val="24"/>
              </w:rPr>
              <w:t>法人身份证</w:t>
            </w:r>
          </w:p>
          <w:p>
            <w:pPr>
              <w:adjustRightInd w:val="0"/>
              <w:snapToGrid w:val="0"/>
              <w:spacing w:line="360" w:lineRule="auto"/>
              <w:ind w:firstLine="720" w:firstLineChars="300"/>
              <w:rPr>
                <w:rFonts w:hint="eastAsia" w:eastAsia="宋体"/>
                <w:color w:val="auto"/>
                <w:sz w:val="24"/>
                <w:szCs w:val="24"/>
                <w:lang w:eastAsia="zh-CN"/>
              </w:rPr>
            </w:pPr>
            <w:r>
              <w:rPr>
                <w:color w:val="auto"/>
                <w:sz w:val="24"/>
                <w:szCs w:val="24"/>
              </w:rPr>
              <w:t>附件</w:t>
            </w:r>
            <w:r>
              <w:rPr>
                <w:rFonts w:hint="eastAsia"/>
                <w:color w:val="auto"/>
                <w:sz w:val="24"/>
                <w:szCs w:val="24"/>
              </w:rPr>
              <w:t>五</w:t>
            </w:r>
            <w:r>
              <w:rPr>
                <w:color w:val="auto"/>
                <w:sz w:val="24"/>
                <w:szCs w:val="24"/>
              </w:rPr>
              <w:t xml:space="preserve"> </w:t>
            </w:r>
            <w:r>
              <w:rPr>
                <w:rFonts w:hint="eastAsia"/>
                <w:color w:val="auto"/>
                <w:sz w:val="24"/>
                <w:szCs w:val="24"/>
              </w:rPr>
              <w:t xml:space="preserve"> </w:t>
            </w:r>
            <w:r>
              <w:rPr>
                <w:rFonts w:hint="eastAsia"/>
                <w:color w:val="auto"/>
                <w:sz w:val="24"/>
                <w:szCs w:val="24"/>
                <w:lang w:eastAsia="zh-CN"/>
              </w:rPr>
              <w:t>租房合同</w:t>
            </w:r>
          </w:p>
          <w:p>
            <w:pPr>
              <w:adjustRightInd w:val="0"/>
              <w:snapToGrid w:val="0"/>
              <w:spacing w:line="360" w:lineRule="auto"/>
              <w:ind w:firstLine="720" w:firstLineChars="300"/>
              <w:rPr>
                <w:rFonts w:hint="eastAsia" w:eastAsia="宋体"/>
                <w:color w:val="auto"/>
                <w:sz w:val="24"/>
                <w:szCs w:val="24"/>
                <w:lang w:eastAsia="zh-CN"/>
              </w:rPr>
            </w:pPr>
            <w:r>
              <w:rPr>
                <w:color w:val="auto"/>
                <w:sz w:val="24"/>
                <w:szCs w:val="24"/>
              </w:rPr>
              <w:t>附件</w:t>
            </w:r>
            <w:r>
              <w:rPr>
                <w:rFonts w:hint="eastAsia"/>
                <w:color w:val="auto"/>
                <w:sz w:val="24"/>
                <w:szCs w:val="24"/>
              </w:rPr>
              <w:t>六</w:t>
            </w:r>
            <w:r>
              <w:rPr>
                <w:color w:val="auto"/>
                <w:sz w:val="24"/>
                <w:szCs w:val="24"/>
              </w:rPr>
              <w:t xml:space="preserve"> </w:t>
            </w:r>
            <w:r>
              <w:rPr>
                <w:rFonts w:hint="eastAsia"/>
                <w:color w:val="auto"/>
                <w:sz w:val="24"/>
                <w:szCs w:val="24"/>
              </w:rPr>
              <w:t xml:space="preserve"> </w:t>
            </w:r>
            <w:r>
              <w:rPr>
                <w:rFonts w:hint="eastAsia"/>
                <w:color w:val="auto"/>
                <w:sz w:val="24"/>
                <w:szCs w:val="24"/>
                <w:lang w:eastAsia="zh-CN"/>
              </w:rPr>
              <w:t>房东房产证及环评手续</w:t>
            </w:r>
          </w:p>
          <w:p>
            <w:pPr>
              <w:adjustRightInd w:val="0"/>
              <w:snapToGrid w:val="0"/>
              <w:spacing w:line="360" w:lineRule="auto"/>
              <w:ind w:firstLine="720" w:firstLineChars="300"/>
              <w:rPr>
                <w:color w:val="auto"/>
                <w:sz w:val="24"/>
                <w:szCs w:val="24"/>
              </w:rPr>
            </w:pPr>
            <w:r>
              <w:rPr>
                <w:color w:val="auto"/>
                <w:sz w:val="24"/>
                <w:szCs w:val="24"/>
              </w:rPr>
              <w:t>附件</w:t>
            </w:r>
            <w:r>
              <w:rPr>
                <w:rFonts w:hint="eastAsia"/>
                <w:color w:val="auto"/>
                <w:sz w:val="24"/>
                <w:szCs w:val="24"/>
              </w:rPr>
              <w:t>七</w:t>
            </w:r>
            <w:r>
              <w:rPr>
                <w:color w:val="auto"/>
                <w:sz w:val="24"/>
                <w:szCs w:val="24"/>
              </w:rPr>
              <w:t xml:space="preserve"> </w:t>
            </w:r>
            <w:r>
              <w:rPr>
                <w:rFonts w:hint="eastAsia"/>
                <w:color w:val="auto"/>
                <w:sz w:val="24"/>
                <w:szCs w:val="24"/>
              </w:rPr>
              <w:t xml:space="preserve"> </w:t>
            </w:r>
            <w:r>
              <w:rPr>
                <w:color w:val="auto"/>
                <w:sz w:val="24"/>
                <w:szCs w:val="24"/>
              </w:rPr>
              <w:t>环评</w:t>
            </w:r>
            <w:r>
              <w:rPr>
                <w:rFonts w:hint="eastAsia"/>
                <w:color w:val="auto"/>
                <w:sz w:val="24"/>
                <w:szCs w:val="24"/>
              </w:rPr>
              <w:t>技术合同</w:t>
            </w:r>
          </w:p>
          <w:p>
            <w:pPr>
              <w:adjustRightInd w:val="0"/>
              <w:snapToGrid w:val="0"/>
              <w:spacing w:line="360" w:lineRule="auto"/>
              <w:ind w:firstLine="720" w:firstLineChars="300"/>
              <w:rPr>
                <w:color w:val="auto"/>
                <w:sz w:val="24"/>
                <w:szCs w:val="24"/>
              </w:rPr>
            </w:pPr>
            <w:r>
              <w:rPr>
                <w:color w:val="auto"/>
                <w:sz w:val="24"/>
                <w:szCs w:val="24"/>
              </w:rPr>
              <w:t>附件</w:t>
            </w:r>
            <w:r>
              <w:rPr>
                <w:rFonts w:hint="eastAsia"/>
                <w:color w:val="auto"/>
                <w:sz w:val="24"/>
                <w:szCs w:val="24"/>
              </w:rPr>
              <w:t>八</w:t>
            </w:r>
            <w:r>
              <w:rPr>
                <w:color w:val="auto"/>
                <w:sz w:val="24"/>
                <w:szCs w:val="24"/>
              </w:rPr>
              <w:t xml:space="preserve">  </w:t>
            </w:r>
            <w:r>
              <w:rPr>
                <w:rFonts w:hint="eastAsia"/>
                <w:color w:val="auto"/>
                <w:sz w:val="24"/>
                <w:szCs w:val="24"/>
              </w:rPr>
              <w:t>工程师看现场图</w:t>
            </w:r>
          </w:p>
          <w:p>
            <w:pPr>
              <w:adjustRightInd w:val="0"/>
              <w:snapToGrid w:val="0"/>
              <w:spacing w:line="360" w:lineRule="auto"/>
              <w:ind w:firstLine="720" w:firstLineChars="300"/>
              <w:rPr>
                <w:color w:val="auto"/>
                <w:sz w:val="24"/>
                <w:szCs w:val="24"/>
              </w:rPr>
            </w:pPr>
            <w:r>
              <w:rPr>
                <w:color w:val="auto"/>
                <w:sz w:val="24"/>
                <w:szCs w:val="24"/>
              </w:rPr>
              <w:t>附件</w:t>
            </w:r>
            <w:r>
              <w:rPr>
                <w:rFonts w:hint="eastAsia"/>
                <w:color w:val="auto"/>
                <w:sz w:val="24"/>
                <w:szCs w:val="24"/>
              </w:rPr>
              <w:t>九</w:t>
            </w:r>
            <w:r>
              <w:rPr>
                <w:color w:val="auto"/>
                <w:sz w:val="24"/>
                <w:szCs w:val="24"/>
              </w:rPr>
              <w:t xml:space="preserve"> </w:t>
            </w:r>
            <w:r>
              <w:rPr>
                <w:rFonts w:hint="eastAsia"/>
                <w:color w:val="auto"/>
                <w:sz w:val="24"/>
                <w:szCs w:val="24"/>
              </w:rPr>
              <w:t xml:space="preserve"> 监测报告</w:t>
            </w:r>
          </w:p>
          <w:p>
            <w:pPr>
              <w:adjustRightInd w:val="0"/>
              <w:snapToGrid w:val="0"/>
              <w:spacing w:line="360" w:lineRule="auto"/>
              <w:ind w:firstLine="720" w:firstLineChars="300"/>
              <w:rPr>
                <w:color w:val="auto"/>
                <w:sz w:val="24"/>
                <w:szCs w:val="24"/>
              </w:rPr>
            </w:pPr>
            <w:r>
              <w:rPr>
                <w:color w:val="auto"/>
                <w:sz w:val="24"/>
                <w:szCs w:val="24"/>
              </w:rPr>
              <w:t xml:space="preserve">附件十 </w:t>
            </w:r>
            <w:r>
              <w:rPr>
                <w:rFonts w:hint="eastAsia"/>
                <w:color w:val="auto"/>
                <w:sz w:val="24"/>
                <w:szCs w:val="24"/>
              </w:rPr>
              <w:t xml:space="preserve"> 监测数据引用说明</w:t>
            </w:r>
          </w:p>
          <w:p>
            <w:pPr>
              <w:adjustRightInd w:val="0"/>
              <w:snapToGrid w:val="0"/>
              <w:spacing w:line="360" w:lineRule="auto"/>
              <w:ind w:firstLine="720" w:firstLineChars="300"/>
              <w:rPr>
                <w:color w:val="auto"/>
                <w:sz w:val="24"/>
                <w:szCs w:val="24"/>
              </w:rPr>
            </w:pPr>
            <w:r>
              <w:rPr>
                <w:color w:val="auto"/>
                <w:sz w:val="24"/>
                <w:szCs w:val="24"/>
              </w:rPr>
              <w:t>附件十</w:t>
            </w:r>
            <w:r>
              <w:rPr>
                <w:rFonts w:hint="eastAsia"/>
                <w:color w:val="auto"/>
                <w:sz w:val="24"/>
                <w:szCs w:val="24"/>
              </w:rPr>
              <w:t>一</w:t>
            </w:r>
            <w:r>
              <w:rPr>
                <w:color w:val="auto"/>
                <w:sz w:val="24"/>
                <w:szCs w:val="24"/>
              </w:rPr>
              <w:t xml:space="preserve"> </w:t>
            </w:r>
            <w:r>
              <w:rPr>
                <w:rFonts w:hint="eastAsia"/>
                <w:color w:val="auto"/>
                <w:sz w:val="24"/>
                <w:szCs w:val="24"/>
              </w:rPr>
              <w:t>监测报告公示</w:t>
            </w:r>
          </w:p>
          <w:p>
            <w:pPr>
              <w:adjustRightInd w:val="0"/>
              <w:snapToGrid w:val="0"/>
              <w:spacing w:line="360" w:lineRule="auto"/>
              <w:ind w:firstLine="720" w:firstLineChars="300"/>
              <w:rPr>
                <w:color w:val="auto"/>
                <w:sz w:val="24"/>
                <w:szCs w:val="24"/>
              </w:rPr>
            </w:pPr>
            <w:r>
              <w:rPr>
                <w:color w:val="auto"/>
                <w:sz w:val="24"/>
                <w:szCs w:val="24"/>
              </w:rPr>
              <w:t>附件十</w:t>
            </w:r>
            <w:r>
              <w:rPr>
                <w:rFonts w:hint="eastAsia"/>
                <w:color w:val="auto"/>
                <w:sz w:val="24"/>
                <w:szCs w:val="24"/>
              </w:rPr>
              <w:t xml:space="preserve">二 </w:t>
            </w:r>
            <w:r>
              <w:rPr>
                <w:color w:val="auto"/>
                <w:sz w:val="24"/>
                <w:szCs w:val="24"/>
              </w:rPr>
              <w:t>环评公示</w:t>
            </w:r>
          </w:p>
          <w:p>
            <w:pPr>
              <w:adjustRightInd w:val="0"/>
              <w:snapToGrid w:val="0"/>
              <w:spacing w:line="360" w:lineRule="auto"/>
              <w:ind w:firstLine="720" w:firstLineChars="300"/>
              <w:rPr>
                <w:color w:val="auto"/>
                <w:sz w:val="24"/>
                <w:szCs w:val="24"/>
              </w:rPr>
            </w:pPr>
            <w:r>
              <w:rPr>
                <w:color w:val="auto"/>
                <w:sz w:val="24"/>
                <w:szCs w:val="24"/>
              </w:rPr>
              <w:t>附件十</w:t>
            </w:r>
            <w:r>
              <w:rPr>
                <w:rFonts w:hint="eastAsia"/>
                <w:color w:val="auto"/>
                <w:sz w:val="24"/>
                <w:szCs w:val="24"/>
              </w:rPr>
              <w:t>三</w:t>
            </w:r>
            <w:r>
              <w:rPr>
                <w:color w:val="auto"/>
                <w:sz w:val="24"/>
                <w:szCs w:val="24"/>
              </w:rPr>
              <w:t xml:space="preserve"> </w:t>
            </w:r>
            <w:r>
              <w:rPr>
                <w:rFonts w:hint="eastAsia"/>
                <w:color w:val="auto"/>
                <w:sz w:val="24"/>
                <w:szCs w:val="24"/>
              </w:rPr>
              <w:t>水性</w:t>
            </w:r>
            <w:r>
              <w:rPr>
                <w:rFonts w:hint="eastAsia"/>
                <w:color w:val="auto"/>
                <w:sz w:val="24"/>
                <w:szCs w:val="24"/>
                <w:lang w:val="en-US" w:eastAsia="zh-CN"/>
              </w:rPr>
              <w:t>漆</w:t>
            </w:r>
            <w:r>
              <w:rPr>
                <w:rFonts w:hint="eastAsia"/>
                <w:color w:val="auto"/>
                <w:sz w:val="24"/>
                <w:szCs w:val="24"/>
              </w:rPr>
              <w:t>MSDS</w:t>
            </w:r>
          </w:p>
          <w:p>
            <w:pPr>
              <w:adjustRightInd w:val="0"/>
              <w:snapToGrid w:val="0"/>
              <w:spacing w:line="360" w:lineRule="auto"/>
              <w:ind w:firstLine="720" w:firstLineChars="300"/>
              <w:rPr>
                <w:color w:val="auto"/>
                <w:sz w:val="24"/>
                <w:szCs w:val="24"/>
              </w:rPr>
            </w:pPr>
            <w:r>
              <w:rPr>
                <w:rFonts w:hint="eastAsia"/>
                <w:bCs/>
                <w:color w:val="auto"/>
                <w:sz w:val="24"/>
                <w:szCs w:val="24"/>
              </w:rPr>
              <w:t xml:space="preserve">附件十四 </w:t>
            </w:r>
            <w:r>
              <w:rPr>
                <w:color w:val="auto"/>
                <w:sz w:val="24"/>
                <w:szCs w:val="24"/>
              </w:rPr>
              <w:t>环评委托书</w:t>
            </w:r>
          </w:p>
          <w:p>
            <w:pPr>
              <w:adjustRightInd w:val="0"/>
              <w:snapToGrid w:val="0"/>
              <w:spacing w:line="360" w:lineRule="auto"/>
              <w:ind w:firstLine="720" w:firstLineChars="300"/>
              <w:rPr>
                <w:color w:val="auto"/>
                <w:sz w:val="24"/>
                <w:szCs w:val="24"/>
              </w:rPr>
            </w:pPr>
            <w:r>
              <w:rPr>
                <w:rFonts w:hint="eastAsia"/>
                <w:color w:val="auto"/>
                <w:sz w:val="24"/>
                <w:szCs w:val="24"/>
              </w:rPr>
              <w:t xml:space="preserve">附件十五 </w:t>
            </w:r>
            <w:r>
              <w:rPr>
                <w:color w:val="auto"/>
                <w:sz w:val="24"/>
                <w:szCs w:val="24"/>
              </w:rPr>
              <w:t>建设单位承诺函</w:t>
            </w:r>
          </w:p>
          <w:p>
            <w:pPr>
              <w:adjustRightInd w:val="0"/>
              <w:snapToGrid w:val="0"/>
              <w:spacing w:line="360" w:lineRule="auto"/>
              <w:ind w:firstLine="720" w:firstLineChars="300"/>
              <w:rPr>
                <w:color w:val="auto"/>
                <w:sz w:val="24"/>
                <w:szCs w:val="24"/>
              </w:rPr>
            </w:pPr>
            <w:r>
              <w:rPr>
                <w:rFonts w:hint="eastAsia"/>
                <w:color w:val="auto"/>
                <w:sz w:val="24"/>
                <w:szCs w:val="24"/>
              </w:rPr>
              <w:t xml:space="preserve">附件十六 </w:t>
            </w:r>
            <w:r>
              <w:rPr>
                <w:color w:val="auto"/>
                <w:sz w:val="24"/>
                <w:szCs w:val="24"/>
              </w:rPr>
              <w:t>建设单位环评单位承诺函</w:t>
            </w:r>
          </w:p>
          <w:p>
            <w:pPr>
              <w:adjustRightInd w:val="0"/>
              <w:snapToGrid w:val="0"/>
              <w:spacing w:line="360" w:lineRule="auto"/>
              <w:ind w:firstLine="720" w:firstLineChars="300"/>
              <w:rPr>
                <w:color w:val="auto"/>
                <w:sz w:val="24"/>
                <w:szCs w:val="24"/>
              </w:rPr>
            </w:pPr>
            <w:r>
              <w:rPr>
                <w:rFonts w:hint="eastAsia"/>
                <w:color w:val="auto"/>
                <w:sz w:val="24"/>
                <w:szCs w:val="24"/>
              </w:rPr>
              <w:t xml:space="preserve">附件十七 </w:t>
            </w:r>
            <w:r>
              <w:rPr>
                <w:color w:val="auto"/>
                <w:sz w:val="24"/>
                <w:szCs w:val="24"/>
              </w:rPr>
              <w:t>声明确认单</w:t>
            </w:r>
          </w:p>
          <w:p>
            <w:pPr>
              <w:pStyle w:val="21"/>
              <w:ind w:firstLine="720" w:firstLineChars="300"/>
              <w:rPr>
                <w:color w:val="auto"/>
              </w:rPr>
            </w:pPr>
            <w:r>
              <w:rPr>
                <w:rFonts w:hint="eastAsia"/>
                <w:color w:val="auto"/>
                <w:sz w:val="24"/>
                <w:szCs w:val="24"/>
              </w:rPr>
              <w:t>附件十八 危险废物承诺书</w:t>
            </w:r>
          </w:p>
          <w:p>
            <w:pPr>
              <w:adjustRightInd w:val="0"/>
              <w:snapToGrid w:val="0"/>
              <w:spacing w:line="360" w:lineRule="auto"/>
              <w:ind w:firstLine="720" w:firstLineChars="300"/>
              <w:rPr>
                <w:color w:val="auto"/>
                <w:sz w:val="24"/>
                <w:szCs w:val="24"/>
              </w:rPr>
            </w:pPr>
            <w:r>
              <w:rPr>
                <w:color w:val="auto"/>
                <w:sz w:val="24"/>
                <w:szCs w:val="24"/>
              </w:rPr>
              <w:t>如果本报告表不能说明项目产生的污染及对环境造成的影响，应进行专项评价。根据建设项目的特点和当地环境特征，应选下列1~2项进行专项评价。</w:t>
            </w:r>
          </w:p>
          <w:p>
            <w:pPr>
              <w:adjustRightInd w:val="0"/>
              <w:snapToGrid w:val="0"/>
              <w:spacing w:line="360" w:lineRule="auto"/>
              <w:ind w:firstLine="720" w:firstLineChars="300"/>
              <w:rPr>
                <w:color w:val="auto"/>
                <w:sz w:val="24"/>
                <w:szCs w:val="24"/>
              </w:rPr>
            </w:pPr>
            <w:r>
              <w:rPr>
                <w:rFonts w:hint="eastAsia"/>
                <w:color w:val="auto"/>
                <w:sz w:val="24"/>
                <w:szCs w:val="24"/>
              </w:rPr>
              <w:t>1、</w:t>
            </w:r>
            <w:r>
              <w:rPr>
                <w:color w:val="auto"/>
                <w:sz w:val="24"/>
                <w:szCs w:val="24"/>
              </w:rPr>
              <w:t>水环境影响专项评价</w:t>
            </w:r>
          </w:p>
          <w:p>
            <w:pPr>
              <w:adjustRightInd w:val="0"/>
              <w:snapToGrid w:val="0"/>
              <w:spacing w:line="360" w:lineRule="auto"/>
              <w:ind w:firstLine="720" w:firstLineChars="300"/>
              <w:rPr>
                <w:color w:val="auto"/>
                <w:sz w:val="24"/>
                <w:szCs w:val="24"/>
              </w:rPr>
            </w:pPr>
            <w:r>
              <w:rPr>
                <w:rFonts w:hint="eastAsia"/>
                <w:color w:val="auto"/>
                <w:sz w:val="24"/>
                <w:szCs w:val="24"/>
              </w:rPr>
              <w:t>2、</w:t>
            </w:r>
            <w:r>
              <w:rPr>
                <w:color w:val="auto"/>
                <w:sz w:val="24"/>
                <w:szCs w:val="24"/>
              </w:rPr>
              <w:t>生态环境影响专项评价</w:t>
            </w:r>
          </w:p>
          <w:p>
            <w:pPr>
              <w:adjustRightInd w:val="0"/>
              <w:snapToGrid w:val="0"/>
              <w:spacing w:line="360" w:lineRule="auto"/>
              <w:ind w:firstLine="720" w:firstLineChars="300"/>
              <w:rPr>
                <w:color w:val="auto"/>
                <w:sz w:val="24"/>
                <w:szCs w:val="24"/>
              </w:rPr>
            </w:pPr>
            <w:r>
              <w:rPr>
                <w:rFonts w:hint="eastAsia"/>
                <w:color w:val="auto"/>
                <w:sz w:val="24"/>
                <w:szCs w:val="24"/>
              </w:rPr>
              <w:t>3、</w:t>
            </w:r>
            <w:r>
              <w:rPr>
                <w:color w:val="auto"/>
                <w:sz w:val="24"/>
                <w:szCs w:val="24"/>
              </w:rPr>
              <w:t>声影响专项评价</w:t>
            </w:r>
          </w:p>
          <w:p>
            <w:pPr>
              <w:adjustRightInd w:val="0"/>
              <w:snapToGrid w:val="0"/>
              <w:spacing w:line="360" w:lineRule="auto"/>
              <w:ind w:firstLine="720" w:firstLineChars="300"/>
              <w:rPr>
                <w:color w:val="auto"/>
                <w:sz w:val="24"/>
                <w:szCs w:val="24"/>
              </w:rPr>
            </w:pPr>
            <w:r>
              <w:rPr>
                <w:rFonts w:hint="eastAsia"/>
                <w:color w:val="auto"/>
                <w:sz w:val="24"/>
                <w:szCs w:val="24"/>
              </w:rPr>
              <w:t>4、</w:t>
            </w:r>
            <w:r>
              <w:rPr>
                <w:color w:val="auto"/>
                <w:sz w:val="24"/>
                <w:szCs w:val="24"/>
              </w:rPr>
              <w:t>固体废弃物影响专项评价</w:t>
            </w:r>
          </w:p>
          <w:p>
            <w:pPr>
              <w:adjustRightInd w:val="0"/>
              <w:snapToGrid w:val="0"/>
              <w:spacing w:line="360" w:lineRule="auto"/>
              <w:ind w:firstLine="480" w:firstLineChars="200"/>
              <w:rPr>
                <w:color w:val="auto"/>
              </w:rPr>
            </w:pPr>
            <w:r>
              <w:rPr>
                <w:color w:val="auto"/>
                <w:sz w:val="24"/>
                <w:szCs w:val="24"/>
              </w:rPr>
              <w:t>以上专项评价未包括的可另列专项，专项评价按照《环境影响评价技术导则》中的要求进行。</w:t>
            </w:r>
          </w:p>
        </w:tc>
      </w:tr>
    </w:tbl>
    <w:p>
      <w:pPr>
        <w:rPr>
          <w:color w:val="auto"/>
        </w:rPr>
      </w:pPr>
    </w:p>
    <w:sectPr>
      <w:pgSz w:w="11906" w:h="16838"/>
      <w:pgMar w:top="1440" w:right="1797" w:bottom="1440" w:left="1797" w:header="851" w:footer="992" w:gutter="0"/>
      <w:pgBorders>
        <w:top w:val="none" w:sz="0" w:space="0"/>
        <w:left w:val="none" w:sz="0" w:space="0"/>
        <w:bottom w:val="none" w:sz="0" w:space="0"/>
        <w:right w:val="none" w:sz="0" w:space="0"/>
      </w:pgBorders>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宋体">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幼圆">
    <w:panose1 w:val="02010509060101010101"/>
    <w:charset w:val="86"/>
    <w:family w:val="modern"/>
    <w:pitch w:val="default"/>
    <w:sig w:usb0="00000001" w:usb1="080E0000" w:usb2="00000000" w:usb3="00000000" w:csb0="00040000" w:csb1="00000000"/>
  </w:font>
  <w:font w:name="_x000B__x000C_">
    <w:altName w:val="Times New Roman"/>
    <w:panose1 w:val="00000000000000000000"/>
    <w:charset w:val="00"/>
    <w:family w:val="roman"/>
    <w:pitch w:val="default"/>
    <w:sig w:usb0="00000000" w:usb1="00000000" w:usb2="00000000" w:usb3="00000000" w:csb0="00040001" w:csb1="00000000"/>
  </w:font>
  <w:font w:name="serif">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Arial Black">
    <w:panose1 w:val="020B0A04020102020204"/>
    <w:charset w:val="00"/>
    <w:family w:val="swiss"/>
    <w:pitch w:val="default"/>
    <w:sig w:usb0="A00002AF" w:usb1="400078FB" w:usb2="00000000" w:usb3="00000000" w:csb0="6000009F" w:csb1="DFD70000"/>
  </w:font>
  <w:font w:name="华文细黑">
    <w:panose1 w:val="02010600040101010101"/>
    <w:charset w:val="86"/>
    <w:family w:val="auto"/>
    <w:pitch w:val="default"/>
    <w:sig w:usb0="00000287" w:usb1="080F0000" w:usb2="00000000" w:usb3="00000000" w:csb0="0004009F" w:csb1="DFD70000"/>
  </w:font>
  <w:font w:name="Sim Sun+ 2">
    <w:altName w:val="宋体"/>
    <w:panose1 w:val="00000000000000000000"/>
    <w:charset w:val="86"/>
    <w:family w:val="auto"/>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宋三简体">
    <w:altName w:val="宋体"/>
    <w:panose1 w:val="00000000000000000000"/>
    <w:charset w:val="86"/>
    <w:family w:val="auto"/>
    <w:pitch w:val="default"/>
    <w:sig w:usb0="00000000" w:usb1="00000000" w:usb2="00000000" w:usb3="00000000" w:csb0="00040000" w:csb1="00000000"/>
  </w:font>
  <w:font w:name="TimesNewRoman">
    <w:altName w:val="宋体"/>
    <w:panose1 w:val="00000000000000000000"/>
    <w:charset w:val="00"/>
    <w:family w:val="swiss"/>
    <w:pitch w:val="default"/>
    <w:sig w:usb0="00000000" w:usb1="00000000" w:usb2="00000010" w:usb3="00000000" w:csb0="00040001" w:csb1="00000000"/>
  </w:font>
  <w:font w:name="等线">
    <w:panose1 w:val="02010600030101010101"/>
    <w:charset w:val="86"/>
    <w:family w:val="auto"/>
    <w:pitch w:val="default"/>
    <w:sig w:usb0="A00002BF" w:usb1="38CF7CFA" w:usb2="00000016" w:usb3="00000000" w:csb0="0004000F" w:csb1="00000000"/>
  </w:font>
  <w:font w:name="ISOCTEUR">
    <w:altName w:val="Segoe Print"/>
    <w:panose1 w:val="020B0609020202020204"/>
    <w:charset w:val="00"/>
    <w:family w:val="modern"/>
    <w:pitch w:val="default"/>
    <w:sig w:usb0="00000000" w:usb1="00000000" w:usb2="00000000" w:usb3="00000000" w:csb0="4000009F" w:csb1="DFD70000"/>
  </w:font>
  <w:font w:name="Century">
    <w:panose1 w:val="02040604050505020304"/>
    <w:charset w:val="00"/>
    <w:family w:val="roman"/>
    <w:pitch w:val="default"/>
    <w:sig w:usb0="00000287" w:usb1="00000000" w:usb2="00000000" w:usb3="00000000" w:csb0="2000009F" w:csb1="DFD70000"/>
  </w:font>
  <w:font w:name="新宋体">
    <w:panose1 w:val="02010609030101010101"/>
    <w:charset w:val="86"/>
    <w:family w:val="modern"/>
    <w:pitch w:val="default"/>
    <w:sig w:usb0="00000283" w:usb1="288F0000" w:usb2="00000006" w:usb3="00000000" w:csb0="00040001" w:csb1="00000000"/>
  </w:font>
  <w:font w:name="Wingdings 2">
    <w:panose1 w:val="05020102010507070707"/>
    <w:charset w:val="02"/>
    <w:family w:val="roman"/>
    <w:pitch w:val="default"/>
    <w:sig w:usb0="00000000" w:usb1="00000000" w:usb2="00000000" w:usb3="00000000" w:csb0="80000000" w:csb1="00000000"/>
  </w:font>
  <w:font w:name="TimesNewRomanPSMT">
    <w:altName w:val="Times New Roman"/>
    <w:panose1 w:val="00000000000000000000"/>
    <w:charset w:val="00"/>
    <w:family w:val="roman"/>
    <w:pitch w:val="default"/>
    <w:sig w:usb0="00000000" w:usb1="00000000" w:usb2="00000010" w:usb3="00000000" w:csb0="0006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framePr w:wrap="around" w:vAnchor="text" w:hAnchor="margin" w:xAlign="center" w:y="1"/>
      <w:rPr>
        <w:rStyle w:val="66"/>
      </w:rPr>
    </w:pPr>
    <w:r>
      <w:fldChar w:fldCharType="begin"/>
    </w:r>
    <w:r>
      <w:rPr>
        <w:rStyle w:val="66"/>
      </w:rPr>
      <w:instrText xml:space="preserve">PAGE  </w:instrText>
    </w:r>
    <w:r>
      <w:fldChar w:fldCharType="separate"/>
    </w:r>
    <w:r>
      <w:t xml:space="preserve"> </w:t>
    </w:r>
    <w:r>
      <w:fldChar w:fldCharType="end"/>
    </w:r>
  </w:p>
  <w:p>
    <w:pPr>
      <w:pStyle w:val="3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framePr w:wrap="around" w:vAnchor="text" w:hAnchor="margin" w:xAlign="center" w:y="1"/>
      <w:rPr>
        <w:rStyle w:val="66"/>
      </w:rPr>
    </w:pPr>
    <w:r>
      <w:fldChar w:fldCharType="begin"/>
    </w:r>
    <w:r>
      <w:rPr>
        <w:rStyle w:val="66"/>
      </w:rPr>
      <w:instrText xml:space="preserve">PAGE  </w:instrText>
    </w:r>
    <w:r>
      <w:fldChar w:fldCharType="separate"/>
    </w:r>
    <w:r>
      <w:rPr>
        <w:rStyle w:val="66"/>
      </w:rPr>
      <w:t>84</w:t>
    </w:r>
    <w:r>
      <w:fldChar w:fldCharType="end"/>
    </w:r>
  </w:p>
  <w:p>
    <w:pPr>
      <w:pStyle w:val="3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jc w:val="center"/>
    </w:pPr>
    <w:r>
      <w:fldChar w:fldCharType="begin"/>
    </w:r>
    <w:r>
      <w:rPr>
        <w:rStyle w:val="66"/>
      </w:rPr>
      <w:instrText xml:space="preserve"> PAGE </w:instrText>
    </w:r>
    <w:r>
      <w:fldChar w:fldCharType="separate"/>
    </w:r>
    <w:r>
      <w:rPr>
        <w:rStyle w:val="66"/>
      </w:rPr>
      <w:t>1</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84CB3AE"/>
    <w:multiLevelType w:val="singleLevel"/>
    <w:tmpl w:val="984CB3AE"/>
    <w:lvl w:ilvl="0" w:tentative="0">
      <w:start w:val="3"/>
      <w:numFmt w:val="decimal"/>
      <w:suff w:val="nothing"/>
      <w:lvlText w:val="（%1）"/>
      <w:lvlJc w:val="left"/>
    </w:lvl>
  </w:abstractNum>
  <w:abstractNum w:abstractNumId="1">
    <w:nsid w:val="AE347229"/>
    <w:multiLevelType w:val="singleLevel"/>
    <w:tmpl w:val="AE347229"/>
    <w:lvl w:ilvl="0" w:tentative="0">
      <w:start w:val="4"/>
      <w:numFmt w:val="decimal"/>
      <w:suff w:val="nothing"/>
      <w:lvlText w:val="%1、"/>
      <w:lvlJc w:val="left"/>
    </w:lvl>
  </w:abstractNum>
  <w:abstractNum w:abstractNumId="2">
    <w:nsid w:val="00000004"/>
    <w:multiLevelType w:val="multilevel"/>
    <w:tmpl w:val="00000004"/>
    <w:lvl w:ilvl="0" w:tentative="0">
      <w:start w:val="1"/>
      <w:numFmt w:val="upperRoman"/>
      <w:lvlText w:val="%1."/>
      <w:lvlJc w:val="left"/>
      <w:pPr>
        <w:tabs>
          <w:tab w:val="left" w:pos="425"/>
        </w:tabs>
        <w:ind w:left="0" w:firstLine="0"/>
      </w:pPr>
    </w:lvl>
    <w:lvl w:ilvl="1" w:tentative="0">
      <w:start w:val="1"/>
      <w:numFmt w:val="upperLetter"/>
      <w:pStyle w:val="4"/>
      <w:lvlText w:val="%2."/>
      <w:lvlJc w:val="left"/>
      <w:pPr>
        <w:tabs>
          <w:tab w:val="left" w:pos="1276"/>
        </w:tabs>
        <w:ind w:left="851" w:firstLine="0"/>
      </w:pPr>
    </w:lvl>
    <w:lvl w:ilvl="2" w:tentative="0">
      <w:start w:val="1"/>
      <w:numFmt w:val="decimal"/>
      <w:pStyle w:val="5"/>
      <w:lvlText w:val="%3."/>
      <w:lvlJc w:val="left"/>
      <w:pPr>
        <w:tabs>
          <w:tab w:val="left" w:pos="2126"/>
        </w:tabs>
        <w:ind w:left="1701" w:firstLine="0"/>
      </w:pPr>
    </w:lvl>
    <w:lvl w:ilvl="3" w:tentative="0">
      <w:start w:val="1"/>
      <w:numFmt w:val="lowerLetter"/>
      <w:pStyle w:val="6"/>
      <w:lvlText w:val="%4)"/>
      <w:lvlJc w:val="left"/>
      <w:pPr>
        <w:tabs>
          <w:tab w:val="left" w:pos="2976"/>
        </w:tabs>
        <w:ind w:left="2551" w:firstLine="0"/>
      </w:pPr>
    </w:lvl>
    <w:lvl w:ilvl="4" w:tentative="0">
      <w:start w:val="1"/>
      <w:numFmt w:val="decimal"/>
      <w:pStyle w:val="7"/>
      <w:lvlText w:val="(%5)"/>
      <w:lvlJc w:val="left"/>
      <w:pPr>
        <w:tabs>
          <w:tab w:val="left" w:pos="3827"/>
        </w:tabs>
        <w:ind w:left="3402" w:firstLine="0"/>
      </w:pPr>
    </w:lvl>
    <w:lvl w:ilvl="5" w:tentative="0">
      <w:start w:val="1"/>
      <w:numFmt w:val="lowerLetter"/>
      <w:pStyle w:val="8"/>
      <w:lvlText w:val="(%6)"/>
      <w:lvlJc w:val="left"/>
      <w:pPr>
        <w:tabs>
          <w:tab w:val="left" w:pos="4677"/>
        </w:tabs>
        <w:ind w:left="4252" w:firstLine="0"/>
      </w:pPr>
    </w:lvl>
    <w:lvl w:ilvl="6" w:tentative="0">
      <w:start w:val="1"/>
      <w:numFmt w:val="lowerRoman"/>
      <w:pStyle w:val="9"/>
      <w:lvlText w:val="(%7)"/>
      <w:lvlJc w:val="left"/>
      <w:pPr>
        <w:tabs>
          <w:tab w:val="left" w:pos="5528"/>
        </w:tabs>
        <w:ind w:left="5102" w:firstLine="0"/>
      </w:pPr>
    </w:lvl>
    <w:lvl w:ilvl="7" w:tentative="0">
      <w:start w:val="1"/>
      <w:numFmt w:val="lowerLetter"/>
      <w:pStyle w:val="10"/>
      <w:lvlText w:val="(%8)"/>
      <w:lvlJc w:val="left"/>
      <w:pPr>
        <w:tabs>
          <w:tab w:val="left" w:pos="6378"/>
        </w:tabs>
        <w:ind w:left="5953" w:firstLine="0"/>
      </w:pPr>
    </w:lvl>
    <w:lvl w:ilvl="8" w:tentative="0">
      <w:start w:val="1"/>
      <w:numFmt w:val="lowerRoman"/>
      <w:pStyle w:val="11"/>
      <w:lvlText w:val="(%9)"/>
      <w:lvlJc w:val="left"/>
      <w:pPr>
        <w:tabs>
          <w:tab w:val="left" w:pos="7228"/>
        </w:tabs>
        <w:ind w:left="6803" w:firstLine="0"/>
      </w:pPr>
    </w:lvl>
  </w:abstractNum>
  <w:abstractNum w:abstractNumId="3">
    <w:nsid w:val="0000000C"/>
    <w:multiLevelType w:val="singleLevel"/>
    <w:tmpl w:val="0000000C"/>
    <w:lvl w:ilvl="0" w:tentative="0">
      <w:start w:val="1"/>
      <w:numFmt w:val="decimal"/>
      <w:pStyle w:val="286"/>
      <w:lvlText w:val="[%1]"/>
      <w:lvlJc w:val="left"/>
      <w:pPr>
        <w:tabs>
          <w:tab w:val="left" w:pos="454"/>
        </w:tabs>
        <w:ind w:left="454" w:hanging="397"/>
      </w:pPr>
    </w:lvl>
  </w:abstractNum>
  <w:abstractNum w:abstractNumId="4">
    <w:nsid w:val="0E3F2EDC"/>
    <w:multiLevelType w:val="multilevel"/>
    <w:tmpl w:val="0E3F2EDC"/>
    <w:lvl w:ilvl="0" w:tentative="0">
      <w:start w:val="1"/>
      <w:numFmt w:val="decimal"/>
      <w:pStyle w:val="414"/>
      <w:lvlText w:val="%1."/>
      <w:lvlJc w:val="left"/>
      <w:pPr>
        <w:ind w:left="425" w:hanging="425"/>
      </w:pPr>
    </w:lvl>
    <w:lvl w:ilvl="1" w:tentative="0">
      <w:start w:val="1"/>
      <w:numFmt w:val="decimal"/>
      <w:lvlText w:val="%1.%2."/>
      <w:lvlJc w:val="left"/>
      <w:pPr>
        <w:ind w:left="567" w:hanging="567"/>
      </w:pPr>
      <w:rPr>
        <w:rFonts w:hint="default" w:ascii="Times New Roman" w:hAnsi="Times New Roman" w:cs="Times New Roman"/>
        <w:color w:val="auto"/>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
    <w:nsid w:val="187EEBE8"/>
    <w:multiLevelType w:val="singleLevel"/>
    <w:tmpl w:val="187EEBE8"/>
    <w:lvl w:ilvl="0" w:tentative="0">
      <w:start w:val="4"/>
      <w:numFmt w:val="upperLetter"/>
      <w:lvlText w:val="%1."/>
      <w:lvlJc w:val="left"/>
      <w:pPr>
        <w:tabs>
          <w:tab w:val="left" w:pos="312"/>
        </w:tabs>
      </w:pPr>
    </w:lvl>
  </w:abstractNum>
  <w:abstractNum w:abstractNumId="6">
    <w:nsid w:val="2658ABBD"/>
    <w:multiLevelType w:val="singleLevel"/>
    <w:tmpl w:val="2658ABBD"/>
    <w:lvl w:ilvl="0" w:tentative="0">
      <w:start w:val="2"/>
      <w:numFmt w:val="decimal"/>
      <w:suff w:val="nothing"/>
      <w:lvlText w:val="%1）"/>
      <w:lvlJc w:val="left"/>
    </w:lvl>
  </w:abstractNum>
  <w:abstractNum w:abstractNumId="7">
    <w:nsid w:val="5447BE5C"/>
    <w:multiLevelType w:val="singleLevel"/>
    <w:tmpl w:val="5447BE5C"/>
    <w:lvl w:ilvl="0" w:tentative="0">
      <w:start w:val="1"/>
      <w:numFmt w:val="bullet"/>
      <w:pStyle w:val="30"/>
      <w:lvlText w:val=""/>
      <w:lvlJc w:val="left"/>
      <w:pPr>
        <w:tabs>
          <w:tab w:val="left" w:pos="2040"/>
        </w:tabs>
        <w:ind w:left="2040" w:hanging="360"/>
      </w:pPr>
      <w:rPr>
        <w:rFonts w:hint="default" w:ascii="Wingdings" w:hAnsi="Wingdings"/>
      </w:rPr>
    </w:lvl>
  </w:abstractNum>
  <w:abstractNum w:abstractNumId="8">
    <w:nsid w:val="638A5FDA"/>
    <w:multiLevelType w:val="multilevel"/>
    <w:tmpl w:val="638A5FDA"/>
    <w:lvl w:ilvl="0" w:tentative="0">
      <w:start w:val="1"/>
      <w:numFmt w:val="decimalEnclosedCircle"/>
      <w:pStyle w:val="169"/>
      <w:lvlText w:val="%1"/>
      <w:lvlJc w:val="left"/>
      <w:pPr>
        <w:tabs>
          <w:tab w:val="left" w:pos="840"/>
        </w:tabs>
        <w:ind w:left="840" w:hanging="360"/>
      </w:pPr>
      <w:rPr>
        <w:rFonts w:hint="default" w:cs="宋体"/>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num w:numId="1">
    <w:abstractNumId w:val="2"/>
  </w:num>
  <w:num w:numId="2">
    <w:abstractNumId w:val="7"/>
  </w:num>
  <w:num w:numId="3">
    <w:abstractNumId w:val="8"/>
  </w:num>
  <w:num w:numId="4">
    <w:abstractNumId w:val="3"/>
  </w:num>
  <w:num w:numId="5">
    <w:abstractNumId w:val="4"/>
  </w:num>
  <w:num w:numId="6">
    <w:abstractNumId w:val="1"/>
  </w:num>
  <w:num w:numId="7">
    <w:abstractNumId w:val="5"/>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0" w:hash="By3ca8MqPj51a5CkbblBnwlYB04=" w:salt="2sqxYXJAzzpFWeRLZ3eHtQ=="/>
  <w:defaultTabStop w:val="420"/>
  <w:drawingGridHorizontalSpacing w:val="2"/>
  <w:drawingGridVerticalSpacing w:val="3"/>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94"/>
    <w:rsid w:val="00001AC5"/>
    <w:rsid w:val="00001F99"/>
    <w:rsid w:val="000023AA"/>
    <w:rsid w:val="00002AFE"/>
    <w:rsid w:val="00002D7C"/>
    <w:rsid w:val="000045D1"/>
    <w:rsid w:val="0000571A"/>
    <w:rsid w:val="00005843"/>
    <w:rsid w:val="00005E16"/>
    <w:rsid w:val="00006362"/>
    <w:rsid w:val="00006971"/>
    <w:rsid w:val="00010561"/>
    <w:rsid w:val="0001081D"/>
    <w:rsid w:val="00010C2B"/>
    <w:rsid w:val="00011227"/>
    <w:rsid w:val="000115EE"/>
    <w:rsid w:val="00011871"/>
    <w:rsid w:val="0001224E"/>
    <w:rsid w:val="00012D90"/>
    <w:rsid w:val="00012EB0"/>
    <w:rsid w:val="00013691"/>
    <w:rsid w:val="000136FB"/>
    <w:rsid w:val="00014923"/>
    <w:rsid w:val="000157D6"/>
    <w:rsid w:val="00015900"/>
    <w:rsid w:val="0001593F"/>
    <w:rsid w:val="00016C57"/>
    <w:rsid w:val="00017F6E"/>
    <w:rsid w:val="000206E1"/>
    <w:rsid w:val="0002072D"/>
    <w:rsid w:val="000208BD"/>
    <w:rsid w:val="00020B7D"/>
    <w:rsid w:val="00022BBE"/>
    <w:rsid w:val="00024756"/>
    <w:rsid w:val="00024F9E"/>
    <w:rsid w:val="0002575B"/>
    <w:rsid w:val="000257AD"/>
    <w:rsid w:val="000261F0"/>
    <w:rsid w:val="0003050A"/>
    <w:rsid w:val="000306C6"/>
    <w:rsid w:val="00030A67"/>
    <w:rsid w:val="00031B70"/>
    <w:rsid w:val="00032ECC"/>
    <w:rsid w:val="00033103"/>
    <w:rsid w:val="000334A6"/>
    <w:rsid w:val="000342D3"/>
    <w:rsid w:val="00034544"/>
    <w:rsid w:val="00034A71"/>
    <w:rsid w:val="0003509E"/>
    <w:rsid w:val="0003657A"/>
    <w:rsid w:val="00036B0C"/>
    <w:rsid w:val="00037FA5"/>
    <w:rsid w:val="000409D7"/>
    <w:rsid w:val="000412AF"/>
    <w:rsid w:val="00042724"/>
    <w:rsid w:val="000437EF"/>
    <w:rsid w:val="00043B24"/>
    <w:rsid w:val="00044F09"/>
    <w:rsid w:val="0004682C"/>
    <w:rsid w:val="000477DC"/>
    <w:rsid w:val="00047985"/>
    <w:rsid w:val="00047E33"/>
    <w:rsid w:val="000505AE"/>
    <w:rsid w:val="00051426"/>
    <w:rsid w:val="000518A8"/>
    <w:rsid w:val="00051A1D"/>
    <w:rsid w:val="00051F40"/>
    <w:rsid w:val="00053AFF"/>
    <w:rsid w:val="000547DC"/>
    <w:rsid w:val="00055AF3"/>
    <w:rsid w:val="00055E5A"/>
    <w:rsid w:val="0005609C"/>
    <w:rsid w:val="00056EAC"/>
    <w:rsid w:val="00056F33"/>
    <w:rsid w:val="000575FB"/>
    <w:rsid w:val="00057F2F"/>
    <w:rsid w:val="0006121C"/>
    <w:rsid w:val="0006139C"/>
    <w:rsid w:val="000615EA"/>
    <w:rsid w:val="00062286"/>
    <w:rsid w:val="0006354C"/>
    <w:rsid w:val="00064EBE"/>
    <w:rsid w:val="000674CF"/>
    <w:rsid w:val="00070A57"/>
    <w:rsid w:val="00072565"/>
    <w:rsid w:val="00072B99"/>
    <w:rsid w:val="0007469E"/>
    <w:rsid w:val="00074A7C"/>
    <w:rsid w:val="00075853"/>
    <w:rsid w:val="00075F8B"/>
    <w:rsid w:val="000762EB"/>
    <w:rsid w:val="00076C8A"/>
    <w:rsid w:val="00077202"/>
    <w:rsid w:val="00077F49"/>
    <w:rsid w:val="0008040A"/>
    <w:rsid w:val="00080667"/>
    <w:rsid w:val="000814D3"/>
    <w:rsid w:val="00081E24"/>
    <w:rsid w:val="000835C1"/>
    <w:rsid w:val="00083A81"/>
    <w:rsid w:val="00083DCF"/>
    <w:rsid w:val="00083FD8"/>
    <w:rsid w:val="00084351"/>
    <w:rsid w:val="000843E8"/>
    <w:rsid w:val="00084E57"/>
    <w:rsid w:val="0008577C"/>
    <w:rsid w:val="00085CAE"/>
    <w:rsid w:val="00087246"/>
    <w:rsid w:val="000874B8"/>
    <w:rsid w:val="00087D15"/>
    <w:rsid w:val="000904DA"/>
    <w:rsid w:val="00090536"/>
    <w:rsid w:val="000908D5"/>
    <w:rsid w:val="000908F7"/>
    <w:rsid w:val="000928A5"/>
    <w:rsid w:val="000928C4"/>
    <w:rsid w:val="00093287"/>
    <w:rsid w:val="00093794"/>
    <w:rsid w:val="00093BFD"/>
    <w:rsid w:val="00094071"/>
    <w:rsid w:val="00094EC4"/>
    <w:rsid w:val="00094FDB"/>
    <w:rsid w:val="0009529C"/>
    <w:rsid w:val="00096D48"/>
    <w:rsid w:val="000973F8"/>
    <w:rsid w:val="00097B0C"/>
    <w:rsid w:val="00097EC3"/>
    <w:rsid w:val="000A0377"/>
    <w:rsid w:val="000A10AC"/>
    <w:rsid w:val="000A19D7"/>
    <w:rsid w:val="000A1E93"/>
    <w:rsid w:val="000A1EBD"/>
    <w:rsid w:val="000A1EBE"/>
    <w:rsid w:val="000A23B9"/>
    <w:rsid w:val="000A2499"/>
    <w:rsid w:val="000A2753"/>
    <w:rsid w:val="000A2F0F"/>
    <w:rsid w:val="000A3368"/>
    <w:rsid w:val="000A3974"/>
    <w:rsid w:val="000A3DD8"/>
    <w:rsid w:val="000A4620"/>
    <w:rsid w:val="000A4799"/>
    <w:rsid w:val="000A48C2"/>
    <w:rsid w:val="000A5A6A"/>
    <w:rsid w:val="000A5D30"/>
    <w:rsid w:val="000A6173"/>
    <w:rsid w:val="000A6EDF"/>
    <w:rsid w:val="000A7010"/>
    <w:rsid w:val="000A709B"/>
    <w:rsid w:val="000A7D5C"/>
    <w:rsid w:val="000B1A34"/>
    <w:rsid w:val="000B2191"/>
    <w:rsid w:val="000B2453"/>
    <w:rsid w:val="000B352E"/>
    <w:rsid w:val="000B3975"/>
    <w:rsid w:val="000B4509"/>
    <w:rsid w:val="000B54DB"/>
    <w:rsid w:val="000B57F3"/>
    <w:rsid w:val="000B5A63"/>
    <w:rsid w:val="000B605D"/>
    <w:rsid w:val="000B644E"/>
    <w:rsid w:val="000B674B"/>
    <w:rsid w:val="000B6A99"/>
    <w:rsid w:val="000B71EC"/>
    <w:rsid w:val="000C10CB"/>
    <w:rsid w:val="000C3000"/>
    <w:rsid w:val="000C32AF"/>
    <w:rsid w:val="000C3F43"/>
    <w:rsid w:val="000C51D2"/>
    <w:rsid w:val="000C537F"/>
    <w:rsid w:val="000C552D"/>
    <w:rsid w:val="000C55C3"/>
    <w:rsid w:val="000C5A6F"/>
    <w:rsid w:val="000C67D7"/>
    <w:rsid w:val="000C7D73"/>
    <w:rsid w:val="000D0013"/>
    <w:rsid w:val="000D0E15"/>
    <w:rsid w:val="000D17FA"/>
    <w:rsid w:val="000D1D7A"/>
    <w:rsid w:val="000D1E0B"/>
    <w:rsid w:val="000D1F92"/>
    <w:rsid w:val="000D2D38"/>
    <w:rsid w:val="000D2ED2"/>
    <w:rsid w:val="000D3E99"/>
    <w:rsid w:val="000D48BB"/>
    <w:rsid w:val="000D4EBB"/>
    <w:rsid w:val="000D531A"/>
    <w:rsid w:val="000D56CD"/>
    <w:rsid w:val="000D638E"/>
    <w:rsid w:val="000E01F4"/>
    <w:rsid w:val="000E06B1"/>
    <w:rsid w:val="000E0D17"/>
    <w:rsid w:val="000E23DF"/>
    <w:rsid w:val="000E4147"/>
    <w:rsid w:val="000E414C"/>
    <w:rsid w:val="000E53DE"/>
    <w:rsid w:val="000E568E"/>
    <w:rsid w:val="000E5B54"/>
    <w:rsid w:val="000E5C1F"/>
    <w:rsid w:val="000E5C29"/>
    <w:rsid w:val="000E641F"/>
    <w:rsid w:val="000E7359"/>
    <w:rsid w:val="000E7D9D"/>
    <w:rsid w:val="000F03DA"/>
    <w:rsid w:val="000F0A96"/>
    <w:rsid w:val="000F140A"/>
    <w:rsid w:val="000F1566"/>
    <w:rsid w:val="000F15A3"/>
    <w:rsid w:val="000F15EF"/>
    <w:rsid w:val="000F2A0B"/>
    <w:rsid w:val="000F356E"/>
    <w:rsid w:val="000F3CB0"/>
    <w:rsid w:val="000F3EAB"/>
    <w:rsid w:val="000F4A85"/>
    <w:rsid w:val="000F4E19"/>
    <w:rsid w:val="000F5911"/>
    <w:rsid w:val="000F59F3"/>
    <w:rsid w:val="000F5D7C"/>
    <w:rsid w:val="000F634B"/>
    <w:rsid w:val="000F698D"/>
    <w:rsid w:val="000F6B47"/>
    <w:rsid w:val="00100529"/>
    <w:rsid w:val="001016B5"/>
    <w:rsid w:val="001018AF"/>
    <w:rsid w:val="00102742"/>
    <w:rsid w:val="00104356"/>
    <w:rsid w:val="00106060"/>
    <w:rsid w:val="00106D3E"/>
    <w:rsid w:val="00106EE4"/>
    <w:rsid w:val="001109E8"/>
    <w:rsid w:val="00110FF8"/>
    <w:rsid w:val="001125DB"/>
    <w:rsid w:val="001131F0"/>
    <w:rsid w:val="001140BB"/>
    <w:rsid w:val="0011417F"/>
    <w:rsid w:val="001143E4"/>
    <w:rsid w:val="00114461"/>
    <w:rsid w:val="00114551"/>
    <w:rsid w:val="0011616F"/>
    <w:rsid w:val="0011789D"/>
    <w:rsid w:val="0011797A"/>
    <w:rsid w:val="00117CA1"/>
    <w:rsid w:val="00120C7C"/>
    <w:rsid w:val="00120E94"/>
    <w:rsid w:val="00121CBC"/>
    <w:rsid w:val="00121CED"/>
    <w:rsid w:val="00122906"/>
    <w:rsid w:val="00122BE2"/>
    <w:rsid w:val="00122C6D"/>
    <w:rsid w:val="001234D7"/>
    <w:rsid w:val="0012484D"/>
    <w:rsid w:val="00124FF7"/>
    <w:rsid w:val="00125AE1"/>
    <w:rsid w:val="001262F3"/>
    <w:rsid w:val="0012677D"/>
    <w:rsid w:val="00126A66"/>
    <w:rsid w:val="00126FBD"/>
    <w:rsid w:val="001278E8"/>
    <w:rsid w:val="001307A7"/>
    <w:rsid w:val="0013155F"/>
    <w:rsid w:val="0013259D"/>
    <w:rsid w:val="0013451B"/>
    <w:rsid w:val="00134550"/>
    <w:rsid w:val="0013489A"/>
    <w:rsid w:val="00134CBD"/>
    <w:rsid w:val="00136696"/>
    <w:rsid w:val="001367FB"/>
    <w:rsid w:val="00137089"/>
    <w:rsid w:val="001406EF"/>
    <w:rsid w:val="0014175C"/>
    <w:rsid w:val="00141B8A"/>
    <w:rsid w:val="001439F1"/>
    <w:rsid w:val="00143ABA"/>
    <w:rsid w:val="0014591A"/>
    <w:rsid w:val="00145E5D"/>
    <w:rsid w:val="00146EFB"/>
    <w:rsid w:val="00147C76"/>
    <w:rsid w:val="00147D3D"/>
    <w:rsid w:val="0015005C"/>
    <w:rsid w:val="0015015A"/>
    <w:rsid w:val="00150760"/>
    <w:rsid w:val="00151E3B"/>
    <w:rsid w:val="00151EAD"/>
    <w:rsid w:val="00152405"/>
    <w:rsid w:val="00152A2A"/>
    <w:rsid w:val="00152E27"/>
    <w:rsid w:val="00153B5D"/>
    <w:rsid w:val="00154921"/>
    <w:rsid w:val="00154F1F"/>
    <w:rsid w:val="00155350"/>
    <w:rsid w:val="00155564"/>
    <w:rsid w:val="00157698"/>
    <w:rsid w:val="00157B21"/>
    <w:rsid w:val="0016063B"/>
    <w:rsid w:val="00160D02"/>
    <w:rsid w:val="001611DA"/>
    <w:rsid w:val="00161B7D"/>
    <w:rsid w:val="00162DDF"/>
    <w:rsid w:val="001647F6"/>
    <w:rsid w:val="00164EAB"/>
    <w:rsid w:val="00164F28"/>
    <w:rsid w:val="00167C2D"/>
    <w:rsid w:val="00171B4C"/>
    <w:rsid w:val="00172266"/>
    <w:rsid w:val="00172A27"/>
    <w:rsid w:val="00172F43"/>
    <w:rsid w:val="00175261"/>
    <w:rsid w:val="00175375"/>
    <w:rsid w:val="001753B5"/>
    <w:rsid w:val="001753DB"/>
    <w:rsid w:val="00175C2D"/>
    <w:rsid w:val="00180007"/>
    <w:rsid w:val="00180583"/>
    <w:rsid w:val="001806B1"/>
    <w:rsid w:val="00181160"/>
    <w:rsid w:val="00183F8A"/>
    <w:rsid w:val="0018400E"/>
    <w:rsid w:val="0018436A"/>
    <w:rsid w:val="001844D7"/>
    <w:rsid w:val="00185CAF"/>
    <w:rsid w:val="00185DC1"/>
    <w:rsid w:val="00185EA5"/>
    <w:rsid w:val="001865AE"/>
    <w:rsid w:val="00186E5F"/>
    <w:rsid w:val="0019001F"/>
    <w:rsid w:val="00190110"/>
    <w:rsid w:val="001905AF"/>
    <w:rsid w:val="001925BE"/>
    <w:rsid w:val="001926A2"/>
    <w:rsid w:val="00192925"/>
    <w:rsid w:val="00192B3A"/>
    <w:rsid w:val="001939B5"/>
    <w:rsid w:val="00194111"/>
    <w:rsid w:val="00194223"/>
    <w:rsid w:val="001948F0"/>
    <w:rsid w:val="00194F71"/>
    <w:rsid w:val="00196803"/>
    <w:rsid w:val="001968E3"/>
    <w:rsid w:val="00196F47"/>
    <w:rsid w:val="00197A63"/>
    <w:rsid w:val="001A01C3"/>
    <w:rsid w:val="001A188D"/>
    <w:rsid w:val="001A1A3D"/>
    <w:rsid w:val="001A1E5B"/>
    <w:rsid w:val="001A3F8F"/>
    <w:rsid w:val="001A4222"/>
    <w:rsid w:val="001A476B"/>
    <w:rsid w:val="001A4FC4"/>
    <w:rsid w:val="001A5497"/>
    <w:rsid w:val="001A562D"/>
    <w:rsid w:val="001A56C0"/>
    <w:rsid w:val="001A5C5C"/>
    <w:rsid w:val="001A6228"/>
    <w:rsid w:val="001A6B74"/>
    <w:rsid w:val="001A76D3"/>
    <w:rsid w:val="001A775D"/>
    <w:rsid w:val="001A7A5F"/>
    <w:rsid w:val="001A7BD6"/>
    <w:rsid w:val="001B0488"/>
    <w:rsid w:val="001B068B"/>
    <w:rsid w:val="001B113A"/>
    <w:rsid w:val="001B1762"/>
    <w:rsid w:val="001B1C05"/>
    <w:rsid w:val="001B1E62"/>
    <w:rsid w:val="001B3514"/>
    <w:rsid w:val="001B445D"/>
    <w:rsid w:val="001B4E57"/>
    <w:rsid w:val="001B6BC7"/>
    <w:rsid w:val="001B74EF"/>
    <w:rsid w:val="001B7D48"/>
    <w:rsid w:val="001C012A"/>
    <w:rsid w:val="001C0344"/>
    <w:rsid w:val="001C0911"/>
    <w:rsid w:val="001C136B"/>
    <w:rsid w:val="001C1F72"/>
    <w:rsid w:val="001C239E"/>
    <w:rsid w:val="001C2B4B"/>
    <w:rsid w:val="001C3A5C"/>
    <w:rsid w:val="001C6FAF"/>
    <w:rsid w:val="001C7954"/>
    <w:rsid w:val="001C7A64"/>
    <w:rsid w:val="001C7B67"/>
    <w:rsid w:val="001C7FF6"/>
    <w:rsid w:val="001D17DF"/>
    <w:rsid w:val="001D1D30"/>
    <w:rsid w:val="001D2D94"/>
    <w:rsid w:val="001D32D2"/>
    <w:rsid w:val="001D3CBA"/>
    <w:rsid w:val="001D3D5D"/>
    <w:rsid w:val="001D46C4"/>
    <w:rsid w:val="001D484C"/>
    <w:rsid w:val="001D651F"/>
    <w:rsid w:val="001E0AE2"/>
    <w:rsid w:val="001E0F16"/>
    <w:rsid w:val="001E157C"/>
    <w:rsid w:val="001E1CF8"/>
    <w:rsid w:val="001E2CD4"/>
    <w:rsid w:val="001E2FAB"/>
    <w:rsid w:val="001E30BF"/>
    <w:rsid w:val="001E4D83"/>
    <w:rsid w:val="001E4F77"/>
    <w:rsid w:val="001E528D"/>
    <w:rsid w:val="001E6782"/>
    <w:rsid w:val="001E6E85"/>
    <w:rsid w:val="001E70C1"/>
    <w:rsid w:val="001E70F5"/>
    <w:rsid w:val="001E775D"/>
    <w:rsid w:val="001F0799"/>
    <w:rsid w:val="001F1565"/>
    <w:rsid w:val="001F16E9"/>
    <w:rsid w:val="001F29B8"/>
    <w:rsid w:val="001F2DDD"/>
    <w:rsid w:val="001F2EAA"/>
    <w:rsid w:val="001F3000"/>
    <w:rsid w:val="001F3318"/>
    <w:rsid w:val="001F3D5E"/>
    <w:rsid w:val="001F50A2"/>
    <w:rsid w:val="001F6054"/>
    <w:rsid w:val="001F66F1"/>
    <w:rsid w:val="001F6BA2"/>
    <w:rsid w:val="001F72A0"/>
    <w:rsid w:val="001F7498"/>
    <w:rsid w:val="001F75DB"/>
    <w:rsid w:val="002010AB"/>
    <w:rsid w:val="00201216"/>
    <w:rsid w:val="00201818"/>
    <w:rsid w:val="002022FD"/>
    <w:rsid w:val="002049C0"/>
    <w:rsid w:val="00204CA0"/>
    <w:rsid w:val="002060F8"/>
    <w:rsid w:val="00206509"/>
    <w:rsid w:val="00206A76"/>
    <w:rsid w:val="0020743D"/>
    <w:rsid w:val="00207695"/>
    <w:rsid w:val="00207EC0"/>
    <w:rsid w:val="00210245"/>
    <w:rsid w:val="00210595"/>
    <w:rsid w:val="002108AA"/>
    <w:rsid w:val="00210EA9"/>
    <w:rsid w:val="002111D1"/>
    <w:rsid w:val="0021295C"/>
    <w:rsid w:val="00212964"/>
    <w:rsid w:val="0021343B"/>
    <w:rsid w:val="00214068"/>
    <w:rsid w:val="0021442A"/>
    <w:rsid w:val="00214542"/>
    <w:rsid w:val="00215492"/>
    <w:rsid w:val="00215DF8"/>
    <w:rsid w:val="00216544"/>
    <w:rsid w:val="002179D8"/>
    <w:rsid w:val="002202AC"/>
    <w:rsid w:val="00220540"/>
    <w:rsid w:val="002207DF"/>
    <w:rsid w:val="00221063"/>
    <w:rsid w:val="0022136D"/>
    <w:rsid w:val="00224DF6"/>
    <w:rsid w:val="0022528A"/>
    <w:rsid w:val="002258A0"/>
    <w:rsid w:val="00225DA6"/>
    <w:rsid w:val="00226899"/>
    <w:rsid w:val="00226E17"/>
    <w:rsid w:val="0022701A"/>
    <w:rsid w:val="00227176"/>
    <w:rsid w:val="002274E9"/>
    <w:rsid w:val="0023057D"/>
    <w:rsid w:val="00230631"/>
    <w:rsid w:val="0023076B"/>
    <w:rsid w:val="002316D3"/>
    <w:rsid w:val="002322A9"/>
    <w:rsid w:val="0023248B"/>
    <w:rsid w:val="00233F9B"/>
    <w:rsid w:val="0023456B"/>
    <w:rsid w:val="00234D2F"/>
    <w:rsid w:val="0023510D"/>
    <w:rsid w:val="002361CC"/>
    <w:rsid w:val="0023650F"/>
    <w:rsid w:val="002369E8"/>
    <w:rsid w:val="00236B1D"/>
    <w:rsid w:val="00236D02"/>
    <w:rsid w:val="0024024D"/>
    <w:rsid w:val="00240B50"/>
    <w:rsid w:val="00240F69"/>
    <w:rsid w:val="00240F9D"/>
    <w:rsid w:val="0024387F"/>
    <w:rsid w:val="00243C4B"/>
    <w:rsid w:val="00243E8C"/>
    <w:rsid w:val="00244700"/>
    <w:rsid w:val="00245584"/>
    <w:rsid w:val="002461DD"/>
    <w:rsid w:val="0024653C"/>
    <w:rsid w:val="00247523"/>
    <w:rsid w:val="0024785A"/>
    <w:rsid w:val="00247918"/>
    <w:rsid w:val="00252114"/>
    <w:rsid w:val="0025221F"/>
    <w:rsid w:val="002524FB"/>
    <w:rsid w:val="002531A4"/>
    <w:rsid w:val="00253EF2"/>
    <w:rsid w:val="00254410"/>
    <w:rsid w:val="002549D6"/>
    <w:rsid w:val="00255F1A"/>
    <w:rsid w:val="00256849"/>
    <w:rsid w:val="00262B17"/>
    <w:rsid w:val="00262C07"/>
    <w:rsid w:val="00263898"/>
    <w:rsid w:val="0026389A"/>
    <w:rsid w:val="00263F15"/>
    <w:rsid w:val="00264BDF"/>
    <w:rsid w:val="0026560B"/>
    <w:rsid w:val="00265FBE"/>
    <w:rsid w:val="00266305"/>
    <w:rsid w:val="00267070"/>
    <w:rsid w:val="002670A6"/>
    <w:rsid w:val="002670D1"/>
    <w:rsid w:val="002672BC"/>
    <w:rsid w:val="0026734E"/>
    <w:rsid w:val="002706D0"/>
    <w:rsid w:val="00270A1A"/>
    <w:rsid w:val="0027110D"/>
    <w:rsid w:val="002720BA"/>
    <w:rsid w:val="00272336"/>
    <w:rsid w:val="00272694"/>
    <w:rsid w:val="00273266"/>
    <w:rsid w:val="0027367F"/>
    <w:rsid w:val="00273BEC"/>
    <w:rsid w:val="002743F3"/>
    <w:rsid w:val="00275388"/>
    <w:rsid w:val="00275AD4"/>
    <w:rsid w:val="002762DE"/>
    <w:rsid w:val="00276449"/>
    <w:rsid w:val="00276E0F"/>
    <w:rsid w:val="00276F84"/>
    <w:rsid w:val="00277885"/>
    <w:rsid w:val="00277DE7"/>
    <w:rsid w:val="00280A3D"/>
    <w:rsid w:val="00281638"/>
    <w:rsid w:val="00281E03"/>
    <w:rsid w:val="00282EA0"/>
    <w:rsid w:val="0028329C"/>
    <w:rsid w:val="00284428"/>
    <w:rsid w:val="00284C9A"/>
    <w:rsid w:val="00284E09"/>
    <w:rsid w:val="0028600C"/>
    <w:rsid w:val="00286140"/>
    <w:rsid w:val="00286309"/>
    <w:rsid w:val="00286374"/>
    <w:rsid w:val="0028750E"/>
    <w:rsid w:val="0028781A"/>
    <w:rsid w:val="00287963"/>
    <w:rsid w:val="00290FD9"/>
    <w:rsid w:val="00293AD3"/>
    <w:rsid w:val="00293C67"/>
    <w:rsid w:val="00293FFE"/>
    <w:rsid w:val="00295689"/>
    <w:rsid w:val="00297701"/>
    <w:rsid w:val="00297857"/>
    <w:rsid w:val="002A016A"/>
    <w:rsid w:val="002A0CEE"/>
    <w:rsid w:val="002A0D95"/>
    <w:rsid w:val="002A0F74"/>
    <w:rsid w:val="002A11A6"/>
    <w:rsid w:val="002A1369"/>
    <w:rsid w:val="002A2F15"/>
    <w:rsid w:val="002A3B5E"/>
    <w:rsid w:val="002A49FB"/>
    <w:rsid w:val="002A526E"/>
    <w:rsid w:val="002A5CE8"/>
    <w:rsid w:val="002A5DD6"/>
    <w:rsid w:val="002A5E37"/>
    <w:rsid w:val="002A7451"/>
    <w:rsid w:val="002A77C2"/>
    <w:rsid w:val="002B2B2A"/>
    <w:rsid w:val="002B2C90"/>
    <w:rsid w:val="002B2E1D"/>
    <w:rsid w:val="002B60DE"/>
    <w:rsid w:val="002B6221"/>
    <w:rsid w:val="002B6C52"/>
    <w:rsid w:val="002B71DD"/>
    <w:rsid w:val="002B73D8"/>
    <w:rsid w:val="002B7EB8"/>
    <w:rsid w:val="002C03BF"/>
    <w:rsid w:val="002C0F8C"/>
    <w:rsid w:val="002C18D1"/>
    <w:rsid w:val="002C252A"/>
    <w:rsid w:val="002C2853"/>
    <w:rsid w:val="002C3BFC"/>
    <w:rsid w:val="002C47FF"/>
    <w:rsid w:val="002C509E"/>
    <w:rsid w:val="002C59F0"/>
    <w:rsid w:val="002C5FF4"/>
    <w:rsid w:val="002C7F86"/>
    <w:rsid w:val="002D0346"/>
    <w:rsid w:val="002D5CEF"/>
    <w:rsid w:val="002D6CB4"/>
    <w:rsid w:val="002D7073"/>
    <w:rsid w:val="002D7402"/>
    <w:rsid w:val="002E081D"/>
    <w:rsid w:val="002E0BED"/>
    <w:rsid w:val="002E0C0E"/>
    <w:rsid w:val="002E200B"/>
    <w:rsid w:val="002E2F16"/>
    <w:rsid w:val="002E3651"/>
    <w:rsid w:val="002E39FA"/>
    <w:rsid w:val="002E3F3B"/>
    <w:rsid w:val="002E6F51"/>
    <w:rsid w:val="002E7003"/>
    <w:rsid w:val="002E7513"/>
    <w:rsid w:val="002E7DDA"/>
    <w:rsid w:val="002F0BC5"/>
    <w:rsid w:val="002F0C96"/>
    <w:rsid w:val="002F1C97"/>
    <w:rsid w:val="002F279D"/>
    <w:rsid w:val="002F2E18"/>
    <w:rsid w:val="002F301F"/>
    <w:rsid w:val="002F358A"/>
    <w:rsid w:val="002F3D9B"/>
    <w:rsid w:val="002F4FDE"/>
    <w:rsid w:val="002F525A"/>
    <w:rsid w:val="002F5351"/>
    <w:rsid w:val="002F667C"/>
    <w:rsid w:val="002F6B71"/>
    <w:rsid w:val="002F6E73"/>
    <w:rsid w:val="002F720D"/>
    <w:rsid w:val="002F7A77"/>
    <w:rsid w:val="00300267"/>
    <w:rsid w:val="00300610"/>
    <w:rsid w:val="003013B3"/>
    <w:rsid w:val="00301518"/>
    <w:rsid w:val="003023C3"/>
    <w:rsid w:val="00303E24"/>
    <w:rsid w:val="00303ED1"/>
    <w:rsid w:val="00303FC7"/>
    <w:rsid w:val="00305341"/>
    <w:rsid w:val="003056B1"/>
    <w:rsid w:val="00305A78"/>
    <w:rsid w:val="00305AFA"/>
    <w:rsid w:val="003073F6"/>
    <w:rsid w:val="00310CB5"/>
    <w:rsid w:val="00313F8F"/>
    <w:rsid w:val="003142DF"/>
    <w:rsid w:val="00316453"/>
    <w:rsid w:val="003171B4"/>
    <w:rsid w:val="003207EF"/>
    <w:rsid w:val="00321135"/>
    <w:rsid w:val="00322414"/>
    <w:rsid w:val="00322A01"/>
    <w:rsid w:val="00322E30"/>
    <w:rsid w:val="00323B50"/>
    <w:rsid w:val="00324755"/>
    <w:rsid w:val="00324B49"/>
    <w:rsid w:val="00324B9C"/>
    <w:rsid w:val="003257AF"/>
    <w:rsid w:val="00325BF0"/>
    <w:rsid w:val="0032798A"/>
    <w:rsid w:val="0033227B"/>
    <w:rsid w:val="003327C3"/>
    <w:rsid w:val="00333CD7"/>
    <w:rsid w:val="00333F3E"/>
    <w:rsid w:val="003349FB"/>
    <w:rsid w:val="00334C77"/>
    <w:rsid w:val="003358E1"/>
    <w:rsid w:val="00335EDD"/>
    <w:rsid w:val="00336043"/>
    <w:rsid w:val="00337B55"/>
    <w:rsid w:val="003403A6"/>
    <w:rsid w:val="003439F6"/>
    <w:rsid w:val="00343A43"/>
    <w:rsid w:val="00344419"/>
    <w:rsid w:val="00344C3E"/>
    <w:rsid w:val="00345695"/>
    <w:rsid w:val="00345B4B"/>
    <w:rsid w:val="003461D3"/>
    <w:rsid w:val="003462D8"/>
    <w:rsid w:val="0034680F"/>
    <w:rsid w:val="003468FA"/>
    <w:rsid w:val="003474A0"/>
    <w:rsid w:val="00347B39"/>
    <w:rsid w:val="00351B82"/>
    <w:rsid w:val="003524D9"/>
    <w:rsid w:val="0035274E"/>
    <w:rsid w:val="0035602D"/>
    <w:rsid w:val="0035688C"/>
    <w:rsid w:val="00356906"/>
    <w:rsid w:val="00357AAE"/>
    <w:rsid w:val="00357D02"/>
    <w:rsid w:val="00357D04"/>
    <w:rsid w:val="00361521"/>
    <w:rsid w:val="003619CA"/>
    <w:rsid w:val="00361C69"/>
    <w:rsid w:val="0036270A"/>
    <w:rsid w:val="00362878"/>
    <w:rsid w:val="00362CDC"/>
    <w:rsid w:val="00363455"/>
    <w:rsid w:val="00363543"/>
    <w:rsid w:val="00365E16"/>
    <w:rsid w:val="00366185"/>
    <w:rsid w:val="00366B35"/>
    <w:rsid w:val="00367551"/>
    <w:rsid w:val="00370297"/>
    <w:rsid w:val="00370532"/>
    <w:rsid w:val="00370B40"/>
    <w:rsid w:val="003713E2"/>
    <w:rsid w:val="00371CC9"/>
    <w:rsid w:val="00371DC7"/>
    <w:rsid w:val="0037293C"/>
    <w:rsid w:val="00372B21"/>
    <w:rsid w:val="003738FD"/>
    <w:rsid w:val="00374821"/>
    <w:rsid w:val="00377441"/>
    <w:rsid w:val="00377482"/>
    <w:rsid w:val="0037772D"/>
    <w:rsid w:val="00377D21"/>
    <w:rsid w:val="0038028E"/>
    <w:rsid w:val="00380892"/>
    <w:rsid w:val="00380CD6"/>
    <w:rsid w:val="00380DD5"/>
    <w:rsid w:val="00380F1B"/>
    <w:rsid w:val="0038132A"/>
    <w:rsid w:val="0038134B"/>
    <w:rsid w:val="003826ED"/>
    <w:rsid w:val="003828E2"/>
    <w:rsid w:val="00383A70"/>
    <w:rsid w:val="00383C76"/>
    <w:rsid w:val="003846DC"/>
    <w:rsid w:val="00384B05"/>
    <w:rsid w:val="00385D97"/>
    <w:rsid w:val="00386934"/>
    <w:rsid w:val="003874D2"/>
    <w:rsid w:val="003905E8"/>
    <w:rsid w:val="00390728"/>
    <w:rsid w:val="003907F8"/>
    <w:rsid w:val="00390B8F"/>
    <w:rsid w:val="00391A67"/>
    <w:rsid w:val="0039485A"/>
    <w:rsid w:val="0039544F"/>
    <w:rsid w:val="00396842"/>
    <w:rsid w:val="00396952"/>
    <w:rsid w:val="00397538"/>
    <w:rsid w:val="003979A4"/>
    <w:rsid w:val="003A0965"/>
    <w:rsid w:val="003A142D"/>
    <w:rsid w:val="003A2ACD"/>
    <w:rsid w:val="003A2FF1"/>
    <w:rsid w:val="003A3FC0"/>
    <w:rsid w:val="003A4260"/>
    <w:rsid w:val="003A4A5A"/>
    <w:rsid w:val="003A50E0"/>
    <w:rsid w:val="003A5E49"/>
    <w:rsid w:val="003A61B9"/>
    <w:rsid w:val="003A6205"/>
    <w:rsid w:val="003A658B"/>
    <w:rsid w:val="003A6802"/>
    <w:rsid w:val="003A6EE7"/>
    <w:rsid w:val="003A6F11"/>
    <w:rsid w:val="003A6F6F"/>
    <w:rsid w:val="003B017F"/>
    <w:rsid w:val="003B0D64"/>
    <w:rsid w:val="003B1833"/>
    <w:rsid w:val="003B3130"/>
    <w:rsid w:val="003B33E0"/>
    <w:rsid w:val="003B46B4"/>
    <w:rsid w:val="003B5872"/>
    <w:rsid w:val="003B5FCB"/>
    <w:rsid w:val="003B6083"/>
    <w:rsid w:val="003B6307"/>
    <w:rsid w:val="003B6E41"/>
    <w:rsid w:val="003C09BA"/>
    <w:rsid w:val="003C1CC2"/>
    <w:rsid w:val="003C1DBC"/>
    <w:rsid w:val="003C2BF9"/>
    <w:rsid w:val="003C3391"/>
    <w:rsid w:val="003C6210"/>
    <w:rsid w:val="003C7AFD"/>
    <w:rsid w:val="003C7ED5"/>
    <w:rsid w:val="003D01C8"/>
    <w:rsid w:val="003D02DA"/>
    <w:rsid w:val="003D0A84"/>
    <w:rsid w:val="003D1097"/>
    <w:rsid w:val="003D3521"/>
    <w:rsid w:val="003D3654"/>
    <w:rsid w:val="003D3828"/>
    <w:rsid w:val="003D43F1"/>
    <w:rsid w:val="003D4AAA"/>
    <w:rsid w:val="003D52DE"/>
    <w:rsid w:val="003D5473"/>
    <w:rsid w:val="003D552C"/>
    <w:rsid w:val="003D6872"/>
    <w:rsid w:val="003D7075"/>
    <w:rsid w:val="003D7A0A"/>
    <w:rsid w:val="003E097A"/>
    <w:rsid w:val="003E09A0"/>
    <w:rsid w:val="003E0AE0"/>
    <w:rsid w:val="003E162D"/>
    <w:rsid w:val="003E1F6C"/>
    <w:rsid w:val="003E3BD2"/>
    <w:rsid w:val="003E40BF"/>
    <w:rsid w:val="003E432A"/>
    <w:rsid w:val="003E4526"/>
    <w:rsid w:val="003E4614"/>
    <w:rsid w:val="003E4740"/>
    <w:rsid w:val="003E48D0"/>
    <w:rsid w:val="003E497A"/>
    <w:rsid w:val="003E4CE2"/>
    <w:rsid w:val="003E58C6"/>
    <w:rsid w:val="003E6047"/>
    <w:rsid w:val="003E629E"/>
    <w:rsid w:val="003E62CE"/>
    <w:rsid w:val="003E6533"/>
    <w:rsid w:val="003E67B6"/>
    <w:rsid w:val="003E7F00"/>
    <w:rsid w:val="003F1EFB"/>
    <w:rsid w:val="003F21C1"/>
    <w:rsid w:val="003F31EC"/>
    <w:rsid w:val="003F41CF"/>
    <w:rsid w:val="003F4F3E"/>
    <w:rsid w:val="003F62E8"/>
    <w:rsid w:val="003F734C"/>
    <w:rsid w:val="003F7BE1"/>
    <w:rsid w:val="0040045A"/>
    <w:rsid w:val="004010E1"/>
    <w:rsid w:val="004011A6"/>
    <w:rsid w:val="00401935"/>
    <w:rsid w:val="00401E62"/>
    <w:rsid w:val="00404421"/>
    <w:rsid w:val="00404CEA"/>
    <w:rsid w:val="00410766"/>
    <w:rsid w:val="00412661"/>
    <w:rsid w:val="004134D7"/>
    <w:rsid w:val="00413877"/>
    <w:rsid w:val="00413FC2"/>
    <w:rsid w:val="004159EA"/>
    <w:rsid w:val="00415A66"/>
    <w:rsid w:val="00415A92"/>
    <w:rsid w:val="004160C0"/>
    <w:rsid w:val="00416154"/>
    <w:rsid w:val="00417673"/>
    <w:rsid w:val="00417ACA"/>
    <w:rsid w:val="00420415"/>
    <w:rsid w:val="00420F1C"/>
    <w:rsid w:val="00422A0F"/>
    <w:rsid w:val="00424432"/>
    <w:rsid w:val="0042530A"/>
    <w:rsid w:val="00425DB8"/>
    <w:rsid w:val="00426A88"/>
    <w:rsid w:val="00427106"/>
    <w:rsid w:val="00427C33"/>
    <w:rsid w:val="0043046E"/>
    <w:rsid w:val="004308E4"/>
    <w:rsid w:val="00430D74"/>
    <w:rsid w:val="004316DB"/>
    <w:rsid w:val="00431F6D"/>
    <w:rsid w:val="004331FB"/>
    <w:rsid w:val="00433976"/>
    <w:rsid w:val="004357CF"/>
    <w:rsid w:val="00435A31"/>
    <w:rsid w:val="0043613A"/>
    <w:rsid w:val="00436DD5"/>
    <w:rsid w:val="00437752"/>
    <w:rsid w:val="004400FF"/>
    <w:rsid w:val="00440137"/>
    <w:rsid w:val="004401CA"/>
    <w:rsid w:val="004407AF"/>
    <w:rsid w:val="00440DA5"/>
    <w:rsid w:val="004417E8"/>
    <w:rsid w:val="00441E6D"/>
    <w:rsid w:val="00442328"/>
    <w:rsid w:val="0044311F"/>
    <w:rsid w:val="00443B84"/>
    <w:rsid w:val="00443CBE"/>
    <w:rsid w:val="00444ACE"/>
    <w:rsid w:val="00444D2C"/>
    <w:rsid w:val="004458CF"/>
    <w:rsid w:val="004459EF"/>
    <w:rsid w:val="00446275"/>
    <w:rsid w:val="0044637E"/>
    <w:rsid w:val="0044656F"/>
    <w:rsid w:val="0045008F"/>
    <w:rsid w:val="004509F1"/>
    <w:rsid w:val="00451A00"/>
    <w:rsid w:val="00452274"/>
    <w:rsid w:val="004522A1"/>
    <w:rsid w:val="0045263D"/>
    <w:rsid w:val="0045439B"/>
    <w:rsid w:val="004546FD"/>
    <w:rsid w:val="0045695B"/>
    <w:rsid w:val="00456EA8"/>
    <w:rsid w:val="004572AC"/>
    <w:rsid w:val="00460590"/>
    <w:rsid w:val="004608F9"/>
    <w:rsid w:val="00461D28"/>
    <w:rsid w:val="00463BCE"/>
    <w:rsid w:val="00463C69"/>
    <w:rsid w:val="00463DE4"/>
    <w:rsid w:val="00463F43"/>
    <w:rsid w:val="00464773"/>
    <w:rsid w:val="00464928"/>
    <w:rsid w:val="004649E6"/>
    <w:rsid w:val="004668DF"/>
    <w:rsid w:val="00466CD1"/>
    <w:rsid w:val="00467D9B"/>
    <w:rsid w:val="00470200"/>
    <w:rsid w:val="00470492"/>
    <w:rsid w:val="00471949"/>
    <w:rsid w:val="00471A6E"/>
    <w:rsid w:val="00471ACB"/>
    <w:rsid w:val="00471CD1"/>
    <w:rsid w:val="0047214E"/>
    <w:rsid w:val="0047258D"/>
    <w:rsid w:val="00473E33"/>
    <w:rsid w:val="00474F34"/>
    <w:rsid w:val="00475281"/>
    <w:rsid w:val="0047658A"/>
    <w:rsid w:val="00476CE0"/>
    <w:rsid w:val="00476D96"/>
    <w:rsid w:val="00477285"/>
    <w:rsid w:val="00477AFE"/>
    <w:rsid w:val="004803DD"/>
    <w:rsid w:val="004808D9"/>
    <w:rsid w:val="0048260D"/>
    <w:rsid w:val="00482A4E"/>
    <w:rsid w:val="00482BF4"/>
    <w:rsid w:val="00483B61"/>
    <w:rsid w:val="00483BD8"/>
    <w:rsid w:val="004840AD"/>
    <w:rsid w:val="0048508D"/>
    <w:rsid w:val="00486221"/>
    <w:rsid w:val="00487575"/>
    <w:rsid w:val="00490612"/>
    <w:rsid w:val="004909AE"/>
    <w:rsid w:val="00490DA9"/>
    <w:rsid w:val="00491066"/>
    <w:rsid w:val="004921AE"/>
    <w:rsid w:val="00493B7C"/>
    <w:rsid w:val="004940C8"/>
    <w:rsid w:val="004941D8"/>
    <w:rsid w:val="004945FD"/>
    <w:rsid w:val="00494C1D"/>
    <w:rsid w:val="00494DD4"/>
    <w:rsid w:val="004956DD"/>
    <w:rsid w:val="00495D76"/>
    <w:rsid w:val="00496378"/>
    <w:rsid w:val="00496E21"/>
    <w:rsid w:val="004A0AE9"/>
    <w:rsid w:val="004A1768"/>
    <w:rsid w:val="004A1DA9"/>
    <w:rsid w:val="004A2899"/>
    <w:rsid w:val="004A2CDA"/>
    <w:rsid w:val="004A46AA"/>
    <w:rsid w:val="004A4D6C"/>
    <w:rsid w:val="004A67E7"/>
    <w:rsid w:val="004A6C11"/>
    <w:rsid w:val="004A6DA3"/>
    <w:rsid w:val="004A70CF"/>
    <w:rsid w:val="004A71AF"/>
    <w:rsid w:val="004A7362"/>
    <w:rsid w:val="004B03E9"/>
    <w:rsid w:val="004B04B8"/>
    <w:rsid w:val="004B0938"/>
    <w:rsid w:val="004B0F07"/>
    <w:rsid w:val="004B10DA"/>
    <w:rsid w:val="004B1491"/>
    <w:rsid w:val="004B18DD"/>
    <w:rsid w:val="004B1B50"/>
    <w:rsid w:val="004B23B1"/>
    <w:rsid w:val="004B27FF"/>
    <w:rsid w:val="004B314B"/>
    <w:rsid w:val="004B3243"/>
    <w:rsid w:val="004B394D"/>
    <w:rsid w:val="004B40AD"/>
    <w:rsid w:val="004B5198"/>
    <w:rsid w:val="004B588B"/>
    <w:rsid w:val="004B5BE9"/>
    <w:rsid w:val="004B60A3"/>
    <w:rsid w:val="004B639F"/>
    <w:rsid w:val="004B7EF0"/>
    <w:rsid w:val="004C1B0D"/>
    <w:rsid w:val="004C2880"/>
    <w:rsid w:val="004C4648"/>
    <w:rsid w:val="004C49CE"/>
    <w:rsid w:val="004C67AD"/>
    <w:rsid w:val="004C6D56"/>
    <w:rsid w:val="004C6FE8"/>
    <w:rsid w:val="004C7107"/>
    <w:rsid w:val="004C78A3"/>
    <w:rsid w:val="004D01EF"/>
    <w:rsid w:val="004D1EBC"/>
    <w:rsid w:val="004D3235"/>
    <w:rsid w:val="004D5B69"/>
    <w:rsid w:val="004D5D2C"/>
    <w:rsid w:val="004D691D"/>
    <w:rsid w:val="004D722B"/>
    <w:rsid w:val="004E00C1"/>
    <w:rsid w:val="004E0684"/>
    <w:rsid w:val="004E0CBD"/>
    <w:rsid w:val="004E13CB"/>
    <w:rsid w:val="004E1570"/>
    <w:rsid w:val="004E1CC5"/>
    <w:rsid w:val="004E366D"/>
    <w:rsid w:val="004E3A3D"/>
    <w:rsid w:val="004E44A2"/>
    <w:rsid w:val="004E48AE"/>
    <w:rsid w:val="004E48E1"/>
    <w:rsid w:val="004E4C70"/>
    <w:rsid w:val="004E4FEE"/>
    <w:rsid w:val="004E5A09"/>
    <w:rsid w:val="004E5FAF"/>
    <w:rsid w:val="004E6E0D"/>
    <w:rsid w:val="004E7BF7"/>
    <w:rsid w:val="004F0124"/>
    <w:rsid w:val="004F0D81"/>
    <w:rsid w:val="004F1F05"/>
    <w:rsid w:val="004F3035"/>
    <w:rsid w:val="004F3A61"/>
    <w:rsid w:val="004F3F1C"/>
    <w:rsid w:val="004F4801"/>
    <w:rsid w:val="004F56C2"/>
    <w:rsid w:val="004F656A"/>
    <w:rsid w:val="004F671B"/>
    <w:rsid w:val="004F6DB0"/>
    <w:rsid w:val="004F763E"/>
    <w:rsid w:val="004F7DE4"/>
    <w:rsid w:val="005004DD"/>
    <w:rsid w:val="0050052F"/>
    <w:rsid w:val="005025AC"/>
    <w:rsid w:val="00502CE5"/>
    <w:rsid w:val="005035EA"/>
    <w:rsid w:val="005042C3"/>
    <w:rsid w:val="00504B37"/>
    <w:rsid w:val="00504B5E"/>
    <w:rsid w:val="00504B68"/>
    <w:rsid w:val="00504E9C"/>
    <w:rsid w:val="00506275"/>
    <w:rsid w:val="0050659F"/>
    <w:rsid w:val="0050735C"/>
    <w:rsid w:val="00510E4D"/>
    <w:rsid w:val="005110C9"/>
    <w:rsid w:val="00511A7A"/>
    <w:rsid w:val="0051224C"/>
    <w:rsid w:val="00512254"/>
    <w:rsid w:val="00512551"/>
    <w:rsid w:val="005125BA"/>
    <w:rsid w:val="005126DB"/>
    <w:rsid w:val="005127C2"/>
    <w:rsid w:val="005141FA"/>
    <w:rsid w:val="00514888"/>
    <w:rsid w:val="00514BC3"/>
    <w:rsid w:val="00514E39"/>
    <w:rsid w:val="005153A3"/>
    <w:rsid w:val="00516052"/>
    <w:rsid w:val="00516F0E"/>
    <w:rsid w:val="00517070"/>
    <w:rsid w:val="00520EBB"/>
    <w:rsid w:val="005216A7"/>
    <w:rsid w:val="00521831"/>
    <w:rsid w:val="00523227"/>
    <w:rsid w:val="005232E7"/>
    <w:rsid w:val="00523477"/>
    <w:rsid w:val="005235C0"/>
    <w:rsid w:val="0052411A"/>
    <w:rsid w:val="00524A9C"/>
    <w:rsid w:val="00525298"/>
    <w:rsid w:val="005252F9"/>
    <w:rsid w:val="005253E7"/>
    <w:rsid w:val="00526781"/>
    <w:rsid w:val="0052751F"/>
    <w:rsid w:val="00527A4C"/>
    <w:rsid w:val="00530A06"/>
    <w:rsid w:val="00530E6A"/>
    <w:rsid w:val="00531747"/>
    <w:rsid w:val="00531831"/>
    <w:rsid w:val="00531D8D"/>
    <w:rsid w:val="00533346"/>
    <w:rsid w:val="00533B1F"/>
    <w:rsid w:val="00534D9A"/>
    <w:rsid w:val="0053556A"/>
    <w:rsid w:val="005361CA"/>
    <w:rsid w:val="005364CD"/>
    <w:rsid w:val="0053700C"/>
    <w:rsid w:val="00537A5A"/>
    <w:rsid w:val="00537BE9"/>
    <w:rsid w:val="0054074B"/>
    <w:rsid w:val="00541184"/>
    <w:rsid w:val="00541CC3"/>
    <w:rsid w:val="00542918"/>
    <w:rsid w:val="00542AA3"/>
    <w:rsid w:val="00543715"/>
    <w:rsid w:val="00544EF8"/>
    <w:rsid w:val="00545100"/>
    <w:rsid w:val="0054533A"/>
    <w:rsid w:val="0054708C"/>
    <w:rsid w:val="0054764E"/>
    <w:rsid w:val="00547747"/>
    <w:rsid w:val="00547B41"/>
    <w:rsid w:val="00547F38"/>
    <w:rsid w:val="00550B10"/>
    <w:rsid w:val="00550B51"/>
    <w:rsid w:val="00550F6D"/>
    <w:rsid w:val="0055106A"/>
    <w:rsid w:val="00551A30"/>
    <w:rsid w:val="00551C04"/>
    <w:rsid w:val="00551C8F"/>
    <w:rsid w:val="00551CC4"/>
    <w:rsid w:val="005528FE"/>
    <w:rsid w:val="00553085"/>
    <w:rsid w:val="00553A9F"/>
    <w:rsid w:val="00553C1E"/>
    <w:rsid w:val="00553F75"/>
    <w:rsid w:val="00554343"/>
    <w:rsid w:val="00554817"/>
    <w:rsid w:val="00554E9F"/>
    <w:rsid w:val="005557B2"/>
    <w:rsid w:val="00555845"/>
    <w:rsid w:val="0055653E"/>
    <w:rsid w:val="00556641"/>
    <w:rsid w:val="00556A6D"/>
    <w:rsid w:val="00556F19"/>
    <w:rsid w:val="00560D8F"/>
    <w:rsid w:val="00560FD1"/>
    <w:rsid w:val="00561239"/>
    <w:rsid w:val="00562BB6"/>
    <w:rsid w:val="00563284"/>
    <w:rsid w:val="00563689"/>
    <w:rsid w:val="0056423D"/>
    <w:rsid w:val="00564B43"/>
    <w:rsid w:val="00564F5A"/>
    <w:rsid w:val="00566116"/>
    <w:rsid w:val="00566680"/>
    <w:rsid w:val="00566CE2"/>
    <w:rsid w:val="005673F7"/>
    <w:rsid w:val="00567573"/>
    <w:rsid w:val="00567BB3"/>
    <w:rsid w:val="00570019"/>
    <w:rsid w:val="00571AED"/>
    <w:rsid w:val="00571CAF"/>
    <w:rsid w:val="005729FF"/>
    <w:rsid w:val="00573567"/>
    <w:rsid w:val="005745D6"/>
    <w:rsid w:val="0057620D"/>
    <w:rsid w:val="00577173"/>
    <w:rsid w:val="00581712"/>
    <w:rsid w:val="0058238A"/>
    <w:rsid w:val="00582B5F"/>
    <w:rsid w:val="005832D6"/>
    <w:rsid w:val="0058422C"/>
    <w:rsid w:val="00585785"/>
    <w:rsid w:val="00585B4E"/>
    <w:rsid w:val="005861CC"/>
    <w:rsid w:val="005862BF"/>
    <w:rsid w:val="00587575"/>
    <w:rsid w:val="0058761E"/>
    <w:rsid w:val="005909E3"/>
    <w:rsid w:val="005915BC"/>
    <w:rsid w:val="00591EF9"/>
    <w:rsid w:val="005925D5"/>
    <w:rsid w:val="005931D2"/>
    <w:rsid w:val="0059394E"/>
    <w:rsid w:val="00593989"/>
    <w:rsid w:val="00593C77"/>
    <w:rsid w:val="00594833"/>
    <w:rsid w:val="005948A9"/>
    <w:rsid w:val="00596B4B"/>
    <w:rsid w:val="005A1A91"/>
    <w:rsid w:val="005A3715"/>
    <w:rsid w:val="005A3E69"/>
    <w:rsid w:val="005A49C6"/>
    <w:rsid w:val="005A584F"/>
    <w:rsid w:val="005A5B3A"/>
    <w:rsid w:val="005A5FB8"/>
    <w:rsid w:val="005A6058"/>
    <w:rsid w:val="005A7032"/>
    <w:rsid w:val="005A78EC"/>
    <w:rsid w:val="005A7B75"/>
    <w:rsid w:val="005A7DB7"/>
    <w:rsid w:val="005B04DD"/>
    <w:rsid w:val="005B1073"/>
    <w:rsid w:val="005B1349"/>
    <w:rsid w:val="005B1E8D"/>
    <w:rsid w:val="005B2336"/>
    <w:rsid w:val="005B2FFE"/>
    <w:rsid w:val="005B377A"/>
    <w:rsid w:val="005B3963"/>
    <w:rsid w:val="005B534B"/>
    <w:rsid w:val="005B56AE"/>
    <w:rsid w:val="005B5F08"/>
    <w:rsid w:val="005B643F"/>
    <w:rsid w:val="005B6E6A"/>
    <w:rsid w:val="005B6F83"/>
    <w:rsid w:val="005B700C"/>
    <w:rsid w:val="005B76FD"/>
    <w:rsid w:val="005B7801"/>
    <w:rsid w:val="005B787F"/>
    <w:rsid w:val="005B7E5B"/>
    <w:rsid w:val="005C07BF"/>
    <w:rsid w:val="005C11B4"/>
    <w:rsid w:val="005C1265"/>
    <w:rsid w:val="005C1A8D"/>
    <w:rsid w:val="005C1B42"/>
    <w:rsid w:val="005C221E"/>
    <w:rsid w:val="005C239A"/>
    <w:rsid w:val="005C3032"/>
    <w:rsid w:val="005C63FD"/>
    <w:rsid w:val="005C713E"/>
    <w:rsid w:val="005C7216"/>
    <w:rsid w:val="005D01F4"/>
    <w:rsid w:val="005D06DB"/>
    <w:rsid w:val="005D08E2"/>
    <w:rsid w:val="005D24BB"/>
    <w:rsid w:val="005D4159"/>
    <w:rsid w:val="005D47BC"/>
    <w:rsid w:val="005D4B8E"/>
    <w:rsid w:val="005D5A25"/>
    <w:rsid w:val="005D629B"/>
    <w:rsid w:val="005D69AE"/>
    <w:rsid w:val="005D79F6"/>
    <w:rsid w:val="005D7AA9"/>
    <w:rsid w:val="005D7DEE"/>
    <w:rsid w:val="005E1711"/>
    <w:rsid w:val="005E25C8"/>
    <w:rsid w:val="005E283A"/>
    <w:rsid w:val="005E2A5E"/>
    <w:rsid w:val="005E3532"/>
    <w:rsid w:val="005E3B7C"/>
    <w:rsid w:val="005E597F"/>
    <w:rsid w:val="005E5BA4"/>
    <w:rsid w:val="005E74C4"/>
    <w:rsid w:val="005F0405"/>
    <w:rsid w:val="005F0CE3"/>
    <w:rsid w:val="005F168C"/>
    <w:rsid w:val="005F28C0"/>
    <w:rsid w:val="005F3206"/>
    <w:rsid w:val="005F3B45"/>
    <w:rsid w:val="005F3F45"/>
    <w:rsid w:val="005F4C53"/>
    <w:rsid w:val="005F59D3"/>
    <w:rsid w:val="005F68B3"/>
    <w:rsid w:val="005F6D53"/>
    <w:rsid w:val="005F7685"/>
    <w:rsid w:val="00600343"/>
    <w:rsid w:val="006009D8"/>
    <w:rsid w:val="00600EE2"/>
    <w:rsid w:val="00601DE7"/>
    <w:rsid w:val="00601E9D"/>
    <w:rsid w:val="00602A45"/>
    <w:rsid w:val="00602B91"/>
    <w:rsid w:val="00602E6D"/>
    <w:rsid w:val="006033C3"/>
    <w:rsid w:val="00603B77"/>
    <w:rsid w:val="00603C6B"/>
    <w:rsid w:val="00604288"/>
    <w:rsid w:val="00604798"/>
    <w:rsid w:val="00604BC8"/>
    <w:rsid w:val="00604F48"/>
    <w:rsid w:val="00605C0F"/>
    <w:rsid w:val="00605C59"/>
    <w:rsid w:val="00605DD7"/>
    <w:rsid w:val="00605DEA"/>
    <w:rsid w:val="006069E7"/>
    <w:rsid w:val="00606A6C"/>
    <w:rsid w:val="00606B8F"/>
    <w:rsid w:val="00606C1F"/>
    <w:rsid w:val="00606D93"/>
    <w:rsid w:val="00607733"/>
    <w:rsid w:val="00610712"/>
    <w:rsid w:val="00610C6F"/>
    <w:rsid w:val="00611C05"/>
    <w:rsid w:val="00613DC2"/>
    <w:rsid w:val="00614478"/>
    <w:rsid w:val="00614648"/>
    <w:rsid w:val="00614835"/>
    <w:rsid w:val="00615567"/>
    <w:rsid w:val="00615814"/>
    <w:rsid w:val="00616257"/>
    <w:rsid w:val="006176D6"/>
    <w:rsid w:val="00617CF8"/>
    <w:rsid w:val="00621024"/>
    <w:rsid w:val="00621C07"/>
    <w:rsid w:val="00623C1B"/>
    <w:rsid w:val="0062415C"/>
    <w:rsid w:val="0062463A"/>
    <w:rsid w:val="00624C23"/>
    <w:rsid w:val="00625C02"/>
    <w:rsid w:val="006306CE"/>
    <w:rsid w:val="00631170"/>
    <w:rsid w:val="00631553"/>
    <w:rsid w:val="00631737"/>
    <w:rsid w:val="00631898"/>
    <w:rsid w:val="00632A0E"/>
    <w:rsid w:val="00634637"/>
    <w:rsid w:val="00635242"/>
    <w:rsid w:val="00635B47"/>
    <w:rsid w:val="00640C39"/>
    <w:rsid w:val="006410CC"/>
    <w:rsid w:val="006415EC"/>
    <w:rsid w:val="0064268A"/>
    <w:rsid w:val="00642A4E"/>
    <w:rsid w:val="00643E73"/>
    <w:rsid w:val="00644562"/>
    <w:rsid w:val="0064468F"/>
    <w:rsid w:val="006446F3"/>
    <w:rsid w:val="00644CCD"/>
    <w:rsid w:val="00646127"/>
    <w:rsid w:val="0064616A"/>
    <w:rsid w:val="0064620A"/>
    <w:rsid w:val="0064683D"/>
    <w:rsid w:val="00646B29"/>
    <w:rsid w:val="00647277"/>
    <w:rsid w:val="00647ED6"/>
    <w:rsid w:val="00651595"/>
    <w:rsid w:val="0065168D"/>
    <w:rsid w:val="006517C6"/>
    <w:rsid w:val="00651C62"/>
    <w:rsid w:val="00652261"/>
    <w:rsid w:val="006526DF"/>
    <w:rsid w:val="00652EF4"/>
    <w:rsid w:val="006531E8"/>
    <w:rsid w:val="00653254"/>
    <w:rsid w:val="00653B57"/>
    <w:rsid w:val="00653D46"/>
    <w:rsid w:val="00654C23"/>
    <w:rsid w:val="00654E41"/>
    <w:rsid w:val="006553EE"/>
    <w:rsid w:val="006559B7"/>
    <w:rsid w:val="006561EE"/>
    <w:rsid w:val="00656E54"/>
    <w:rsid w:val="00657BC2"/>
    <w:rsid w:val="00661360"/>
    <w:rsid w:val="0066145D"/>
    <w:rsid w:val="00661FB8"/>
    <w:rsid w:val="00662B72"/>
    <w:rsid w:val="006642FD"/>
    <w:rsid w:val="0066463D"/>
    <w:rsid w:val="00664A3A"/>
    <w:rsid w:val="006654F8"/>
    <w:rsid w:val="0066596E"/>
    <w:rsid w:val="00666204"/>
    <w:rsid w:val="00666205"/>
    <w:rsid w:val="00666AA2"/>
    <w:rsid w:val="006670FF"/>
    <w:rsid w:val="0067008B"/>
    <w:rsid w:val="0067010F"/>
    <w:rsid w:val="006705E5"/>
    <w:rsid w:val="0067183B"/>
    <w:rsid w:val="00671845"/>
    <w:rsid w:val="006719F9"/>
    <w:rsid w:val="00671D27"/>
    <w:rsid w:val="00671E8B"/>
    <w:rsid w:val="00672BAB"/>
    <w:rsid w:val="00673C72"/>
    <w:rsid w:val="00674321"/>
    <w:rsid w:val="006746B8"/>
    <w:rsid w:val="0067526E"/>
    <w:rsid w:val="006752ED"/>
    <w:rsid w:val="006754A5"/>
    <w:rsid w:val="006756AE"/>
    <w:rsid w:val="006764BA"/>
    <w:rsid w:val="00676D24"/>
    <w:rsid w:val="0067731A"/>
    <w:rsid w:val="0067738F"/>
    <w:rsid w:val="0067786D"/>
    <w:rsid w:val="00677CEA"/>
    <w:rsid w:val="006801B5"/>
    <w:rsid w:val="006804B6"/>
    <w:rsid w:val="0068196E"/>
    <w:rsid w:val="006833F3"/>
    <w:rsid w:val="00683E16"/>
    <w:rsid w:val="00685198"/>
    <w:rsid w:val="00685261"/>
    <w:rsid w:val="00685C6E"/>
    <w:rsid w:val="0068622C"/>
    <w:rsid w:val="006862F3"/>
    <w:rsid w:val="00686646"/>
    <w:rsid w:val="00690249"/>
    <w:rsid w:val="00690D11"/>
    <w:rsid w:val="00690E59"/>
    <w:rsid w:val="00691484"/>
    <w:rsid w:val="00691B45"/>
    <w:rsid w:val="00692ABE"/>
    <w:rsid w:val="00692FA0"/>
    <w:rsid w:val="00693282"/>
    <w:rsid w:val="006932D8"/>
    <w:rsid w:val="00693571"/>
    <w:rsid w:val="006938AA"/>
    <w:rsid w:val="006947A3"/>
    <w:rsid w:val="006948B4"/>
    <w:rsid w:val="00695345"/>
    <w:rsid w:val="0069538F"/>
    <w:rsid w:val="00695C7B"/>
    <w:rsid w:val="00695D96"/>
    <w:rsid w:val="00695D9E"/>
    <w:rsid w:val="006960E8"/>
    <w:rsid w:val="006A00AE"/>
    <w:rsid w:val="006A040E"/>
    <w:rsid w:val="006A098F"/>
    <w:rsid w:val="006A0D57"/>
    <w:rsid w:val="006A1209"/>
    <w:rsid w:val="006A12DB"/>
    <w:rsid w:val="006A3A7C"/>
    <w:rsid w:val="006A4484"/>
    <w:rsid w:val="006A4747"/>
    <w:rsid w:val="006A47F2"/>
    <w:rsid w:val="006A4993"/>
    <w:rsid w:val="006A56B1"/>
    <w:rsid w:val="006A5A98"/>
    <w:rsid w:val="006A5BE3"/>
    <w:rsid w:val="006A5E4F"/>
    <w:rsid w:val="006A5F93"/>
    <w:rsid w:val="006A6487"/>
    <w:rsid w:val="006A7017"/>
    <w:rsid w:val="006B020A"/>
    <w:rsid w:val="006B05F5"/>
    <w:rsid w:val="006B0DD4"/>
    <w:rsid w:val="006B1520"/>
    <w:rsid w:val="006B1E61"/>
    <w:rsid w:val="006B3390"/>
    <w:rsid w:val="006B3E9E"/>
    <w:rsid w:val="006B4E88"/>
    <w:rsid w:val="006B519F"/>
    <w:rsid w:val="006B569D"/>
    <w:rsid w:val="006B7161"/>
    <w:rsid w:val="006B7C39"/>
    <w:rsid w:val="006B7C5C"/>
    <w:rsid w:val="006C02F1"/>
    <w:rsid w:val="006C0B18"/>
    <w:rsid w:val="006C2837"/>
    <w:rsid w:val="006C2B7D"/>
    <w:rsid w:val="006C30A8"/>
    <w:rsid w:val="006C319E"/>
    <w:rsid w:val="006C3492"/>
    <w:rsid w:val="006C44F2"/>
    <w:rsid w:val="006C4C27"/>
    <w:rsid w:val="006C4C53"/>
    <w:rsid w:val="006C66A0"/>
    <w:rsid w:val="006C6BEC"/>
    <w:rsid w:val="006C6EF6"/>
    <w:rsid w:val="006C6EF8"/>
    <w:rsid w:val="006C776F"/>
    <w:rsid w:val="006D16E4"/>
    <w:rsid w:val="006D1FC2"/>
    <w:rsid w:val="006D2C29"/>
    <w:rsid w:val="006D369D"/>
    <w:rsid w:val="006D3928"/>
    <w:rsid w:val="006D4C9B"/>
    <w:rsid w:val="006D5223"/>
    <w:rsid w:val="006D5C7A"/>
    <w:rsid w:val="006D7468"/>
    <w:rsid w:val="006D76A5"/>
    <w:rsid w:val="006D7782"/>
    <w:rsid w:val="006D7877"/>
    <w:rsid w:val="006D7B56"/>
    <w:rsid w:val="006E0AD6"/>
    <w:rsid w:val="006E1197"/>
    <w:rsid w:val="006E1252"/>
    <w:rsid w:val="006E18DD"/>
    <w:rsid w:val="006E1ED4"/>
    <w:rsid w:val="006E202F"/>
    <w:rsid w:val="006E20BA"/>
    <w:rsid w:val="006E23C6"/>
    <w:rsid w:val="006E2694"/>
    <w:rsid w:val="006E2865"/>
    <w:rsid w:val="006E3930"/>
    <w:rsid w:val="006E4F16"/>
    <w:rsid w:val="006E5BB7"/>
    <w:rsid w:val="006E5EB3"/>
    <w:rsid w:val="006E6F87"/>
    <w:rsid w:val="006E7742"/>
    <w:rsid w:val="006F07E1"/>
    <w:rsid w:val="006F0C23"/>
    <w:rsid w:val="006F1CCC"/>
    <w:rsid w:val="006F1F4B"/>
    <w:rsid w:val="006F3880"/>
    <w:rsid w:val="006F39E7"/>
    <w:rsid w:val="006F3A42"/>
    <w:rsid w:val="006F51F2"/>
    <w:rsid w:val="006F5A65"/>
    <w:rsid w:val="006F64C6"/>
    <w:rsid w:val="006F6BF8"/>
    <w:rsid w:val="006F6F19"/>
    <w:rsid w:val="007000D1"/>
    <w:rsid w:val="007007D3"/>
    <w:rsid w:val="00700F1B"/>
    <w:rsid w:val="0070122F"/>
    <w:rsid w:val="00701267"/>
    <w:rsid w:val="007020D6"/>
    <w:rsid w:val="007035E2"/>
    <w:rsid w:val="00703B9C"/>
    <w:rsid w:val="007040EB"/>
    <w:rsid w:val="00706718"/>
    <w:rsid w:val="0070741F"/>
    <w:rsid w:val="0070797B"/>
    <w:rsid w:val="00707B67"/>
    <w:rsid w:val="00710531"/>
    <w:rsid w:val="00710A96"/>
    <w:rsid w:val="0071109F"/>
    <w:rsid w:val="007113A7"/>
    <w:rsid w:val="007123E2"/>
    <w:rsid w:val="007132DA"/>
    <w:rsid w:val="00714FF2"/>
    <w:rsid w:val="00716780"/>
    <w:rsid w:val="007168B9"/>
    <w:rsid w:val="00716AA6"/>
    <w:rsid w:val="00716AF9"/>
    <w:rsid w:val="00716CE2"/>
    <w:rsid w:val="00716D2A"/>
    <w:rsid w:val="00716F9A"/>
    <w:rsid w:val="007170DB"/>
    <w:rsid w:val="007207AF"/>
    <w:rsid w:val="007213F7"/>
    <w:rsid w:val="007215B3"/>
    <w:rsid w:val="00721964"/>
    <w:rsid w:val="00721F1D"/>
    <w:rsid w:val="00722450"/>
    <w:rsid w:val="00723293"/>
    <w:rsid w:val="00723F6C"/>
    <w:rsid w:val="00724060"/>
    <w:rsid w:val="007241E3"/>
    <w:rsid w:val="007243DA"/>
    <w:rsid w:val="00724E74"/>
    <w:rsid w:val="0072587A"/>
    <w:rsid w:val="00726599"/>
    <w:rsid w:val="007265F1"/>
    <w:rsid w:val="00726C26"/>
    <w:rsid w:val="00727112"/>
    <w:rsid w:val="00727603"/>
    <w:rsid w:val="00727986"/>
    <w:rsid w:val="00727C4B"/>
    <w:rsid w:val="00730237"/>
    <w:rsid w:val="007302AC"/>
    <w:rsid w:val="00730731"/>
    <w:rsid w:val="007315A5"/>
    <w:rsid w:val="00731A6D"/>
    <w:rsid w:val="007320C2"/>
    <w:rsid w:val="00732AD5"/>
    <w:rsid w:val="00732C37"/>
    <w:rsid w:val="00732C66"/>
    <w:rsid w:val="00732F51"/>
    <w:rsid w:val="00734A96"/>
    <w:rsid w:val="0073565B"/>
    <w:rsid w:val="0073572A"/>
    <w:rsid w:val="00735E43"/>
    <w:rsid w:val="00736883"/>
    <w:rsid w:val="00737525"/>
    <w:rsid w:val="00737582"/>
    <w:rsid w:val="007400ED"/>
    <w:rsid w:val="00740521"/>
    <w:rsid w:val="00740C4A"/>
    <w:rsid w:val="00740E47"/>
    <w:rsid w:val="0074133E"/>
    <w:rsid w:val="007421FA"/>
    <w:rsid w:val="00742235"/>
    <w:rsid w:val="00743F73"/>
    <w:rsid w:val="0074473D"/>
    <w:rsid w:val="0074475E"/>
    <w:rsid w:val="00744E88"/>
    <w:rsid w:val="00745315"/>
    <w:rsid w:val="00745BB9"/>
    <w:rsid w:val="007460A7"/>
    <w:rsid w:val="007475B2"/>
    <w:rsid w:val="007476AA"/>
    <w:rsid w:val="0075011E"/>
    <w:rsid w:val="00750207"/>
    <w:rsid w:val="00750AAF"/>
    <w:rsid w:val="00750E9F"/>
    <w:rsid w:val="00751100"/>
    <w:rsid w:val="007512E3"/>
    <w:rsid w:val="00751888"/>
    <w:rsid w:val="00751ECC"/>
    <w:rsid w:val="00754C9B"/>
    <w:rsid w:val="00754EA1"/>
    <w:rsid w:val="00755CF4"/>
    <w:rsid w:val="00757557"/>
    <w:rsid w:val="00757B61"/>
    <w:rsid w:val="00757F55"/>
    <w:rsid w:val="007607E6"/>
    <w:rsid w:val="00761921"/>
    <w:rsid w:val="0076280E"/>
    <w:rsid w:val="00763006"/>
    <w:rsid w:val="007633FA"/>
    <w:rsid w:val="00764130"/>
    <w:rsid w:val="0076495F"/>
    <w:rsid w:val="007649EB"/>
    <w:rsid w:val="00764B07"/>
    <w:rsid w:val="00765ABC"/>
    <w:rsid w:val="00765EF8"/>
    <w:rsid w:val="00767C6D"/>
    <w:rsid w:val="0077026A"/>
    <w:rsid w:val="00770BEE"/>
    <w:rsid w:val="00771C17"/>
    <w:rsid w:val="00772F76"/>
    <w:rsid w:val="007734E5"/>
    <w:rsid w:val="00774F86"/>
    <w:rsid w:val="00775071"/>
    <w:rsid w:val="00775420"/>
    <w:rsid w:val="00775CED"/>
    <w:rsid w:val="00775E91"/>
    <w:rsid w:val="00776685"/>
    <w:rsid w:val="00777115"/>
    <w:rsid w:val="007771E7"/>
    <w:rsid w:val="00777C1A"/>
    <w:rsid w:val="00780060"/>
    <w:rsid w:val="00780C78"/>
    <w:rsid w:val="00780C80"/>
    <w:rsid w:val="00782274"/>
    <w:rsid w:val="007838AC"/>
    <w:rsid w:val="007842CC"/>
    <w:rsid w:val="007846D6"/>
    <w:rsid w:val="007854E8"/>
    <w:rsid w:val="0078601A"/>
    <w:rsid w:val="00786517"/>
    <w:rsid w:val="007869CD"/>
    <w:rsid w:val="00790544"/>
    <w:rsid w:val="00790C9D"/>
    <w:rsid w:val="00790FEA"/>
    <w:rsid w:val="00790FFF"/>
    <w:rsid w:val="0079129A"/>
    <w:rsid w:val="007917DB"/>
    <w:rsid w:val="00791805"/>
    <w:rsid w:val="00791C7C"/>
    <w:rsid w:val="007920BC"/>
    <w:rsid w:val="00792448"/>
    <w:rsid w:val="00792B2C"/>
    <w:rsid w:val="00792D65"/>
    <w:rsid w:val="007932DF"/>
    <w:rsid w:val="00793944"/>
    <w:rsid w:val="00795073"/>
    <w:rsid w:val="0079583E"/>
    <w:rsid w:val="00796D29"/>
    <w:rsid w:val="007976AC"/>
    <w:rsid w:val="00797852"/>
    <w:rsid w:val="00797DF5"/>
    <w:rsid w:val="007A1662"/>
    <w:rsid w:val="007A1AF6"/>
    <w:rsid w:val="007A2D9D"/>
    <w:rsid w:val="007A31E0"/>
    <w:rsid w:val="007A3F07"/>
    <w:rsid w:val="007A429E"/>
    <w:rsid w:val="007A4988"/>
    <w:rsid w:val="007A57C9"/>
    <w:rsid w:val="007A623A"/>
    <w:rsid w:val="007A7B53"/>
    <w:rsid w:val="007B1241"/>
    <w:rsid w:val="007B13AA"/>
    <w:rsid w:val="007B191D"/>
    <w:rsid w:val="007B3303"/>
    <w:rsid w:val="007B349F"/>
    <w:rsid w:val="007B35DE"/>
    <w:rsid w:val="007B3F41"/>
    <w:rsid w:val="007B4339"/>
    <w:rsid w:val="007B4721"/>
    <w:rsid w:val="007B4CCF"/>
    <w:rsid w:val="007B5C8F"/>
    <w:rsid w:val="007B68CB"/>
    <w:rsid w:val="007B701C"/>
    <w:rsid w:val="007B7630"/>
    <w:rsid w:val="007B7760"/>
    <w:rsid w:val="007B7B39"/>
    <w:rsid w:val="007C05A1"/>
    <w:rsid w:val="007C1281"/>
    <w:rsid w:val="007C12EF"/>
    <w:rsid w:val="007C1CFC"/>
    <w:rsid w:val="007C2276"/>
    <w:rsid w:val="007C3305"/>
    <w:rsid w:val="007C3ABF"/>
    <w:rsid w:val="007C3DA7"/>
    <w:rsid w:val="007C3EAC"/>
    <w:rsid w:val="007C4846"/>
    <w:rsid w:val="007C5663"/>
    <w:rsid w:val="007C6BA2"/>
    <w:rsid w:val="007C6EF3"/>
    <w:rsid w:val="007C7164"/>
    <w:rsid w:val="007C722E"/>
    <w:rsid w:val="007D0AB8"/>
    <w:rsid w:val="007D11D9"/>
    <w:rsid w:val="007D1CCA"/>
    <w:rsid w:val="007D21E5"/>
    <w:rsid w:val="007D2687"/>
    <w:rsid w:val="007D2FE4"/>
    <w:rsid w:val="007D359C"/>
    <w:rsid w:val="007D3667"/>
    <w:rsid w:val="007D38D3"/>
    <w:rsid w:val="007D436A"/>
    <w:rsid w:val="007D52A6"/>
    <w:rsid w:val="007D56FA"/>
    <w:rsid w:val="007D5723"/>
    <w:rsid w:val="007D5E03"/>
    <w:rsid w:val="007D5E0B"/>
    <w:rsid w:val="007D61DB"/>
    <w:rsid w:val="007D630A"/>
    <w:rsid w:val="007D7BE9"/>
    <w:rsid w:val="007E001C"/>
    <w:rsid w:val="007E0E35"/>
    <w:rsid w:val="007E0FA9"/>
    <w:rsid w:val="007E3D2D"/>
    <w:rsid w:val="007E3F7E"/>
    <w:rsid w:val="007E3FC1"/>
    <w:rsid w:val="007E4033"/>
    <w:rsid w:val="007E49FE"/>
    <w:rsid w:val="007E4C21"/>
    <w:rsid w:val="007E58FD"/>
    <w:rsid w:val="007E62F9"/>
    <w:rsid w:val="007E631B"/>
    <w:rsid w:val="007E76A0"/>
    <w:rsid w:val="007E7C19"/>
    <w:rsid w:val="007F01F9"/>
    <w:rsid w:val="007F044B"/>
    <w:rsid w:val="007F0CD1"/>
    <w:rsid w:val="007F120D"/>
    <w:rsid w:val="007F1345"/>
    <w:rsid w:val="007F17BE"/>
    <w:rsid w:val="007F2545"/>
    <w:rsid w:val="007F2FF4"/>
    <w:rsid w:val="007F3747"/>
    <w:rsid w:val="007F3CA5"/>
    <w:rsid w:val="007F5047"/>
    <w:rsid w:val="007F540B"/>
    <w:rsid w:val="007F5AB8"/>
    <w:rsid w:val="007F5B30"/>
    <w:rsid w:val="007F6211"/>
    <w:rsid w:val="007F636B"/>
    <w:rsid w:val="00800B56"/>
    <w:rsid w:val="00800B61"/>
    <w:rsid w:val="0080130B"/>
    <w:rsid w:val="008016B2"/>
    <w:rsid w:val="00802DC7"/>
    <w:rsid w:val="008031F6"/>
    <w:rsid w:val="0080343E"/>
    <w:rsid w:val="0080427E"/>
    <w:rsid w:val="00804459"/>
    <w:rsid w:val="00804AA4"/>
    <w:rsid w:val="0080525A"/>
    <w:rsid w:val="008053FF"/>
    <w:rsid w:val="00805C96"/>
    <w:rsid w:val="00805EF8"/>
    <w:rsid w:val="0080651A"/>
    <w:rsid w:val="008067DB"/>
    <w:rsid w:val="00806819"/>
    <w:rsid w:val="00806A93"/>
    <w:rsid w:val="00806ABC"/>
    <w:rsid w:val="00810524"/>
    <w:rsid w:val="00810AA1"/>
    <w:rsid w:val="00810D91"/>
    <w:rsid w:val="00811305"/>
    <w:rsid w:val="00811688"/>
    <w:rsid w:val="0081480A"/>
    <w:rsid w:val="008150EE"/>
    <w:rsid w:val="00815F02"/>
    <w:rsid w:val="00816227"/>
    <w:rsid w:val="00816490"/>
    <w:rsid w:val="00816F70"/>
    <w:rsid w:val="0081785B"/>
    <w:rsid w:val="00820458"/>
    <w:rsid w:val="00820621"/>
    <w:rsid w:val="00821197"/>
    <w:rsid w:val="008211FE"/>
    <w:rsid w:val="00821947"/>
    <w:rsid w:val="008221BE"/>
    <w:rsid w:val="008230AF"/>
    <w:rsid w:val="0082477A"/>
    <w:rsid w:val="00824B3F"/>
    <w:rsid w:val="0082518E"/>
    <w:rsid w:val="008255EA"/>
    <w:rsid w:val="0082581A"/>
    <w:rsid w:val="00825DAD"/>
    <w:rsid w:val="00826A30"/>
    <w:rsid w:val="00826CAE"/>
    <w:rsid w:val="008277B9"/>
    <w:rsid w:val="0082791C"/>
    <w:rsid w:val="008300C4"/>
    <w:rsid w:val="00830D31"/>
    <w:rsid w:val="00831300"/>
    <w:rsid w:val="00832A76"/>
    <w:rsid w:val="0083337A"/>
    <w:rsid w:val="008339C5"/>
    <w:rsid w:val="0083413B"/>
    <w:rsid w:val="00834626"/>
    <w:rsid w:val="00834E06"/>
    <w:rsid w:val="008368CD"/>
    <w:rsid w:val="0083694D"/>
    <w:rsid w:val="00836F36"/>
    <w:rsid w:val="0083720C"/>
    <w:rsid w:val="008379D3"/>
    <w:rsid w:val="00837FC0"/>
    <w:rsid w:val="00840076"/>
    <w:rsid w:val="00840A4F"/>
    <w:rsid w:val="0084139E"/>
    <w:rsid w:val="00841585"/>
    <w:rsid w:val="00842A0A"/>
    <w:rsid w:val="00842A7B"/>
    <w:rsid w:val="00842E4B"/>
    <w:rsid w:val="00843101"/>
    <w:rsid w:val="00843105"/>
    <w:rsid w:val="00843264"/>
    <w:rsid w:val="0084349D"/>
    <w:rsid w:val="00844301"/>
    <w:rsid w:val="00844488"/>
    <w:rsid w:val="0084599B"/>
    <w:rsid w:val="00845C55"/>
    <w:rsid w:val="00845CB9"/>
    <w:rsid w:val="00846787"/>
    <w:rsid w:val="008467C4"/>
    <w:rsid w:val="00847BC3"/>
    <w:rsid w:val="0085097B"/>
    <w:rsid w:val="00852AE4"/>
    <w:rsid w:val="00852FA6"/>
    <w:rsid w:val="00853323"/>
    <w:rsid w:val="00855AFF"/>
    <w:rsid w:val="00855B2C"/>
    <w:rsid w:val="00855D78"/>
    <w:rsid w:val="00860A58"/>
    <w:rsid w:val="0086106D"/>
    <w:rsid w:val="0086199A"/>
    <w:rsid w:val="00862D84"/>
    <w:rsid w:val="008631BA"/>
    <w:rsid w:val="00863E61"/>
    <w:rsid w:val="00865EB4"/>
    <w:rsid w:val="008666E7"/>
    <w:rsid w:val="0086708F"/>
    <w:rsid w:val="008706D1"/>
    <w:rsid w:val="008722F0"/>
    <w:rsid w:val="00872587"/>
    <w:rsid w:val="0087289E"/>
    <w:rsid w:val="008732C7"/>
    <w:rsid w:val="00874159"/>
    <w:rsid w:val="00874768"/>
    <w:rsid w:val="008751D4"/>
    <w:rsid w:val="0087767D"/>
    <w:rsid w:val="00880D37"/>
    <w:rsid w:val="00880E53"/>
    <w:rsid w:val="008825A3"/>
    <w:rsid w:val="00883355"/>
    <w:rsid w:val="00883AED"/>
    <w:rsid w:val="00883F34"/>
    <w:rsid w:val="0088417A"/>
    <w:rsid w:val="008841B5"/>
    <w:rsid w:val="00884B6E"/>
    <w:rsid w:val="00884E51"/>
    <w:rsid w:val="008862A6"/>
    <w:rsid w:val="00887645"/>
    <w:rsid w:val="00887E6F"/>
    <w:rsid w:val="0089041B"/>
    <w:rsid w:val="0089098F"/>
    <w:rsid w:val="00890C2F"/>
    <w:rsid w:val="00890ED0"/>
    <w:rsid w:val="00891E96"/>
    <w:rsid w:val="008926A2"/>
    <w:rsid w:val="0089354F"/>
    <w:rsid w:val="0089381E"/>
    <w:rsid w:val="00893892"/>
    <w:rsid w:val="0089413E"/>
    <w:rsid w:val="00896100"/>
    <w:rsid w:val="008965AF"/>
    <w:rsid w:val="00897A3B"/>
    <w:rsid w:val="00897F57"/>
    <w:rsid w:val="008A0409"/>
    <w:rsid w:val="008A0BE0"/>
    <w:rsid w:val="008A1562"/>
    <w:rsid w:val="008A29DF"/>
    <w:rsid w:val="008A653E"/>
    <w:rsid w:val="008A6B92"/>
    <w:rsid w:val="008A6E84"/>
    <w:rsid w:val="008A70B4"/>
    <w:rsid w:val="008A7506"/>
    <w:rsid w:val="008A7E1D"/>
    <w:rsid w:val="008B03C3"/>
    <w:rsid w:val="008B2319"/>
    <w:rsid w:val="008B2657"/>
    <w:rsid w:val="008B3BC8"/>
    <w:rsid w:val="008B4AA1"/>
    <w:rsid w:val="008B4FF5"/>
    <w:rsid w:val="008B6303"/>
    <w:rsid w:val="008B71F2"/>
    <w:rsid w:val="008C12DE"/>
    <w:rsid w:val="008C16C0"/>
    <w:rsid w:val="008C2532"/>
    <w:rsid w:val="008C5EBC"/>
    <w:rsid w:val="008C64BE"/>
    <w:rsid w:val="008C64E0"/>
    <w:rsid w:val="008C6EA0"/>
    <w:rsid w:val="008D0601"/>
    <w:rsid w:val="008D0B89"/>
    <w:rsid w:val="008D177C"/>
    <w:rsid w:val="008D1A49"/>
    <w:rsid w:val="008D1F3D"/>
    <w:rsid w:val="008D1FD1"/>
    <w:rsid w:val="008D38C0"/>
    <w:rsid w:val="008D3B13"/>
    <w:rsid w:val="008D3BEC"/>
    <w:rsid w:val="008D3C4C"/>
    <w:rsid w:val="008D43B3"/>
    <w:rsid w:val="008D4A18"/>
    <w:rsid w:val="008D78BD"/>
    <w:rsid w:val="008D7E92"/>
    <w:rsid w:val="008E0B0A"/>
    <w:rsid w:val="008E1BE8"/>
    <w:rsid w:val="008E4076"/>
    <w:rsid w:val="008E50FF"/>
    <w:rsid w:val="008E53E2"/>
    <w:rsid w:val="008E5F79"/>
    <w:rsid w:val="008E65D3"/>
    <w:rsid w:val="008E758F"/>
    <w:rsid w:val="008E75DB"/>
    <w:rsid w:val="008F0C7E"/>
    <w:rsid w:val="008F1B85"/>
    <w:rsid w:val="008F1D8A"/>
    <w:rsid w:val="008F2469"/>
    <w:rsid w:val="008F2B6B"/>
    <w:rsid w:val="008F306C"/>
    <w:rsid w:val="008F3A5E"/>
    <w:rsid w:val="008F3AF6"/>
    <w:rsid w:val="008F3BE7"/>
    <w:rsid w:val="008F52E8"/>
    <w:rsid w:val="008F585D"/>
    <w:rsid w:val="008F5BA4"/>
    <w:rsid w:val="008F5CDE"/>
    <w:rsid w:val="008F5D81"/>
    <w:rsid w:val="008F686E"/>
    <w:rsid w:val="008F6A50"/>
    <w:rsid w:val="008F746E"/>
    <w:rsid w:val="0090053E"/>
    <w:rsid w:val="00900584"/>
    <w:rsid w:val="0090077A"/>
    <w:rsid w:val="00901038"/>
    <w:rsid w:val="009021D0"/>
    <w:rsid w:val="0090361F"/>
    <w:rsid w:val="009042C3"/>
    <w:rsid w:val="00904A4B"/>
    <w:rsid w:val="009064FA"/>
    <w:rsid w:val="00906716"/>
    <w:rsid w:val="009069FE"/>
    <w:rsid w:val="0090780D"/>
    <w:rsid w:val="009079C3"/>
    <w:rsid w:val="00910579"/>
    <w:rsid w:val="009106D1"/>
    <w:rsid w:val="00911B03"/>
    <w:rsid w:val="009123D1"/>
    <w:rsid w:val="0091292E"/>
    <w:rsid w:val="00912BBA"/>
    <w:rsid w:val="0091321B"/>
    <w:rsid w:val="00913332"/>
    <w:rsid w:val="00913906"/>
    <w:rsid w:val="00915AD6"/>
    <w:rsid w:val="00915B5E"/>
    <w:rsid w:val="00915C20"/>
    <w:rsid w:val="00916641"/>
    <w:rsid w:val="00916C4E"/>
    <w:rsid w:val="00916CF6"/>
    <w:rsid w:val="00916EF4"/>
    <w:rsid w:val="00917D70"/>
    <w:rsid w:val="009207A9"/>
    <w:rsid w:val="00920B6B"/>
    <w:rsid w:val="00920E70"/>
    <w:rsid w:val="00920E79"/>
    <w:rsid w:val="009212E1"/>
    <w:rsid w:val="00921372"/>
    <w:rsid w:val="00921EF9"/>
    <w:rsid w:val="009221E3"/>
    <w:rsid w:val="00922F22"/>
    <w:rsid w:val="00923499"/>
    <w:rsid w:val="0092441B"/>
    <w:rsid w:val="00924596"/>
    <w:rsid w:val="00924D10"/>
    <w:rsid w:val="0092533C"/>
    <w:rsid w:val="009255B2"/>
    <w:rsid w:val="00925D83"/>
    <w:rsid w:val="00927277"/>
    <w:rsid w:val="00927E48"/>
    <w:rsid w:val="00930EA7"/>
    <w:rsid w:val="00930EB5"/>
    <w:rsid w:val="00930EB8"/>
    <w:rsid w:val="0093108B"/>
    <w:rsid w:val="0093190B"/>
    <w:rsid w:val="00931EB1"/>
    <w:rsid w:val="00932173"/>
    <w:rsid w:val="00932551"/>
    <w:rsid w:val="00933A53"/>
    <w:rsid w:val="00934B4D"/>
    <w:rsid w:val="00935212"/>
    <w:rsid w:val="00935F9E"/>
    <w:rsid w:val="009368BA"/>
    <w:rsid w:val="00936D28"/>
    <w:rsid w:val="00937154"/>
    <w:rsid w:val="0093757D"/>
    <w:rsid w:val="009403FA"/>
    <w:rsid w:val="00940567"/>
    <w:rsid w:val="00940849"/>
    <w:rsid w:val="00942457"/>
    <w:rsid w:val="00942930"/>
    <w:rsid w:val="00942BB8"/>
    <w:rsid w:val="00942FBE"/>
    <w:rsid w:val="00943522"/>
    <w:rsid w:val="009436C9"/>
    <w:rsid w:val="009437C1"/>
    <w:rsid w:val="00944965"/>
    <w:rsid w:val="00944D43"/>
    <w:rsid w:val="009459B3"/>
    <w:rsid w:val="00945ECB"/>
    <w:rsid w:val="00946786"/>
    <w:rsid w:val="009469BE"/>
    <w:rsid w:val="0094750F"/>
    <w:rsid w:val="009478D1"/>
    <w:rsid w:val="00950030"/>
    <w:rsid w:val="00950324"/>
    <w:rsid w:val="009516B9"/>
    <w:rsid w:val="009522F7"/>
    <w:rsid w:val="00952773"/>
    <w:rsid w:val="0095309E"/>
    <w:rsid w:val="0095317D"/>
    <w:rsid w:val="009531A2"/>
    <w:rsid w:val="00953A78"/>
    <w:rsid w:val="00954744"/>
    <w:rsid w:val="00955BCC"/>
    <w:rsid w:val="00957223"/>
    <w:rsid w:val="00957A3D"/>
    <w:rsid w:val="00960569"/>
    <w:rsid w:val="00960B15"/>
    <w:rsid w:val="009611B3"/>
    <w:rsid w:val="009624EB"/>
    <w:rsid w:val="00962DC1"/>
    <w:rsid w:val="0096313A"/>
    <w:rsid w:val="00963AC6"/>
    <w:rsid w:val="00963DD7"/>
    <w:rsid w:val="00965093"/>
    <w:rsid w:val="009663CE"/>
    <w:rsid w:val="00966CF2"/>
    <w:rsid w:val="00971D4F"/>
    <w:rsid w:val="009720F8"/>
    <w:rsid w:val="009726CE"/>
    <w:rsid w:val="00972EA6"/>
    <w:rsid w:val="009731AF"/>
    <w:rsid w:val="00974311"/>
    <w:rsid w:val="009743E6"/>
    <w:rsid w:val="009749EC"/>
    <w:rsid w:val="00974A30"/>
    <w:rsid w:val="00974E28"/>
    <w:rsid w:val="00976AF4"/>
    <w:rsid w:val="0097733F"/>
    <w:rsid w:val="00977651"/>
    <w:rsid w:val="00980512"/>
    <w:rsid w:val="00980A10"/>
    <w:rsid w:val="00980B95"/>
    <w:rsid w:val="00982B8D"/>
    <w:rsid w:val="009834B3"/>
    <w:rsid w:val="00983598"/>
    <w:rsid w:val="00983D21"/>
    <w:rsid w:val="00985055"/>
    <w:rsid w:val="00985B53"/>
    <w:rsid w:val="00985CF8"/>
    <w:rsid w:val="00986DD2"/>
    <w:rsid w:val="00986F65"/>
    <w:rsid w:val="00992030"/>
    <w:rsid w:val="00992A92"/>
    <w:rsid w:val="00993913"/>
    <w:rsid w:val="00993B25"/>
    <w:rsid w:val="00994282"/>
    <w:rsid w:val="0099453E"/>
    <w:rsid w:val="009946C2"/>
    <w:rsid w:val="009948A6"/>
    <w:rsid w:val="00994A71"/>
    <w:rsid w:val="00994B53"/>
    <w:rsid w:val="0099567D"/>
    <w:rsid w:val="009973D6"/>
    <w:rsid w:val="009A02DD"/>
    <w:rsid w:val="009A1153"/>
    <w:rsid w:val="009A118B"/>
    <w:rsid w:val="009A1705"/>
    <w:rsid w:val="009A187C"/>
    <w:rsid w:val="009A1894"/>
    <w:rsid w:val="009A3194"/>
    <w:rsid w:val="009A3BB2"/>
    <w:rsid w:val="009A4B48"/>
    <w:rsid w:val="009A4B97"/>
    <w:rsid w:val="009A4D49"/>
    <w:rsid w:val="009A5105"/>
    <w:rsid w:val="009A589D"/>
    <w:rsid w:val="009A696B"/>
    <w:rsid w:val="009A6F5F"/>
    <w:rsid w:val="009B0789"/>
    <w:rsid w:val="009B0984"/>
    <w:rsid w:val="009B0D20"/>
    <w:rsid w:val="009B20B4"/>
    <w:rsid w:val="009B215A"/>
    <w:rsid w:val="009B2832"/>
    <w:rsid w:val="009B3D83"/>
    <w:rsid w:val="009B3F2F"/>
    <w:rsid w:val="009B413A"/>
    <w:rsid w:val="009B42D6"/>
    <w:rsid w:val="009B4AF4"/>
    <w:rsid w:val="009B4B0D"/>
    <w:rsid w:val="009B4E77"/>
    <w:rsid w:val="009B55F7"/>
    <w:rsid w:val="009B5D41"/>
    <w:rsid w:val="009B772B"/>
    <w:rsid w:val="009C0A40"/>
    <w:rsid w:val="009C1432"/>
    <w:rsid w:val="009C23E7"/>
    <w:rsid w:val="009C28F4"/>
    <w:rsid w:val="009C43C9"/>
    <w:rsid w:val="009C4685"/>
    <w:rsid w:val="009C4AEA"/>
    <w:rsid w:val="009C4F8D"/>
    <w:rsid w:val="009C6C72"/>
    <w:rsid w:val="009C711B"/>
    <w:rsid w:val="009D01A9"/>
    <w:rsid w:val="009D02E8"/>
    <w:rsid w:val="009D0578"/>
    <w:rsid w:val="009D139C"/>
    <w:rsid w:val="009D13A6"/>
    <w:rsid w:val="009D178E"/>
    <w:rsid w:val="009D1ACB"/>
    <w:rsid w:val="009D1DA5"/>
    <w:rsid w:val="009D2993"/>
    <w:rsid w:val="009D2D27"/>
    <w:rsid w:val="009D39AB"/>
    <w:rsid w:val="009D39F0"/>
    <w:rsid w:val="009D3ECC"/>
    <w:rsid w:val="009D4B02"/>
    <w:rsid w:val="009D617D"/>
    <w:rsid w:val="009D66DB"/>
    <w:rsid w:val="009D679B"/>
    <w:rsid w:val="009D7FF4"/>
    <w:rsid w:val="009E020D"/>
    <w:rsid w:val="009E075A"/>
    <w:rsid w:val="009E07B0"/>
    <w:rsid w:val="009E07C0"/>
    <w:rsid w:val="009E1DE5"/>
    <w:rsid w:val="009E2E8D"/>
    <w:rsid w:val="009E3689"/>
    <w:rsid w:val="009E3BE9"/>
    <w:rsid w:val="009E49D3"/>
    <w:rsid w:val="009E56EF"/>
    <w:rsid w:val="009E6BDB"/>
    <w:rsid w:val="009E7282"/>
    <w:rsid w:val="009F2844"/>
    <w:rsid w:val="009F3DFB"/>
    <w:rsid w:val="009F4B7D"/>
    <w:rsid w:val="009F4F54"/>
    <w:rsid w:val="009F5198"/>
    <w:rsid w:val="009F59F2"/>
    <w:rsid w:val="009F5ED5"/>
    <w:rsid w:val="009F632D"/>
    <w:rsid w:val="009F6C5C"/>
    <w:rsid w:val="009F6DBF"/>
    <w:rsid w:val="00A00037"/>
    <w:rsid w:val="00A00249"/>
    <w:rsid w:val="00A00770"/>
    <w:rsid w:val="00A00856"/>
    <w:rsid w:val="00A02FF3"/>
    <w:rsid w:val="00A03643"/>
    <w:rsid w:val="00A04195"/>
    <w:rsid w:val="00A07175"/>
    <w:rsid w:val="00A075F1"/>
    <w:rsid w:val="00A0766A"/>
    <w:rsid w:val="00A1069D"/>
    <w:rsid w:val="00A10C83"/>
    <w:rsid w:val="00A10E45"/>
    <w:rsid w:val="00A11074"/>
    <w:rsid w:val="00A1127E"/>
    <w:rsid w:val="00A117D5"/>
    <w:rsid w:val="00A1203B"/>
    <w:rsid w:val="00A1299B"/>
    <w:rsid w:val="00A12B6D"/>
    <w:rsid w:val="00A13DBF"/>
    <w:rsid w:val="00A14A86"/>
    <w:rsid w:val="00A14C49"/>
    <w:rsid w:val="00A161E3"/>
    <w:rsid w:val="00A166B5"/>
    <w:rsid w:val="00A16E59"/>
    <w:rsid w:val="00A16F90"/>
    <w:rsid w:val="00A17214"/>
    <w:rsid w:val="00A174F0"/>
    <w:rsid w:val="00A20666"/>
    <w:rsid w:val="00A20CE3"/>
    <w:rsid w:val="00A21B63"/>
    <w:rsid w:val="00A21BDA"/>
    <w:rsid w:val="00A2225E"/>
    <w:rsid w:val="00A22966"/>
    <w:rsid w:val="00A229D5"/>
    <w:rsid w:val="00A23140"/>
    <w:rsid w:val="00A2324B"/>
    <w:rsid w:val="00A2348C"/>
    <w:rsid w:val="00A23B0E"/>
    <w:rsid w:val="00A267C9"/>
    <w:rsid w:val="00A26B3E"/>
    <w:rsid w:val="00A26EA9"/>
    <w:rsid w:val="00A27B22"/>
    <w:rsid w:val="00A31583"/>
    <w:rsid w:val="00A32CF5"/>
    <w:rsid w:val="00A330FB"/>
    <w:rsid w:val="00A33672"/>
    <w:rsid w:val="00A33AA1"/>
    <w:rsid w:val="00A33BB7"/>
    <w:rsid w:val="00A33EB8"/>
    <w:rsid w:val="00A34831"/>
    <w:rsid w:val="00A34A66"/>
    <w:rsid w:val="00A35C34"/>
    <w:rsid w:val="00A3683F"/>
    <w:rsid w:val="00A36A1A"/>
    <w:rsid w:val="00A37010"/>
    <w:rsid w:val="00A37B8E"/>
    <w:rsid w:val="00A37C68"/>
    <w:rsid w:val="00A37DAE"/>
    <w:rsid w:val="00A37EB2"/>
    <w:rsid w:val="00A405BB"/>
    <w:rsid w:val="00A413E0"/>
    <w:rsid w:val="00A41B5F"/>
    <w:rsid w:val="00A42DBF"/>
    <w:rsid w:val="00A4344C"/>
    <w:rsid w:val="00A4417F"/>
    <w:rsid w:val="00A44248"/>
    <w:rsid w:val="00A45777"/>
    <w:rsid w:val="00A46B1E"/>
    <w:rsid w:val="00A4712B"/>
    <w:rsid w:val="00A50B16"/>
    <w:rsid w:val="00A51197"/>
    <w:rsid w:val="00A513D4"/>
    <w:rsid w:val="00A51A4D"/>
    <w:rsid w:val="00A527E3"/>
    <w:rsid w:val="00A52F17"/>
    <w:rsid w:val="00A538C6"/>
    <w:rsid w:val="00A543F2"/>
    <w:rsid w:val="00A54753"/>
    <w:rsid w:val="00A5512A"/>
    <w:rsid w:val="00A55327"/>
    <w:rsid w:val="00A555D7"/>
    <w:rsid w:val="00A556A8"/>
    <w:rsid w:val="00A5655A"/>
    <w:rsid w:val="00A5711B"/>
    <w:rsid w:val="00A611EB"/>
    <w:rsid w:val="00A613D7"/>
    <w:rsid w:val="00A61F56"/>
    <w:rsid w:val="00A62C36"/>
    <w:rsid w:val="00A62E85"/>
    <w:rsid w:val="00A6368A"/>
    <w:rsid w:val="00A639F9"/>
    <w:rsid w:val="00A63CE7"/>
    <w:rsid w:val="00A652D2"/>
    <w:rsid w:val="00A66E55"/>
    <w:rsid w:val="00A715ED"/>
    <w:rsid w:val="00A71C6F"/>
    <w:rsid w:val="00A7208A"/>
    <w:rsid w:val="00A73133"/>
    <w:rsid w:val="00A7329D"/>
    <w:rsid w:val="00A737D6"/>
    <w:rsid w:val="00A7410C"/>
    <w:rsid w:val="00A74977"/>
    <w:rsid w:val="00A755F8"/>
    <w:rsid w:val="00A75C73"/>
    <w:rsid w:val="00A75F1B"/>
    <w:rsid w:val="00A77E67"/>
    <w:rsid w:val="00A8081F"/>
    <w:rsid w:val="00A80BA4"/>
    <w:rsid w:val="00A81D9A"/>
    <w:rsid w:val="00A82469"/>
    <w:rsid w:val="00A82D54"/>
    <w:rsid w:val="00A83A29"/>
    <w:rsid w:val="00A846A6"/>
    <w:rsid w:val="00A84F26"/>
    <w:rsid w:val="00A84F90"/>
    <w:rsid w:val="00A85DCD"/>
    <w:rsid w:val="00A85FCE"/>
    <w:rsid w:val="00A861B6"/>
    <w:rsid w:val="00A87A38"/>
    <w:rsid w:val="00A91788"/>
    <w:rsid w:val="00A91861"/>
    <w:rsid w:val="00A922F9"/>
    <w:rsid w:val="00A92628"/>
    <w:rsid w:val="00A92F43"/>
    <w:rsid w:val="00A93E98"/>
    <w:rsid w:val="00A945C6"/>
    <w:rsid w:val="00A95581"/>
    <w:rsid w:val="00A9671C"/>
    <w:rsid w:val="00A96FE4"/>
    <w:rsid w:val="00AA0CC5"/>
    <w:rsid w:val="00AA0D43"/>
    <w:rsid w:val="00AA24F1"/>
    <w:rsid w:val="00AA3181"/>
    <w:rsid w:val="00AA3FBB"/>
    <w:rsid w:val="00AA4536"/>
    <w:rsid w:val="00AA6025"/>
    <w:rsid w:val="00AA7C03"/>
    <w:rsid w:val="00AB1212"/>
    <w:rsid w:val="00AB2413"/>
    <w:rsid w:val="00AB2BF9"/>
    <w:rsid w:val="00AB32FA"/>
    <w:rsid w:val="00AB3320"/>
    <w:rsid w:val="00AB3443"/>
    <w:rsid w:val="00AB4A42"/>
    <w:rsid w:val="00AB4B4E"/>
    <w:rsid w:val="00AB5F5D"/>
    <w:rsid w:val="00AB6920"/>
    <w:rsid w:val="00AB726C"/>
    <w:rsid w:val="00AC0EC3"/>
    <w:rsid w:val="00AC327F"/>
    <w:rsid w:val="00AC3B74"/>
    <w:rsid w:val="00AC40DC"/>
    <w:rsid w:val="00AC4965"/>
    <w:rsid w:val="00AC5FEE"/>
    <w:rsid w:val="00AC622A"/>
    <w:rsid w:val="00AC7DF5"/>
    <w:rsid w:val="00AD0987"/>
    <w:rsid w:val="00AD0B85"/>
    <w:rsid w:val="00AD127C"/>
    <w:rsid w:val="00AD19E9"/>
    <w:rsid w:val="00AD2429"/>
    <w:rsid w:val="00AD28BC"/>
    <w:rsid w:val="00AD3C90"/>
    <w:rsid w:val="00AD3DE4"/>
    <w:rsid w:val="00AD6182"/>
    <w:rsid w:val="00AD7A76"/>
    <w:rsid w:val="00AE0B58"/>
    <w:rsid w:val="00AE15B6"/>
    <w:rsid w:val="00AE168D"/>
    <w:rsid w:val="00AE22CE"/>
    <w:rsid w:val="00AE2AC0"/>
    <w:rsid w:val="00AE40FC"/>
    <w:rsid w:val="00AE4950"/>
    <w:rsid w:val="00AE4B86"/>
    <w:rsid w:val="00AE4BEC"/>
    <w:rsid w:val="00AE4F43"/>
    <w:rsid w:val="00AE5B4A"/>
    <w:rsid w:val="00AE5CB4"/>
    <w:rsid w:val="00AE5F03"/>
    <w:rsid w:val="00AE5FF9"/>
    <w:rsid w:val="00AE7019"/>
    <w:rsid w:val="00AE7CB6"/>
    <w:rsid w:val="00AE7F2E"/>
    <w:rsid w:val="00AF09AA"/>
    <w:rsid w:val="00AF101E"/>
    <w:rsid w:val="00AF1712"/>
    <w:rsid w:val="00AF176B"/>
    <w:rsid w:val="00AF408D"/>
    <w:rsid w:val="00AF5347"/>
    <w:rsid w:val="00AF5388"/>
    <w:rsid w:val="00AF66F8"/>
    <w:rsid w:val="00AF6C2E"/>
    <w:rsid w:val="00AF74A2"/>
    <w:rsid w:val="00B00193"/>
    <w:rsid w:val="00B0114F"/>
    <w:rsid w:val="00B01185"/>
    <w:rsid w:val="00B013EE"/>
    <w:rsid w:val="00B02BA6"/>
    <w:rsid w:val="00B03322"/>
    <w:rsid w:val="00B0354E"/>
    <w:rsid w:val="00B0394B"/>
    <w:rsid w:val="00B03A03"/>
    <w:rsid w:val="00B03A93"/>
    <w:rsid w:val="00B03FC3"/>
    <w:rsid w:val="00B04482"/>
    <w:rsid w:val="00B04680"/>
    <w:rsid w:val="00B064DF"/>
    <w:rsid w:val="00B07646"/>
    <w:rsid w:val="00B07C52"/>
    <w:rsid w:val="00B11575"/>
    <w:rsid w:val="00B11D65"/>
    <w:rsid w:val="00B11D9E"/>
    <w:rsid w:val="00B11DBA"/>
    <w:rsid w:val="00B127BF"/>
    <w:rsid w:val="00B12FD8"/>
    <w:rsid w:val="00B134C8"/>
    <w:rsid w:val="00B1360F"/>
    <w:rsid w:val="00B13DEE"/>
    <w:rsid w:val="00B13E7C"/>
    <w:rsid w:val="00B1423A"/>
    <w:rsid w:val="00B14723"/>
    <w:rsid w:val="00B156E1"/>
    <w:rsid w:val="00B17909"/>
    <w:rsid w:val="00B20504"/>
    <w:rsid w:val="00B20B91"/>
    <w:rsid w:val="00B218B8"/>
    <w:rsid w:val="00B21A6A"/>
    <w:rsid w:val="00B21FCA"/>
    <w:rsid w:val="00B22594"/>
    <w:rsid w:val="00B2295D"/>
    <w:rsid w:val="00B23DB1"/>
    <w:rsid w:val="00B24665"/>
    <w:rsid w:val="00B263DD"/>
    <w:rsid w:val="00B26B08"/>
    <w:rsid w:val="00B26B81"/>
    <w:rsid w:val="00B26F48"/>
    <w:rsid w:val="00B27411"/>
    <w:rsid w:val="00B2749B"/>
    <w:rsid w:val="00B30424"/>
    <w:rsid w:val="00B30B50"/>
    <w:rsid w:val="00B30B59"/>
    <w:rsid w:val="00B30D82"/>
    <w:rsid w:val="00B32AA4"/>
    <w:rsid w:val="00B32E22"/>
    <w:rsid w:val="00B32ECC"/>
    <w:rsid w:val="00B35683"/>
    <w:rsid w:val="00B35848"/>
    <w:rsid w:val="00B35DAE"/>
    <w:rsid w:val="00B36C42"/>
    <w:rsid w:val="00B37618"/>
    <w:rsid w:val="00B412C8"/>
    <w:rsid w:val="00B41A82"/>
    <w:rsid w:val="00B4262F"/>
    <w:rsid w:val="00B44D40"/>
    <w:rsid w:val="00B46218"/>
    <w:rsid w:val="00B4653F"/>
    <w:rsid w:val="00B46635"/>
    <w:rsid w:val="00B473C4"/>
    <w:rsid w:val="00B474EF"/>
    <w:rsid w:val="00B47ADE"/>
    <w:rsid w:val="00B503BE"/>
    <w:rsid w:val="00B50986"/>
    <w:rsid w:val="00B51F34"/>
    <w:rsid w:val="00B52251"/>
    <w:rsid w:val="00B522DC"/>
    <w:rsid w:val="00B52CF7"/>
    <w:rsid w:val="00B530C9"/>
    <w:rsid w:val="00B53609"/>
    <w:rsid w:val="00B543D8"/>
    <w:rsid w:val="00B54430"/>
    <w:rsid w:val="00B547AB"/>
    <w:rsid w:val="00B54C76"/>
    <w:rsid w:val="00B54D4B"/>
    <w:rsid w:val="00B56744"/>
    <w:rsid w:val="00B568B9"/>
    <w:rsid w:val="00B57E9A"/>
    <w:rsid w:val="00B60410"/>
    <w:rsid w:val="00B605DB"/>
    <w:rsid w:val="00B60845"/>
    <w:rsid w:val="00B60B04"/>
    <w:rsid w:val="00B61485"/>
    <w:rsid w:val="00B61537"/>
    <w:rsid w:val="00B6163A"/>
    <w:rsid w:val="00B62A4C"/>
    <w:rsid w:val="00B65463"/>
    <w:rsid w:val="00B658F6"/>
    <w:rsid w:val="00B65C0F"/>
    <w:rsid w:val="00B66E6B"/>
    <w:rsid w:val="00B675D6"/>
    <w:rsid w:val="00B67930"/>
    <w:rsid w:val="00B706B6"/>
    <w:rsid w:val="00B7076D"/>
    <w:rsid w:val="00B70770"/>
    <w:rsid w:val="00B7086F"/>
    <w:rsid w:val="00B708D3"/>
    <w:rsid w:val="00B7166D"/>
    <w:rsid w:val="00B7180D"/>
    <w:rsid w:val="00B718CE"/>
    <w:rsid w:val="00B71C05"/>
    <w:rsid w:val="00B72516"/>
    <w:rsid w:val="00B732C0"/>
    <w:rsid w:val="00B733FE"/>
    <w:rsid w:val="00B73C48"/>
    <w:rsid w:val="00B73D97"/>
    <w:rsid w:val="00B74A87"/>
    <w:rsid w:val="00B74E47"/>
    <w:rsid w:val="00B75546"/>
    <w:rsid w:val="00B756E4"/>
    <w:rsid w:val="00B76C00"/>
    <w:rsid w:val="00B805CC"/>
    <w:rsid w:val="00B8173C"/>
    <w:rsid w:val="00B81869"/>
    <w:rsid w:val="00B8347E"/>
    <w:rsid w:val="00B83FB0"/>
    <w:rsid w:val="00B83FFE"/>
    <w:rsid w:val="00B84295"/>
    <w:rsid w:val="00B84C72"/>
    <w:rsid w:val="00B87F34"/>
    <w:rsid w:val="00B908CB"/>
    <w:rsid w:val="00B918D1"/>
    <w:rsid w:val="00B9271F"/>
    <w:rsid w:val="00B92DA0"/>
    <w:rsid w:val="00B94A2E"/>
    <w:rsid w:val="00B94A8F"/>
    <w:rsid w:val="00B94F77"/>
    <w:rsid w:val="00B95203"/>
    <w:rsid w:val="00B95377"/>
    <w:rsid w:val="00B96844"/>
    <w:rsid w:val="00B96EAE"/>
    <w:rsid w:val="00B97379"/>
    <w:rsid w:val="00B97522"/>
    <w:rsid w:val="00B97B58"/>
    <w:rsid w:val="00B97CCC"/>
    <w:rsid w:val="00BA0259"/>
    <w:rsid w:val="00BA044C"/>
    <w:rsid w:val="00BA0A2B"/>
    <w:rsid w:val="00BA1682"/>
    <w:rsid w:val="00BA267E"/>
    <w:rsid w:val="00BA4D30"/>
    <w:rsid w:val="00BA5291"/>
    <w:rsid w:val="00BA5B34"/>
    <w:rsid w:val="00BA5E79"/>
    <w:rsid w:val="00BB0DAA"/>
    <w:rsid w:val="00BB0FF6"/>
    <w:rsid w:val="00BB101F"/>
    <w:rsid w:val="00BB12A4"/>
    <w:rsid w:val="00BB29D4"/>
    <w:rsid w:val="00BB3998"/>
    <w:rsid w:val="00BB3A0B"/>
    <w:rsid w:val="00BB4180"/>
    <w:rsid w:val="00BB561B"/>
    <w:rsid w:val="00BB63C6"/>
    <w:rsid w:val="00BB7386"/>
    <w:rsid w:val="00BB7A81"/>
    <w:rsid w:val="00BB7F29"/>
    <w:rsid w:val="00BC00DB"/>
    <w:rsid w:val="00BC0D47"/>
    <w:rsid w:val="00BC10A9"/>
    <w:rsid w:val="00BC21A0"/>
    <w:rsid w:val="00BC2389"/>
    <w:rsid w:val="00BC2640"/>
    <w:rsid w:val="00BC28F2"/>
    <w:rsid w:val="00BC2EFC"/>
    <w:rsid w:val="00BC3204"/>
    <w:rsid w:val="00BC43A6"/>
    <w:rsid w:val="00BC459E"/>
    <w:rsid w:val="00BC4ACD"/>
    <w:rsid w:val="00BC5497"/>
    <w:rsid w:val="00BC5E1F"/>
    <w:rsid w:val="00BC734D"/>
    <w:rsid w:val="00BC75E5"/>
    <w:rsid w:val="00BD0C2A"/>
    <w:rsid w:val="00BD2C22"/>
    <w:rsid w:val="00BD461E"/>
    <w:rsid w:val="00BD4E5E"/>
    <w:rsid w:val="00BD4E68"/>
    <w:rsid w:val="00BD5756"/>
    <w:rsid w:val="00BD734C"/>
    <w:rsid w:val="00BD75C2"/>
    <w:rsid w:val="00BE05F3"/>
    <w:rsid w:val="00BE1599"/>
    <w:rsid w:val="00BE1D38"/>
    <w:rsid w:val="00BE1F0C"/>
    <w:rsid w:val="00BE271E"/>
    <w:rsid w:val="00BE28E0"/>
    <w:rsid w:val="00BE2B2C"/>
    <w:rsid w:val="00BE2F74"/>
    <w:rsid w:val="00BE38B6"/>
    <w:rsid w:val="00BE430D"/>
    <w:rsid w:val="00BE4841"/>
    <w:rsid w:val="00BE4934"/>
    <w:rsid w:val="00BE54C5"/>
    <w:rsid w:val="00BE56E6"/>
    <w:rsid w:val="00BE5C0E"/>
    <w:rsid w:val="00BE61BF"/>
    <w:rsid w:val="00BE6782"/>
    <w:rsid w:val="00BE6A86"/>
    <w:rsid w:val="00BE7471"/>
    <w:rsid w:val="00BE7553"/>
    <w:rsid w:val="00BE7C49"/>
    <w:rsid w:val="00BF0E1E"/>
    <w:rsid w:val="00BF1E5E"/>
    <w:rsid w:val="00BF2C3F"/>
    <w:rsid w:val="00BF2FC6"/>
    <w:rsid w:val="00BF306F"/>
    <w:rsid w:val="00BF351B"/>
    <w:rsid w:val="00BF363D"/>
    <w:rsid w:val="00BF3C1C"/>
    <w:rsid w:val="00BF4305"/>
    <w:rsid w:val="00BF4464"/>
    <w:rsid w:val="00BF4C09"/>
    <w:rsid w:val="00BF54DA"/>
    <w:rsid w:val="00BF5FD0"/>
    <w:rsid w:val="00BF6157"/>
    <w:rsid w:val="00BF67D7"/>
    <w:rsid w:val="00BF702F"/>
    <w:rsid w:val="00BF7171"/>
    <w:rsid w:val="00C00F08"/>
    <w:rsid w:val="00C015C4"/>
    <w:rsid w:val="00C01F52"/>
    <w:rsid w:val="00C0283C"/>
    <w:rsid w:val="00C045DB"/>
    <w:rsid w:val="00C050FA"/>
    <w:rsid w:val="00C066C3"/>
    <w:rsid w:val="00C071E9"/>
    <w:rsid w:val="00C07BD1"/>
    <w:rsid w:val="00C1035B"/>
    <w:rsid w:val="00C10D7A"/>
    <w:rsid w:val="00C12403"/>
    <w:rsid w:val="00C127C4"/>
    <w:rsid w:val="00C137D3"/>
    <w:rsid w:val="00C139C3"/>
    <w:rsid w:val="00C1408A"/>
    <w:rsid w:val="00C14892"/>
    <w:rsid w:val="00C14F27"/>
    <w:rsid w:val="00C17133"/>
    <w:rsid w:val="00C17C0F"/>
    <w:rsid w:val="00C17D75"/>
    <w:rsid w:val="00C20BB7"/>
    <w:rsid w:val="00C20BE9"/>
    <w:rsid w:val="00C20C51"/>
    <w:rsid w:val="00C20E06"/>
    <w:rsid w:val="00C212CD"/>
    <w:rsid w:val="00C21F07"/>
    <w:rsid w:val="00C22332"/>
    <w:rsid w:val="00C243E0"/>
    <w:rsid w:val="00C257B3"/>
    <w:rsid w:val="00C25B1B"/>
    <w:rsid w:val="00C2634D"/>
    <w:rsid w:val="00C27890"/>
    <w:rsid w:val="00C309C3"/>
    <w:rsid w:val="00C30AFD"/>
    <w:rsid w:val="00C31D28"/>
    <w:rsid w:val="00C33007"/>
    <w:rsid w:val="00C34898"/>
    <w:rsid w:val="00C34D18"/>
    <w:rsid w:val="00C362BB"/>
    <w:rsid w:val="00C36D8E"/>
    <w:rsid w:val="00C36E4E"/>
    <w:rsid w:val="00C36FB3"/>
    <w:rsid w:val="00C37E88"/>
    <w:rsid w:val="00C4047A"/>
    <w:rsid w:val="00C40FC4"/>
    <w:rsid w:val="00C411D3"/>
    <w:rsid w:val="00C415E9"/>
    <w:rsid w:val="00C42891"/>
    <w:rsid w:val="00C42941"/>
    <w:rsid w:val="00C42A31"/>
    <w:rsid w:val="00C43184"/>
    <w:rsid w:val="00C4500A"/>
    <w:rsid w:val="00C46EF2"/>
    <w:rsid w:val="00C47419"/>
    <w:rsid w:val="00C474A4"/>
    <w:rsid w:val="00C4754E"/>
    <w:rsid w:val="00C476CB"/>
    <w:rsid w:val="00C47AC2"/>
    <w:rsid w:val="00C50382"/>
    <w:rsid w:val="00C50909"/>
    <w:rsid w:val="00C509AE"/>
    <w:rsid w:val="00C509CA"/>
    <w:rsid w:val="00C50FD5"/>
    <w:rsid w:val="00C51541"/>
    <w:rsid w:val="00C51693"/>
    <w:rsid w:val="00C5174E"/>
    <w:rsid w:val="00C51B90"/>
    <w:rsid w:val="00C525FD"/>
    <w:rsid w:val="00C5344D"/>
    <w:rsid w:val="00C5365F"/>
    <w:rsid w:val="00C538D4"/>
    <w:rsid w:val="00C546C5"/>
    <w:rsid w:val="00C54C2C"/>
    <w:rsid w:val="00C554EE"/>
    <w:rsid w:val="00C5605E"/>
    <w:rsid w:val="00C568E2"/>
    <w:rsid w:val="00C56DD0"/>
    <w:rsid w:val="00C56E97"/>
    <w:rsid w:val="00C575DB"/>
    <w:rsid w:val="00C576FB"/>
    <w:rsid w:val="00C57FB2"/>
    <w:rsid w:val="00C60137"/>
    <w:rsid w:val="00C6230D"/>
    <w:rsid w:val="00C637EB"/>
    <w:rsid w:val="00C63832"/>
    <w:rsid w:val="00C63F1C"/>
    <w:rsid w:val="00C6452F"/>
    <w:rsid w:val="00C64AA5"/>
    <w:rsid w:val="00C64C9C"/>
    <w:rsid w:val="00C6537F"/>
    <w:rsid w:val="00C65CB2"/>
    <w:rsid w:val="00C666D4"/>
    <w:rsid w:val="00C66748"/>
    <w:rsid w:val="00C66A3E"/>
    <w:rsid w:val="00C67F6B"/>
    <w:rsid w:val="00C7088D"/>
    <w:rsid w:val="00C714C6"/>
    <w:rsid w:val="00C71631"/>
    <w:rsid w:val="00C71913"/>
    <w:rsid w:val="00C71CAF"/>
    <w:rsid w:val="00C7214A"/>
    <w:rsid w:val="00C722DA"/>
    <w:rsid w:val="00C72A18"/>
    <w:rsid w:val="00C72FEE"/>
    <w:rsid w:val="00C734AE"/>
    <w:rsid w:val="00C73D81"/>
    <w:rsid w:val="00C752E8"/>
    <w:rsid w:val="00C7548C"/>
    <w:rsid w:val="00C76365"/>
    <w:rsid w:val="00C76414"/>
    <w:rsid w:val="00C7651C"/>
    <w:rsid w:val="00C76C6F"/>
    <w:rsid w:val="00C77885"/>
    <w:rsid w:val="00C77B7D"/>
    <w:rsid w:val="00C77DBC"/>
    <w:rsid w:val="00C77E67"/>
    <w:rsid w:val="00C816BA"/>
    <w:rsid w:val="00C83897"/>
    <w:rsid w:val="00C83E5E"/>
    <w:rsid w:val="00C84C2F"/>
    <w:rsid w:val="00C8573C"/>
    <w:rsid w:val="00C85775"/>
    <w:rsid w:val="00C85DB6"/>
    <w:rsid w:val="00C862C3"/>
    <w:rsid w:val="00C863A4"/>
    <w:rsid w:val="00C8677C"/>
    <w:rsid w:val="00C8734D"/>
    <w:rsid w:val="00C87A60"/>
    <w:rsid w:val="00C87F25"/>
    <w:rsid w:val="00C91E57"/>
    <w:rsid w:val="00C93A1C"/>
    <w:rsid w:val="00C93FD8"/>
    <w:rsid w:val="00C94A4A"/>
    <w:rsid w:val="00C958C3"/>
    <w:rsid w:val="00C96B25"/>
    <w:rsid w:val="00C97106"/>
    <w:rsid w:val="00C97AE5"/>
    <w:rsid w:val="00CA08D2"/>
    <w:rsid w:val="00CA100C"/>
    <w:rsid w:val="00CA1555"/>
    <w:rsid w:val="00CA2A9E"/>
    <w:rsid w:val="00CA3A88"/>
    <w:rsid w:val="00CA3DA3"/>
    <w:rsid w:val="00CA456C"/>
    <w:rsid w:val="00CA4700"/>
    <w:rsid w:val="00CA4E37"/>
    <w:rsid w:val="00CA5451"/>
    <w:rsid w:val="00CA719A"/>
    <w:rsid w:val="00CB025D"/>
    <w:rsid w:val="00CB04C5"/>
    <w:rsid w:val="00CB0E08"/>
    <w:rsid w:val="00CB1721"/>
    <w:rsid w:val="00CB200D"/>
    <w:rsid w:val="00CB259A"/>
    <w:rsid w:val="00CB29B9"/>
    <w:rsid w:val="00CB29FA"/>
    <w:rsid w:val="00CB4529"/>
    <w:rsid w:val="00CB501B"/>
    <w:rsid w:val="00CB51F5"/>
    <w:rsid w:val="00CB539B"/>
    <w:rsid w:val="00CB5E1C"/>
    <w:rsid w:val="00CB6C70"/>
    <w:rsid w:val="00CB7188"/>
    <w:rsid w:val="00CB73D3"/>
    <w:rsid w:val="00CC0E30"/>
    <w:rsid w:val="00CC0EBF"/>
    <w:rsid w:val="00CC1245"/>
    <w:rsid w:val="00CC196C"/>
    <w:rsid w:val="00CC1BA1"/>
    <w:rsid w:val="00CC1E3B"/>
    <w:rsid w:val="00CC1FDB"/>
    <w:rsid w:val="00CC2A1B"/>
    <w:rsid w:val="00CC3ED3"/>
    <w:rsid w:val="00CC4EBF"/>
    <w:rsid w:val="00CC5266"/>
    <w:rsid w:val="00CC5332"/>
    <w:rsid w:val="00CC5AF0"/>
    <w:rsid w:val="00CC5C11"/>
    <w:rsid w:val="00CC6145"/>
    <w:rsid w:val="00CC6960"/>
    <w:rsid w:val="00CC6A08"/>
    <w:rsid w:val="00CC6A2D"/>
    <w:rsid w:val="00CD0DCA"/>
    <w:rsid w:val="00CD105F"/>
    <w:rsid w:val="00CD2EFD"/>
    <w:rsid w:val="00CD35C4"/>
    <w:rsid w:val="00CD39A3"/>
    <w:rsid w:val="00CD47F4"/>
    <w:rsid w:val="00CD5244"/>
    <w:rsid w:val="00CD5262"/>
    <w:rsid w:val="00CD57AC"/>
    <w:rsid w:val="00CD61C3"/>
    <w:rsid w:val="00CD670E"/>
    <w:rsid w:val="00CD71BC"/>
    <w:rsid w:val="00CD74FF"/>
    <w:rsid w:val="00CD784A"/>
    <w:rsid w:val="00CE0443"/>
    <w:rsid w:val="00CE0BCA"/>
    <w:rsid w:val="00CE0DBB"/>
    <w:rsid w:val="00CE1779"/>
    <w:rsid w:val="00CE19C1"/>
    <w:rsid w:val="00CE2B3A"/>
    <w:rsid w:val="00CE68CC"/>
    <w:rsid w:val="00CE76EA"/>
    <w:rsid w:val="00CE7ADA"/>
    <w:rsid w:val="00CF117D"/>
    <w:rsid w:val="00CF15F6"/>
    <w:rsid w:val="00CF1932"/>
    <w:rsid w:val="00CF1A3F"/>
    <w:rsid w:val="00CF2181"/>
    <w:rsid w:val="00CF2CAD"/>
    <w:rsid w:val="00CF31AE"/>
    <w:rsid w:val="00CF3A7C"/>
    <w:rsid w:val="00CF3AE6"/>
    <w:rsid w:val="00CF5C02"/>
    <w:rsid w:val="00CF6642"/>
    <w:rsid w:val="00CF6D80"/>
    <w:rsid w:val="00D00C87"/>
    <w:rsid w:val="00D0112B"/>
    <w:rsid w:val="00D0183B"/>
    <w:rsid w:val="00D01862"/>
    <w:rsid w:val="00D0282E"/>
    <w:rsid w:val="00D0293E"/>
    <w:rsid w:val="00D02DA5"/>
    <w:rsid w:val="00D03A6B"/>
    <w:rsid w:val="00D04111"/>
    <w:rsid w:val="00D0442A"/>
    <w:rsid w:val="00D04A27"/>
    <w:rsid w:val="00D04AA5"/>
    <w:rsid w:val="00D0507A"/>
    <w:rsid w:val="00D053E2"/>
    <w:rsid w:val="00D05D74"/>
    <w:rsid w:val="00D06CD9"/>
    <w:rsid w:val="00D104F7"/>
    <w:rsid w:val="00D1091D"/>
    <w:rsid w:val="00D10FB1"/>
    <w:rsid w:val="00D128CF"/>
    <w:rsid w:val="00D13C4D"/>
    <w:rsid w:val="00D14A6A"/>
    <w:rsid w:val="00D150FE"/>
    <w:rsid w:val="00D159D9"/>
    <w:rsid w:val="00D16987"/>
    <w:rsid w:val="00D16B11"/>
    <w:rsid w:val="00D1734D"/>
    <w:rsid w:val="00D175AC"/>
    <w:rsid w:val="00D17C2A"/>
    <w:rsid w:val="00D20AFB"/>
    <w:rsid w:val="00D20BBF"/>
    <w:rsid w:val="00D21E7A"/>
    <w:rsid w:val="00D22136"/>
    <w:rsid w:val="00D222CF"/>
    <w:rsid w:val="00D229C7"/>
    <w:rsid w:val="00D24F6B"/>
    <w:rsid w:val="00D2525A"/>
    <w:rsid w:val="00D2648B"/>
    <w:rsid w:val="00D26620"/>
    <w:rsid w:val="00D26760"/>
    <w:rsid w:val="00D26F7C"/>
    <w:rsid w:val="00D305C3"/>
    <w:rsid w:val="00D30FA1"/>
    <w:rsid w:val="00D313C1"/>
    <w:rsid w:val="00D3172C"/>
    <w:rsid w:val="00D31A46"/>
    <w:rsid w:val="00D33784"/>
    <w:rsid w:val="00D33C30"/>
    <w:rsid w:val="00D3416E"/>
    <w:rsid w:val="00D348A6"/>
    <w:rsid w:val="00D34DF4"/>
    <w:rsid w:val="00D34F5D"/>
    <w:rsid w:val="00D3636F"/>
    <w:rsid w:val="00D36F33"/>
    <w:rsid w:val="00D371E5"/>
    <w:rsid w:val="00D37FE5"/>
    <w:rsid w:val="00D4027D"/>
    <w:rsid w:val="00D418CA"/>
    <w:rsid w:val="00D4210D"/>
    <w:rsid w:val="00D42573"/>
    <w:rsid w:val="00D43348"/>
    <w:rsid w:val="00D43401"/>
    <w:rsid w:val="00D43BFB"/>
    <w:rsid w:val="00D44391"/>
    <w:rsid w:val="00D44FD9"/>
    <w:rsid w:val="00D45C3E"/>
    <w:rsid w:val="00D475C6"/>
    <w:rsid w:val="00D51040"/>
    <w:rsid w:val="00D51DC3"/>
    <w:rsid w:val="00D51F8C"/>
    <w:rsid w:val="00D5230D"/>
    <w:rsid w:val="00D526F3"/>
    <w:rsid w:val="00D537C6"/>
    <w:rsid w:val="00D53963"/>
    <w:rsid w:val="00D53D75"/>
    <w:rsid w:val="00D542EF"/>
    <w:rsid w:val="00D5470C"/>
    <w:rsid w:val="00D54728"/>
    <w:rsid w:val="00D552B6"/>
    <w:rsid w:val="00D5539C"/>
    <w:rsid w:val="00D55CA3"/>
    <w:rsid w:val="00D61A46"/>
    <w:rsid w:val="00D61C65"/>
    <w:rsid w:val="00D62CCE"/>
    <w:rsid w:val="00D63E2A"/>
    <w:rsid w:val="00D64D3F"/>
    <w:rsid w:val="00D64EE7"/>
    <w:rsid w:val="00D6525B"/>
    <w:rsid w:val="00D658FA"/>
    <w:rsid w:val="00D70551"/>
    <w:rsid w:val="00D705F8"/>
    <w:rsid w:val="00D70C70"/>
    <w:rsid w:val="00D7134C"/>
    <w:rsid w:val="00D71CDB"/>
    <w:rsid w:val="00D71F92"/>
    <w:rsid w:val="00D72118"/>
    <w:rsid w:val="00D73071"/>
    <w:rsid w:val="00D741B9"/>
    <w:rsid w:val="00D74F14"/>
    <w:rsid w:val="00D74F27"/>
    <w:rsid w:val="00D74FDA"/>
    <w:rsid w:val="00D75A18"/>
    <w:rsid w:val="00D77895"/>
    <w:rsid w:val="00D77E01"/>
    <w:rsid w:val="00D800BD"/>
    <w:rsid w:val="00D80FB4"/>
    <w:rsid w:val="00D81E80"/>
    <w:rsid w:val="00D81EF6"/>
    <w:rsid w:val="00D8281C"/>
    <w:rsid w:val="00D82A1A"/>
    <w:rsid w:val="00D84581"/>
    <w:rsid w:val="00D8523E"/>
    <w:rsid w:val="00D859C9"/>
    <w:rsid w:val="00D85C05"/>
    <w:rsid w:val="00D862BA"/>
    <w:rsid w:val="00D86D55"/>
    <w:rsid w:val="00D86D78"/>
    <w:rsid w:val="00D876D1"/>
    <w:rsid w:val="00D87A40"/>
    <w:rsid w:val="00D87C26"/>
    <w:rsid w:val="00D91513"/>
    <w:rsid w:val="00D930AD"/>
    <w:rsid w:val="00D934DF"/>
    <w:rsid w:val="00D9434C"/>
    <w:rsid w:val="00D943BF"/>
    <w:rsid w:val="00D94893"/>
    <w:rsid w:val="00D94BD3"/>
    <w:rsid w:val="00D94CF8"/>
    <w:rsid w:val="00D94ED9"/>
    <w:rsid w:val="00D95496"/>
    <w:rsid w:val="00D9558B"/>
    <w:rsid w:val="00D95624"/>
    <w:rsid w:val="00D956EC"/>
    <w:rsid w:val="00D9571B"/>
    <w:rsid w:val="00D95DB4"/>
    <w:rsid w:val="00D969F7"/>
    <w:rsid w:val="00D97265"/>
    <w:rsid w:val="00DA09B5"/>
    <w:rsid w:val="00DA1DD5"/>
    <w:rsid w:val="00DA220A"/>
    <w:rsid w:val="00DA2B5E"/>
    <w:rsid w:val="00DA2D5D"/>
    <w:rsid w:val="00DA38F5"/>
    <w:rsid w:val="00DA3BA9"/>
    <w:rsid w:val="00DA3BC3"/>
    <w:rsid w:val="00DA4221"/>
    <w:rsid w:val="00DA4450"/>
    <w:rsid w:val="00DA4A64"/>
    <w:rsid w:val="00DA512A"/>
    <w:rsid w:val="00DA5673"/>
    <w:rsid w:val="00DA5DCE"/>
    <w:rsid w:val="00DA6C8C"/>
    <w:rsid w:val="00DB0000"/>
    <w:rsid w:val="00DB12A2"/>
    <w:rsid w:val="00DB1C2A"/>
    <w:rsid w:val="00DB1CB2"/>
    <w:rsid w:val="00DB375E"/>
    <w:rsid w:val="00DB3C65"/>
    <w:rsid w:val="00DB4DA6"/>
    <w:rsid w:val="00DB4E70"/>
    <w:rsid w:val="00DB51D0"/>
    <w:rsid w:val="00DB6830"/>
    <w:rsid w:val="00DB6B4A"/>
    <w:rsid w:val="00DB716E"/>
    <w:rsid w:val="00DC05D4"/>
    <w:rsid w:val="00DC1442"/>
    <w:rsid w:val="00DC2F53"/>
    <w:rsid w:val="00DC312E"/>
    <w:rsid w:val="00DC47DB"/>
    <w:rsid w:val="00DC5386"/>
    <w:rsid w:val="00DC61EE"/>
    <w:rsid w:val="00DC70AA"/>
    <w:rsid w:val="00DC7285"/>
    <w:rsid w:val="00DC7387"/>
    <w:rsid w:val="00DC76BA"/>
    <w:rsid w:val="00DD0094"/>
    <w:rsid w:val="00DD0491"/>
    <w:rsid w:val="00DD175C"/>
    <w:rsid w:val="00DD2302"/>
    <w:rsid w:val="00DD2D64"/>
    <w:rsid w:val="00DD31B2"/>
    <w:rsid w:val="00DD35FA"/>
    <w:rsid w:val="00DD3F77"/>
    <w:rsid w:val="00DD417F"/>
    <w:rsid w:val="00DD553A"/>
    <w:rsid w:val="00DD60A8"/>
    <w:rsid w:val="00DD613B"/>
    <w:rsid w:val="00DD750A"/>
    <w:rsid w:val="00DD7CE0"/>
    <w:rsid w:val="00DE023E"/>
    <w:rsid w:val="00DE1240"/>
    <w:rsid w:val="00DE1438"/>
    <w:rsid w:val="00DE2633"/>
    <w:rsid w:val="00DE26D5"/>
    <w:rsid w:val="00DE33AD"/>
    <w:rsid w:val="00DE3EDC"/>
    <w:rsid w:val="00DE4199"/>
    <w:rsid w:val="00DE41CD"/>
    <w:rsid w:val="00DE486A"/>
    <w:rsid w:val="00DE4B12"/>
    <w:rsid w:val="00DE53D8"/>
    <w:rsid w:val="00DE5931"/>
    <w:rsid w:val="00DE5D66"/>
    <w:rsid w:val="00DE7A90"/>
    <w:rsid w:val="00DF09B8"/>
    <w:rsid w:val="00DF100E"/>
    <w:rsid w:val="00DF3A2F"/>
    <w:rsid w:val="00DF3C86"/>
    <w:rsid w:val="00DF41C1"/>
    <w:rsid w:val="00DF4B28"/>
    <w:rsid w:val="00DF5308"/>
    <w:rsid w:val="00DF5436"/>
    <w:rsid w:val="00DF5764"/>
    <w:rsid w:val="00DF59F8"/>
    <w:rsid w:val="00DF5E82"/>
    <w:rsid w:val="00DF656B"/>
    <w:rsid w:val="00DF7522"/>
    <w:rsid w:val="00E006D8"/>
    <w:rsid w:val="00E01AE1"/>
    <w:rsid w:val="00E0248D"/>
    <w:rsid w:val="00E028FC"/>
    <w:rsid w:val="00E039F1"/>
    <w:rsid w:val="00E03A7B"/>
    <w:rsid w:val="00E03D3D"/>
    <w:rsid w:val="00E03F1D"/>
    <w:rsid w:val="00E0457D"/>
    <w:rsid w:val="00E05256"/>
    <w:rsid w:val="00E0634C"/>
    <w:rsid w:val="00E06FAB"/>
    <w:rsid w:val="00E105FD"/>
    <w:rsid w:val="00E10BF7"/>
    <w:rsid w:val="00E12176"/>
    <w:rsid w:val="00E12256"/>
    <w:rsid w:val="00E13B1C"/>
    <w:rsid w:val="00E14C56"/>
    <w:rsid w:val="00E14D21"/>
    <w:rsid w:val="00E15041"/>
    <w:rsid w:val="00E164CB"/>
    <w:rsid w:val="00E17449"/>
    <w:rsid w:val="00E17557"/>
    <w:rsid w:val="00E17A26"/>
    <w:rsid w:val="00E20D86"/>
    <w:rsid w:val="00E21EDE"/>
    <w:rsid w:val="00E2295E"/>
    <w:rsid w:val="00E236DD"/>
    <w:rsid w:val="00E24070"/>
    <w:rsid w:val="00E24837"/>
    <w:rsid w:val="00E248DC"/>
    <w:rsid w:val="00E2491D"/>
    <w:rsid w:val="00E2510A"/>
    <w:rsid w:val="00E25B4F"/>
    <w:rsid w:val="00E2637D"/>
    <w:rsid w:val="00E26C8E"/>
    <w:rsid w:val="00E2725D"/>
    <w:rsid w:val="00E27469"/>
    <w:rsid w:val="00E27501"/>
    <w:rsid w:val="00E2751B"/>
    <w:rsid w:val="00E27B76"/>
    <w:rsid w:val="00E30C8A"/>
    <w:rsid w:val="00E3160E"/>
    <w:rsid w:val="00E3172B"/>
    <w:rsid w:val="00E318A3"/>
    <w:rsid w:val="00E33CBE"/>
    <w:rsid w:val="00E3447D"/>
    <w:rsid w:val="00E35AD0"/>
    <w:rsid w:val="00E375BB"/>
    <w:rsid w:val="00E426B3"/>
    <w:rsid w:val="00E431AC"/>
    <w:rsid w:val="00E43228"/>
    <w:rsid w:val="00E433D3"/>
    <w:rsid w:val="00E446FE"/>
    <w:rsid w:val="00E45090"/>
    <w:rsid w:val="00E451A9"/>
    <w:rsid w:val="00E52934"/>
    <w:rsid w:val="00E54609"/>
    <w:rsid w:val="00E54974"/>
    <w:rsid w:val="00E5783A"/>
    <w:rsid w:val="00E57A00"/>
    <w:rsid w:val="00E57DBA"/>
    <w:rsid w:val="00E601B8"/>
    <w:rsid w:val="00E60E6A"/>
    <w:rsid w:val="00E611DA"/>
    <w:rsid w:val="00E6194E"/>
    <w:rsid w:val="00E621A7"/>
    <w:rsid w:val="00E62F10"/>
    <w:rsid w:val="00E62F72"/>
    <w:rsid w:val="00E6347B"/>
    <w:rsid w:val="00E64FDD"/>
    <w:rsid w:val="00E65898"/>
    <w:rsid w:val="00E66065"/>
    <w:rsid w:val="00E66070"/>
    <w:rsid w:val="00E66294"/>
    <w:rsid w:val="00E673F4"/>
    <w:rsid w:val="00E6743F"/>
    <w:rsid w:val="00E6760F"/>
    <w:rsid w:val="00E71009"/>
    <w:rsid w:val="00E7119B"/>
    <w:rsid w:val="00E71307"/>
    <w:rsid w:val="00E7168E"/>
    <w:rsid w:val="00E71B07"/>
    <w:rsid w:val="00E735F3"/>
    <w:rsid w:val="00E751DF"/>
    <w:rsid w:val="00E77D90"/>
    <w:rsid w:val="00E813FA"/>
    <w:rsid w:val="00E81CC3"/>
    <w:rsid w:val="00E83926"/>
    <w:rsid w:val="00E844E5"/>
    <w:rsid w:val="00E8495B"/>
    <w:rsid w:val="00E85459"/>
    <w:rsid w:val="00E854ED"/>
    <w:rsid w:val="00E8607E"/>
    <w:rsid w:val="00E8752C"/>
    <w:rsid w:val="00E87A76"/>
    <w:rsid w:val="00E87FB2"/>
    <w:rsid w:val="00E90089"/>
    <w:rsid w:val="00E903AE"/>
    <w:rsid w:val="00E90A90"/>
    <w:rsid w:val="00E91AE3"/>
    <w:rsid w:val="00E92099"/>
    <w:rsid w:val="00E935EC"/>
    <w:rsid w:val="00E9362B"/>
    <w:rsid w:val="00E93913"/>
    <w:rsid w:val="00E94EC0"/>
    <w:rsid w:val="00E95103"/>
    <w:rsid w:val="00E95C6A"/>
    <w:rsid w:val="00E9621C"/>
    <w:rsid w:val="00E9672A"/>
    <w:rsid w:val="00EA03B4"/>
    <w:rsid w:val="00EA05A1"/>
    <w:rsid w:val="00EA0F0F"/>
    <w:rsid w:val="00EA16FA"/>
    <w:rsid w:val="00EA184D"/>
    <w:rsid w:val="00EA25DA"/>
    <w:rsid w:val="00EA2E92"/>
    <w:rsid w:val="00EA4825"/>
    <w:rsid w:val="00EA4AFF"/>
    <w:rsid w:val="00EA622D"/>
    <w:rsid w:val="00EA65CA"/>
    <w:rsid w:val="00EB0958"/>
    <w:rsid w:val="00EB2600"/>
    <w:rsid w:val="00EB39BB"/>
    <w:rsid w:val="00EB415D"/>
    <w:rsid w:val="00EB49E0"/>
    <w:rsid w:val="00EB4D78"/>
    <w:rsid w:val="00EB68F8"/>
    <w:rsid w:val="00EB6B5B"/>
    <w:rsid w:val="00EB6C2D"/>
    <w:rsid w:val="00EB6F55"/>
    <w:rsid w:val="00EB7326"/>
    <w:rsid w:val="00EB75EE"/>
    <w:rsid w:val="00EB7D05"/>
    <w:rsid w:val="00EC165B"/>
    <w:rsid w:val="00EC19E7"/>
    <w:rsid w:val="00EC254E"/>
    <w:rsid w:val="00EC4271"/>
    <w:rsid w:val="00EC4718"/>
    <w:rsid w:val="00EC4856"/>
    <w:rsid w:val="00EC4D90"/>
    <w:rsid w:val="00EC53FF"/>
    <w:rsid w:val="00EC5607"/>
    <w:rsid w:val="00EC5D78"/>
    <w:rsid w:val="00EC6229"/>
    <w:rsid w:val="00EC67B0"/>
    <w:rsid w:val="00EC6AA6"/>
    <w:rsid w:val="00EC6C2B"/>
    <w:rsid w:val="00EC6C67"/>
    <w:rsid w:val="00EC6CE7"/>
    <w:rsid w:val="00EC7B04"/>
    <w:rsid w:val="00ED205E"/>
    <w:rsid w:val="00ED221D"/>
    <w:rsid w:val="00ED2528"/>
    <w:rsid w:val="00ED2B6E"/>
    <w:rsid w:val="00ED2DB8"/>
    <w:rsid w:val="00ED45BE"/>
    <w:rsid w:val="00ED525E"/>
    <w:rsid w:val="00ED5F5A"/>
    <w:rsid w:val="00ED7097"/>
    <w:rsid w:val="00ED7198"/>
    <w:rsid w:val="00ED7B06"/>
    <w:rsid w:val="00EE02B9"/>
    <w:rsid w:val="00EE0462"/>
    <w:rsid w:val="00EE11D1"/>
    <w:rsid w:val="00EE11F4"/>
    <w:rsid w:val="00EE157C"/>
    <w:rsid w:val="00EE195D"/>
    <w:rsid w:val="00EE2039"/>
    <w:rsid w:val="00EE27BE"/>
    <w:rsid w:val="00EE328A"/>
    <w:rsid w:val="00EE3A74"/>
    <w:rsid w:val="00EE5505"/>
    <w:rsid w:val="00EE5540"/>
    <w:rsid w:val="00EE638D"/>
    <w:rsid w:val="00EE6C2F"/>
    <w:rsid w:val="00EE76E4"/>
    <w:rsid w:val="00EE7FD6"/>
    <w:rsid w:val="00EF13A9"/>
    <w:rsid w:val="00EF179B"/>
    <w:rsid w:val="00EF17E0"/>
    <w:rsid w:val="00EF1B84"/>
    <w:rsid w:val="00EF40A9"/>
    <w:rsid w:val="00EF4365"/>
    <w:rsid w:val="00EF4A3F"/>
    <w:rsid w:val="00EF4C66"/>
    <w:rsid w:val="00EF5D7E"/>
    <w:rsid w:val="00EF698D"/>
    <w:rsid w:val="00EF786F"/>
    <w:rsid w:val="00F012CF"/>
    <w:rsid w:val="00F022D8"/>
    <w:rsid w:val="00F04AA0"/>
    <w:rsid w:val="00F04BF7"/>
    <w:rsid w:val="00F05412"/>
    <w:rsid w:val="00F0553F"/>
    <w:rsid w:val="00F0565E"/>
    <w:rsid w:val="00F075AA"/>
    <w:rsid w:val="00F1096A"/>
    <w:rsid w:val="00F10AFB"/>
    <w:rsid w:val="00F11C85"/>
    <w:rsid w:val="00F1265D"/>
    <w:rsid w:val="00F1307E"/>
    <w:rsid w:val="00F1343A"/>
    <w:rsid w:val="00F13B56"/>
    <w:rsid w:val="00F14ABA"/>
    <w:rsid w:val="00F15BD7"/>
    <w:rsid w:val="00F16820"/>
    <w:rsid w:val="00F16B6E"/>
    <w:rsid w:val="00F20628"/>
    <w:rsid w:val="00F213A0"/>
    <w:rsid w:val="00F21B6C"/>
    <w:rsid w:val="00F22422"/>
    <w:rsid w:val="00F2251C"/>
    <w:rsid w:val="00F22B35"/>
    <w:rsid w:val="00F22EC3"/>
    <w:rsid w:val="00F23BB7"/>
    <w:rsid w:val="00F24C0A"/>
    <w:rsid w:val="00F24F66"/>
    <w:rsid w:val="00F255E5"/>
    <w:rsid w:val="00F26C78"/>
    <w:rsid w:val="00F27017"/>
    <w:rsid w:val="00F27B47"/>
    <w:rsid w:val="00F27CE8"/>
    <w:rsid w:val="00F305BC"/>
    <w:rsid w:val="00F31922"/>
    <w:rsid w:val="00F3238C"/>
    <w:rsid w:val="00F325D1"/>
    <w:rsid w:val="00F3662C"/>
    <w:rsid w:val="00F36847"/>
    <w:rsid w:val="00F37387"/>
    <w:rsid w:val="00F379AE"/>
    <w:rsid w:val="00F400AD"/>
    <w:rsid w:val="00F41E6B"/>
    <w:rsid w:val="00F42160"/>
    <w:rsid w:val="00F42C5C"/>
    <w:rsid w:val="00F42F79"/>
    <w:rsid w:val="00F4381E"/>
    <w:rsid w:val="00F4389C"/>
    <w:rsid w:val="00F44714"/>
    <w:rsid w:val="00F44901"/>
    <w:rsid w:val="00F44F2C"/>
    <w:rsid w:val="00F453BE"/>
    <w:rsid w:val="00F45ED1"/>
    <w:rsid w:val="00F464F6"/>
    <w:rsid w:val="00F47B2C"/>
    <w:rsid w:val="00F47D96"/>
    <w:rsid w:val="00F501C5"/>
    <w:rsid w:val="00F50BC8"/>
    <w:rsid w:val="00F50F60"/>
    <w:rsid w:val="00F5245B"/>
    <w:rsid w:val="00F540FD"/>
    <w:rsid w:val="00F54227"/>
    <w:rsid w:val="00F547D1"/>
    <w:rsid w:val="00F54B9D"/>
    <w:rsid w:val="00F553B2"/>
    <w:rsid w:val="00F55EC0"/>
    <w:rsid w:val="00F5608B"/>
    <w:rsid w:val="00F6265E"/>
    <w:rsid w:val="00F63240"/>
    <w:rsid w:val="00F64DF8"/>
    <w:rsid w:val="00F650EE"/>
    <w:rsid w:val="00F65B74"/>
    <w:rsid w:val="00F667E0"/>
    <w:rsid w:val="00F676FC"/>
    <w:rsid w:val="00F6773C"/>
    <w:rsid w:val="00F71612"/>
    <w:rsid w:val="00F729E1"/>
    <w:rsid w:val="00F72B2B"/>
    <w:rsid w:val="00F730B7"/>
    <w:rsid w:val="00F7354D"/>
    <w:rsid w:val="00F7406E"/>
    <w:rsid w:val="00F75665"/>
    <w:rsid w:val="00F75717"/>
    <w:rsid w:val="00F76E89"/>
    <w:rsid w:val="00F77B74"/>
    <w:rsid w:val="00F80558"/>
    <w:rsid w:val="00F81A07"/>
    <w:rsid w:val="00F81EBB"/>
    <w:rsid w:val="00F82031"/>
    <w:rsid w:val="00F827A8"/>
    <w:rsid w:val="00F84453"/>
    <w:rsid w:val="00F84D14"/>
    <w:rsid w:val="00F8503C"/>
    <w:rsid w:val="00F85495"/>
    <w:rsid w:val="00F854CC"/>
    <w:rsid w:val="00F85C41"/>
    <w:rsid w:val="00F85EBB"/>
    <w:rsid w:val="00F8672F"/>
    <w:rsid w:val="00F86ACB"/>
    <w:rsid w:val="00F8711D"/>
    <w:rsid w:val="00F87885"/>
    <w:rsid w:val="00F9031B"/>
    <w:rsid w:val="00F90742"/>
    <w:rsid w:val="00F90A96"/>
    <w:rsid w:val="00F90C29"/>
    <w:rsid w:val="00F911BF"/>
    <w:rsid w:val="00F91341"/>
    <w:rsid w:val="00F92277"/>
    <w:rsid w:val="00F927DE"/>
    <w:rsid w:val="00F92934"/>
    <w:rsid w:val="00F92C8C"/>
    <w:rsid w:val="00F92E26"/>
    <w:rsid w:val="00F933AF"/>
    <w:rsid w:val="00F9360A"/>
    <w:rsid w:val="00F93DF7"/>
    <w:rsid w:val="00F94ABD"/>
    <w:rsid w:val="00F96B8A"/>
    <w:rsid w:val="00F96EDA"/>
    <w:rsid w:val="00F97A6D"/>
    <w:rsid w:val="00F97B4B"/>
    <w:rsid w:val="00F97BFC"/>
    <w:rsid w:val="00FA0C08"/>
    <w:rsid w:val="00FA0DAB"/>
    <w:rsid w:val="00FA133E"/>
    <w:rsid w:val="00FA19A7"/>
    <w:rsid w:val="00FA1D2B"/>
    <w:rsid w:val="00FA28BB"/>
    <w:rsid w:val="00FA2E45"/>
    <w:rsid w:val="00FA39E0"/>
    <w:rsid w:val="00FA3E1E"/>
    <w:rsid w:val="00FA41FC"/>
    <w:rsid w:val="00FA5553"/>
    <w:rsid w:val="00FA5EA1"/>
    <w:rsid w:val="00FA6310"/>
    <w:rsid w:val="00FA7AD7"/>
    <w:rsid w:val="00FA7D42"/>
    <w:rsid w:val="00FA7F0A"/>
    <w:rsid w:val="00FA7F83"/>
    <w:rsid w:val="00FB12E5"/>
    <w:rsid w:val="00FB1561"/>
    <w:rsid w:val="00FB179F"/>
    <w:rsid w:val="00FB28EC"/>
    <w:rsid w:val="00FB2996"/>
    <w:rsid w:val="00FB2BB6"/>
    <w:rsid w:val="00FB320B"/>
    <w:rsid w:val="00FB3850"/>
    <w:rsid w:val="00FB3ECE"/>
    <w:rsid w:val="00FB4060"/>
    <w:rsid w:val="00FB4967"/>
    <w:rsid w:val="00FB4B70"/>
    <w:rsid w:val="00FB55D2"/>
    <w:rsid w:val="00FB6ECB"/>
    <w:rsid w:val="00FB73BA"/>
    <w:rsid w:val="00FC0A9A"/>
    <w:rsid w:val="00FC32FD"/>
    <w:rsid w:val="00FC4724"/>
    <w:rsid w:val="00FC4A10"/>
    <w:rsid w:val="00FC586F"/>
    <w:rsid w:val="00FC6E83"/>
    <w:rsid w:val="00FC7E5E"/>
    <w:rsid w:val="00FD0C40"/>
    <w:rsid w:val="00FD104E"/>
    <w:rsid w:val="00FD1218"/>
    <w:rsid w:val="00FD1A8C"/>
    <w:rsid w:val="00FD1B45"/>
    <w:rsid w:val="00FD1ED7"/>
    <w:rsid w:val="00FD1FA8"/>
    <w:rsid w:val="00FD409F"/>
    <w:rsid w:val="00FD7A7C"/>
    <w:rsid w:val="00FD7E90"/>
    <w:rsid w:val="00FE03C7"/>
    <w:rsid w:val="00FE165F"/>
    <w:rsid w:val="00FE1B8C"/>
    <w:rsid w:val="00FE1BF6"/>
    <w:rsid w:val="00FE22D4"/>
    <w:rsid w:val="00FE2B0B"/>
    <w:rsid w:val="00FE3418"/>
    <w:rsid w:val="00FE3F3A"/>
    <w:rsid w:val="00FE414A"/>
    <w:rsid w:val="00FE5302"/>
    <w:rsid w:val="00FE65D9"/>
    <w:rsid w:val="00FE7736"/>
    <w:rsid w:val="00FF154E"/>
    <w:rsid w:val="00FF1992"/>
    <w:rsid w:val="00FF1C61"/>
    <w:rsid w:val="00FF22B2"/>
    <w:rsid w:val="00FF37C2"/>
    <w:rsid w:val="00FF39BD"/>
    <w:rsid w:val="00FF4255"/>
    <w:rsid w:val="00FF4489"/>
    <w:rsid w:val="00FF4767"/>
    <w:rsid w:val="00FF4A86"/>
    <w:rsid w:val="00FF4DB3"/>
    <w:rsid w:val="00FF4E04"/>
    <w:rsid w:val="00FF4FF4"/>
    <w:rsid w:val="00FF65E3"/>
    <w:rsid w:val="00FF67C6"/>
    <w:rsid w:val="00FF6A66"/>
    <w:rsid w:val="00FF7512"/>
    <w:rsid w:val="00FF7A3A"/>
    <w:rsid w:val="00FF7D0C"/>
    <w:rsid w:val="00FF7F63"/>
    <w:rsid w:val="01245D4F"/>
    <w:rsid w:val="013649E8"/>
    <w:rsid w:val="013763CF"/>
    <w:rsid w:val="014F5C9D"/>
    <w:rsid w:val="01D60DAE"/>
    <w:rsid w:val="021E5E81"/>
    <w:rsid w:val="02242B11"/>
    <w:rsid w:val="02341F03"/>
    <w:rsid w:val="02534668"/>
    <w:rsid w:val="02621A26"/>
    <w:rsid w:val="026B21A3"/>
    <w:rsid w:val="02EB6C3D"/>
    <w:rsid w:val="033B2D13"/>
    <w:rsid w:val="034516A4"/>
    <w:rsid w:val="03491808"/>
    <w:rsid w:val="03525C0C"/>
    <w:rsid w:val="03561F72"/>
    <w:rsid w:val="03565BE2"/>
    <w:rsid w:val="03804573"/>
    <w:rsid w:val="03EC157D"/>
    <w:rsid w:val="04740813"/>
    <w:rsid w:val="049313F3"/>
    <w:rsid w:val="049F3BAC"/>
    <w:rsid w:val="04A6395D"/>
    <w:rsid w:val="04E64C42"/>
    <w:rsid w:val="052023FC"/>
    <w:rsid w:val="056E77B5"/>
    <w:rsid w:val="059A71D8"/>
    <w:rsid w:val="05AA09A5"/>
    <w:rsid w:val="05B1697F"/>
    <w:rsid w:val="05C90735"/>
    <w:rsid w:val="060446B5"/>
    <w:rsid w:val="06231D84"/>
    <w:rsid w:val="065E7C54"/>
    <w:rsid w:val="06AD3D11"/>
    <w:rsid w:val="06FF2EC5"/>
    <w:rsid w:val="0704259A"/>
    <w:rsid w:val="0732418A"/>
    <w:rsid w:val="073A43A6"/>
    <w:rsid w:val="073F4180"/>
    <w:rsid w:val="07433EB1"/>
    <w:rsid w:val="075A73F5"/>
    <w:rsid w:val="07800EA0"/>
    <w:rsid w:val="07B30C77"/>
    <w:rsid w:val="07E33FE9"/>
    <w:rsid w:val="08362B2F"/>
    <w:rsid w:val="086B6F34"/>
    <w:rsid w:val="08B66B29"/>
    <w:rsid w:val="08DE2755"/>
    <w:rsid w:val="09672BBB"/>
    <w:rsid w:val="098805F8"/>
    <w:rsid w:val="09FA3DFD"/>
    <w:rsid w:val="0A09549D"/>
    <w:rsid w:val="0A113CE5"/>
    <w:rsid w:val="0A1F26FD"/>
    <w:rsid w:val="0A280D49"/>
    <w:rsid w:val="0A472D7C"/>
    <w:rsid w:val="0A653117"/>
    <w:rsid w:val="0A990B45"/>
    <w:rsid w:val="0A9A5B64"/>
    <w:rsid w:val="0AAD43A9"/>
    <w:rsid w:val="0ACE377D"/>
    <w:rsid w:val="0B53344A"/>
    <w:rsid w:val="0B697C7F"/>
    <w:rsid w:val="0B702875"/>
    <w:rsid w:val="0B8F6DF0"/>
    <w:rsid w:val="0B9E7D9A"/>
    <w:rsid w:val="0BE4617E"/>
    <w:rsid w:val="0BFB2BE1"/>
    <w:rsid w:val="0CAB5C65"/>
    <w:rsid w:val="0CB004C5"/>
    <w:rsid w:val="0D3800AF"/>
    <w:rsid w:val="0D4E293A"/>
    <w:rsid w:val="0D527785"/>
    <w:rsid w:val="0D725244"/>
    <w:rsid w:val="0D7A12F4"/>
    <w:rsid w:val="0D7C2EAF"/>
    <w:rsid w:val="0D8B1252"/>
    <w:rsid w:val="0D8F7D5D"/>
    <w:rsid w:val="0DA4010F"/>
    <w:rsid w:val="0DBB0BA9"/>
    <w:rsid w:val="0DC052B1"/>
    <w:rsid w:val="0DD13CE1"/>
    <w:rsid w:val="0DD70F35"/>
    <w:rsid w:val="0E6E522B"/>
    <w:rsid w:val="0E750E15"/>
    <w:rsid w:val="0E765363"/>
    <w:rsid w:val="0E974024"/>
    <w:rsid w:val="0E9A4120"/>
    <w:rsid w:val="0E9B6F78"/>
    <w:rsid w:val="0EA9482B"/>
    <w:rsid w:val="0EB9669F"/>
    <w:rsid w:val="0EEE23E5"/>
    <w:rsid w:val="0EFE7C53"/>
    <w:rsid w:val="0F1D1186"/>
    <w:rsid w:val="0F46573B"/>
    <w:rsid w:val="0F48682C"/>
    <w:rsid w:val="0F5830E2"/>
    <w:rsid w:val="0F9A6525"/>
    <w:rsid w:val="0FAB6718"/>
    <w:rsid w:val="0FB36A15"/>
    <w:rsid w:val="0FB9394C"/>
    <w:rsid w:val="0FCC2D7A"/>
    <w:rsid w:val="0FF326B1"/>
    <w:rsid w:val="0FF85302"/>
    <w:rsid w:val="0FFA61CD"/>
    <w:rsid w:val="10044023"/>
    <w:rsid w:val="1037148B"/>
    <w:rsid w:val="10543EDD"/>
    <w:rsid w:val="10630BBB"/>
    <w:rsid w:val="107754B3"/>
    <w:rsid w:val="10910A0B"/>
    <w:rsid w:val="10AF601F"/>
    <w:rsid w:val="10CC6635"/>
    <w:rsid w:val="10E32D79"/>
    <w:rsid w:val="10F24526"/>
    <w:rsid w:val="10FC7B9A"/>
    <w:rsid w:val="11121750"/>
    <w:rsid w:val="11232ABB"/>
    <w:rsid w:val="11644807"/>
    <w:rsid w:val="11E2786E"/>
    <w:rsid w:val="11EE4E89"/>
    <w:rsid w:val="11F22AFD"/>
    <w:rsid w:val="11F64178"/>
    <w:rsid w:val="11F77190"/>
    <w:rsid w:val="11FF5E75"/>
    <w:rsid w:val="120C7C3D"/>
    <w:rsid w:val="121B66AC"/>
    <w:rsid w:val="12263906"/>
    <w:rsid w:val="12286641"/>
    <w:rsid w:val="12462E10"/>
    <w:rsid w:val="125B216C"/>
    <w:rsid w:val="12783608"/>
    <w:rsid w:val="12A523ED"/>
    <w:rsid w:val="1305253D"/>
    <w:rsid w:val="1314202E"/>
    <w:rsid w:val="133B5A46"/>
    <w:rsid w:val="13704B43"/>
    <w:rsid w:val="13C05634"/>
    <w:rsid w:val="13C77BE3"/>
    <w:rsid w:val="14180231"/>
    <w:rsid w:val="14A15B6C"/>
    <w:rsid w:val="14AE2D6B"/>
    <w:rsid w:val="14C23AF9"/>
    <w:rsid w:val="15076F35"/>
    <w:rsid w:val="150C266C"/>
    <w:rsid w:val="151B7721"/>
    <w:rsid w:val="154207A8"/>
    <w:rsid w:val="15575460"/>
    <w:rsid w:val="15677E86"/>
    <w:rsid w:val="15796635"/>
    <w:rsid w:val="15A07444"/>
    <w:rsid w:val="15AE756B"/>
    <w:rsid w:val="15E32123"/>
    <w:rsid w:val="15E6307A"/>
    <w:rsid w:val="1681706B"/>
    <w:rsid w:val="168F2E1D"/>
    <w:rsid w:val="169C0401"/>
    <w:rsid w:val="16E9535D"/>
    <w:rsid w:val="171C412D"/>
    <w:rsid w:val="1720042D"/>
    <w:rsid w:val="177635D8"/>
    <w:rsid w:val="180E0783"/>
    <w:rsid w:val="180E5E6E"/>
    <w:rsid w:val="18133B21"/>
    <w:rsid w:val="18231274"/>
    <w:rsid w:val="18347F49"/>
    <w:rsid w:val="18714A6B"/>
    <w:rsid w:val="18B0346B"/>
    <w:rsid w:val="18BE76D1"/>
    <w:rsid w:val="191D278C"/>
    <w:rsid w:val="19716E26"/>
    <w:rsid w:val="19875435"/>
    <w:rsid w:val="19967959"/>
    <w:rsid w:val="19A21B24"/>
    <w:rsid w:val="19F44880"/>
    <w:rsid w:val="1A3B45CB"/>
    <w:rsid w:val="1AA10ED0"/>
    <w:rsid w:val="1AE64CF5"/>
    <w:rsid w:val="1B1E379F"/>
    <w:rsid w:val="1B7640AB"/>
    <w:rsid w:val="1B7F1D43"/>
    <w:rsid w:val="1B94768B"/>
    <w:rsid w:val="1BF54F91"/>
    <w:rsid w:val="1C175667"/>
    <w:rsid w:val="1C20632E"/>
    <w:rsid w:val="1C32242A"/>
    <w:rsid w:val="1C6D090D"/>
    <w:rsid w:val="1C88183A"/>
    <w:rsid w:val="1CF71739"/>
    <w:rsid w:val="1D017848"/>
    <w:rsid w:val="1D406FD6"/>
    <w:rsid w:val="1D4A3945"/>
    <w:rsid w:val="1DEA660B"/>
    <w:rsid w:val="1DEF1524"/>
    <w:rsid w:val="1E29624D"/>
    <w:rsid w:val="1E661C9A"/>
    <w:rsid w:val="1E946C2D"/>
    <w:rsid w:val="1EC01824"/>
    <w:rsid w:val="1F0713BE"/>
    <w:rsid w:val="1F366C94"/>
    <w:rsid w:val="1F897655"/>
    <w:rsid w:val="1FA87F35"/>
    <w:rsid w:val="1FBF214A"/>
    <w:rsid w:val="1FFC3060"/>
    <w:rsid w:val="20586EFD"/>
    <w:rsid w:val="208320A7"/>
    <w:rsid w:val="20A60646"/>
    <w:rsid w:val="20B7495E"/>
    <w:rsid w:val="20C82C4F"/>
    <w:rsid w:val="20D93476"/>
    <w:rsid w:val="20E772FE"/>
    <w:rsid w:val="20F40750"/>
    <w:rsid w:val="20FF4F87"/>
    <w:rsid w:val="210E09F6"/>
    <w:rsid w:val="21195ED5"/>
    <w:rsid w:val="211E5256"/>
    <w:rsid w:val="212A693A"/>
    <w:rsid w:val="215F619C"/>
    <w:rsid w:val="218F1A78"/>
    <w:rsid w:val="21E10AAE"/>
    <w:rsid w:val="21F7541E"/>
    <w:rsid w:val="21F867B2"/>
    <w:rsid w:val="21FC35A9"/>
    <w:rsid w:val="2208413A"/>
    <w:rsid w:val="226D6980"/>
    <w:rsid w:val="228B08E6"/>
    <w:rsid w:val="22EE44A4"/>
    <w:rsid w:val="23035A6F"/>
    <w:rsid w:val="23451705"/>
    <w:rsid w:val="23527ACF"/>
    <w:rsid w:val="23596537"/>
    <w:rsid w:val="240675E0"/>
    <w:rsid w:val="2413786D"/>
    <w:rsid w:val="24181441"/>
    <w:rsid w:val="24343114"/>
    <w:rsid w:val="245A3DA4"/>
    <w:rsid w:val="24876B44"/>
    <w:rsid w:val="248C09EC"/>
    <w:rsid w:val="249A1863"/>
    <w:rsid w:val="24F21422"/>
    <w:rsid w:val="2522568E"/>
    <w:rsid w:val="25230B96"/>
    <w:rsid w:val="254724BB"/>
    <w:rsid w:val="255100FB"/>
    <w:rsid w:val="2554265E"/>
    <w:rsid w:val="25667189"/>
    <w:rsid w:val="25857189"/>
    <w:rsid w:val="25920CC0"/>
    <w:rsid w:val="25DE04F0"/>
    <w:rsid w:val="25EB02B3"/>
    <w:rsid w:val="25FD2433"/>
    <w:rsid w:val="25FE1BD5"/>
    <w:rsid w:val="260B7025"/>
    <w:rsid w:val="26131F09"/>
    <w:rsid w:val="264443E3"/>
    <w:rsid w:val="26716944"/>
    <w:rsid w:val="2696597C"/>
    <w:rsid w:val="26B8136F"/>
    <w:rsid w:val="26CB5AAB"/>
    <w:rsid w:val="26F85903"/>
    <w:rsid w:val="272738E9"/>
    <w:rsid w:val="27BF2A0A"/>
    <w:rsid w:val="27DA3EF6"/>
    <w:rsid w:val="288C059B"/>
    <w:rsid w:val="28A549EA"/>
    <w:rsid w:val="28FC506B"/>
    <w:rsid w:val="290C278A"/>
    <w:rsid w:val="2919238E"/>
    <w:rsid w:val="2996354B"/>
    <w:rsid w:val="29AA72D5"/>
    <w:rsid w:val="29B97ED9"/>
    <w:rsid w:val="29EB1F57"/>
    <w:rsid w:val="2A0B380A"/>
    <w:rsid w:val="2A343939"/>
    <w:rsid w:val="2A416574"/>
    <w:rsid w:val="2ABE5E35"/>
    <w:rsid w:val="2AC769DE"/>
    <w:rsid w:val="2AE46625"/>
    <w:rsid w:val="2B4F758C"/>
    <w:rsid w:val="2B69673B"/>
    <w:rsid w:val="2B9055D9"/>
    <w:rsid w:val="2BC44286"/>
    <w:rsid w:val="2BCE406F"/>
    <w:rsid w:val="2BE148BC"/>
    <w:rsid w:val="2C0C6B09"/>
    <w:rsid w:val="2C637A48"/>
    <w:rsid w:val="2C672741"/>
    <w:rsid w:val="2C940DF4"/>
    <w:rsid w:val="2CB10722"/>
    <w:rsid w:val="2CCC3368"/>
    <w:rsid w:val="2D213B66"/>
    <w:rsid w:val="2D3D6263"/>
    <w:rsid w:val="2D4A307E"/>
    <w:rsid w:val="2D736373"/>
    <w:rsid w:val="2D9518E0"/>
    <w:rsid w:val="2DA66E83"/>
    <w:rsid w:val="2DC4212A"/>
    <w:rsid w:val="2DDA6392"/>
    <w:rsid w:val="2DE779A7"/>
    <w:rsid w:val="2DF77960"/>
    <w:rsid w:val="2DFA1A7E"/>
    <w:rsid w:val="2E4729E8"/>
    <w:rsid w:val="2E545278"/>
    <w:rsid w:val="2E816B78"/>
    <w:rsid w:val="2E9B239F"/>
    <w:rsid w:val="2EAA4156"/>
    <w:rsid w:val="2F1C152E"/>
    <w:rsid w:val="2F340216"/>
    <w:rsid w:val="2F5E7C47"/>
    <w:rsid w:val="2F790017"/>
    <w:rsid w:val="2F8A2649"/>
    <w:rsid w:val="2F8A44E7"/>
    <w:rsid w:val="2F9E5BCB"/>
    <w:rsid w:val="2FC33EE7"/>
    <w:rsid w:val="2FCB3DA4"/>
    <w:rsid w:val="2FF77EE1"/>
    <w:rsid w:val="306C7492"/>
    <w:rsid w:val="308272AF"/>
    <w:rsid w:val="30AA15DC"/>
    <w:rsid w:val="30BF51C1"/>
    <w:rsid w:val="30CE220C"/>
    <w:rsid w:val="31127F7D"/>
    <w:rsid w:val="31193086"/>
    <w:rsid w:val="312D1779"/>
    <w:rsid w:val="313371FF"/>
    <w:rsid w:val="313A3211"/>
    <w:rsid w:val="31681223"/>
    <w:rsid w:val="31FE04D0"/>
    <w:rsid w:val="320802DB"/>
    <w:rsid w:val="325E3BAA"/>
    <w:rsid w:val="32627EF8"/>
    <w:rsid w:val="328263F9"/>
    <w:rsid w:val="32844E62"/>
    <w:rsid w:val="32BE3636"/>
    <w:rsid w:val="32C92F37"/>
    <w:rsid w:val="32CB5DAA"/>
    <w:rsid w:val="32DA3A74"/>
    <w:rsid w:val="3301245C"/>
    <w:rsid w:val="330E23CC"/>
    <w:rsid w:val="3327534E"/>
    <w:rsid w:val="3330459B"/>
    <w:rsid w:val="33663AE3"/>
    <w:rsid w:val="33BC6FEB"/>
    <w:rsid w:val="33C707E1"/>
    <w:rsid w:val="34054C6D"/>
    <w:rsid w:val="341C46D8"/>
    <w:rsid w:val="346A408D"/>
    <w:rsid w:val="34777010"/>
    <w:rsid w:val="348007F6"/>
    <w:rsid w:val="34BE3575"/>
    <w:rsid w:val="34E353B5"/>
    <w:rsid w:val="34E82407"/>
    <w:rsid w:val="34FC2AF7"/>
    <w:rsid w:val="353F65D0"/>
    <w:rsid w:val="354A700E"/>
    <w:rsid w:val="354C4A4E"/>
    <w:rsid w:val="359E5283"/>
    <w:rsid w:val="362C39E4"/>
    <w:rsid w:val="367450BC"/>
    <w:rsid w:val="36EE657C"/>
    <w:rsid w:val="373B1E42"/>
    <w:rsid w:val="37692C93"/>
    <w:rsid w:val="377A5F83"/>
    <w:rsid w:val="37ED1E4C"/>
    <w:rsid w:val="381B7B84"/>
    <w:rsid w:val="382106CF"/>
    <w:rsid w:val="382C4F97"/>
    <w:rsid w:val="38534C95"/>
    <w:rsid w:val="386D00E0"/>
    <w:rsid w:val="387E29A3"/>
    <w:rsid w:val="38A55742"/>
    <w:rsid w:val="38B72CB6"/>
    <w:rsid w:val="38EF2D1E"/>
    <w:rsid w:val="393C4C6E"/>
    <w:rsid w:val="395A5F0C"/>
    <w:rsid w:val="3A156597"/>
    <w:rsid w:val="3A162A5A"/>
    <w:rsid w:val="3A1A6E80"/>
    <w:rsid w:val="3A5B5518"/>
    <w:rsid w:val="3A9F0A31"/>
    <w:rsid w:val="3ABB5375"/>
    <w:rsid w:val="3AE07F23"/>
    <w:rsid w:val="3AE802A8"/>
    <w:rsid w:val="3B020188"/>
    <w:rsid w:val="3B18686D"/>
    <w:rsid w:val="3B5B7C6C"/>
    <w:rsid w:val="3B987EF1"/>
    <w:rsid w:val="3BB10C46"/>
    <w:rsid w:val="3C0762B8"/>
    <w:rsid w:val="3C3F463E"/>
    <w:rsid w:val="3C4A51FE"/>
    <w:rsid w:val="3C4F0FAF"/>
    <w:rsid w:val="3C844E58"/>
    <w:rsid w:val="3CA364F9"/>
    <w:rsid w:val="3CBA4B77"/>
    <w:rsid w:val="3D280049"/>
    <w:rsid w:val="3D312B40"/>
    <w:rsid w:val="3DA82765"/>
    <w:rsid w:val="3DB95FD2"/>
    <w:rsid w:val="3E3135DF"/>
    <w:rsid w:val="3E7504A0"/>
    <w:rsid w:val="3E7C1763"/>
    <w:rsid w:val="3E8A0713"/>
    <w:rsid w:val="3E8D7AB4"/>
    <w:rsid w:val="3EB729B2"/>
    <w:rsid w:val="3F0656B2"/>
    <w:rsid w:val="3F5A625D"/>
    <w:rsid w:val="3F7169C8"/>
    <w:rsid w:val="3F820E5F"/>
    <w:rsid w:val="3F893C96"/>
    <w:rsid w:val="3F8A16F2"/>
    <w:rsid w:val="3FA9465D"/>
    <w:rsid w:val="402434D4"/>
    <w:rsid w:val="40256B13"/>
    <w:rsid w:val="4066039C"/>
    <w:rsid w:val="40872293"/>
    <w:rsid w:val="40B15AFF"/>
    <w:rsid w:val="410E7AAB"/>
    <w:rsid w:val="41192A01"/>
    <w:rsid w:val="412237BE"/>
    <w:rsid w:val="412C46C0"/>
    <w:rsid w:val="41345FC8"/>
    <w:rsid w:val="41441EC7"/>
    <w:rsid w:val="41640421"/>
    <w:rsid w:val="418953E1"/>
    <w:rsid w:val="41AD4511"/>
    <w:rsid w:val="41DA0FED"/>
    <w:rsid w:val="424C1652"/>
    <w:rsid w:val="42542B10"/>
    <w:rsid w:val="42962E79"/>
    <w:rsid w:val="42A96230"/>
    <w:rsid w:val="42CC2036"/>
    <w:rsid w:val="42F53F19"/>
    <w:rsid w:val="42F70FD1"/>
    <w:rsid w:val="42FD3448"/>
    <w:rsid w:val="4358517F"/>
    <w:rsid w:val="436C6BEF"/>
    <w:rsid w:val="43895D01"/>
    <w:rsid w:val="43977318"/>
    <w:rsid w:val="439A552A"/>
    <w:rsid w:val="442077D0"/>
    <w:rsid w:val="44532B69"/>
    <w:rsid w:val="44940AC3"/>
    <w:rsid w:val="4495200D"/>
    <w:rsid w:val="44AB2ED5"/>
    <w:rsid w:val="44B16809"/>
    <w:rsid w:val="44E85BF0"/>
    <w:rsid w:val="44F233AC"/>
    <w:rsid w:val="45250ECF"/>
    <w:rsid w:val="45282A8E"/>
    <w:rsid w:val="454C37EB"/>
    <w:rsid w:val="457D2C1C"/>
    <w:rsid w:val="459154F3"/>
    <w:rsid w:val="45B6749D"/>
    <w:rsid w:val="45F353BD"/>
    <w:rsid w:val="461855D0"/>
    <w:rsid w:val="465B2BB8"/>
    <w:rsid w:val="46805ED6"/>
    <w:rsid w:val="469C4F6B"/>
    <w:rsid w:val="474F0ABE"/>
    <w:rsid w:val="4766624A"/>
    <w:rsid w:val="477D3DE0"/>
    <w:rsid w:val="478E1B51"/>
    <w:rsid w:val="48222D72"/>
    <w:rsid w:val="4829683C"/>
    <w:rsid w:val="48370EE6"/>
    <w:rsid w:val="486144E6"/>
    <w:rsid w:val="48797990"/>
    <w:rsid w:val="489D23AC"/>
    <w:rsid w:val="48B33F8A"/>
    <w:rsid w:val="4990361D"/>
    <w:rsid w:val="49A011E2"/>
    <w:rsid w:val="49DC7DD5"/>
    <w:rsid w:val="49EB1B44"/>
    <w:rsid w:val="4A1E7511"/>
    <w:rsid w:val="4A813AB7"/>
    <w:rsid w:val="4A823E7C"/>
    <w:rsid w:val="4AA279FA"/>
    <w:rsid w:val="4AC47B8A"/>
    <w:rsid w:val="4B2C7D30"/>
    <w:rsid w:val="4B656780"/>
    <w:rsid w:val="4B967A5D"/>
    <w:rsid w:val="4BB77F22"/>
    <w:rsid w:val="4BDD752E"/>
    <w:rsid w:val="4C057B93"/>
    <w:rsid w:val="4C2C1716"/>
    <w:rsid w:val="4C2D1E59"/>
    <w:rsid w:val="4CAD14BF"/>
    <w:rsid w:val="4CAD5F5C"/>
    <w:rsid w:val="4CB80F54"/>
    <w:rsid w:val="4CCB4AEA"/>
    <w:rsid w:val="4D012976"/>
    <w:rsid w:val="4D103CA4"/>
    <w:rsid w:val="4D171D10"/>
    <w:rsid w:val="4D2622A2"/>
    <w:rsid w:val="4D3F774C"/>
    <w:rsid w:val="4D5509D1"/>
    <w:rsid w:val="4D8307B0"/>
    <w:rsid w:val="4DDE1168"/>
    <w:rsid w:val="4E205AB9"/>
    <w:rsid w:val="4E3A02EB"/>
    <w:rsid w:val="4E596EF0"/>
    <w:rsid w:val="4E7F3934"/>
    <w:rsid w:val="4EA63B62"/>
    <w:rsid w:val="4EB475C2"/>
    <w:rsid w:val="4ED02D8B"/>
    <w:rsid w:val="4F1603DC"/>
    <w:rsid w:val="4F2F21F9"/>
    <w:rsid w:val="4F314FC4"/>
    <w:rsid w:val="4F570D13"/>
    <w:rsid w:val="4F5872E6"/>
    <w:rsid w:val="4F7764E8"/>
    <w:rsid w:val="4F986C49"/>
    <w:rsid w:val="4FA300CA"/>
    <w:rsid w:val="4FB30E85"/>
    <w:rsid w:val="4FB83E9A"/>
    <w:rsid w:val="4FBA4DF6"/>
    <w:rsid w:val="4FDD1543"/>
    <w:rsid w:val="4FE108F6"/>
    <w:rsid w:val="4FE81B6F"/>
    <w:rsid w:val="4FEF7BB2"/>
    <w:rsid w:val="4FF91458"/>
    <w:rsid w:val="502A3F44"/>
    <w:rsid w:val="50412026"/>
    <w:rsid w:val="50453B5C"/>
    <w:rsid w:val="504C7AD2"/>
    <w:rsid w:val="505D38B4"/>
    <w:rsid w:val="506771D4"/>
    <w:rsid w:val="511E6D76"/>
    <w:rsid w:val="512E7B53"/>
    <w:rsid w:val="5159608C"/>
    <w:rsid w:val="515A565B"/>
    <w:rsid w:val="5197061A"/>
    <w:rsid w:val="519B398B"/>
    <w:rsid w:val="51ED0545"/>
    <w:rsid w:val="528B40B7"/>
    <w:rsid w:val="528D6516"/>
    <w:rsid w:val="52A9441D"/>
    <w:rsid w:val="52BC4276"/>
    <w:rsid w:val="52FF0AC9"/>
    <w:rsid w:val="5322011F"/>
    <w:rsid w:val="53287DA2"/>
    <w:rsid w:val="53430119"/>
    <w:rsid w:val="53475CFD"/>
    <w:rsid w:val="53573B63"/>
    <w:rsid w:val="535C7D48"/>
    <w:rsid w:val="539E187C"/>
    <w:rsid w:val="53A37A81"/>
    <w:rsid w:val="53B5285C"/>
    <w:rsid w:val="54680A2C"/>
    <w:rsid w:val="54751C95"/>
    <w:rsid w:val="548D7509"/>
    <w:rsid w:val="54901ABD"/>
    <w:rsid w:val="54C25099"/>
    <w:rsid w:val="54CB761D"/>
    <w:rsid w:val="5530220B"/>
    <w:rsid w:val="55397EF5"/>
    <w:rsid w:val="5546246F"/>
    <w:rsid w:val="556107CB"/>
    <w:rsid w:val="55BD2FBF"/>
    <w:rsid w:val="55C93712"/>
    <w:rsid w:val="55D51820"/>
    <w:rsid w:val="5616229B"/>
    <w:rsid w:val="5641779C"/>
    <w:rsid w:val="56444FE7"/>
    <w:rsid w:val="564764F6"/>
    <w:rsid w:val="56531613"/>
    <w:rsid w:val="5679374B"/>
    <w:rsid w:val="56FC6D5A"/>
    <w:rsid w:val="56FD7DA3"/>
    <w:rsid w:val="5705338E"/>
    <w:rsid w:val="57254983"/>
    <w:rsid w:val="572A6E15"/>
    <w:rsid w:val="573D6DF7"/>
    <w:rsid w:val="5740142F"/>
    <w:rsid w:val="576067CE"/>
    <w:rsid w:val="577C0F5E"/>
    <w:rsid w:val="5783764A"/>
    <w:rsid w:val="578404F8"/>
    <w:rsid w:val="57A2591C"/>
    <w:rsid w:val="57D56DDB"/>
    <w:rsid w:val="57F4715C"/>
    <w:rsid w:val="581D1228"/>
    <w:rsid w:val="58317B26"/>
    <w:rsid w:val="58363416"/>
    <w:rsid w:val="5846233D"/>
    <w:rsid w:val="58A212D9"/>
    <w:rsid w:val="58E63476"/>
    <w:rsid w:val="58E955C8"/>
    <w:rsid w:val="58EA08F4"/>
    <w:rsid w:val="590527B0"/>
    <w:rsid w:val="591061DE"/>
    <w:rsid w:val="59283850"/>
    <w:rsid w:val="596E14E1"/>
    <w:rsid w:val="5984717F"/>
    <w:rsid w:val="598B1245"/>
    <w:rsid w:val="59E420ED"/>
    <w:rsid w:val="59EE0169"/>
    <w:rsid w:val="59F976D3"/>
    <w:rsid w:val="5A0977B1"/>
    <w:rsid w:val="5A0D5C5D"/>
    <w:rsid w:val="5A341751"/>
    <w:rsid w:val="5A6F0905"/>
    <w:rsid w:val="5A76105E"/>
    <w:rsid w:val="5A7F732B"/>
    <w:rsid w:val="5ACD1255"/>
    <w:rsid w:val="5AEA67E8"/>
    <w:rsid w:val="5B112DD3"/>
    <w:rsid w:val="5B30451D"/>
    <w:rsid w:val="5B39267B"/>
    <w:rsid w:val="5B526BCA"/>
    <w:rsid w:val="5BDF706F"/>
    <w:rsid w:val="5BEF022A"/>
    <w:rsid w:val="5C2570DD"/>
    <w:rsid w:val="5C6D09BD"/>
    <w:rsid w:val="5C722927"/>
    <w:rsid w:val="5C9C5315"/>
    <w:rsid w:val="5CC86889"/>
    <w:rsid w:val="5CD46317"/>
    <w:rsid w:val="5CE16426"/>
    <w:rsid w:val="5CFF7929"/>
    <w:rsid w:val="5D0D076B"/>
    <w:rsid w:val="5D29724F"/>
    <w:rsid w:val="5D4004C0"/>
    <w:rsid w:val="5D507325"/>
    <w:rsid w:val="5D8E5C24"/>
    <w:rsid w:val="5DAB0D5E"/>
    <w:rsid w:val="5E3545BE"/>
    <w:rsid w:val="5E7A0781"/>
    <w:rsid w:val="5EB37BB2"/>
    <w:rsid w:val="5ED57A55"/>
    <w:rsid w:val="5EE2661A"/>
    <w:rsid w:val="5F1B7641"/>
    <w:rsid w:val="5F2C1347"/>
    <w:rsid w:val="5F730AEE"/>
    <w:rsid w:val="5FC07888"/>
    <w:rsid w:val="5FD07431"/>
    <w:rsid w:val="5FD45A91"/>
    <w:rsid w:val="600A463E"/>
    <w:rsid w:val="60340B05"/>
    <w:rsid w:val="60466BAE"/>
    <w:rsid w:val="60526464"/>
    <w:rsid w:val="608F7BCA"/>
    <w:rsid w:val="60E80207"/>
    <w:rsid w:val="60FA2B3E"/>
    <w:rsid w:val="613B5AB6"/>
    <w:rsid w:val="61552610"/>
    <w:rsid w:val="619F2DF0"/>
    <w:rsid w:val="61A769F5"/>
    <w:rsid w:val="61BD7FE3"/>
    <w:rsid w:val="61FF3426"/>
    <w:rsid w:val="621056B8"/>
    <w:rsid w:val="6232769E"/>
    <w:rsid w:val="623819DB"/>
    <w:rsid w:val="62A041F4"/>
    <w:rsid w:val="62D40F98"/>
    <w:rsid w:val="63536EEE"/>
    <w:rsid w:val="635C09BB"/>
    <w:rsid w:val="63694C2A"/>
    <w:rsid w:val="637629A8"/>
    <w:rsid w:val="63863D61"/>
    <w:rsid w:val="6392615A"/>
    <w:rsid w:val="6437747D"/>
    <w:rsid w:val="644760AE"/>
    <w:rsid w:val="64510CA4"/>
    <w:rsid w:val="646F7A0F"/>
    <w:rsid w:val="64872A1D"/>
    <w:rsid w:val="64AA2413"/>
    <w:rsid w:val="65201C0C"/>
    <w:rsid w:val="65694194"/>
    <w:rsid w:val="65A45C0E"/>
    <w:rsid w:val="65FE752B"/>
    <w:rsid w:val="66610B16"/>
    <w:rsid w:val="66752737"/>
    <w:rsid w:val="66926E2E"/>
    <w:rsid w:val="66A661A8"/>
    <w:rsid w:val="66F7731E"/>
    <w:rsid w:val="66FA46BA"/>
    <w:rsid w:val="67120933"/>
    <w:rsid w:val="671349B1"/>
    <w:rsid w:val="67175D4E"/>
    <w:rsid w:val="675672B4"/>
    <w:rsid w:val="67813FC3"/>
    <w:rsid w:val="678312BA"/>
    <w:rsid w:val="67992308"/>
    <w:rsid w:val="679D7F50"/>
    <w:rsid w:val="67BE30E9"/>
    <w:rsid w:val="67D23FD4"/>
    <w:rsid w:val="67DE0F1C"/>
    <w:rsid w:val="67F25F5B"/>
    <w:rsid w:val="681670FF"/>
    <w:rsid w:val="68233792"/>
    <w:rsid w:val="68272531"/>
    <w:rsid w:val="689E4B5F"/>
    <w:rsid w:val="68BB4E47"/>
    <w:rsid w:val="68DF75C3"/>
    <w:rsid w:val="69202E48"/>
    <w:rsid w:val="692E41E2"/>
    <w:rsid w:val="69A07992"/>
    <w:rsid w:val="69A267CC"/>
    <w:rsid w:val="69C8422D"/>
    <w:rsid w:val="69D26C8B"/>
    <w:rsid w:val="69E24F6C"/>
    <w:rsid w:val="69EC4292"/>
    <w:rsid w:val="6A1D36CD"/>
    <w:rsid w:val="6A375F57"/>
    <w:rsid w:val="6A757BE1"/>
    <w:rsid w:val="6A822888"/>
    <w:rsid w:val="6A9441EC"/>
    <w:rsid w:val="6AB0794D"/>
    <w:rsid w:val="6ABC169E"/>
    <w:rsid w:val="6ACF3AF9"/>
    <w:rsid w:val="6B144D33"/>
    <w:rsid w:val="6B22715A"/>
    <w:rsid w:val="6B2E1BA8"/>
    <w:rsid w:val="6B46130F"/>
    <w:rsid w:val="6B4A54B2"/>
    <w:rsid w:val="6B662635"/>
    <w:rsid w:val="6BA81AA3"/>
    <w:rsid w:val="6C1327A3"/>
    <w:rsid w:val="6C1F3978"/>
    <w:rsid w:val="6C262AFF"/>
    <w:rsid w:val="6C2A36EC"/>
    <w:rsid w:val="6CC315CD"/>
    <w:rsid w:val="6D0F018C"/>
    <w:rsid w:val="6D62464C"/>
    <w:rsid w:val="6D655BBC"/>
    <w:rsid w:val="6D6E45B3"/>
    <w:rsid w:val="6D9D58D4"/>
    <w:rsid w:val="6DA2586B"/>
    <w:rsid w:val="6DA94795"/>
    <w:rsid w:val="6DDD4BFF"/>
    <w:rsid w:val="6E2A4BC9"/>
    <w:rsid w:val="6E384F67"/>
    <w:rsid w:val="6E3A5C28"/>
    <w:rsid w:val="6E4864F1"/>
    <w:rsid w:val="6E5F7BBD"/>
    <w:rsid w:val="6EAA1D55"/>
    <w:rsid w:val="6EEF12C6"/>
    <w:rsid w:val="6EF3555B"/>
    <w:rsid w:val="6EF460CA"/>
    <w:rsid w:val="6F355D0C"/>
    <w:rsid w:val="6F4B77A3"/>
    <w:rsid w:val="6F6C41EA"/>
    <w:rsid w:val="6F7F415A"/>
    <w:rsid w:val="6FEC634C"/>
    <w:rsid w:val="6FF0710E"/>
    <w:rsid w:val="7004131A"/>
    <w:rsid w:val="70044322"/>
    <w:rsid w:val="706246B9"/>
    <w:rsid w:val="707D774F"/>
    <w:rsid w:val="70974125"/>
    <w:rsid w:val="713525A5"/>
    <w:rsid w:val="71481438"/>
    <w:rsid w:val="716704EB"/>
    <w:rsid w:val="71880A74"/>
    <w:rsid w:val="71944565"/>
    <w:rsid w:val="71AA3969"/>
    <w:rsid w:val="71CA44A2"/>
    <w:rsid w:val="71F6231A"/>
    <w:rsid w:val="72566F93"/>
    <w:rsid w:val="72715868"/>
    <w:rsid w:val="72CF1E41"/>
    <w:rsid w:val="72E62EFC"/>
    <w:rsid w:val="7319610F"/>
    <w:rsid w:val="733E191E"/>
    <w:rsid w:val="73445F72"/>
    <w:rsid w:val="735B5538"/>
    <w:rsid w:val="73DC3BCD"/>
    <w:rsid w:val="744F500B"/>
    <w:rsid w:val="7458541E"/>
    <w:rsid w:val="7490798A"/>
    <w:rsid w:val="74A24B87"/>
    <w:rsid w:val="74E126D0"/>
    <w:rsid w:val="75191DB1"/>
    <w:rsid w:val="75B31E98"/>
    <w:rsid w:val="75D016DC"/>
    <w:rsid w:val="761777AC"/>
    <w:rsid w:val="765F1860"/>
    <w:rsid w:val="76613253"/>
    <w:rsid w:val="766A3B6A"/>
    <w:rsid w:val="76AD17A1"/>
    <w:rsid w:val="76B56733"/>
    <w:rsid w:val="76B80581"/>
    <w:rsid w:val="76BE5DC9"/>
    <w:rsid w:val="76C0264F"/>
    <w:rsid w:val="76F339F6"/>
    <w:rsid w:val="771C5667"/>
    <w:rsid w:val="773049BF"/>
    <w:rsid w:val="773D3CB2"/>
    <w:rsid w:val="776E0463"/>
    <w:rsid w:val="77837672"/>
    <w:rsid w:val="7796238F"/>
    <w:rsid w:val="77C6074D"/>
    <w:rsid w:val="77DD35F3"/>
    <w:rsid w:val="77EE792B"/>
    <w:rsid w:val="780B7E08"/>
    <w:rsid w:val="78143E0C"/>
    <w:rsid w:val="787305D2"/>
    <w:rsid w:val="789164F0"/>
    <w:rsid w:val="78E76B5B"/>
    <w:rsid w:val="78EC0D6C"/>
    <w:rsid w:val="78F93779"/>
    <w:rsid w:val="790C07B8"/>
    <w:rsid w:val="79A21A2B"/>
    <w:rsid w:val="79AD6CCF"/>
    <w:rsid w:val="79BB6934"/>
    <w:rsid w:val="79BB7302"/>
    <w:rsid w:val="7A1E10C5"/>
    <w:rsid w:val="7A2D2C3A"/>
    <w:rsid w:val="7A3133AA"/>
    <w:rsid w:val="7A784FC1"/>
    <w:rsid w:val="7A984DCA"/>
    <w:rsid w:val="7AB0509D"/>
    <w:rsid w:val="7BA7174A"/>
    <w:rsid w:val="7BE8645E"/>
    <w:rsid w:val="7BEA6A9F"/>
    <w:rsid w:val="7C1B74E7"/>
    <w:rsid w:val="7CA17E61"/>
    <w:rsid w:val="7CB92536"/>
    <w:rsid w:val="7D096DCC"/>
    <w:rsid w:val="7D531A0F"/>
    <w:rsid w:val="7D5A6B5D"/>
    <w:rsid w:val="7D6C4ADE"/>
    <w:rsid w:val="7D851ED7"/>
    <w:rsid w:val="7DC951BB"/>
    <w:rsid w:val="7DE875E8"/>
    <w:rsid w:val="7DEF7340"/>
    <w:rsid w:val="7DFB7B5C"/>
    <w:rsid w:val="7E176CEE"/>
    <w:rsid w:val="7E2A70A4"/>
    <w:rsid w:val="7E4F093B"/>
    <w:rsid w:val="7EB327F3"/>
    <w:rsid w:val="7EB8067E"/>
    <w:rsid w:val="7EDE1ECF"/>
    <w:rsid w:val="7F17366D"/>
    <w:rsid w:val="7F465DC1"/>
    <w:rsid w:val="7F691857"/>
    <w:rsid w:val="7F6F47FF"/>
    <w:rsid w:val="7FA10F87"/>
    <w:rsid w:val="7FC329E0"/>
    <w:rsid w:val="7FC5044F"/>
    <w:rsid w:val="7FED21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qFormat="1"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qFormat="1"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qFormat="1" w:unhideWhenUsed="0" w:uiPriority="0" w:semiHidden="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0"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qFormat="1" w:unhideWhenUsed="0" w:uiPriority="0" w:semiHidden="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qFormat="1" w:unhideWhenUsed="0" w:uiPriority="0" w:semiHidden="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80"/>
    <w:qFormat/>
    <w:uiPriority w:val="0"/>
    <w:pPr>
      <w:keepNext/>
      <w:keepLines/>
      <w:snapToGrid w:val="0"/>
      <w:spacing w:line="360" w:lineRule="auto"/>
      <w:outlineLvl w:val="0"/>
    </w:pPr>
    <w:rPr>
      <w:rFonts w:eastAsia="黑体"/>
      <w:kern w:val="44"/>
      <w:sz w:val="28"/>
    </w:rPr>
  </w:style>
  <w:style w:type="paragraph" w:styleId="4">
    <w:name w:val="heading 2"/>
    <w:basedOn w:val="1"/>
    <w:next w:val="2"/>
    <w:link w:val="663"/>
    <w:qFormat/>
    <w:uiPriority w:val="0"/>
    <w:pPr>
      <w:keepNext/>
      <w:keepLines/>
      <w:numPr>
        <w:ilvl w:val="1"/>
        <w:numId w:val="1"/>
      </w:numPr>
      <w:adjustRightInd w:val="0"/>
      <w:spacing w:before="100" w:after="100" w:line="360" w:lineRule="auto"/>
      <w:jc w:val="left"/>
      <w:textAlignment w:val="baseline"/>
      <w:outlineLvl w:val="1"/>
    </w:pPr>
    <w:rPr>
      <w:rFonts w:ascii="Arial" w:hAnsi="Arial" w:eastAsia="黑体"/>
      <w:b/>
      <w:sz w:val="28"/>
    </w:rPr>
  </w:style>
  <w:style w:type="paragraph" w:styleId="5">
    <w:name w:val="heading 3"/>
    <w:basedOn w:val="1"/>
    <w:next w:val="1"/>
    <w:link w:val="733"/>
    <w:qFormat/>
    <w:uiPriority w:val="0"/>
    <w:pPr>
      <w:keepNext/>
      <w:keepLines/>
      <w:numPr>
        <w:ilvl w:val="2"/>
        <w:numId w:val="1"/>
      </w:numPr>
      <w:spacing w:before="260" w:after="260" w:line="413" w:lineRule="auto"/>
      <w:outlineLvl w:val="2"/>
    </w:pPr>
    <w:rPr>
      <w:b/>
      <w:sz w:val="32"/>
    </w:rPr>
  </w:style>
  <w:style w:type="paragraph" w:styleId="6">
    <w:name w:val="heading 4"/>
    <w:basedOn w:val="1"/>
    <w:next w:val="1"/>
    <w:link w:val="501"/>
    <w:qFormat/>
    <w:uiPriority w:val="0"/>
    <w:pPr>
      <w:keepNext/>
      <w:keepLines/>
      <w:numPr>
        <w:ilvl w:val="3"/>
        <w:numId w:val="1"/>
      </w:numPr>
      <w:spacing w:before="280" w:after="290" w:line="372" w:lineRule="auto"/>
      <w:outlineLvl w:val="3"/>
    </w:pPr>
    <w:rPr>
      <w:rFonts w:ascii="Arial" w:hAnsi="Arial" w:eastAsia="黑体"/>
      <w:b/>
      <w:sz w:val="28"/>
    </w:rPr>
  </w:style>
  <w:style w:type="paragraph" w:styleId="7">
    <w:name w:val="heading 5"/>
    <w:basedOn w:val="1"/>
    <w:next w:val="1"/>
    <w:link w:val="528"/>
    <w:qFormat/>
    <w:uiPriority w:val="0"/>
    <w:pPr>
      <w:keepNext/>
      <w:keepLines/>
      <w:numPr>
        <w:ilvl w:val="4"/>
        <w:numId w:val="1"/>
      </w:numPr>
      <w:spacing w:before="280" w:after="290" w:line="372" w:lineRule="auto"/>
      <w:outlineLvl w:val="4"/>
    </w:pPr>
    <w:rPr>
      <w:b/>
      <w:sz w:val="28"/>
    </w:rPr>
  </w:style>
  <w:style w:type="paragraph" w:styleId="8">
    <w:name w:val="heading 6"/>
    <w:basedOn w:val="1"/>
    <w:next w:val="1"/>
    <w:link w:val="593"/>
    <w:qFormat/>
    <w:uiPriority w:val="0"/>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link w:val="518"/>
    <w:qFormat/>
    <w:uiPriority w:val="0"/>
    <w:pPr>
      <w:keepNext/>
      <w:keepLines/>
      <w:numPr>
        <w:ilvl w:val="6"/>
        <w:numId w:val="1"/>
      </w:numPr>
      <w:spacing w:before="240" w:after="64" w:line="317" w:lineRule="auto"/>
      <w:outlineLvl w:val="6"/>
    </w:pPr>
    <w:rPr>
      <w:b/>
      <w:sz w:val="24"/>
    </w:rPr>
  </w:style>
  <w:style w:type="paragraph" w:styleId="10">
    <w:name w:val="heading 8"/>
    <w:basedOn w:val="1"/>
    <w:next w:val="1"/>
    <w:link w:val="701"/>
    <w:qFormat/>
    <w:uiPriority w:val="0"/>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link w:val="711"/>
    <w:qFormat/>
    <w:uiPriority w:val="0"/>
    <w:pPr>
      <w:keepNext/>
      <w:keepLines/>
      <w:numPr>
        <w:ilvl w:val="8"/>
        <w:numId w:val="1"/>
      </w:numPr>
      <w:spacing w:before="240" w:after="64" w:line="317" w:lineRule="auto"/>
      <w:outlineLvl w:val="8"/>
    </w:pPr>
    <w:rPr>
      <w:rFonts w:ascii="Arial" w:hAnsi="Arial" w:eastAsia="黑体"/>
    </w:rPr>
  </w:style>
  <w:style w:type="character" w:default="1" w:styleId="63">
    <w:name w:val="Default Paragraph Font"/>
    <w:semiHidden/>
    <w:unhideWhenUsed/>
    <w:qFormat/>
    <w:uiPriority w:val="1"/>
  </w:style>
  <w:style w:type="table" w:default="1" w:styleId="56">
    <w:name w:val="Normal Table"/>
    <w:semiHidden/>
    <w:unhideWhenUsed/>
    <w:qFormat/>
    <w:uiPriority w:val="99"/>
    <w:tblPr>
      <w:tblCellMar>
        <w:top w:w="0" w:type="dxa"/>
        <w:left w:w="108" w:type="dxa"/>
        <w:bottom w:w="0" w:type="dxa"/>
        <w:right w:w="108" w:type="dxa"/>
      </w:tblCellMar>
    </w:tblPr>
  </w:style>
  <w:style w:type="paragraph" w:styleId="2">
    <w:name w:val="Normal Indent"/>
    <w:basedOn w:val="1"/>
    <w:link w:val="560"/>
    <w:qFormat/>
    <w:uiPriority w:val="0"/>
    <w:pPr>
      <w:ind w:firstLine="420" w:firstLineChars="200"/>
    </w:pPr>
  </w:style>
  <w:style w:type="paragraph" w:styleId="12">
    <w:name w:val="List 3"/>
    <w:basedOn w:val="1"/>
    <w:qFormat/>
    <w:uiPriority w:val="0"/>
    <w:pPr>
      <w:widowControl/>
      <w:ind w:left="100" w:leftChars="400" w:hanging="200" w:hangingChars="200"/>
      <w:jc w:val="left"/>
    </w:pPr>
    <w:rPr>
      <w:rFonts w:ascii="Calibri" w:hAnsi="Calibri"/>
      <w:kern w:val="0"/>
      <w:sz w:val="22"/>
    </w:rPr>
  </w:style>
  <w:style w:type="paragraph" w:styleId="13">
    <w:name w:val="toc 7"/>
    <w:basedOn w:val="1"/>
    <w:next w:val="1"/>
    <w:qFormat/>
    <w:uiPriority w:val="0"/>
    <w:pPr>
      <w:widowControl/>
      <w:ind w:left="1260"/>
      <w:jc w:val="left"/>
    </w:pPr>
    <w:rPr>
      <w:rFonts w:ascii="Calibri" w:hAnsi="Calibri"/>
      <w:kern w:val="0"/>
      <w:sz w:val="18"/>
      <w:szCs w:val="18"/>
    </w:rPr>
  </w:style>
  <w:style w:type="paragraph" w:styleId="14">
    <w:name w:val="List Number"/>
    <w:basedOn w:val="1"/>
    <w:qFormat/>
    <w:uiPriority w:val="0"/>
    <w:pPr>
      <w:widowControl/>
      <w:tabs>
        <w:tab w:val="left" w:pos="450"/>
      </w:tabs>
      <w:ind w:left="450" w:hanging="450"/>
      <w:jc w:val="left"/>
    </w:pPr>
    <w:rPr>
      <w:rFonts w:ascii="Calibri" w:hAnsi="Calibri"/>
      <w:kern w:val="0"/>
      <w:sz w:val="22"/>
      <w:szCs w:val="22"/>
    </w:rPr>
  </w:style>
  <w:style w:type="paragraph" w:styleId="15">
    <w:name w:val="caption"/>
    <w:basedOn w:val="1"/>
    <w:next w:val="1"/>
    <w:link w:val="511"/>
    <w:qFormat/>
    <w:uiPriority w:val="0"/>
    <w:pPr>
      <w:widowControl/>
      <w:jc w:val="left"/>
    </w:pPr>
    <w:rPr>
      <w:rFonts w:ascii="Calibri" w:hAnsi="Calibri"/>
      <w:b/>
      <w:bCs/>
      <w:color w:val="2DA2BF"/>
      <w:kern w:val="0"/>
      <w:sz w:val="18"/>
      <w:szCs w:val="18"/>
    </w:rPr>
  </w:style>
  <w:style w:type="paragraph" w:styleId="16">
    <w:name w:val="Document Map"/>
    <w:basedOn w:val="1"/>
    <w:link w:val="513"/>
    <w:qFormat/>
    <w:uiPriority w:val="0"/>
    <w:pPr>
      <w:shd w:val="clear" w:color="auto" w:fill="000080"/>
    </w:pPr>
  </w:style>
  <w:style w:type="paragraph" w:styleId="17">
    <w:name w:val="annotation text"/>
    <w:basedOn w:val="1"/>
    <w:link w:val="640"/>
    <w:qFormat/>
    <w:uiPriority w:val="0"/>
    <w:pPr>
      <w:jc w:val="left"/>
    </w:pPr>
  </w:style>
  <w:style w:type="paragraph" w:styleId="18">
    <w:name w:val="Salutation"/>
    <w:basedOn w:val="1"/>
    <w:next w:val="1"/>
    <w:link w:val="658"/>
    <w:qFormat/>
    <w:uiPriority w:val="0"/>
    <w:rPr>
      <w:rFonts w:ascii="宋体" w:hAnsi="华文宋体"/>
      <w:sz w:val="28"/>
      <w:szCs w:val="24"/>
    </w:rPr>
  </w:style>
  <w:style w:type="paragraph" w:styleId="19">
    <w:name w:val="Body Text 3"/>
    <w:basedOn w:val="1"/>
    <w:qFormat/>
    <w:uiPriority w:val="0"/>
    <w:pPr>
      <w:spacing w:line="360" w:lineRule="auto"/>
    </w:pPr>
    <w:rPr>
      <w:color w:val="FF0000"/>
    </w:rPr>
  </w:style>
  <w:style w:type="paragraph" w:styleId="20">
    <w:name w:val="List Bullet 3"/>
    <w:basedOn w:val="1"/>
    <w:qFormat/>
    <w:uiPriority w:val="0"/>
    <w:pPr>
      <w:widowControl/>
      <w:tabs>
        <w:tab w:val="left" w:pos="1200"/>
      </w:tabs>
      <w:ind w:left="1200" w:leftChars="400" w:hanging="360" w:hangingChars="200"/>
      <w:jc w:val="left"/>
    </w:pPr>
    <w:rPr>
      <w:rFonts w:ascii="Calibri" w:hAnsi="Calibri"/>
      <w:kern w:val="0"/>
      <w:sz w:val="22"/>
      <w:szCs w:val="22"/>
    </w:rPr>
  </w:style>
  <w:style w:type="paragraph" w:styleId="21">
    <w:name w:val="Body Text"/>
    <w:basedOn w:val="1"/>
    <w:next w:val="1"/>
    <w:link w:val="531"/>
    <w:qFormat/>
    <w:uiPriority w:val="0"/>
    <w:pPr>
      <w:spacing w:after="120"/>
    </w:pPr>
  </w:style>
  <w:style w:type="paragraph" w:styleId="22">
    <w:name w:val="Body Text Indent"/>
    <w:basedOn w:val="1"/>
    <w:link w:val="643"/>
    <w:qFormat/>
    <w:uiPriority w:val="0"/>
    <w:pPr>
      <w:snapToGrid w:val="0"/>
      <w:spacing w:before="120" w:line="360" w:lineRule="atLeast"/>
      <w:ind w:firstLine="539"/>
    </w:pPr>
    <w:rPr>
      <w:sz w:val="24"/>
    </w:rPr>
  </w:style>
  <w:style w:type="paragraph" w:styleId="23">
    <w:name w:val="List 2"/>
    <w:basedOn w:val="1"/>
    <w:qFormat/>
    <w:uiPriority w:val="0"/>
    <w:pPr>
      <w:ind w:left="100" w:leftChars="200" w:hanging="200" w:hangingChars="200"/>
    </w:pPr>
    <w:rPr>
      <w:szCs w:val="24"/>
    </w:rPr>
  </w:style>
  <w:style w:type="paragraph" w:styleId="24">
    <w:name w:val="Block Text"/>
    <w:basedOn w:val="1"/>
    <w:qFormat/>
    <w:uiPriority w:val="0"/>
    <w:pPr>
      <w:adjustRightInd w:val="0"/>
      <w:snapToGrid w:val="0"/>
      <w:spacing w:line="490" w:lineRule="atLeast"/>
      <w:ind w:left="10" w:leftChars="5" w:right="-449" w:rightChars="-214" w:firstLine="560" w:firstLineChars="200"/>
    </w:pPr>
    <w:rPr>
      <w:color w:val="000000"/>
      <w:sz w:val="28"/>
      <w:szCs w:val="24"/>
    </w:rPr>
  </w:style>
  <w:style w:type="paragraph" w:styleId="25">
    <w:name w:val="List Bullet 2"/>
    <w:basedOn w:val="1"/>
    <w:qFormat/>
    <w:uiPriority w:val="0"/>
    <w:pPr>
      <w:widowControl/>
      <w:tabs>
        <w:tab w:val="left" w:pos="780"/>
      </w:tabs>
      <w:ind w:left="780" w:leftChars="200" w:hanging="360" w:hangingChars="200"/>
      <w:jc w:val="left"/>
    </w:pPr>
    <w:rPr>
      <w:rFonts w:ascii="Calibri" w:hAnsi="Calibri"/>
      <w:kern w:val="0"/>
      <w:sz w:val="22"/>
      <w:szCs w:val="22"/>
    </w:rPr>
  </w:style>
  <w:style w:type="paragraph" w:styleId="26">
    <w:name w:val="HTML Address"/>
    <w:basedOn w:val="1"/>
    <w:qFormat/>
    <w:uiPriority w:val="0"/>
    <w:pPr>
      <w:spacing w:before="60"/>
      <w:ind w:firstLine="482"/>
    </w:pPr>
    <w:rPr>
      <w:rFonts w:ascii="Arial" w:hAnsi="Arial" w:eastAsia="仿宋_GB2312"/>
      <w:i/>
      <w:iCs/>
      <w:kern w:val="0"/>
      <w:sz w:val="24"/>
    </w:rPr>
  </w:style>
  <w:style w:type="paragraph" w:styleId="27">
    <w:name w:val="toc 5"/>
    <w:basedOn w:val="1"/>
    <w:next w:val="1"/>
    <w:qFormat/>
    <w:uiPriority w:val="0"/>
    <w:pPr>
      <w:widowControl/>
      <w:ind w:left="840"/>
      <w:jc w:val="left"/>
    </w:pPr>
    <w:rPr>
      <w:rFonts w:ascii="Calibri" w:hAnsi="Calibri"/>
      <w:kern w:val="0"/>
      <w:sz w:val="18"/>
      <w:szCs w:val="18"/>
    </w:rPr>
  </w:style>
  <w:style w:type="paragraph" w:styleId="28">
    <w:name w:val="toc 3"/>
    <w:basedOn w:val="1"/>
    <w:next w:val="1"/>
    <w:qFormat/>
    <w:uiPriority w:val="0"/>
    <w:pPr>
      <w:adjustRightInd w:val="0"/>
      <w:snapToGrid w:val="0"/>
      <w:spacing w:line="300" w:lineRule="auto"/>
      <w:ind w:left="560"/>
      <w:jc w:val="left"/>
    </w:pPr>
    <w:rPr>
      <w:rFonts w:eastAsia="仿宋_GB2312"/>
      <w:sz w:val="28"/>
    </w:rPr>
  </w:style>
  <w:style w:type="paragraph" w:styleId="29">
    <w:name w:val="Plain Text"/>
    <w:basedOn w:val="1"/>
    <w:link w:val="671"/>
    <w:qFormat/>
    <w:uiPriority w:val="0"/>
    <w:pPr>
      <w:adjustRightInd w:val="0"/>
      <w:spacing w:before="120" w:line="400" w:lineRule="exact"/>
      <w:textAlignment w:val="baseline"/>
    </w:pPr>
    <w:rPr>
      <w:rFonts w:ascii="宋体" w:hAnsi="Courier New"/>
      <w:spacing w:val="-2"/>
      <w:kern w:val="28"/>
    </w:rPr>
  </w:style>
  <w:style w:type="paragraph" w:styleId="30">
    <w:name w:val="List Bullet 5"/>
    <w:basedOn w:val="1"/>
    <w:qFormat/>
    <w:uiPriority w:val="0"/>
    <w:pPr>
      <w:numPr>
        <w:ilvl w:val="0"/>
        <w:numId w:val="2"/>
      </w:numPr>
    </w:pPr>
  </w:style>
  <w:style w:type="paragraph" w:styleId="31">
    <w:name w:val="List Number 4"/>
    <w:basedOn w:val="1"/>
    <w:qFormat/>
    <w:uiPriority w:val="0"/>
    <w:pPr>
      <w:widowControl/>
      <w:tabs>
        <w:tab w:val="left" w:pos="1620"/>
      </w:tabs>
      <w:ind w:left="1620" w:leftChars="600" w:hanging="360" w:hangingChars="200"/>
      <w:jc w:val="left"/>
    </w:pPr>
    <w:rPr>
      <w:rFonts w:ascii="Calibri" w:hAnsi="Calibri"/>
      <w:kern w:val="0"/>
      <w:sz w:val="22"/>
      <w:szCs w:val="22"/>
    </w:rPr>
  </w:style>
  <w:style w:type="paragraph" w:styleId="32">
    <w:name w:val="toc 8"/>
    <w:basedOn w:val="1"/>
    <w:next w:val="1"/>
    <w:qFormat/>
    <w:uiPriority w:val="0"/>
    <w:pPr>
      <w:widowControl/>
      <w:ind w:left="1470"/>
      <w:jc w:val="left"/>
    </w:pPr>
    <w:rPr>
      <w:rFonts w:ascii="Calibri" w:hAnsi="Calibri"/>
      <w:kern w:val="0"/>
      <w:sz w:val="18"/>
      <w:szCs w:val="18"/>
    </w:rPr>
  </w:style>
  <w:style w:type="paragraph" w:styleId="33">
    <w:name w:val="Date"/>
    <w:basedOn w:val="1"/>
    <w:next w:val="1"/>
    <w:link w:val="591"/>
    <w:qFormat/>
    <w:uiPriority w:val="0"/>
    <w:pPr>
      <w:adjustRightInd w:val="0"/>
      <w:spacing w:before="156" w:beforeLines="50" w:line="312" w:lineRule="atLeast"/>
      <w:textAlignment w:val="baseline"/>
    </w:pPr>
    <w:rPr>
      <w:kern w:val="0"/>
    </w:rPr>
  </w:style>
  <w:style w:type="paragraph" w:styleId="34">
    <w:name w:val="Body Text Indent 2"/>
    <w:basedOn w:val="1"/>
    <w:link w:val="697"/>
    <w:qFormat/>
    <w:uiPriority w:val="0"/>
    <w:pPr>
      <w:spacing w:before="15" w:line="480" w:lineRule="exact"/>
      <w:ind w:firstLine="496" w:firstLineChars="200"/>
    </w:pPr>
    <w:rPr>
      <w:rFonts w:ascii="宋体" w:hAnsi="宋体"/>
      <w:spacing w:val="4"/>
      <w:sz w:val="24"/>
    </w:rPr>
  </w:style>
  <w:style w:type="paragraph" w:styleId="35">
    <w:name w:val="endnote text"/>
    <w:basedOn w:val="1"/>
    <w:semiHidden/>
    <w:qFormat/>
    <w:uiPriority w:val="0"/>
    <w:pPr>
      <w:snapToGrid w:val="0"/>
      <w:jc w:val="left"/>
    </w:pPr>
    <w:rPr>
      <w:rFonts w:ascii="Calibri" w:hAnsi="Calibri"/>
      <w:szCs w:val="22"/>
    </w:rPr>
  </w:style>
  <w:style w:type="paragraph" w:styleId="36">
    <w:name w:val="Balloon Text"/>
    <w:basedOn w:val="1"/>
    <w:link w:val="578"/>
    <w:qFormat/>
    <w:uiPriority w:val="0"/>
    <w:pPr>
      <w:widowControl/>
      <w:autoSpaceDE w:val="0"/>
      <w:autoSpaceDN w:val="0"/>
      <w:adjustRightInd w:val="0"/>
      <w:snapToGrid w:val="0"/>
      <w:spacing w:line="400" w:lineRule="atLeast"/>
      <w:jc w:val="left"/>
      <w:textAlignment w:val="baseline"/>
    </w:pPr>
    <w:rPr>
      <w:rFonts w:ascii="Calibri" w:hAnsi="Calibri"/>
      <w:kern w:val="0"/>
      <w:sz w:val="18"/>
      <w:szCs w:val="18"/>
    </w:rPr>
  </w:style>
  <w:style w:type="paragraph" w:styleId="37">
    <w:name w:val="footer"/>
    <w:basedOn w:val="1"/>
    <w:link w:val="721"/>
    <w:qFormat/>
    <w:uiPriority w:val="0"/>
    <w:pPr>
      <w:tabs>
        <w:tab w:val="center" w:pos="4153"/>
        <w:tab w:val="right" w:pos="8306"/>
      </w:tabs>
      <w:snapToGrid w:val="0"/>
      <w:jc w:val="left"/>
    </w:pPr>
    <w:rPr>
      <w:sz w:val="18"/>
    </w:rPr>
  </w:style>
  <w:style w:type="paragraph" w:styleId="38">
    <w:name w:val="header"/>
    <w:basedOn w:val="1"/>
    <w:next w:val="1"/>
    <w:link w:val="738"/>
    <w:qFormat/>
    <w:uiPriority w:val="0"/>
    <w:pPr>
      <w:pBdr>
        <w:bottom w:val="single" w:color="auto" w:sz="6" w:space="1"/>
      </w:pBdr>
      <w:tabs>
        <w:tab w:val="center" w:pos="4153"/>
        <w:tab w:val="right" w:pos="8306"/>
      </w:tabs>
      <w:snapToGrid w:val="0"/>
      <w:jc w:val="center"/>
    </w:pPr>
    <w:rPr>
      <w:sz w:val="18"/>
    </w:rPr>
  </w:style>
  <w:style w:type="paragraph" w:styleId="39">
    <w:name w:val="toc 1"/>
    <w:basedOn w:val="1"/>
    <w:next w:val="1"/>
    <w:qFormat/>
    <w:uiPriority w:val="0"/>
    <w:pPr>
      <w:widowControl/>
      <w:tabs>
        <w:tab w:val="left" w:pos="630"/>
        <w:tab w:val="right" w:leader="dot" w:pos="8511"/>
      </w:tabs>
      <w:spacing w:before="120" w:after="120" w:line="400" w:lineRule="exact"/>
      <w:jc w:val="center"/>
    </w:pPr>
    <w:rPr>
      <w:rFonts w:ascii="幼圆" w:hAnsi="Calibri" w:eastAsia="幼圆"/>
      <w:b/>
      <w:bCs/>
      <w:caps/>
      <w:kern w:val="0"/>
      <w:sz w:val="24"/>
      <w:szCs w:val="24"/>
      <w:lang w:val="zh-CN"/>
    </w:rPr>
  </w:style>
  <w:style w:type="paragraph" w:styleId="40">
    <w:name w:val="toc 4"/>
    <w:basedOn w:val="1"/>
    <w:next w:val="1"/>
    <w:qFormat/>
    <w:uiPriority w:val="0"/>
    <w:pPr>
      <w:widowControl/>
      <w:ind w:left="630"/>
      <w:jc w:val="left"/>
    </w:pPr>
    <w:rPr>
      <w:rFonts w:ascii="Calibri" w:hAnsi="Calibri"/>
      <w:kern w:val="0"/>
      <w:sz w:val="18"/>
      <w:szCs w:val="18"/>
    </w:rPr>
  </w:style>
  <w:style w:type="paragraph" w:styleId="41">
    <w:name w:val="Subtitle"/>
    <w:basedOn w:val="1"/>
    <w:next w:val="1"/>
    <w:link w:val="672"/>
    <w:qFormat/>
    <w:uiPriority w:val="0"/>
    <w:pPr>
      <w:widowControl/>
      <w:jc w:val="left"/>
    </w:pPr>
    <w:rPr>
      <w:sz w:val="24"/>
    </w:rPr>
  </w:style>
  <w:style w:type="paragraph" w:styleId="42">
    <w:name w:val="List"/>
    <w:basedOn w:val="1"/>
    <w:qFormat/>
    <w:uiPriority w:val="0"/>
    <w:pPr>
      <w:ind w:left="200" w:hanging="200" w:hangingChars="200"/>
    </w:pPr>
  </w:style>
  <w:style w:type="paragraph" w:styleId="43">
    <w:name w:val="toc 6"/>
    <w:basedOn w:val="1"/>
    <w:next w:val="1"/>
    <w:qFormat/>
    <w:uiPriority w:val="0"/>
    <w:pPr>
      <w:widowControl/>
      <w:ind w:left="1050"/>
      <w:jc w:val="left"/>
    </w:pPr>
    <w:rPr>
      <w:rFonts w:ascii="Calibri" w:hAnsi="Calibri"/>
      <w:kern w:val="0"/>
      <w:sz w:val="18"/>
      <w:szCs w:val="18"/>
    </w:rPr>
  </w:style>
  <w:style w:type="paragraph" w:styleId="44">
    <w:name w:val="Body Text Indent 3"/>
    <w:basedOn w:val="1"/>
    <w:link w:val="719"/>
    <w:qFormat/>
    <w:uiPriority w:val="0"/>
    <w:pPr>
      <w:spacing w:before="120" w:line="460" w:lineRule="atLeast"/>
      <w:ind w:firstLine="480" w:firstLineChars="200"/>
    </w:pPr>
    <w:rPr>
      <w:sz w:val="24"/>
    </w:rPr>
  </w:style>
  <w:style w:type="paragraph" w:styleId="45">
    <w:name w:val="table of figures"/>
    <w:basedOn w:val="1"/>
    <w:next w:val="1"/>
    <w:qFormat/>
    <w:uiPriority w:val="0"/>
    <w:pPr>
      <w:widowControl/>
      <w:spacing w:line="500" w:lineRule="atLeast"/>
      <w:jc w:val="center"/>
    </w:pPr>
    <w:rPr>
      <w:rFonts w:hint="eastAsia" w:ascii="仿宋_GB2312" w:hAnsi="Calibri" w:eastAsia="仿宋_GB2312"/>
      <w:kern w:val="0"/>
      <w:sz w:val="28"/>
      <w:szCs w:val="22"/>
    </w:rPr>
  </w:style>
  <w:style w:type="paragraph" w:styleId="46">
    <w:name w:val="toc 2"/>
    <w:basedOn w:val="1"/>
    <w:next w:val="1"/>
    <w:qFormat/>
    <w:uiPriority w:val="0"/>
    <w:pPr>
      <w:widowControl/>
      <w:tabs>
        <w:tab w:val="left" w:pos="840"/>
        <w:tab w:val="right" w:leader="dot" w:pos="8511"/>
      </w:tabs>
      <w:spacing w:line="320" w:lineRule="exact"/>
      <w:ind w:left="210"/>
      <w:jc w:val="left"/>
    </w:pPr>
    <w:rPr>
      <w:rFonts w:ascii="Calibri" w:hAnsi="Calibri"/>
      <w:smallCaps/>
      <w:kern w:val="0"/>
      <w:sz w:val="24"/>
      <w:szCs w:val="22"/>
    </w:rPr>
  </w:style>
  <w:style w:type="paragraph" w:styleId="47">
    <w:name w:val="toc 9"/>
    <w:basedOn w:val="1"/>
    <w:next w:val="1"/>
    <w:qFormat/>
    <w:uiPriority w:val="0"/>
    <w:pPr>
      <w:widowControl/>
      <w:ind w:left="1680"/>
      <w:jc w:val="left"/>
    </w:pPr>
    <w:rPr>
      <w:rFonts w:ascii="Calibri" w:hAnsi="Calibri"/>
      <w:kern w:val="0"/>
      <w:sz w:val="18"/>
      <w:szCs w:val="18"/>
    </w:rPr>
  </w:style>
  <w:style w:type="paragraph" w:styleId="48">
    <w:name w:val="Body Text 2"/>
    <w:basedOn w:val="1"/>
    <w:qFormat/>
    <w:uiPriority w:val="0"/>
    <w:pPr>
      <w:widowControl/>
      <w:spacing w:after="120" w:line="480" w:lineRule="auto"/>
      <w:jc w:val="left"/>
    </w:pPr>
    <w:rPr>
      <w:rFonts w:ascii="Calibri" w:hAnsi="Calibri"/>
      <w:kern w:val="0"/>
      <w:sz w:val="22"/>
      <w:szCs w:val="22"/>
    </w:rPr>
  </w:style>
  <w:style w:type="paragraph" w:styleId="49">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2"/>
    </w:rPr>
  </w:style>
  <w:style w:type="paragraph" w:styleId="50">
    <w:name w:val="Normal (Web)"/>
    <w:basedOn w:val="1"/>
    <w:link w:val="642"/>
    <w:qFormat/>
    <w:uiPriority w:val="99"/>
    <w:pPr>
      <w:widowControl/>
      <w:spacing w:before="150" w:line="312" w:lineRule="auto"/>
      <w:ind w:firstLine="480"/>
      <w:jc w:val="left"/>
    </w:pPr>
    <w:rPr>
      <w:rFonts w:ascii="_x000B__x000C_" w:hAnsi="_x000B__x000C_"/>
      <w:color w:val="000000"/>
      <w:spacing w:val="15"/>
      <w:kern w:val="0"/>
      <w:sz w:val="18"/>
    </w:rPr>
  </w:style>
  <w:style w:type="paragraph" w:styleId="51">
    <w:name w:val="index 1"/>
    <w:basedOn w:val="1"/>
    <w:next w:val="1"/>
    <w:qFormat/>
    <w:uiPriority w:val="0"/>
    <w:pPr>
      <w:widowControl/>
      <w:spacing w:line="330" w:lineRule="exact"/>
      <w:jc w:val="center"/>
    </w:pPr>
    <w:rPr>
      <w:rFonts w:ascii="宋体" w:hAnsi="Calibri"/>
      <w:kern w:val="0"/>
      <w:sz w:val="18"/>
      <w:szCs w:val="21"/>
    </w:rPr>
  </w:style>
  <w:style w:type="paragraph" w:styleId="52">
    <w:name w:val="Title"/>
    <w:basedOn w:val="1"/>
    <w:link w:val="706"/>
    <w:qFormat/>
    <w:uiPriority w:val="0"/>
    <w:pPr>
      <w:adjustRightInd w:val="0"/>
      <w:snapToGrid w:val="0"/>
      <w:spacing w:before="240" w:after="240" w:line="300" w:lineRule="auto"/>
      <w:jc w:val="left"/>
      <w:outlineLvl w:val="0"/>
    </w:pPr>
    <w:rPr>
      <w:rFonts w:ascii="仿宋_GB2312" w:hAnsi="Arial" w:eastAsia="仿宋_GB2312"/>
      <w:b/>
      <w:sz w:val="32"/>
    </w:rPr>
  </w:style>
  <w:style w:type="paragraph" w:styleId="53">
    <w:name w:val="annotation subject"/>
    <w:basedOn w:val="17"/>
    <w:next w:val="17"/>
    <w:link w:val="565"/>
    <w:qFormat/>
    <w:uiPriority w:val="0"/>
    <w:pPr>
      <w:widowControl/>
    </w:pPr>
    <w:rPr>
      <w:rFonts w:ascii="Calibri" w:hAnsi="Calibri"/>
      <w:b/>
      <w:bCs/>
      <w:sz w:val="22"/>
      <w:szCs w:val="22"/>
    </w:rPr>
  </w:style>
  <w:style w:type="paragraph" w:styleId="54">
    <w:name w:val="Body Text First Indent"/>
    <w:qFormat/>
    <w:uiPriority w:val="0"/>
    <w:pPr>
      <w:widowControl w:val="0"/>
      <w:adjustRightInd w:val="0"/>
      <w:snapToGrid w:val="0"/>
      <w:spacing w:after="200" w:line="360" w:lineRule="auto"/>
      <w:ind w:firstLine="505"/>
    </w:pPr>
    <w:rPr>
      <w:rFonts w:ascii="Calibri" w:hAnsi="Calibri" w:eastAsia="宋体" w:cs="Times New Roman"/>
      <w:snapToGrid w:val="0"/>
      <w:kern w:val="28"/>
      <w:sz w:val="24"/>
      <w:szCs w:val="28"/>
      <w:lang w:val="en-US" w:eastAsia="zh-CN" w:bidi="ar-SA"/>
    </w:rPr>
  </w:style>
  <w:style w:type="paragraph" w:styleId="55">
    <w:name w:val="Body Text First Indent 2"/>
    <w:basedOn w:val="22"/>
    <w:link w:val="602"/>
    <w:qFormat/>
    <w:uiPriority w:val="0"/>
    <w:pPr>
      <w:snapToGrid/>
      <w:spacing w:before="0" w:after="120" w:line="240" w:lineRule="auto"/>
      <w:ind w:left="420" w:leftChars="200" w:firstLine="420" w:firstLineChars="200"/>
    </w:pPr>
    <w:rPr>
      <w:sz w:val="21"/>
      <w:szCs w:val="24"/>
    </w:rPr>
  </w:style>
  <w:style w:type="table" w:styleId="57">
    <w:name w:val="Table Grid"/>
    <w:basedOn w:val="5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8">
    <w:name w:val="Table Theme"/>
    <w:basedOn w:val="5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9">
    <w:name w:val="Table Elegant"/>
    <w:basedOn w:val="56"/>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60">
    <w:name w:val="Table Simple 1"/>
    <w:basedOn w:val="56"/>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top w:val="nil"/>
          <w:left w:val="single" w:color="008000" w:sz="6" w:space="0"/>
          <w:bottom w:val="nil"/>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61">
    <w:name w:val="Table Columns 1"/>
    <w:basedOn w:val="56"/>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double" w:color="000000" w:sz="6" w:space="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62">
    <w:name w:val="Table Grid 5"/>
    <w:basedOn w:val="56"/>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single" w:color="000000" w:sz="12" w:space="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character" w:styleId="64">
    <w:name w:val="Strong"/>
    <w:qFormat/>
    <w:uiPriority w:val="0"/>
    <w:rPr>
      <w:b/>
      <w:bCs/>
    </w:rPr>
  </w:style>
  <w:style w:type="character" w:styleId="65">
    <w:name w:val="endnote reference"/>
    <w:semiHidden/>
    <w:qFormat/>
    <w:uiPriority w:val="0"/>
    <w:rPr>
      <w:vertAlign w:val="superscript"/>
    </w:rPr>
  </w:style>
  <w:style w:type="character" w:styleId="66">
    <w:name w:val="page number"/>
    <w:basedOn w:val="63"/>
    <w:qFormat/>
    <w:uiPriority w:val="0"/>
  </w:style>
  <w:style w:type="character" w:styleId="67">
    <w:name w:val="FollowedHyperlink"/>
    <w:qFormat/>
    <w:uiPriority w:val="0"/>
    <w:rPr>
      <w:color w:val="800080"/>
      <w:u w:val="single"/>
    </w:rPr>
  </w:style>
  <w:style w:type="character" w:styleId="68">
    <w:name w:val="Emphasis"/>
    <w:qFormat/>
    <w:uiPriority w:val="20"/>
    <w:rPr>
      <w:i/>
      <w:iCs/>
    </w:rPr>
  </w:style>
  <w:style w:type="character" w:styleId="69">
    <w:name w:val="line number"/>
    <w:basedOn w:val="63"/>
    <w:qFormat/>
    <w:uiPriority w:val="0"/>
  </w:style>
  <w:style w:type="character" w:styleId="70">
    <w:name w:val="HTML Definition"/>
    <w:basedOn w:val="63"/>
    <w:qFormat/>
    <w:uiPriority w:val="0"/>
  </w:style>
  <w:style w:type="character" w:styleId="71">
    <w:name w:val="HTML Acronym"/>
    <w:qFormat/>
    <w:uiPriority w:val="0"/>
  </w:style>
  <w:style w:type="character" w:styleId="72">
    <w:name w:val="HTML Variable"/>
    <w:basedOn w:val="63"/>
    <w:qFormat/>
    <w:uiPriority w:val="0"/>
  </w:style>
  <w:style w:type="character" w:styleId="73">
    <w:name w:val="Hyperlink"/>
    <w:qFormat/>
    <w:uiPriority w:val="99"/>
    <w:rPr>
      <w:color w:val="0000FF"/>
      <w:u w:val="single"/>
    </w:rPr>
  </w:style>
  <w:style w:type="character" w:styleId="74">
    <w:name w:val="HTML Code"/>
    <w:basedOn w:val="63"/>
    <w:qFormat/>
    <w:uiPriority w:val="0"/>
    <w:rPr>
      <w:rFonts w:hint="default" w:ascii="serif" w:hAnsi="serif" w:eastAsia="serif" w:cs="serif"/>
      <w:sz w:val="21"/>
      <w:szCs w:val="21"/>
    </w:rPr>
  </w:style>
  <w:style w:type="character" w:styleId="75">
    <w:name w:val="annotation reference"/>
    <w:qFormat/>
    <w:uiPriority w:val="0"/>
    <w:rPr>
      <w:sz w:val="21"/>
    </w:rPr>
  </w:style>
  <w:style w:type="character" w:styleId="76">
    <w:name w:val="HTML Cite"/>
    <w:basedOn w:val="63"/>
    <w:qFormat/>
    <w:uiPriority w:val="0"/>
  </w:style>
  <w:style w:type="character" w:styleId="77">
    <w:name w:val="HTML Keyboard"/>
    <w:basedOn w:val="63"/>
    <w:qFormat/>
    <w:uiPriority w:val="0"/>
    <w:rPr>
      <w:rFonts w:hint="default" w:ascii="serif" w:hAnsi="serif" w:eastAsia="serif" w:cs="serif"/>
      <w:sz w:val="21"/>
      <w:szCs w:val="21"/>
    </w:rPr>
  </w:style>
  <w:style w:type="character" w:styleId="78">
    <w:name w:val="HTML Sample"/>
    <w:basedOn w:val="63"/>
    <w:qFormat/>
    <w:uiPriority w:val="0"/>
    <w:rPr>
      <w:rFonts w:ascii="serif" w:hAnsi="serif" w:eastAsia="serif" w:cs="serif"/>
      <w:sz w:val="21"/>
      <w:szCs w:val="21"/>
    </w:rPr>
  </w:style>
  <w:style w:type="paragraph" w:customStyle="1" w:styleId="79">
    <w:name w:val="Default"/>
    <w:qFormat/>
    <w:uiPriority w:val="0"/>
    <w:pPr>
      <w:widowControl w:val="0"/>
      <w:autoSpaceDE w:val="0"/>
      <w:autoSpaceDN w:val="0"/>
      <w:adjustRightInd w:val="0"/>
      <w:spacing w:after="200" w:line="276" w:lineRule="auto"/>
    </w:pPr>
    <w:rPr>
      <w:rFonts w:ascii="宋体" w:hAnsi="Calibri" w:eastAsia="宋体" w:cs="宋体"/>
      <w:color w:val="000000"/>
      <w:sz w:val="24"/>
      <w:szCs w:val="24"/>
      <w:lang w:val="en-US" w:eastAsia="zh-CN" w:bidi="ar-SA"/>
    </w:rPr>
  </w:style>
  <w:style w:type="paragraph" w:customStyle="1" w:styleId="80">
    <w:name w:val="列出段落1"/>
    <w:basedOn w:val="1"/>
    <w:qFormat/>
    <w:uiPriority w:val="34"/>
    <w:pPr>
      <w:ind w:firstLine="420" w:firstLineChars="200"/>
    </w:pPr>
    <w:rPr>
      <w:szCs w:val="24"/>
    </w:rPr>
  </w:style>
  <w:style w:type="paragraph" w:customStyle="1" w:styleId="81">
    <w:name w:val="样式1－王鹏"/>
    <w:basedOn w:val="1"/>
    <w:qFormat/>
    <w:uiPriority w:val="0"/>
    <w:pPr>
      <w:adjustRightInd w:val="0"/>
      <w:snapToGrid w:val="0"/>
      <w:spacing w:before="120" w:beforeLines="50" w:after="120" w:afterLines="50" w:line="336" w:lineRule="auto"/>
      <w:ind w:firstLine="504" w:firstLineChars="200"/>
    </w:pPr>
    <w:rPr>
      <w:bCs/>
      <w:snapToGrid w:val="0"/>
      <w:spacing w:val="6"/>
      <w:kern w:val="0"/>
      <w:sz w:val="24"/>
      <w:szCs w:val="24"/>
    </w:rPr>
  </w:style>
  <w:style w:type="paragraph" w:customStyle="1" w:styleId="82">
    <w:name w:val="样式 样式 首行缩进:  2 字符2 + 首行缩进:  2 字符"/>
    <w:basedOn w:val="83"/>
    <w:qFormat/>
    <w:uiPriority w:val="0"/>
    <w:pPr>
      <w:spacing w:line="360" w:lineRule="auto"/>
    </w:pPr>
  </w:style>
  <w:style w:type="paragraph" w:customStyle="1" w:styleId="83">
    <w:name w:val="样式 首行缩进:  2 字符2"/>
    <w:basedOn w:val="1"/>
    <w:qFormat/>
    <w:uiPriority w:val="0"/>
    <w:pPr>
      <w:widowControl/>
      <w:ind w:firstLine="200" w:firstLineChars="200"/>
      <w:jc w:val="left"/>
    </w:pPr>
    <w:rPr>
      <w:rFonts w:ascii="Calibri" w:hAnsi="Calibri" w:cs="宋体"/>
      <w:kern w:val="0"/>
      <w:sz w:val="24"/>
    </w:rPr>
  </w:style>
  <w:style w:type="paragraph" w:customStyle="1" w:styleId="84">
    <w:name w:val="Char Char9 Char Char Char Char Char Char"/>
    <w:basedOn w:val="1"/>
    <w:qFormat/>
    <w:uiPriority w:val="0"/>
    <w:pPr>
      <w:spacing w:before="100" w:beforeLines="100" w:after="50" w:afterLines="50" w:line="600" w:lineRule="exact"/>
      <w:ind w:firstLine="200" w:firstLineChars="200"/>
    </w:pPr>
    <w:rPr>
      <w:rFonts w:eastAsia="黑体"/>
      <w:sz w:val="28"/>
      <w:szCs w:val="24"/>
    </w:rPr>
  </w:style>
  <w:style w:type="paragraph" w:customStyle="1" w:styleId="85">
    <w:name w:val="Char Char Char1 Char Char Char Char Char Char Char Char Char Char Char Char Char"/>
    <w:basedOn w:val="1"/>
    <w:qFormat/>
    <w:uiPriority w:val="0"/>
    <w:pPr>
      <w:widowControl/>
      <w:jc w:val="left"/>
    </w:pPr>
    <w:rPr>
      <w:rFonts w:ascii="Calibri" w:hAnsi="Calibri"/>
      <w:kern w:val="0"/>
      <w:sz w:val="22"/>
      <w:szCs w:val="21"/>
    </w:rPr>
  </w:style>
  <w:style w:type="paragraph" w:customStyle="1" w:styleId="86">
    <w:name w:val="G 标题 2"/>
    <w:basedOn w:val="4"/>
    <w:qFormat/>
    <w:uiPriority w:val="0"/>
    <w:pPr>
      <w:numPr>
        <w:ilvl w:val="0"/>
        <w:numId w:val="0"/>
      </w:numPr>
      <w:tabs>
        <w:tab w:val="clear" w:pos="1276"/>
      </w:tabs>
      <w:adjustRightInd/>
      <w:spacing w:before="0" w:after="0" w:line="480" w:lineRule="exact"/>
      <w:ind w:left="-25" w:leftChars="-25" w:firstLine="200" w:firstLineChars="200"/>
      <w:jc w:val="both"/>
      <w:textAlignment w:val="auto"/>
    </w:pPr>
    <w:rPr>
      <w:rFonts w:ascii="Times New Roman" w:hAnsi="Times New Roman" w:eastAsia="宋体"/>
      <w:bCs/>
      <w:color w:val="000000"/>
      <w:sz w:val="30"/>
      <w:szCs w:val="32"/>
    </w:rPr>
  </w:style>
  <w:style w:type="paragraph" w:customStyle="1" w:styleId="87">
    <w:name w:val="正文-1"/>
    <w:basedOn w:val="1"/>
    <w:qFormat/>
    <w:uiPriority w:val="0"/>
    <w:pPr>
      <w:widowControl/>
      <w:adjustRightInd w:val="0"/>
      <w:spacing w:line="440" w:lineRule="exact"/>
      <w:ind w:firstLine="200" w:firstLineChars="200"/>
      <w:jc w:val="left"/>
    </w:pPr>
    <w:rPr>
      <w:rFonts w:ascii="Calibri" w:hAnsi="Calibri"/>
      <w:kern w:val="0"/>
      <w:sz w:val="24"/>
    </w:rPr>
  </w:style>
  <w:style w:type="paragraph" w:customStyle="1" w:styleId="88">
    <w:name w:val="myformat_content Char"/>
    <w:basedOn w:val="1"/>
    <w:qFormat/>
    <w:uiPriority w:val="0"/>
    <w:pPr>
      <w:spacing w:before="156" w:beforeLines="50" w:after="156" w:afterLines="50" w:line="360" w:lineRule="exact"/>
      <w:ind w:firstLine="480" w:firstLineChars="200"/>
    </w:pPr>
    <w:rPr>
      <w:sz w:val="24"/>
    </w:rPr>
  </w:style>
  <w:style w:type="paragraph" w:customStyle="1" w:styleId="89">
    <w:name w:val="正文(首行缩进)"/>
    <w:basedOn w:val="1"/>
    <w:qFormat/>
    <w:uiPriority w:val="0"/>
    <w:pPr>
      <w:widowControl/>
      <w:adjustRightInd w:val="0"/>
      <w:spacing w:line="360" w:lineRule="auto"/>
      <w:ind w:firstLine="540" w:firstLineChars="225"/>
      <w:jc w:val="left"/>
      <w:textAlignment w:val="baseline"/>
    </w:pPr>
    <w:rPr>
      <w:rFonts w:ascii="Calibri" w:hAnsi="Calibri"/>
      <w:color w:val="000000"/>
      <w:kern w:val="0"/>
      <w:sz w:val="24"/>
      <w:szCs w:val="22"/>
    </w:rPr>
  </w:style>
  <w:style w:type="paragraph" w:customStyle="1" w:styleId="90">
    <w:name w:val="表格填充1"/>
    <w:basedOn w:val="1"/>
    <w:qFormat/>
    <w:uiPriority w:val="0"/>
    <w:pPr>
      <w:widowControl/>
      <w:adjustRightInd w:val="0"/>
      <w:spacing w:line="400" w:lineRule="exact"/>
      <w:jc w:val="center"/>
    </w:pPr>
    <w:rPr>
      <w:rFonts w:ascii="Calibri" w:hAnsi="Calibri"/>
      <w:kern w:val="0"/>
      <w:sz w:val="24"/>
      <w:szCs w:val="24"/>
    </w:rPr>
  </w:style>
  <w:style w:type="paragraph" w:customStyle="1" w:styleId="91">
    <w:name w:val="样式 标题 2二处标题 2节标题 1.11.1标题2b2ParagrafoH22nd levelh2Heade...1"/>
    <w:basedOn w:val="4"/>
    <w:link w:val="709"/>
    <w:qFormat/>
    <w:uiPriority w:val="0"/>
    <w:pPr>
      <w:keepNext w:val="0"/>
      <w:keepLines w:val="0"/>
      <w:numPr>
        <w:ilvl w:val="0"/>
        <w:numId w:val="0"/>
      </w:numPr>
      <w:tabs>
        <w:tab w:val="clear" w:pos="1276"/>
      </w:tabs>
      <w:snapToGrid w:val="0"/>
      <w:spacing w:before="0" w:after="0" w:line="480" w:lineRule="exact"/>
      <w:ind w:firstLine="602" w:firstLineChars="200"/>
      <w:textAlignment w:val="auto"/>
    </w:pPr>
    <w:rPr>
      <w:rFonts w:ascii="Times New Roman" w:hAnsi="Times New Roman" w:eastAsia="宋体"/>
      <w:bCs/>
      <w:color w:val="000000"/>
      <w:sz w:val="30"/>
      <w:szCs w:val="30"/>
    </w:rPr>
  </w:style>
  <w:style w:type="paragraph" w:customStyle="1" w:styleId="92">
    <w:name w:val="Char4 Char Char Char"/>
    <w:basedOn w:val="1"/>
    <w:qFormat/>
    <w:uiPriority w:val="0"/>
    <w:pPr>
      <w:adjustRightInd w:val="0"/>
      <w:snapToGrid w:val="0"/>
      <w:spacing w:line="360" w:lineRule="auto"/>
      <w:ind w:firstLine="200" w:firstLineChars="200"/>
    </w:pPr>
  </w:style>
  <w:style w:type="paragraph" w:customStyle="1" w:styleId="93">
    <w:name w:val="Char Char Char Char Char Char Char Char Char"/>
    <w:basedOn w:val="1"/>
    <w:qFormat/>
    <w:uiPriority w:val="0"/>
  </w:style>
  <w:style w:type="paragraph" w:customStyle="1" w:styleId="94">
    <w:name w:val="表头1"/>
    <w:basedOn w:val="1"/>
    <w:link w:val="616"/>
    <w:qFormat/>
    <w:uiPriority w:val="0"/>
    <w:pPr>
      <w:tabs>
        <w:tab w:val="left" w:pos="5280"/>
      </w:tabs>
      <w:adjustRightInd w:val="0"/>
      <w:spacing w:before="120" w:line="300" w:lineRule="auto"/>
      <w:ind w:firstLine="1000" w:firstLineChars="500"/>
      <w:textAlignment w:val="baseline"/>
    </w:pPr>
    <w:rPr>
      <w:rFonts w:ascii="黑体" w:eastAsia="黑体"/>
      <w:spacing w:val="-20"/>
      <w:kern w:val="16"/>
      <w:sz w:val="24"/>
    </w:rPr>
  </w:style>
  <w:style w:type="paragraph" w:customStyle="1" w:styleId="95">
    <w:name w:val="文本"/>
    <w:basedOn w:val="2"/>
    <w:link w:val="736"/>
    <w:qFormat/>
    <w:uiPriority w:val="0"/>
    <w:pPr>
      <w:widowControl/>
      <w:spacing w:line="480" w:lineRule="exact"/>
      <w:ind w:firstLine="480"/>
      <w:jc w:val="left"/>
    </w:pPr>
    <w:rPr>
      <w:rFonts w:ascii="宋体" w:hAnsi="宋体" w:cs="宋体"/>
      <w:kern w:val="0"/>
      <w:sz w:val="24"/>
    </w:rPr>
  </w:style>
  <w:style w:type="paragraph" w:customStyle="1" w:styleId="96">
    <w:name w:val="样式 样式 行距: 1.5 倍行距 + 首行缩进:  2 字符"/>
    <w:basedOn w:val="97"/>
    <w:qFormat/>
    <w:uiPriority w:val="0"/>
    <w:pPr>
      <w:textAlignment w:val="center"/>
    </w:pPr>
  </w:style>
  <w:style w:type="paragraph" w:customStyle="1" w:styleId="97">
    <w:name w:val="样式 行距: 1.5 倍行距"/>
    <w:basedOn w:val="1"/>
    <w:qFormat/>
    <w:uiPriority w:val="0"/>
    <w:pPr>
      <w:widowControl/>
      <w:spacing w:line="360" w:lineRule="auto"/>
      <w:ind w:firstLine="200" w:firstLineChars="200"/>
      <w:jc w:val="left"/>
    </w:pPr>
    <w:rPr>
      <w:rFonts w:ascii="Calibri" w:hAnsi="Calibri" w:cs="宋体"/>
      <w:kern w:val="0"/>
      <w:sz w:val="24"/>
    </w:rPr>
  </w:style>
  <w:style w:type="paragraph" w:customStyle="1" w:styleId="98">
    <w:name w:val="正文zy"/>
    <w:basedOn w:val="1"/>
    <w:link w:val="699"/>
    <w:qFormat/>
    <w:uiPriority w:val="0"/>
    <w:pPr>
      <w:snapToGrid w:val="0"/>
      <w:spacing w:line="360" w:lineRule="auto"/>
      <w:ind w:firstLine="480" w:firstLineChars="200"/>
    </w:pPr>
    <w:rPr>
      <w:color w:val="000000"/>
      <w:sz w:val="24"/>
    </w:rPr>
  </w:style>
  <w:style w:type="paragraph" w:customStyle="1" w:styleId="99">
    <w:name w:val="正文王"/>
    <w:basedOn w:val="29"/>
    <w:qFormat/>
    <w:uiPriority w:val="0"/>
    <w:pPr>
      <w:widowControl/>
      <w:adjustRightInd/>
      <w:spacing w:before="0" w:line="440" w:lineRule="exact"/>
      <w:jc w:val="left"/>
      <w:textAlignment w:val="auto"/>
    </w:pPr>
    <w:rPr>
      <w:rFonts w:ascii="Arial" w:hAnsi="Arial"/>
      <w:snapToGrid w:val="0"/>
      <w:spacing w:val="0"/>
      <w:kern w:val="0"/>
      <w:sz w:val="24"/>
    </w:rPr>
  </w:style>
  <w:style w:type="paragraph" w:customStyle="1" w:styleId="100">
    <w:name w:val="表格标题标题"/>
    <w:basedOn w:val="101"/>
    <w:link w:val="655"/>
    <w:qFormat/>
    <w:uiPriority w:val="0"/>
    <w:pPr>
      <w:ind w:firstLine="0" w:firstLineChars="0"/>
      <w:jc w:val="center"/>
    </w:pPr>
    <w:rPr>
      <w:b/>
    </w:rPr>
  </w:style>
  <w:style w:type="paragraph" w:customStyle="1" w:styleId="101">
    <w:name w:val="正本文字"/>
    <w:basedOn w:val="1"/>
    <w:link w:val="590"/>
    <w:qFormat/>
    <w:uiPriority w:val="0"/>
    <w:pPr>
      <w:adjustRightInd w:val="0"/>
      <w:snapToGrid w:val="0"/>
      <w:spacing w:line="360" w:lineRule="auto"/>
      <w:ind w:firstLine="480" w:firstLineChars="200"/>
      <w:jc w:val="left"/>
    </w:pPr>
    <w:rPr>
      <w:kern w:val="18"/>
      <w:sz w:val="24"/>
    </w:rPr>
  </w:style>
  <w:style w:type="paragraph" w:customStyle="1" w:styleId="102">
    <w:name w:val="图、表内容"/>
    <w:basedOn w:val="1"/>
    <w:qFormat/>
    <w:uiPriority w:val="0"/>
    <w:pPr>
      <w:jc w:val="center"/>
    </w:pPr>
    <w:rPr>
      <w:szCs w:val="24"/>
    </w:rPr>
  </w:style>
  <w:style w:type="paragraph" w:customStyle="1" w:styleId="103">
    <w:name w:val="xl26"/>
    <w:basedOn w:val="1"/>
    <w:qFormat/>
    <w:uiPriority w:val="0"/>
    <w:pPr>
      <w:widowControl/>
      <w:pBdr>
        <w:top w:val="single" w:color="auto" w:sz="8" w:space="0"/>
        <w:left w:val="single" w:color="auto" w:sz="4" w:space="0"/>
        <w:right w:val="single" w:color="auto" w:sz="4" w:space="0"/>
      </w:pBdr>
      <w:spacing w:before="100" w:beforeAutospacing="1" w:after="100" w:afterAutospacing="1"/>
      <w:jc w:val="center"/>
      <w:textAlignment w:val="center"/>
    </w:pPr>
    <w:rPr>
      <w:rFonts w:ascii="宋体" w:hAnsi="宋体"/>
      <w:kern w:val="0"/>
      <w:sz w:val="20"/>
    </w:rPr>
  </w:style>
  <w:style w:type="paragraph" w:customStyle="1" w:styleId="104">
    <w:name w:val="Char Char1"/>
    <w:basedOn w:val="1"/>
    <w:next w:val="1"/>
    <w:qFormat/>
    <w:uiPriority w:val="0"/>
    <w:pPr>
      <w:widowControl/>
      <w:spacing w:line="360" w:lineRule="auto"/>
      <w:jc w:val="left"/>
    </w:pPr>
    <w:rPr>
      <w:rFonts w:ascii="仿宋_GB2312" w:eastAsia="仿宋_GB2312"/>
      <w:sz w:val="24"/>
    </w:rPr>
  </w:style>
  <w:style w:type="paragraph" w:customStyle="1" w:styleId="105">
    <w:name w:val="样式 标题 1 Char标题 1-王鹏 Char + 宋体 四号 非加粗"/>
    <w:basedOn w:val="3"/>
    <w:qFormat/>
    <w:uiPriority w:val="0"/>
    <w:pPr>
      <w:keepLines w:val="0"/>
      <w:snapToGrid/>
      <w:spacing w:before="50" w:beforeLines="50" w:after="50" w:afterLines="50" w:line="240" w:lineRule="auto"/>
      <w:jc w:val="center"/>
    </w:pPr>
    <w:rPr>
      <w:rFonts w:eastAsia="宋体"/>
      <w:kern w:val="2"/>
      <w:sz w:val="32"/>
      <w:szCs w:val="32"/>
    </w:rPr>
  </w:style>
  <w:style w:type="paragraph" w:customStyle="1" w:styleId="106">
    <w:name w:val="项目点符号"/>
    <w:basedOn w:val="1"/>
    <w:qFormat/>
    <w:uiPriority w:val="0"/>
    <w:pPr>
      <w:tabs>
        <w:tab w:val="left" w:pos="840"/>
      </w:tabs>
      <w:spacing w:before="163" w:line="300" w:lineRule="auto"/>
      <w:ind w:firstLine="504"/>
    </w:pPr>
    <w:rPr>
      <w:spacing w:val="6"/>
      <w:sz w:val="24"/>
      <w:szCs w:val="24"/>
    </w:rPr>
  </w:style>
  <w:style w:type="paragraph" w:customStyle="1" w:styleId="107">
    <w:name w:val="表格-lcc"/>
    <w:basedOn w:val="1"/>
    <w:next w:val="1"/>
    <w:qFormat/>
    <w:uiPriority w:val="99"/>
    <w:pPr>
      <w:snapToGrid w:val="0"/>
      <w:spacing w:line="276" w:lineRule="auto"/>
      <w:jc w:val="center"/>
    </w:pPr>
    <w:rPr>
      <w:rFonts w:ascii="Calibri" w:hAnsi="Calibri"/>
      <w:szCs w:val="22"/>
    </w:rPr>
  </w:style>
  <w:style w:type="paragraph" w:customStyle="1" w:styleId="108">
    <w:name w:val="Pa9"/>
    <w:basedOn w:val="1"/>
    <w:next w:val="1"/>
    <w:qFormat/>
    <w:uiPriority w:val="0"/>
    <w:pPr>
      <w:widowControl/>
      <w:autoSpaceDE w:val="0"/>
      <w:autoSpaceDN w:val="0"/>
      <w:adjustRightInd w:val="0"/>
      <w:spacing w:line="241" w:lineRule="atLeast"/>
      <w:jc w:val="left"/>
    </w:pPr>
    <w:rPr>
      <w:rFonts w:ascii="宋体" w:hAnsi="Calibri"/>
      <w:kern w:val="0"/>
      <w:sz w:val="24"/>
      <w:szCs w:val="22"/>
    </w:rPr>
  </w:style>
  <w:style w:type="paragraph" w:customStyle="1" w:styleId="109">
    <w:name w:val="正文加粗-lcc"/>
    <w:basedOn w:val="110"/>
    <w:qFormat/>
    <w:uiPriority w:val="0"/>
    <w:pPr>
      <w:ind w:firstLine="200"/>
    </w:pPr>
    <w:rPr>
      <w:color w:val="000000"/>
    </w:rPr>
  </w:style>
  <w:style w:type="paragraph" w:customStyle="1" w:styleId="110">
    <w:name w:val="Z加粗"/>
    <w:basedOn w:val="1"/>
    <w:qFormat/>
    <w:uiPriority w:val="0"/>
    <w:pPr>
      <w:ind w:firstLine="482"/>
    </w:pPr>
    <w:rPr>
      <w:b/>
      <w:bCs/>
      <w:szCs w:val="24"/>
    </w:rPr>
  </w:style>
  <w:style w:type="paragraph" w:customStyle="1" w:styleId="111">
    <w:name w:val="样式4.1.1.1"/>
    <w:basedOn w:val="1"/>
    <w:qFormat/>
    <w:uiPriority w:val="0"/>
    <w:pPr>
      <w:tabs>
        <w:tab w:val="left" w:pos="0"/>
      </w:tabs>
      <w:spacing w:before="50" w:beforeLines="50" w:line="360" w:lineRule="auto"/>
      <w:outlineLvl w:val="3"/>
    </w:pPr>
    <w:rPr>
      <w:b/>
      <w:bCs/>
      <w:sz w:val="24"/>
      <w:szCs w:val="24"/>
    </w:rPr>
  </w:style>
  <w:style w:type="paragraph" w:customStyle="1" w:styleId="112">
    <w:name w:val="一级标题"/>
    <w:basedOn w:val="1"/>
    <w:qFormat/>
    <w:uiPriority w:val="0"/>
    <w:pPr>
      <w:keepNext/>
      <w:widowControl/>
      <w:tabs>
        <w:tab w:val="left" w:pos="454"/>
      </w:tabs>
      <w:spacing w:before="194" w:after="194"/>
      <w:ind w:left="454" w:hanging="397"/>
      <w:jc w:val="left"/>
      <w:outlineLvl w:val="0"/>
    </w:pPr>
    <w:rPr>
      <w:rFonts w:ascii="黑体" w:hAnsi="Calibri" w:eastAsia="黑体"/>
      <w:b/>
      <w:kern w:val="0"/>
      <w:sz w:val="44"/>
      <w:szCs w:val="44"/>
    </w:rPr>
  </w:style>
  <w:style w:type="paragraph" w:customStyle="1" w:styleId="113">
    <w:name w:val="Body Text 21"/>
    <w:basedOn w:val="1"/>
    <w:qFormat/>
    <w:uiPriority w:val="0"/>
    <w:pPr>
      <w:widowControl/>
      <w:jc w:val="center"/>
      <w:textAlignment w:val="baseline"/>
    </w:pPr>
    <w:rPr>
      <w:rFonts w:ascii="Calibri" w:hAnsi="Calibri"/>
      <w:kern w:val="0"/>
      <w:sz w:val="24"/>
    </w:rPr>
  </w:style>
  <w:style w:type="paragraph" w:customStyle="1" w:styleId="114">
    <w:name w:val="样式 正文居中五号 + 行距: 单倍行距"/>
    <w:basedOn w:val="115"/>
    <w:qFormat/>
    <w:uiPriority w:val="0"/>
    <w:pPr>
      <w:spacing w:line="240" w:lineRule="auto"/>
    </w:pPr>
  </w:style>
  <w:style w:type="paragraph" w:customStyle="1" w:styleId="115">
    <w:name w:val="正文居中五号"/>
    <w:basedOn w:val="1"/>
    <w:qFormat/>
    <w:uiPriority w:val="0"/>
    <w:pPr>
      <w:widowControl/>
      <w:spacing w:line="400" w:lineRule="exact"/>
      <w:jc w:val="center"/>
    </w:pPr>
    <w:rPr>
      <w:rFonts w:ascii="Calibri" w:hAnsi="Calibri" w:cs="宋体"/>
      <w:kern w:val="0"/>
      <w:sz w:val="22"/>
    </w:rPr>
  </w:style>
  <w:style w:type="paragraph" w:customStyle="1" w:styleId="116">
    <w:name w:val="Char1 Char Char Char"/>
    <w:basedOn w:val="1"/>
    <w:qFormat/>
    <w:uiPriority w:val="0"/>
    <w:pPr>
      <w:spacing w:line="360" w:lineRule="auto"/>
      <w:ind w:firstLine="200" w:firstLineChars="200"/>
    </w:pPr>
    <w:rPr>
      <w:rFonts w:ascii="宋体" w:hAnsi="宋体" w:cs="宋体"/>
      <w:sz w:val="24"/>
      <w:szCs w:val="24"/>
    </w:rPr>
  </w:style>
  <w:style w:type="paragraph" w:customStyle="1" w:styleId="117">
    <w:name w:val="表格文本 五号 居中 单倍行距 Char Char"/>
    <w:basedOn w:val="1"/>
    <w:qFormat/>
    <w:uiPriority w:val="0"/>
    <w:pPr>
      <w:keepNext/>
      <w:widowControl/>
      <w:adjustRightInd w:val="0"/>
      <w:snapToGrid w:val="0"/>
      <w:jc w:val="left"/>
      <w:textAlignment w:val="baseline"/>
    </w:pPr>
    <w:rPr>
      <w:rFonts w:ascii="Calibri" w:hAnsi="Calibri" w:cs="宋体"/>
      <w:kern w:val="0"/>
      <w:sz w:val="22"/>
      <w:szCs w:val="21"/>
    </w:rPr>
  </w:style>
  <w:style w:type="paragraph" w:customStyle="1" w:styleId="118">
    <w:name w:val="wtext"/>
    <w:basedOn w:val="1"/>
    <w:qFormat/>
    <w:uiPriority w:val="0"/>
    <w:pPr>
      <w:widowControl/>
      <w:spacing w:before="100" w:beforeAutospacing="1" w:after="100" w:afterAutospacing="1"/>
      <w:jc w:val="left"/>
    </w:pPr>
    <w:rPr>
      <w:rFonts w:ascii="宋体" w:hAnsi="宋体"/>
      <w:color w:val="000000"/>
      <w:kern w:val="0"/>
      <w:sz w:val="20"/>
    </w:rPr>
  </w:style>
  <w:style w:type="paragraph" w:customStyle="1" w:styleId="119">
    <w:name w:val="表、图名"/>
    <w:basedOn w:val="1"/>
    <w:qFormat/>
    <w:uiPriority w:val="0"/>
    <w:pPr>
      <w:widowControl/>
      <w:adjustRightInd w:val="0"/>
      <w:snapToGrid w:val="0"/>
      <w:ind w:left="-6" w:firstLine="4" w:firstLineChars="2"/>
      <w:jc w:val="center"/>
    </w:pPr>
    <w:rPr>
      <w:rFonts w:ascii="黑体" w:hAnsi="宋体" w:eastAsia="黑体"/>
      <w:color w:val="000000"/>
      <w:kern w:val="0"/>
      <w:sz w:val="22"/>
      <w:szCs w:val="18"/>
    </w:rPr>
  </w:style>
  <w:style w:type="paragraph" w:customStyle="1" w:styleId="120">
    <w:name w:val="Char Char Char Char1"/>
    <w:basedOn w:val="1"/>
    <w:qFormat/>
    <w:uiPriority w:val="0"/>
    <w:pPr>
      <w:widowControl/>
      <w:jc w:val="left"/>
    </w:pPr>
    <w:rPr>
      <w:rFonts w:ascii="Calibri" w:hAnsi="Calibri"/>
      <w:kern w:val="0"/>
      <w:sz w:val="22"/>
      <w:szCs w:val="21"/>
    </w:rPr>
  </w:style>
  <w:style w:type="paragraph" w:customStyle="1" w:styleId="121">
    <w:name w:val="文本123-II"/>
    <w:basedOn w:val="6"/>
    <w:qFormat/>
    <w:uiPriority w:val="0"/>
    <w:pPr>
      <w:keepNext w:val="0"/>
      <w:keepLines w:val="0"/>
      <w:widowControl/>
      <w:numPr>
        <w:ilvl w:val="0"/>
        <w:numId w:val="0"/>
      </w:numPr>
      <w:tabs>
        <w:tab w:val="left" w:pos="780"/>
        <w:tab w:val="clear" w:pos="2976"/>
      </w:tabs>
      <w:spacing w:before="156" w:beforeLines="50" w:after="0" w:line="240" w:lineRule="auto"/>
      <w:ind w:left="780" w:hanging="360"/>
      <w:jc w:val="left"/>
    </w:pPr>
    <w:rPr>
      <w:rFonts w:ascii="Cambria" w:hAnsi="Cambria" w:eastAsia="宋体"/>
      <w:bCs/>
      <w:i/>
      <w:iCs/>
      <w:color w:val="2DA2BF"/>
      <w:sz w:val="22"/>
      <w:szCs w:val="22"/>
    </w:rPr>
  </w:style>
  <w:style w:type="paragraph" w:customStyle="1" w:styleId="122">
    <w:name w:val="第一标题"/>
    <w:basedOn w:val="1"/>
    <w:qFormat/>
    <w:uiPriority w:val="0"/>
    <w:pPr>
      <w:widowControl/>
      <w:jc w:val="center"/>
    </w:pPr>
    <w:rPr>
      <w:rFonts w:ascii="Calibri" w:hAnsi="Calibri" w:cs="宋体"/>
      <w:kern w:val="0"/>
      <w:sz w:val="44"/>
    </w:rPr>
  </w:style>
  <w:style w:type="paragraph" w:customStyle="1" w:styleId="123">
    <w:name w:val="表格中文字"/>
    <w:basedOn w:val="1"/>
    <w:link w:val="535"/>
    <w:qFormat/>
    <w:uiPriority w:val="0"/>
    <w:pPr>
      <w:adjustRightInd w:val="0"/>
      <w:snapToGrid w:val="0"/>
      <w:jc w:val="center"/>
    </w:pPr>
    <w:rPr>
      <w:kern w:val="18"/>
      <w:szCs w:val="21"/>
    </w:rPr>
  </w:style>
  <w:style w:type="paragraph" w:customStyle="1" w:styleId="124">
    <w:name w:val="样1"/>
    <w:basedOn w:val="1"/>
    <w:qFormat/>
    <w:uiPriority w:val="0"/>
    <w:pPr>
      <w:autoSpaceDE w:val="0"/>
      <w:autoSpaceDN w:val="0"/>
      <w:adjustRightInd w:val="0"/>
      <w:ind w:right="232" w:firstLine="420" w:firstLineChars="199"/>
      <w:jc w:val="center"/>
      <w:textAlignment w:val="bottom"/>
    </w:pPr>
    <w:rPr>
      <w:b/>
      <w:bCs/>
      <w:kern w:val="0"/>
      <w:szCs w:val="21"/>
    </w:rPr>
  </w:style>
  <w:style w:type="paragraph" w:customStyle="1" w:styleId="125">
    <w:name w:val="Char Char Char Char"/>
    <w:basedOn w:val="1"/>
    <w:qFormat/>
    <w:uiPriority w:val="0"/>
    <w:rPr>
      <w:sz w:val="24"/>
    </w:rPr>
  </w:style>
  <w:style w:type="paragraph" w:customStyle="1" w:styleId="126">
    <w:name w:val="样式 标题 2二处标题 2节标题 1.11.1标题2b2ParagrafoH22nd levelh2Heade...2"/>
    <w:basedOn w:val="4"/>
    <w:qFormat/>
    <w:uiPriority w:val="0"/>
    <w:pPr>
      <w:keepNext w:val="0"/>
      <w:keepLines w:val="0"/>
      <w:numPr>
        <w:ilvl w:val="0"/>
        <w:numId w:val="0"/>
      </w:numPr>
      <w:tabs>
        <w:tab w:val="clear" w:pos="1276"/>
      </w:tabs>
      <w:snapToGrid w:val="0"/>
      <w:spacing w:before="0" w:after="0" w:line="480" w:lineRule="exact"/>
      <w:ind w:firstLine="600" w:firstLineChars="200"/>
      <w:textAlignment w:val="auto"/>
    </w:pPr>
    <w:rPr>
      <w:rFonts w:ascii="Times New Roman" w:hAnsi="Times New Roman" w:eastAsia="Times New Roman" w:cs="宋体"/>
      <w:color w:val="000000"/>
      <w:sz w:val="30"/>
    </w:rPr>
  </w:style>
  <w:style w:type="paragraph" w:customStyle="1" w:styleId="127">
    <w:name w:val="样式 宋体 四号 行距: 固定值 24 磅"/>
    <w:basedOn w:val="1"/>
    <w:qFormat/>
    <w:uiPriority w:val="0"/>
    <w:pPr>
      <w:spacing w:line="480" w:lineRule="exact"/>
      <w:ind w:firstLine="200" w:firstLineChars="200"/>
    </w:pPr>
    <w:rPr>
      <w:rFonts w:cs="宋体"/>
      <w:sz w:val="28"/>
    </w:rPr>
  </w:style>
  <w:style w:type="paragraph" w:customStyle="1" w:styleId="128">
    <w:name w:val="BT2"/>
    <w:basedOn w:val="4"/>
    <w:qFormat/>
    <w:uiPriority w:val="0"/>
    <w:pPr>
      <w:widowControl/>
      <w:numPr>
        <w:ilvl w:val="0"/>
        <w:numId w:val="0"/>
      </w:numPr>
      <w:tabs>
        <w:tab w:val="clear" w:pos="1276"/>
      </w:tabs>
      <w:adjustRightInd/>
      <w:spacing w:before="0" w:after="0" w:line="240" w:lineRule="auto"/>
      <w:textAlignment w:val="auto"/>
    </w:pPr>
    <w:rPr>
      <w:rFonts w:ascii="Times New Roman" w:hAnsi="Times New Roman" w:eastAsia="宋体"/>
      <w:bCs/>
      <w:color w:val="2DA2BF"/>
      <w:kern w:val="0"/>
      <w:sz w:val="26"/>
      <w:szCs w:val="26"/>
    </w:rPr>
  </w:style>
  <w:style w:type="paragraph" w:customStyle="1" w:styleId="129">
    <w:name w:val="Char Char1 Char"/>
    <w:basedOn w:val="1"/>
    <w:qFormat/>
    <w:uiPriority w:val="0"/>
    <w:rPr>
      <w:sz w:val="24"/>
      <w:szCs w:val="24"/>
    </w:rPr>
  </w:style>
  <w:style w:type="paragraph" w:customStyle="1" w:styleId="130">
    <w:name w:val="标题3李程程、"/>
    <w:basedOn w:val="79"/>
    <w:qFormat/>
    <w:uiPriority w:val="0"/>
    <w:pPr>
      <w:spacing w:after="0" w:line="360" w:lineRule="auto"/>
      <w:jc w:val="both"/>
    </w:pPr>
    <w:rPr>
      <w:rFonts w:hint="eastAsia" w:cs="Times New Roman"/>
      <w:b/>
      <w:kern w:val="2"/>
    </w:rPr>
  </w:style>
  <w:style w:type="paragraph" w:customStyle="1" w:styleId="131">
    <w:name w:val="Char Char Char Char1 Char Char"/>
    <w:basedOn w:val="6"/>
    <w:qFormat/>
    <w:uiPriority w:val="0"/>
    <w:pPr>
      <w:keepLines w:val="0"/>
      <w:widowControl/>
      <w:numPr>
        <w:ilvl w:val="0"/>
        <w:numId w:val="0"/>
      </w:numPr>
      <w:tabs>
        <w:tab w:val="left" w:pos="0"/>
        <w:tab w:val="clear" w:pos="2976"/>
      </w:tabs>
      <w:overflowPunct w:val="0"/>
      <w:autoSpaceDE w:val="0"/>
      <w:autoSpaceDN w:val="0"/>
      <w:adjustRightInd w:val="0"/>
      <w:snapToGrid w:val="0"/>
      <w:spacing w:before="120" w:after="0" w:line="360" w:lineRule="auto"/>
      <w:jc w:val="center"/>
      <w:textAlignment w:val="baseline"/>
    </w:pPr>
    <w:rPr>
      <w:rFonts w:ascii="宋体" w:eastAsia="宋体"/>
      <w:i/>
      <w:color w:val="000000"/>
      <w:kern w:val="28"/>
      <w:sz w:val="24"/>
    </w:rPr>
  </w:style>
  <w:style w:type="paragraph" w:customStyle="1" w:styleId="132">
    <w:name w:val="表格居中 Char"/>
    <w:basedOn w:val="1"/>
    <w:qFormat/>
    <w:uiPriority w:val="0"/>
    <w:pPr>
      <w:widowControl/>
      <w:jc w:val="center"/>
    </w:pPr>
    <w:rPr>
      <w:rFonts w:ascii="宋体" w:hAnsi="宋体"/>
      <w:w w:val="90"/>
      <w:kern w:val="0"/>
      <w:sz w:val="24"/>
      <w:szCs w:val="22"/>
    </w:rPr>
  </w:style>
  <w:style w:type="paragraph" w:customStyle="1" w:styleId="133">
    <w:name w:val="样式 标题 4 + (西文) Times New Roman (中文) 宋体 小四"/>
    <w:basedOn w:val="6"/>
    <w:qFormat/>
    <w:uiPriority w:val="0"/>
    <w:pPr>
      <w:widowControl/>
      <w:numPr>
        <w:ilvl w:val="0"/>
        <w:numId w:val="0"/>
      </w:numPr>
      <w:tabs>
        <w:tab w:val="left" w:pos="1397"/>
        <w:tab w:val="clear" w:pos="2976"/>
      </w:tabs>
      <w:snapToGrid w:val="0"/>
      <w:spacing w:before="78" w:beforeLines="25" w:after="78" w:afterLines="25" w:line="360" w:lineRule="auto"/>
      <w:ind w:left="1114" w:hanging="964"/>
      <w:jc w:val="left"/>
    </w:pPr>
    <w:rPr>
      <w:rFonts w:ascii="Times New Roman" w:hAnsi="Times New Roman" w:eastAsia="宋体"/>
      <w:bCs/>
      <w:iCs/>
      <w:sz w:val="24"/>
      <w:szCs w:val="24"/>
    </w:rPr>
  </w:style>
  <w:style w:type="paragraph" w:customStyle="1" w:styleId="134">
    <w:name w:val="文本123"/>
    <w:basedOn w:val="2"/>
    <w:qFormat/>
    <w:uiPriority w:val="0"/>
    <w:pPr>
      <w:widowControl/>
      <w:tabs>
        <w:tab w:val="left" w:pos="780"/>
      </w:tabs>
      <w:snapToGrid w:val="0"/>
      <w:spacing w:before="62" w:beforeLines="20" w:line="480" w:lineRule="exact"/>
      <w:ind w:left="780" w:hanging="360" w:firstLineChars="0"/>
      <w:jc w:val="left"/>
      <w:outlineLvl w:val="7"/>
    </w:pPr>
    <w:rPr>
      <w:rFonts w:ascii="Calibri" w:hAnsi="Calibri"/>
      <w:kern w:val="0"/>
      <w:sz w:val="24"/>
      <w:szCs w:val="24"/>
    </w:rPr>
  </w:style>
  <w:style w:type="paragraph" w:customStyle="1" w:styleId="135">
    <w:name w:val="正文01"/>
    <w:basedOn w:val="1"/>
    <w:qFormat/>
    <w:uiPriority w:val="0"/>
    <w:pPr>
      <w:spacing w:line="360" w:lineRule="auto"/>
      <w:ind w:firstLine="482"/>
    </w:pPr>
    <w:rPr>
      <w:sz w:val="24"/>
    </w:rPr>
  </w:style>
  <w:style w:type="paragraph" w:customStyle="1" w:styleId="136">
    <w:name w:val="谏壁正文chen"/>
    <w:basedOn w:val="1"/>
    <w:link w:val="599"/>
    <w:qFormat/>
    <w:uiPriority w:val="0"/>
    <w:pPr>
      <w:spacing w:line="360" w:lineRule="auto"/>
      <w:ind w:firstLine="200" w:firstLineChars="200"/>
    </w:pPr>
    <w:rPr>
      <w:sz w:val="24"/>
      <w:szCs w:val="24"/>
    </w:rPr>
  </w:style>
  <w:style w:type="paragraph" w:customStyle="1" w:styleId="137">
    <w:name w:val="表头zy"/>
    <w:basedOn w:val="1"/>
    <w:link w:val="594"/>
    <w:qFormat/>
    <w:uiPriority w:val="0"/>
    <w:pPr>
      <w:jc w:val="center"/>
    </w:pPr>
    <w:rPr>
      <w:b/>
      <w:kern w:val="0"/>
    </w:rPr>
  </w:style>
  <w:style w:type="paragraph" w:customStyle="1" w:styleId="138">
    <w:name w:val="排版正文"/>
    <w:basedOn w:val="1"/>
    <w:next w:val="1"/>
    <w:link w:val="739"/>
    <w:qFormat/>
    <w:uiPriority w:val="0"/>
    <w:pPr>
      <w:adjustRightInd w:val="0"/>
      <w:snapToGrid w:val="0"/>
      <w:spacing w:line="460" w:lineRule="exact"/>
      <w:ind w:firstLine="510"/>
    </w:pPr>
    <w:rPr>
      <w:rFonts w:eastAsia="黑体"/>
      <w:sz w:val="26"/>
      <w:szCs w:val="22"/>
    </w:rPr>
  </w:style>
  <w:style w:type="paragraph" w:customStyle="1" w:styleId="139">
    <w:name w:val="标准文本 首行缩进:2 字符 行距1倍 Char Char"/>
    <w:basedOn w:val="1"/>
    <w:link w:val="692"/>
    <w:qFormat/>
    <w:uiPriority w:val="0"/>
    <w:pPr>
      <w:widowControl/>
      <w:adjustRightInd w:val="0"/>
      <w:snapToGrid w:val="0"/>
      <w:ind w:firstLine="200" w:firstLineChars="200"/>
      <w:jc w:val="left"/>
      <w:textAlignment w:val="center"/>
    </w:pPr>
    <w:rPr>
      <w:rFonts w:cs="宋体"/>
      <w:sz w:val="24"/>
      <w:szCs w:val="24"/>
    </w:rPr>
  </w:style>
  <w:style w:type="paragraph" w:customStyle="1" w:styleId="140">
    <w:name w:val="中文报告书样式"/>
    <w:basedOn w:val="1"/>
    <w:qFormat/>
    <w:uiPriority w:val="0"/>
    <w:pPr>
      <w:adjustRightInd w:val="0"/>
      <w:spacing w:before="30" w:beforeLines="30" w:line="480" w:lineRule="atLeast"/>
      <w:ind w:firstLine="482"/>
    </w:pPr>
    <w:rPr>
      <w:kern w:val="24"/>
      <w:sz w:val="24"/>
    </w:rPr>
  </w:style>
  <w:style w:type="paragraph" w:customStyle="1" w:styleId="141">
    <w:name w:val="Char Char Char Char Char Char Char"/>
    <w:basedOn w:val="1"/>
    <w:qFormat/>
    <w:uiPriority w:val="0"/>
    <w:rPr>
      <w:sz w:val="24"/>
    </w:rPr>
  </w:style>
  <w:style w:type="paragraph" w:customStyle="1" w:styleId="142">
    <w:name w:val="小四+首行缩进"/>
    <w:basedOn w:val="1"/>
    <w:link w:val="715"/>
    <w:qFormat/>
    <w:uiPriority w:val="0"/>
    <w:pPr>
      <w:spacing w:line="360" w:lineRule="auto"/>
      <w:ind w:firstLine="482"/>
    </w:pPr>
    <w:rPr>
      <w:rFonts w:ascii="宋体" w:hAnsi="宋体"/>
      <w:sz w:val="24"/>
    </w:rPr>
  </w:style>
  <w:style w:type="paragraph" w:customStyle="1" w:styleId="143">
    <w:name w:val="标题1 Char Char Char"/>
    <w:basedOn w:val="1"/>
    <w:next w:val="1"/>
    <w:qFormat/>
    <w:uiPriority w:val="0"/>
    <w:pPr>
      <w:spacing w:before="50" w:beforeLines="50" w:after="50" w:afterLines="50"/>
      <w:jc w:val="center"/>
    </w:pPr>
    <w:rPr>
      <w:rFonts w:eastAsia="黑体"/>
      <w:kern w:val="0"/>
      <w:sz w:val="32"/>
      <w:szCs w:val="32"/>
    </w:rPr>
  </w:style>
  <w:style w:type="paragraph" w:customStyle="1" w:styleId="144">
    <w:name w:val="表头样式1"/>
    <w:basedOn w:val="1"/>
    <w:link w:val="617"/>
    <w:qFormat/>
    <w:uiPriority w:val="0"/>
    <w:pPr>
      <w:spacing w:before="156" w:beforeLines="50"/>
      <w:jc w:val="center"/>
    </w:pPr>
    <w:rPr>
      <w:rFonts w:eastAsia="黑体"/>
      <w:b/>
      <w:sz w:val="24"/>
    </w:rPr>
  </w:style>
  <w:style w:type="paragraph" w:customStyle="1" w:styleId="145">
    <w:name w:val="标准符号 行距1倍"/>
    <w:basedOn w:val="1"/>
    <w:qFormat/>
    <w:uiPriority w:val="0"/>
    <w:pPr>
      <w:widowControl/>
      <w:tabs>
        <w:tab w:val="left" w:pos="900"/>
      </w:tabs>
      <w:adjustRightInd w:val="0"/>
      <w:snapToGrid w:val="0"/>
      <w:spacing w:line="480" w:lineRule="exact"/>
      <w:ind w:left="902" w:hanging="362"/>
      <w:jc w:val="left"/>
      <w:textAlignment w:val="center"/>
    </w:pPr>
    <w:rPr>
      <w:rFonts w:ascii="Calibri" w:hAnsi="Calibri" w:cs="宋体"/>
      <w:kern w:val="0"/>
      <w:sz w:val="24"/>
      <w:szCs w:val="22"/>
    </w:rPr>
  </w:style>
  <w:style w:type="paragraph" w:customStyle="1" w:styleId="146">
    <w:name w:val="gao"/>
    <w:basedOn w:val="1"/>
    <w:qFormat/>
    <w:uiPriority w:val="0"/>
    <w:pPr>
      <w:autoSpaceDE w:val="0"/>
      <w:autoSpaceDN w:val="0"/>
      <w:adjustRightInd w:val="0"/>
      <w:spacing w:line="360" w:lineRule="auto"/>
    </w:pPr>
    <w:rPr>
      <w:rFonts w:ascii="宋体"/>
      <w:spacing w:val="-20"/>
      <w:kern w:val="0"/>
      <w:sz w:val="28"/>
      <w:szCs w:val="24"/>
    </w:rPr>
  </w:style>
  <w:style w:type="paragraph" w:customStyle="1" w:styleId="147">
    <w:name w:val="Pa12"/>
    <w:basedOn w:val="1"/>
    <w:next w:val="1"/>
    <w:qFormat/>
    <w:uiPriority w:val="0"/>
    <w:pPr>
      <w:widowControl/>
      <w:autoSpaceDE w:val="0"/>
      <w:autoSpaceDN w:val="0"/>
      <w:adjustRightInd w:val="0"/>
      <w:spacing w:before="60" w:after="60" w:line="211" w:lineRule="atLeast"/>
      <w:jc w:val="left"/>
    </w:pPr>
    <w:rPr>
      <w:rFonts w:ascii="Wingdings" w:hAnsi="Wingdings"/>
      <w:kern w:val="0"/>
      <w:sz w:val="24"/>
      <w:szCs w:val="22"/>
    </w:rPr>
  </w:style>
  <w:style w:type="paragraph" w:customStyle="1" w:styleId="148">
    <w:name w:val="条题"/>
    <w:basedOn w:val="1"/>
    <w:qFormat/>
    <w:uiPriority w:val="0"/>
    <w:pPr>
      <w:widowControl/>
      <w:tabs>
        <w:tab w:val="left" w:pos="1278"/>
      </w:tabs>
      <w:spacing w:line="420" w:lineRule="exact"/>
      <w:ind w:firstLine="560" w:firstLineChars="200"/>
      <w:jc w:val="left"/>
    </w:pPr>
    <w:rPr>
      <w:rFonts w:ascii="Calibri" w:hAnsi="Calibri"/>
      <w:kern w:val="0"/>
      <w:sz w:val="24"/>
      <w:szCs w:val="22"/>
    </w:rPr>
  </w:style>
  <w:style w:type="paragraph" w:customStyle="1" w:styleId="149">
    <w:name w:val="样式 样式 宋体 小四 行距: 1.5 倍行距 + 首行缩进:  2 字符 段前: 7.8 磅 段后: 7.8 磅"/>
    <w:basedOn w:val="1"/>
    <w:qFormat/>
    <w:uiPriority w:val="0"/>
    <w:pPr>
      <w:widowControl/>
      <w:snapToGrid w:val="0"/>
      <w:spacing w:before="156" w:beforeLines="50" w:after="156" w:afterLines="50" w:line="360" w:lineRule="auto"/>
      <w:ind w:firstLine="200" w:firstLineChars="200"/>
      <w:jc w:val="left"/>
    </w:pPr>
    <w:rPr>
      <w:rFonts w:ascii="宋体" w:hAnsi="宋体"/>
      <w:kern w:val="0"/>
      <w:sz w:val="24"/>
    </w:rPr>
  </w:style>
  <w:style w:type="paragraph" w:customStyle="1" w:styleId="150">
    <w:name w:val="标准文本 首行缩进:2 字符 行距1倍 Char Char Char"/>
    <w:basedOn w:val="1"/>
    <w:qFormat/>
    <w:uiPriority w:val="0"/>
    <w:pPr>
      <w:adjustRightInd w:val="0"/>
      <w:snapToGrid w:val="0"/>
      <w:spacing w:before="120" w:beforeLines="50" w:line="480" w:lineRule="exact"/>
      <w:ind w:right="62" w:firstLine="470" w:firstLineChars="196"/>
      <w:textAlignment w:val="center"/>
    </w:pPr>
    <w:rPr>
      <w:rFonts w:cs="宋体"/>
      <w:color w:val="000000"/>
      <w:sz w:val="24"/>
      <w:szCs w:val="24"/>
    </w:rPr>
  </w:style>
  <w:style w:type="paragraph" w:customStyle="1" w:styleId="151">
    <w:name w:val="样式3wf"/>
    <w:basedOn w:val="1"/>
    <w:qFormat/>
    <w:uiPriority w:val="0"/>
    <w:pPr>
      <w:autoSpaceDE w:val="0"/>
      <w:autoSpaceDN w:val="0"/>
      <w:adjustRightInd w:val="0"/>
      <w:snapToGrid w:val="0"/>
      <w:spacing w:before="120"/>
      <w:jc w:val="center"/>
      <w:textAlignment w:val="baseline"/>
    </w:pPr>
    <w:rPr>
      <w:szCs w:val="21"/>
    </w:rPr>
  </w:style>
  <w:style w:type="paragraph" w:customStyle="1" w:styleId="152">
    <w:name w:val="纯文本1"/>
    <w:basedOn w:val="1"/>
    <w:qFormat/>
    <w:uiPriority w:val="0"/>
    <w:pPr>
      <w:adjustRightInd w:val="0"/>
      <w:textAlignment w:val="baseline"/>
    </w:pPr>
    <w:rPr>
      <w:rFonts w:ascii="宋体" w:hAnsi="Courier New"/>
    </w:rPr>
  </w:style>
  <w:style w:type="paragraph" w:customStyle="1" w:styleId="153">
    <w:name w:val="样式 标题 2二处标题 2节标题 1.11.1标题2b2ParagrafoH22nd levelh2Heade...4"/>
    <w:basedOn w:val="4"/>
    <w:qFormat/>
    <w:uiPriority w:val="0"/>
    <w:pPr>
      <w:keepNext w:val="0"/>
      <w:keepLines w:val="0"/>
      <w:numPr>
        <w:ilvl w:val="0"/>
        <w:numId w:val="0"/>
      </w:numPr>
      <w:tabs>
        <w:tab w:val="clear" w:pos="1276"/>
      </w:tabs>
      <w:snapToGrid w:val="0"/>
      <w:spacing w:before="0" w:after="0" w:line="480" w:lineRule="exact"/>
      <w:ind w:firstLine="600" w:firstLineChars="200"/>
      <w:textAlignment w:val="auto"/>
    </w:pPr>
    <w:rPr>
      <w:rFonts w:ascii="Times New Roman" w:hAnsi="Times New Roman" w:eastAsia="Times New Roman" w:cs="宋体"/>
      <w:color w:val="000000"/>
      <w:sz w:val="30"/>
    </w:rPr>
  </w:style>
  <w:style w:type="paragraph" w:customStyle="1" w:styleId="154">
    <w:name w:val="样式 标题 1二处标题 11标题 1 Char章标题章节H1Otsikko 1标题 1 Char Char Ch...1"/>
    <w:basedOn w:val="3"/>
    <w:qFormat/>
    <w:uiPriority w:val="0"/>
    <w:pPr>
      <w:snapToGrid/>
      <w:spacing w:line="480" w:lineRule="exact"/>
      <w:ind w:firstLine="200" w:firstLineChars="200"/>
    </w:pPr>
    <w:rPr>
      <w:rFonts w:eastAsia="Times New Roman" w:cs="宋体"/>
      <w:b/>
      <w:bCs/>
      <w:sz w:val="32"/>
    </w:rPr>
  </w:style>
  <w:style w:type="paragraph" w:customStyle="1" w:styleId="155">
    <w:name w:val="表名"/>
    <w:basedOn w:val="1"/>
    <w:qFormat/>
    <w:uiPriority w:val="0"/>
    <w:pPr>
      <w:spacing w:before="120" w:after="120" w:line="440" w:lineRule="exact"/>
      <w:jc w:val="center"/>
    </w:pPr>
    <w:rPr>
      <w:rFonts w:ascii="黑体" w:hAnsi="宋体" w:eastAsia="黑体"/>
    </w:rPr>
  </w:style>
  <w:style w:type="paragraph" w:customStyle="1" w:styleId="156">
    <w:name w:val="Pa21"/>
    <w:basedOn w:val="1"/>
    <w:next w:val="1"/>
    <w:qFormat/>
    <w:uiPriority w:val="0"/>
    <w:pPr>
      <w:widowControl/>
      <w:autoSpaceDE w:val="0"/>
      <w:autoSpaceDN w:val="0"/>
      <w:adjustRightInd w:val="0"/>
      <w:spacing w:before="140" w:after="140" w:line="211" w:lineRule="atLeast"/>
      <w:jc w:val="left"/>
    </w:pPr>
    <w:rPr>
      <w:rFonts w:ascii="宋体" w:hAnsi="Calibri"/>
      <w:kern w:val="0"/>
      <w:sz w:val="24"/>
      <w:szCs w:val="22"/>
    </w:rPr>
  </w:style>
  <w:style w:type="paragraph" w:customStyle="1" w:styleId="157">
    <w:name w:val="样式 文本123 + 段前: 0.2 行1"/>
    <w:basedOn w:val="134"/>
    <w:qFormat/>
    <w:uiPriority w:val="0"/>
    <w:pPr>
      <w:ind w:left="0" w:firstLine="510"/>
    </w:pPr>
    <w:rPr>
      <w:szCs w:val="20"/>
    </w:rPr>
  </w:style>
  <w:style w:type="paragraph" w:customStyle="1" w:styleId="158">
    <w:name w:val="标准文本 首行缩进:2 字符 行距1.5倍"/>
    <w:basedOn w:val="1"/>
    <w:qFormat/>
    <w:uiPriority w:val="0"/>
    <w:pPr>
      <w:widowControl/>
      <w:adjustRightInd w:val="0"/>
      <w:snapToGrid w:val="0"/>
      <w:spacing w:line="360" w:lineRule="auto"/>
      <w:ind w:firstLine="200" w:firstLineChars="200"/>
      <w:jc w:val="left"/>
      <w:textAlignment w:val="center"/>
    </w:pPr>
    <w:rPr>
      <w:rFonts w:ascii="Calibri" w:hAnsi="Calibri" w:cs="宋体"/>
      <w:kern w:val="0"/>
      <w:sz w:val="24"/>
      <w:szCs w:val="22"/>
    </w:rPr>
  </w:style>
  <w:style w:type="paragraph" w:customStyle="1" w:styleId="159">
    <w:name w:val="目录标题"/>
    <w:basedOn w:val="3"/>
    <w:qFormat/>
    <w:uiPriority w:val="0"/>
    <w:pPr>
      <w:keepNext w:val="0"/>
      <w:keepLines w:val="0"/>
      <w:widowControl/>
      <w:snapToGrid/>
      <w:spacing w:line="0" w:lineRule="atLeast"/>
      <w:jc w:val="left"/>
      <w:outlineLvl w:val="9"/>
    </w:pPr>
    <w:rPr>
      <w:rFonts w:ascii="宋体" w:hAnsi="宋体" w:eastAsia="宋体"/>
      <w:color w:val="21798E"/>
      <w:kern w:val="2"/>
      <w:sz w:val="32"/>
      <w:szCs w:val="24"/>
    </w:rPr>
  </w:style>
  <w:style w:type="paragraph" w:customStyle="1" w:styleId="160">
    <w:name w:val="注释"/>
    <w:basedOn w:val="1"/>
    <w:link w:val="734"/>
    <w:qFormat/>
    <w:uiPriority w:val="0"/>
    <w:pPr>
      <w:spacing w:line="480" w:lineRule="exact"/>
      <w:ind w:firstLine="420" w:firstLineChars="200"/>
      <w:jc w:val="left"/>
    </w:pPr>
    <w:rPr>
      <w:rFonts w:cs="宋体"/>
    </w:rPr>
  </w:style>
  <w:style w:type="paragraph" w:customStyle="1" w:styleId="161">
    <w:name w:val="表格文本 五号 居中 单倍行距"/>
    <w:basedOn w:val="1"/>
    <w:qFormat/>
    <w:uiPriority w:val="0"/>
    <w:pPr>
      <w:keepNext/>
      <w:widowControl/>
      <w:snapToGrid w:val="0"/>
      <w:ind w:firstLine="420"/>
      <w:jc w:val="center"/>
      <w:textAlignment w:val="baseline"/>
    </w:pPr>
    <w:rPr>
      <w:color w:val="FF0000"/>
      <w:kern w:val="0"/>
      <w:szCs w:val="21"/>
    </w:rPr>
  </w:style>
  <w:style w:type="paragraph" w:customStyle="1" w:styleId="162">
    <w:name w:val="二级无标题条"/>
    <w:basedOn w:val="1"/>
    <w:qFormat/>
    <w:uiPriority w:val="0"/>
    <w:rPr>
      <w:szCs w:val="24"/>
    </w:rPr>
  </w:style>
  <w:style w:type="paragraph" w:customStyle="1" w:styleId="163">
    <w:name w:val="正文lcc1"/>
    <w:basedOn w:val="1"/>
    <w:qFormat/>
    <w:uiPriority w:val="0"/>
    <w:rPr>
      <w:color w:val="000000"/>
    </w:rPr>
  </w:style>
  <w:style w:type="paragraph" w:customStyle="1" w:styleId="164">
    <w:name w:val="小二宋顶格1.5行"/>
    <w:qFormat/>
    <w:uiPriority w:val="0"/>
    <w:pPr>
      <w:spacing w:after="200" w:line="360" w:lineRule="auto"/>
      <w:ind w:firstLine="454"/>
    </w:pPr>
    <w:rPr>
      <w:rFonts w:ascii="宋体" w:hAnsi="宋体" w:eastAsia="宋体" w:cs="Times New Roman"/>
      <w:sz w:val="24"/>
      <w:szCs w:val="22"/>
      <w:lang w:val="en-US" w:eastAsia="zh-CN" w:bidi="ar-SA"/>
    </w:rPr>
  </w:style>
  <w:style w:type="paragraph" w:customStyle="1" w:styleId="165">
    <w:name w:val="_Style 1"/>
    <w:basedOn w:val="1"/>
    <w:next w:val="2"/>
    <w:qFormat/>
    <w:uiPriority w:val="0"/>
    <w:pPr>
      <w:adjustRightInd w:val="0"/>
      <w:spacing w:line="288" w:lineRule="auto"/>
      <w:ind w:firstLine="480"/>
      <w:textAlignment w:val="baseline"/>
    </w:pPr>
    <w:rPr>
      <w:rFonts w:ascii="宋体" w:hAnsi="宋体" w:cs="宋体"/>
      <w:sz w:val="24"/>
      <w:szCs w:val="24"/>
    </w:rPr>
  </w:style>
  <w:style w:type="paragraph" w:customStyle="1" w:styleId="166">
    <w:name w:val="表格文字1"/>
    <w:basedOn w:val="1"/>
    <w:link w:val="545"/>
    <w:qFormat/>
    <w:uiPriority w:val="0"/>
    <w:pPr>
      <w:jc w:val="center"/>
    </w:pPr>
    <w:rPr>
      <w:kern w:val="18"/>
      <w:szCs w:val="21"/>
    </w:rPr>
  </w:style>
  <w:style w:type="paragraph" w:customStyle="1" w:styleId="167">
    <w:name w:val="样式 样式 标题 3 + (西文) Times New Roman (中文) 宋体 小四 加粗 + (符号) 宋体"/>
    <w:basedOn w:val="168"/>
    <w:next w:val="169"/>
    <w:link w:val="712"/>
    <w:qFormat/>
    <w:uiPriority w:val="0"/>
    <w:pPr>
      <w:tabs>
        <w:tab w:val="left" w:pos="1021"/>
        <w:tab w:val="left" w:pos="1304"/>
      </w:tabs>
      <w:spacing w:after="0" w:afterLines="0" w:line="360" w:lineRule="auto"/>
      <w:ind w:left="0" w:firstLine="0"/>
    </w:pPr>
    <w:rPr>
      <w:rFonts w:hAnsi="Times New Roman"/>
    </w:rPr>
  </w:style>
  <w:style w:type="paragraph" w:customStyle="1" w:styleId="168">
    <w:name w:val="样式 标题 3 + (西文) Times New Roman (中文) 宋体 小四 加粗"/>
    <w:basedOn w:val="5"/>
    <w:link w:val="702"/>
    <w:qFormat/>
    <w:uiPriority w:val="0"/>
    <w:pPr>
      <w:numPr>
        <w:ilvl w:val="0"/>
        <w:numId w:val="0"/>
      </w:numPr>
      <w:tabs>
        <w:tab w:val="left" w:pos="1304"/>
        <w:tab w:val="clear" w:pos="2126"/>
      </w:tabs>
      <w:adjustRightInd w:val="0"/>
      <w:snapToGrid w:val="0"/>
      <w:spacing w:before="156" w:beforeLines="50" w:after="156" w:afterLines="50" w:line="240" w:lineRule="auto"/>
      <w:ind w:left="227" w:hanging="227"/>
      <w:jc w:val="left"/>
    </w:pPr>
    <w:rPr>
      <w:rFonts w:hAnsi="宋体"/>
      <w:bCs/>
      <w:snapToGrid w:val="0"/>
      <w:sz w:val="28"/>
      <w:szCs w:val="28"/>
    </w:rPr>
  </w:style>
  <w:style w:type="paragraph" w:customStyle="1" w:styleId="169">
    <w:name w:val="样式 标题 1 + (中文) 宋体 小三 行距: 多倍行距 1.35 字行"/>
    <w:basedOn w:val="3"/>
    <w:qFormat/>
    <w:uiPriority w:val="0"/>
    <w:pPr>
      <w:numPr>
        <w:ilvl w:val="0"/>
        <w:numId w:val="3"/>
      </w:numPr>
      <w:adjustRightInd w:val="0"/>
      <w:spacing w:before="468" w:beforeLines="150" w:after="468" w:afterLines="150" w:line="240" w:lineRule="auto"/>
    </w:pPr>
    <w:rPr>
      <w:rFonts w:hAnsi="宋体" w:eastAsia="宋体"/>
      <w:b/>
      <w:bCs/>
      <w:kern w:val="0"/>
      <w:sz w:val="32"/>
      <w:szCs w:val="32"/>
    </w:rPr>
  </w:style>
  <w:style w:type="paragraph" w:customStyle="1" w:styleId="170">
    <w:name w:val="pic-info"/>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71">
    <w:name w:val="Char Char Char Char2"/>
    <w:basedOn w:val="1"/>
    <w:next w:val="1"/>
    <w:semiHidden/>
    <w:qFormat/>
    <w:uiPriority w:val="0"/>
    <w:pPr>
      <w:spacing w:line="360" w:lineRule="auto"/>
      <w:ind w:firstLine="200" w:firstLineChars="200"/>
    </w:pPr>
    <w:rPr>
      <w:rFonts w:ascii="宋体" w:hAnsi="宋体" w:cs="宋体"/>
      <w:sz w:val="24"/>
      <w:szCs w:val="24"/>
    </w:rPr>
  </w:style>
  <w:style w:type="paragraph" w:customStyle="1" w:styleId="172">
    <w:name w:val="表格标题博泵"/>
    <w:basedOn w:val="1"/>
    <w:link w:val="696"/>
    <w:qFormat/>
    <w:uiPriority w:val="0"/>
    <w:pPr>
      <w:adjustRightInd w:val="0"/>
      <w:snapToGrid w:val="0"/>
      <w:jc w:val="center"/>
      <w:textAlignment w:val="baseline"/>
    </w:pPr>
    <w:rPr>
      <w:b/>
      <w:color w:val="000000"/>
    </w:rPr>
  </w:style>
  <w:style w:type="paragraph" w:customStyle="1" w:styleId="173">
    <w:name w:val="样式 样式 类别2 + 段后: 7.05 磅 + 段前: 1 行"/>
    <w:basedOn w:val="1"/>
    <w:qFormat/>
    <w:uiPriority w:val="0"/>
    <w:pPr>
      <w:adjustRightInd w:val="0"/>
      <w:snapToGrid w:val="0"/>
      <w:spacing w:before="249" w:beforeLines="80" w:after="240" w:line="400" w:lineRule="exact"/>
      <w:jc w:val="right"/>
    </w:pPr>
    <w:rPr>
      <w:rFonts w:ascii="Arial" w:hAnsi="Arial" w:eastAsia="楷体_GB2312"/>
      <w:b/>
      <w:bCs/>
      <w:snapToGrid w:val="0"/>
      <w:kern w:val="0"/>
    </w:rPr>
  </w:style>
  <w:style w:type="paragraph" w:customStyle="1" w:styleId="174">
    <w:name w:val="表蕊"/>
    <w:basedOn w:val="1"/>
    <w:link w:val="689"/>
    <w:qFormat/>
    <w:uiPriority w:val="0"/>
    <w:pPr>
      <w:adjustRightInd w:val="0"/>
      <w:spacing w:line="320" w:lineRule="atLeast"/>
      <w:jc w:val="left"/>
      <w:textAlignment w:val="baseline"/>
    </w:pPr>
    <w:rPr>
      <w:rFonts w:eastAsia="楷体_GB2312"/>
      <w:spacing w:val="-10"/>
      <w:kern w:val="0"/>
    </w:rPr>
  </w:style>
  <w:style w:type="paragraph" w:customStyle="1" w:styleId="175">
    <w:name w:val="样式 正文文本缩进 2 + 加粗 首行缩进:  2 字符 行距: 固定值 24 磅1"/>
    <w:basedOn w:val="34"/>
    <w:qFormat/>
    <w:uiPriority w:val="0"/>
    <w:pPr>
      <w:spacing w:before="0"/>
      <w:ind w:firstLine="562"/>
    </w:pPr>
    <w:rPr>
      <w:rFonts w:ascii="Times New Roman" w:hAnsi="Times New Roman" w:cs="宋体"/>
      <w:bCs/>
      <w:spacing w:val="0"/>
      <w:sz w:val="28"/>
    </w:rPr>
  </w:style>
  <w:style w:type="paragraph" w:customStyle="1" w:styleId="176">
    <w:name w:val="样式3-王鹏"/>
    <w:basedOn w:val="1"/>
    <w:qFormat/>
    <w:uiPriority w:val="0"/>
    <w:pPr>
      <w:adjustRightInd w:val="0"/>
      <w:snapToGrid w:val="0"/>
      <w:spacing w:before="100" w:after="120" w:afterLines="50" w:line="336" w:lineRule="auto"/>
      <w:ind w:firstLine="420" w:firstLineChars="200"/>
    </w:pPr>
    <w:rPr>
      <w:snapToGrid w:val="0"/>
      <w:kern w:val="0"/>
    </w:rPr>
  </w:style>
  <w:style w:type="paragraph" w:customStyle="1" w:styleId="177">
    <w:name w:val="样式 黑色 行距: 固定值 15 磅"/>
    <w:basedOn w:val="1"/>
    <w:qFormat/>
    <w:uiPriority w:val="0"/>
    <w:pPr>
      <w:spacing w:line="480" w:lineRule="exact"/>
      <w:ind w:firstLine="200" w:firstLineChars="200"/>
    </w:pPr>
    <w:rPr>
      <w:rFonts w:cs="宋体"/>
      <w:color w:val="000000"/>
      <w:sz w:val="28"/>
    </w:rPr>
  </w:style>
  <w:style w:type="paragraph" w:customStyle="1" w:styleId="178">
    <w:name w:val="标准文本 居中 单倍行距 Char Char"/>
    <w:basedOn w:val="1"/>
    <w:qFormat/>
    <w:uiPriority w:val="0"/>
    <w:pPr>
      <w:adjustRightInd w:val="0"/>
      <w:snapToGrid w:val="0"/>
      <w:jc w:val="center"/>
      <w:textAlignment w:val="center"/>
    </w:pPr>
    <w:rPr>
      <w:rFonts w:cs="宋体"/>
      <w:sz w:val="24"/>
      <w:szCs w:val="24"/>
    </w:rPr>
  </w:style>
  <w:style w:type="paragraph" w:customStyle="1" w:styleId="179">
    <w:name w:val="标准文本 首行缩进:2 字符 行距1倍 Char"/>
    <w:basedOn w:val="1"/>
    <w:qFormat/>
    <w:uiPriority w:val="0"/>
    <w:pPr>
      <w:adjustRightInd w:val="0"/>
      <w:snapToGrid w:val="0"/>
      <w:spacing w:line="480" w:lineRule="exact"/>
      <w:ind w:firstLine="480" w:firstLineChars="200"/>
      <w:jc w:val="center"/>
      <w:textAlignment w:val="center"/>
    </w:pPr>
    <w:rPr>
      <w:color w:val="FF0000"/>
      <w:sz w:val="24"/>
      <w:szCs w:val="24"/>
    </w:rPr>
  </w:style>
  <w:style w:type="paragraph" w:customStyle="1" w:styleId="180">
    <w:name w:val="简单回函地址"/>
    <w:basedOn w:val="1"/>
    <w:qFormat/>
    <w:uiPriority w:val="0"/>
    <w:pPr>
      <w:widowControl/>
      <w:jc w:val="left"/>
    </w:pPr>
    <w:rPr>
      <w:rFonts w:ascii="Calibri" w:hAnsi="Calibri"/>
      <w:kern w:val="0"/>
      <w:sz w:val="22"/>
    </w:rPr>
  </w:style>
  <w:style w:type="paragraph" w:customStyle="1" w:styleId="181">
    <w:name w:val="标题正4"/>
    <w:basedOn w:val="1"/>
    <w:qFormat/>
    <w:uiPriority w:val="0"/>
    <w:pPr>
      <w:widowControl/>
      <w:spacing w:line="300" w:lineRule="exact"/>
      <w:jc w:val="center"/>
    </w:pPr>
    <w:rPr>
      <w:rFonts w:ascii="宋体" w:hAnsi="宋体"/>
      <w:color w:val="000000"/>
      <w:kern w:val="0"/>
      <w:sz w:val="22"/>
      <w:szCs w:val="22"/>
    </w:rPr>
  </w:style>
  <w:style w:type="paragraph" w:customStyle="1" w:styleId="182">
    <w:name w:val="样2"/>
    <w:basedOn w:val="1"/>
    <w:next w:val="1"/>
    <w:qFormat/>
    <w:uiPriority w:val="0"/>
    <w:pPr>
      <w:adjustRightInd w:val="0"/>
      <w:snapToGrid w:val="0"/>
      <w:jc w:val="center"/>
      <w:textAlignment w:val="baseline"/>
    </w:pPr>
    <w:rPr>
      <w:kern w:val="0"/>
    </w:rPr>
  </w:style>
  <w:style w:type="paragraph" w:customStyle="1" w:styleId="183">
    <w:name w:val="Char Char Char1 Char Char Char Char Char Char Char Char Char Char Char Char Char1"/>
    <w:basedOn w:val="1"/>
    <w:qFormat/>
    <w:uiPriority w:val="0"/>
    <w:rPr>
      <w:szCs w:val="21"/>
    </w:rPr>
  </w:style>
  <w:style w:type="paragraph" w:customStyle="1" w:styleId="184">
    <w:name w:val="表内字"/>
    <w:basedOn w:val="1"/>
    <w:qFormat/>
    <w:uiPriority w:val="0"/>
    <w:pPr>
      <w:spacing w:line="360" w:lineRule="exact"/>
      <w:ind w:right="-94"/>
      <w:jc w:val="center"/>
    </w:pPr>
    <w:rPr>
      <w:rFonts w:ascii="宋体" w:hAnsi="宋体"/>
      <w:color w:val="000000"/>
      <w:szCs w:val="21"/>
    </w:rPr>
  </w:style>
  <w:style w:type="paragraph" w:customStyle="1" w:styleId="185">
    <w:name w:val="表标题"/>
    <w:basedOn w:val="1"/>
    <w:link w:val="637"/>
    <w:qFormat/>
    <w:uiPriority w:val="0"/>
    <w:pPr>
      <w:spacing w:line="500" w:lineRule="exact"/>
      <w:ind w:firstLine="482" w:firstLineChars="200"/>
      <w:jc w:val="center"/>
    </w:pPr>
    <w:rPr>
      <w:rFonts w:ascii="仿宋_GB2312" w:eastAsia="仿宋_GB2312"/>
      <w:b/>
      <w:bCs/>
      <w:sz w:val="24"/>
      <w:szCs w:val="24"/>
    </w:rPr>
  </w:style>
  <w:style w:type="paragraph" w:customStyle="1" w:styleId="186">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0"/>
    </w:rPr>
  </w:style>
  <w:style w:type="paragraph" w:customStyle="1" w:styleId="187">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88">
    <w:name w:val="正文小五居中"/>
    <w:basedOn w:val="1"/>
    <w:qFormat/>
    <w:uiPriority w:val="0"/>
    <w:pPr>
      <w:widowControl/>
      <w:jc w:val="center"/>
    </w:pPr>
    <w:rPr>
      <w:rFonts w:ascii="Calibri" w:hAnsi="Calibri" w:cs="宋体"/>
      <w:kern w:val="0"/>
      <w:sz w:val="18"/>
    </w:rPr>
  </w:style>
  <w:style w:type="paragraph" w:customStyle="1" w:styleId="189">
    <w:name w:val="样式 正文缩进正文（首行缩进两字）文本条款 + 段前: 0.4 行"/>
    <w:basedOn w:val="2"/>
    <w:qFormat/>
    <w:uiPriority w:val="0"/>
    <w:pPr>
      <w:widowControl/>
      <w:spacing w:before="93" w:beforeLines="30" w:line="288" w:lineRule="auto"/>
      <w:ind w:firstLine="0" w:firstLineChars="0"/>
      <w:jc w:val="left"/>
      <w:outlineLvl w:val="6"/>
    </w:pPr>
    <w:rPr>
      <w:rFonts w:ascii="Calibri" w:hAnsi="Calibri" w:eastAsia="黑体"/>
      <w:b/>
      <w:kern w:val="0"/>
      <w:sz w:val="28"/>
    </w:rPr>
  </w:style>
  <w:style w:type="paragraph" w:customStyle="1" w:styleId="190">
    <w:name w:val="正文一"/>
    <w:basedOn w:val="1"/>
    <w:link w:val="685"/>
    <w:unhideWhenUsed/>
    <w:qFormat/>
    <w:uiPriority w:val="0"/>
    <w:pPr>
      <w:widowControl/>
      <w:ind w:firstLine="480"/>
      <w:jc w:val="left"/>
    </w:pPr>
    <w:rPr>
      <w:rFonts w:ascii="宋体"/>
      <w:kern w:val="0"/>
      <w:sz w:val="20"/>
      <w:lang w:val="zh-CN"/>
    </w:rPr>
  </w:style>
  <w:style w:type="paragraph" w:customStyle="1" w:styleId="191">
    <w:name w:val="样式 标题 1-*+章标题 11.标题 1h11st levelSection Headl1b1H1Head..."/>
    <w:basedOn w:val="3"/>
    <w:qFormat/>
    <w:uiPriority w:val="0"/>
    <w:pPr>
      <w:tabs>
        <w:tab w:val="left" w:pos="432"/>
      </w:tabs>
      <w:snapToGrid/>
      <w:ind w:left="432" w:hanging="432"/>
      <w:jc w:val="left"/>
    </w:pPr>
    <w:rPr>
      <w:rFonts w:ascii="宋体" w:hAnsi="宋体" w:eastAsia="宋体" w:cs="宋体"/>
      <w:b/>
      <w:bCs/>
      <w:color w:val="000000"/>
      <w:kern w:val="2"/>
      <w:sz w:val="32"/>
    </w:rPr>
  </w:style>
  <w:style w:type="paragraph" w:customStyle="1" w:styleId="192">
    <w:name w:val="标题2"/>
    <w:basedOn w:val="1"/>
    <w:qFormat/>
    <w:uiPriority w:val="0"/>
    <w:rPr>
      <w:rFonts w:ascii="宋体" w:hAnsi="宋体"/>
      <w:b/>
      <w:kern w:val="0"/>
      <w:sz w:val="24"/>
      <w:szCs w:val="24"/>
    </w:rPr>
  </w:style>
  <w:style w:type="paragraph" w:customStyle="1" w:styleId="193">
    <w:name w:val="标准文本 居中 行距1.5倍"/>
    <w:basedOn w:val="1"/>
    <w:qFormat/>
    <w:uiPriority w:val="0"/>
    <w:pPr>
      <w:widowControl/>
      <w:spacing w:line="360" w:lineRule="auto"/>
      <w:jc w:val="center"/>
      <w:textAlignment w:val="center"/>
    </w:pPr>
    <w:rPr>
      <w:rFonts w:ascii="Calibri" w:hAnsi="Calibri" w:cs="宋体"/>
      <w:kern w:val="0"/>
      <w:sz w:val="24"/>
      <w:szCs w:val="22"/>
    </w:rPr>
  </w:style>
  <w:style w:type="paragraph" w:customStyle="1" w:styleId="194">
    <w:name w:val="公式 首行缩进:  2 字符"/>
    <w:basedOn w:val="1"/>
    <w:qFormat/>
    <w:uiPriority w:val="0"/>
    <w:pPr>
      <w:widowControl/>
      <w:ind w:firstLine="200" w:firstLineChars="200"/>
      <w:jc w:val="left"/>
      <w:textAlignment w:val="center"/>
    </w:pPr>
    <w:rPr>
      <w:rFonts w:ascii="Calibri" w:hAnsi="Calibri" w:cs="宋体"/>
      <w:kern w:val="0"/>
      <w:sz w:val="24"/>
      <w:szCs w:val="22"/>
    </w:rPr>
  </w:style>
  <w:style w:type="paragraph" w:customStyle="1" w:styleId="195">
    <w:name w:val="五号表格"/>
    <w:basedOn w:val="1"/>
    <w:qFormat/>
    <w:uiPriority w:val="0"/>
    <w:pPr>
      <w:jc w:val="center"/>
    </w:pPr>
    <w:rPr>
      <w:szCs w:val="24"/>
    </w:rPr>
  </w:style>
  <w:style w:type="paragraph" w:customStyle="1" w:styleId="196">
    <w:name w:val="xl24"/>
    <w:basedOn w:val="1"/>
    <w:qFormat/>
    <w:uiPriority w:val="0"/>
    <w:pPr>
      <w:widowControl/>
      <w:spacing w:before="100" w:beforeAutospacing="1" w:after="100" w:afterAutospacing="1"/>
      <w:jc w:val="center"/>
      <w:textAlignment w:val="center"/>
    </w:pPr>
    <w:rPr>
      <w:rFonts w:hint="eastAsia" w:ascii="仿宋_GB2312" w:hAnsi="Arial Unicode MS" w:eastAsia="仿宋_GB2312"/>
      <w:kern w:val="0"/>
      <w:sz w:val="20"/>
    </w:rPr>
  </w:style>
  <w:style w:type="paragraph" w:customStyle="1" w:styleId="197">
    <w:name w:val="四级标题"/>
    <w:basedOn w:val="1"/>
    <w:qFormat/>
    <w:uiPriority w:val="0"/>
    <w:pPr>
      <w:keepNext/>
      <w:widowControl/>
      <w:tabs>
        <w:tab w:val="left" w:pos="360"/>
        <w:tab w:val="left" w:pos="1005"/>
      </w:tabs>
      <w:spacing w:before="194" w:after="194"/>
      <w:ind w:left="1005" w:hanging="435"/>
      <w:jc w:val="center"/>
      <w:outlineLvl w:val="3"/>
    </w:pPr>
    <w:rPr>
      <w:rFonts w:ascii="Calibri" w:hAnsi="Calibri"/>
      <w:b/>
      <w:spacing w:val="16"/>
      <w:kern w:val="0"/>
      <w:sz w:val="24"/>
      <w:szCs w:val="32"/>
    </w:rPr>
  </w:style>
  <w:style w:type="paragraph" w:customStyle="1" w:styleId="198">
    <w:name w:val="Char1"/>
    <w:basedOn w:val="1"/>
    <w:qFormat/>
    <w:uiPriority w:val="0"/>
    <w:pPr>
      <w:widowControl/>
      <w:snapToGrid w:val="0"/>
      <w:spacing w:line="360" w:lineRule="auto"/>
      <w:ind w:firstLine="200" w:firstLineChars="200"/>
      <w:jc w:val="left"/>
    </w:pPr>
    <w:rPr>
      <w:rFonts w:ascii="Calibri" w:hAnsi="Calibri" w:eastAsia="仿宋_GB2312"/>
      <w:kern w:val="0"/>
      <w:sz w:val="24"/>
      <w:szCs w:val="22"/>
    </w:rPr>
  </w:style>
  <w:style w:type="paragraph" w:customStyle="1" w:styleId="199">
    <w:name w:val="文字"/>
    <w:basedOn w:val="1"/>
    <w:link w:val="742"/>
    <w:qFormat/>
    <w:uiPriority w:val="0"/>
    <w:pPr>
      <w:widowControl/>
      <w:spacing w:before="50" w:beforeLines="50" w:after="50" w:afterLines="50" w:line="360" w:lineRule="auto"/>
      <w:ind w:firstLine="200" w:firstLineChars="200"/>
    </w:pPr>
    <w:rPr>
      <w:sz w:val="24"/>
      <w:szCs w:val="24"/>
    </w:rPr>
  </w:style>
  <w:style w:type="paragraph" w:customStyle="1" w:styleId="200">
    <w:name w:val="表头小4-lcc"/>
    <w:basedOn w:val="201"/>
    <w:qFormat/>
    <w:uiPriority w:val="0"/>
    <w:rPr>
      <w:sz w:val="24"/>
    </w:rPr>
  </w:style>
  <w:style w:type="paragraph" w:customStyle="1" w:styleId="201">
    <w:name w:val="表头lcc"/>
    <w:basedOn w:val="202"/>
    <w:qFormat/>
    <w:uiPriority w:val="0"/>
    <w:rPr>
      <w:rFonts w:ascii="Calibri" w:hAnsi="Calibri"/>
      <w:szCs w:val="22"/>
    </w:rPr>
  </w:style>
  <w:style w:type="paragraph" w:customStyle="1" w:styleId="202">
    <w:name w:val="已有表格"/>
    <w:basedOn w:val="1"/>
    <w:qFormat/>
    <w:uiPriority w:val="0"/>
    <w:pPr>
      <w:adjustRightInd w:val="0"/>
      <w:spacing w:before="40" w:after="40"/>
      <w:jc w:val="center"/>
      <w:textAlignment w:val="baseline"/>
    </w:pPr>
    <w:rPr>
      <w:b/>
      <w:kern w:val="0"/>
    </w:rPr>
  </w:style>
  <w:style w:type="paragraph" w:customStyle="1" w:styleId="203">
    <w:name w:val="Char Char Char Char Char Char Char Char Char1 Char Char Char Char"/>
    <w:basedOn w:val="1"/>
    <w:qFormat/>
    <w:uiPriority w:val="0"/>
    <w:rPr>
      <w:szCs w:val="21"/>
    </w:rPr>
  </w:style>
  <w:style w:type="paragraph" w:customStyle="1" w:styleId="204">
    <w:name w:val="样式 列表 + 左侧:  0 厘米 悬挂缩进: 2 字符"/>
    <w:basedOn w:val="42"/>
    <w:qFormat/>
    <w:uiPriority w:val="0"/>
    <w:pPr>
      <w:keepNext/>
      <w:tabs>
        <w:tab w:val="center" w:pos="4153"/>
        <w:tab w:val="right" w:pos="8306"/>
      </w:tabs>
      <w:adjustRightInd w:val="0"/>
      <w:snapToGrid w:val="0"/>
      <w:spacing w:before="240" w:line="240" w:lineRule="exact"/>
      <w:ind w:left="0" w:firstLine="0" w:firstLineChars="0"/>
      <w:jc w:val="center"/>
      <w:textAlignment w:val="baseline"/>
    </w:pPr>
    <w:rPr>
      <w:rFonts w:ascii="宋体" w:hAnsi="宋体"/>
      <w:bCs/>
      <w:kern w:val="0"/>
      <w:sz w:val="24"/>
      <w:szCs w:val="21"/>
    </w:rPr>
  </w:style>
  <w:style w:type="paragraph" w:customStyle="1" w:styleId="205">
    <w:name w:val="Char"/>
    <w:basedOn w:val="1"/>
    <w:qFormat/>
    <w:uiPriority w:val="0"/>
    <w:rPr>
      <w:sz w:val="24"/>
    </w:rPr>
  </w:style>
  <w:style w:type="paragraph" w:customStyle="1" w:styleId="206">
    <w:name w:val="标题四最终"/>
    <w:basedOn w:val="207"/>
    <w:qFormat/>
    <w:uiPriority w:val="0"/>
    <w:pPr>
      <w:tabs>
        <w:tab w:val="left" w:pos="864"/>
        <w:tab w:val="left" w:pos="1800"/>
      </w:tabs>
      <w:spacing w:before="156"/>
      <w:ind w:left="864" w:hanging="864"/>
      <w:outlineLvl w:val="3"/>
    </w:pPr>
    <w:rPr>
      <w:rFonts w:hAnsi="Times New Roman"/>
    </w:rPr>
  </w:style>
  <w:style w:type="paragraph" w:customStyle="1" w:styleId="207">
    <w:name w:val="标题三最终"/>
    <w:basedOn w:val="1"/>
    <w:qFormat/>
    <w:uiPriority w:val="0"/>
    <w:pPr>
      <w:keepNext/>
      <w:keepLines/>
      <w:tabs>
        <w:tab w:val="left" w:pos="1800"/>
      </w:tabs>
      <w:adjustRightInd w:val="0"/>
      <w:snapToGrid w:val="0"/>
      <w:spacing w:before="50" w:beforeLines="50" w:line="360" w:lineRule="auto"/>
      <w:ind w:left="1800" w:hanging="720"/>
      <w:jc w:val="left"/>
      <w:outlineLvl w:val="2"/>
    </w:pPr>
    <w:rPr>
      <w:rFonts w:hAnsi="宋体"/>
      <w:b/>
      <w:bCs/>
      <w:snapToGrid w:val="0"/>
      <w:sz w:val="28"/>
      <w:szCs w:val="28"/>
    </w:rPr>
  </w:style>
  <w:style w:type="paragraph" w:customStyle="1" w:styleId="208">
    <w:name w:val="表格"/>
    <w:basedOn w:val="1"/>
    <w:link w:val="650"/>
    <w:qFormat/>
    <w:uiPriority w:val="0"/>
    <w:pPr>
      <w:widowControl/>
      <w:adjustRightInd w:val="0"/>
      <w:spacing w:line="320" w:lineRule="atLeast"/>
      <w:ind w:right="-102" w:hanging="108"/>
      <w:jc w:val="center"/>
      <w:textAlignment w:val="baseline"/>
    </w:pPr>
    <w:rPr>
      <w:rFonts w:ascii="Calibri" w:hAnsi="Calibri"/>
      <w:kern w:val="0"/>
      <w:sz w:val="24"/>
    </w:rPr>
  </w:style>
  <w:style w:type="paragraph" w:customStyle="1" w:styleId="209">
    <w:name w:val="样式 样式 正文缩进正文（首行缩进两字）文本条款 + 段前: 0.4 行 + 非加粗"/>
    <w:basedOn w:val="189"/>
    <w:qFormat/>
    <w:uiPriority w:val="0"/>
    <w:pPr>
      <w:tabs>
        <w:tab w:val="left" w:pos="780"/>
      </w:tabs>
      <w:ind w:left="780" w:hanging="360"/>
    </w:pPr>
    <w:rPr>
      <w:rFonts w:eastAsia="宋体"/>
      <w:b w:val="0"/>
      <w:sz w:val="24"/>
      <w:szCs w:val="24"/>
    </w:rPr>
  </w:style>
  <w:style w:type="paragraph" w:customStyle="1" w:styleId="210">
    <w:name w:val="图表"/>
    <w:basedOn w:val="1"/>
    <w:link w:val="564"/>
    <w:qFormat/>
    <w:uiPriority w:val="0"/>
    <w:pPr>
      <w:adjustRightInd w:val="0"/>
      <w:snapToGrid w:val="0"/>
      <w:jc w:val="center"/>
    </w:pPr>
    <w:rPr>
      <w:color w:val="000000"/>
      <w:szCs w:val="22"/>
      <w:lang w:val="zh-CN"/>
    </w:rPr>
  </w:style>
  <w:style w:type="paragraph" w:customStyle="1" w:styleId="211">
    <w:name w:val="文本框"/>
    <w:basedOn w:val="1"/>
    <w:qFormat/>
    <w:uiPriority w:val="0"/>
    <w:pPr>
      <w:spacing w:line="240" w:lineRule="atLeast"/>
    </w:pPr>
    <w:rPr>
      <w:rFonts w:ascii="宋体"/>
    </w:rPr>
  </w:style>
  <w:style w:type="paragraph" w:customStyle="1" w:styleId="212">
    <w:name w:val="默认段落字体 Para Char Char Char Char Char Char Char Char Char Char Char Char Char"/>
    <w:basedOn w:val="1"/>
    <w:qFormat/>
    <w:uiPriority w:val="0"/>
    <w:rPr>
      <w:sz w:val="24"/>
    </w:rPr>
  </w:style>
  <w:style w:type="paragraph" w:customStyle="1" w:styleId="213">
    <w:name w:val="样式 报告正文 + 首行缩进:  2 字符"/>
    <w:basedOn w:val="1"/>
    <w:link w:val="626"/>
    <w:qFormat/>
    <w:uiPriority w:val="0"/>
    <w:pPr>
      <w:widowControl/>
      <w:autoSpaceDE w:val="0"/>
      <w:autoSpaceDN w:val="0"/>
      <w:spacing w:line="360" w:lineRule="auto"/>
      <w:ind w:firstLine="200" w:firstLineChars="200"/>
      <w:jc w:val="left"/>
    </w:pPr>
    <w:rPr>
      <w:rFonts w:cs="宋体"/>
      <w:sz w:val="24"/>
    </w:rPr>
  </w:style>
  <w:style w:type="paragraph" w:customStyle="1" w:styleId="214">
    <w:name w:val="表格文字"/>
    <w:basedOn w:val="1"/>
    <w:link w:val="580"/>
    <w:qFormat/>
    <w:uiPriority w:val="0"/>
    <w:pPr>
      <w:adjustRightInd w:val="0"/>
      <w:snapToGrid w:val="0"/>
      <w:jc w:val="center"/>
    </w:pPr>
    <w:rPr>
      <w:rFonts w:ascii="仿宋_GB2312" w:hAnsi="Arial Black" w:eastAsia="仿宋_GB2312"/>
      <w:kern w:val="44"/>
      <w:sz w:val="24"/>
    </w:rPr>
  </w:style>
  <w:style w:type="paragraph" w:customStyle="1" w:styleId="215">
    <w:name w:val="样式 目录 1 + 首行缩进:  2 字符"/>
    <w:basedOn w:val="39"/>
    <w:qFormat/>
    <w:uiPriority w:val="0"/>
    <w:pPr>
      <w:adjustRightInd w:val="0"/>
      <w:snapToGrid w:val="0"/>
      <w:spacing w:line="360" w:lineRule="auto"/>
    </w:pPr>
    <w:rPr>
      <w:rFonts w:cs="宋体"/>
      <w:b w:val="0"/>
      <w:bCs w:val="0"/>
      <w:caps w:val="0"/>
      <w:sz w:val="20"/>
      <w:szCs w:val="20"/>
    </w:rPr>
  </w:style>
  <w:style w:type="paragraph" w:customStyle="1" w:styleId="216">
    <w:name w:val="样式 黑体 三号 居中 行距: 单倍行距"/>
    <w:basedOn w:val="1"/>
    <w:qFormat/>
    <w:uiPriority w:val="0"/>
    <w:pPr>
      <w:widowControl/>
      <w:jc w:val="center"/>
    </w:pPr>
    <w:rPr>
      <w:rFonts w:ascii="黑体" w:hAnsi="Calibri" w:eastAsia="黑体" w:cs="宋体"/>
      <w:kern w:val="0"/>
      <w:sz w:val="32"/>
    </w:rPr>
  </w:style>
  <w:style w:type="paragraph" w:customStyle="1" w:styleId="217">
    <w:name w:val="报告表格"/>
    <w:basedOn w:val="1"/>
    <w:qFormat/>
    <w:uiPriority w:val="0"/>
    <w:pPr>
      <w:autoSpaceDE w:val="0"/>
      <w:autoSpaceDN w:val="0"/>
      <w:adjustRightInd w:val="0"/>
      <w:spacing w:before="40" w:after="40"/>
      <w:jc w:val="center"/>
    </w:pPr>
    <w:rPr>
      <w:kern w:val="0"/>
    </w:rPr>
  </w:style>
  <w:style w:type="paragraph" w:customStyle="1" w:styleId="218">
    <w:name w:val="xl2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 w:val="24"/>
      <w:szCs w:val="22"/>
    </w:rPr>
  </w:style>
  <w:style w:type="paragraph" w:customStyle="1" w:styleId="219">
    <w:name w:val="三级条标题"/>
    <w:basedOn w:val="1"/>
    <w:next w:val="1"/>
    <w:qFormat/>
    <w:uiPriority w:val="0"/>
    <w:pPr>
      <w:widowControl/>
      <w:tabs>
        <w:tab w:val="left" w:pos="360"/>
        <w:tab w:val="left" w:pos="1820"/>
        <w:tab w:val="left" w:pos="2100"/>
        <w:tab w:val="left" w:pos="2240"/>
        <w:tab w:val="left" w:pos="2660"/>
      </w:tabs>
      <w:ind w:left="2660" w:hanging="420"/>
      <w:jc w:val="left"/>
      <w:outlineLvl w:val="4"/>
    </w:pPr>
    <w:rPr>
      <w:rFonts w:ascii="黑体" w:hAnsi="Calibri" w:eastAsia="黑体"/>
      <w:kern w:val="0"/>
      <w:sz w:val="22"/>
    </w:rPr>
  </w:style>
  <w:style w:type="paragraph" w:customStyle="1" w:styleId="220">
    <w:name w:val="Char2 Char Char Char Char Char Char Char Char Char Char Char Char Char Char Char Char Char Char Char Char Char"/>
    <w:basedOn w:val="1"/>
    <w:qFormat/>
    <w:uiPriority w:val="0"/>
    <w:pPr>
      <w:snapToGrid w:val="0"/>
      <w:spacing w:line="360" w:lineRule="auto"/>
      <w:ind w:firstLine="200" w:firstLineChars="200"/>
    </w:pPr>
    <w:rPr>
      <w:rFonts w:eastAsia="仿宋_GB2312"/>
      <w:sz w:val="24"/>
      <w:szCs w:val="24"/>
    </w:rPr>
  </w:style>
  <w:style w:type="paragraph" w:customStyle="1" w:styleId="221">
    <w:name w:val="样式 首行缩进:  2 字符1"/>
    <w:basedOn w:val="1"/>
    <w:qFormat/>
    <w:uiPriority w:val="0"/>
    <w:pPr>
      <w:widowControl/>
      <w:spacing w:line="400" w:lineRule="exact"/>
      <w:ind w:firstLine="200" w:firstLineChars="200"/>
      <w:jc w:val="left"/>
      <w:textAlignment w:val="center"/>
    </w:pPr>
    <w:rPr>
      <w:rFonts w:ascii="Calibri" w:hAnsi="Calibri" w:cs="宋体"/>
      <w:kern w:val="0"/>
      <w:sz w:val="24"/>
    </w:rPr>
  </w:style>
  <w:style w:type="paragraph" w:customStyle="1" w:styleId="222">
    <w:name w:val="项目编号"/>
    <w:basedOn w:val="1"/>
    <w:next w:val="1"/>
    <w:qFormat/>
    <w:uiPriority w:val="0"/>
    <w:pPr>
      <w:widowControl/>
      <w:spacing w:before="120" w:after="120" w:line="360" w:lineRule="auto"/>
      <w:jc w:val="left"/>
    </w:pPr>
    <w:rPr>
      <w:rFonts w:ascii="Calibri" w:hAnsi="Calibri"/>
      <w:kern w:val="0"/>
      <w:sz w:val="24"/>
    </w:rPr>
  </w:style>
  <w:style w:type="paragraph" w:customStyle="1" w:styleId="223">
    <w:name w:val="表格 首行：0字符"/>
    <w:basedOn w:val="1"/>
    <w:qFormat/>
    <w:uiPriority w:val="0"/>
    <w:pPr>
      <w:keepNext/>
      <w:widowControl/>
      <w:adjustRightInd w:val="0"/>
      <w:snapToGrid w:val="0"/>
      <w:jc w:val="left"/>
      <w:textAlignment w:val="baseline"/>
    </w:pPr>
    <w:rPr>
      <w:rFonts w:ascii="Calibri" w:hAnsi="Calibri" w:cs="宋体"/>
      <w:kern w:val="0"/>
      <w:sz w:val="22"/>
      <w:szCs w:val="21"/>
    </w:rPr>
  </w:style>
  <w:style w:type="paragraph" w:customStyle="1" w:styleId="224">
    <w:name w:val="环评副标题"/>
    <w:basedOn w:val="1"/>
    <w:qFormat/>
    <w:uiPriority w:val="0"/>
    <w:pPr>
      <w:widowControl/>
      <w:jc w:val="center"/>
    </w:pPr>
    <w:rPr>
      <w:rFonts w:ascii="Calibri" w:hAnsi="Calibri" w:cs="宋体"/>
      <w:kern w:val="0"/>
      <w:sz w:val="44"/>
    </w:rPr>
  </w:style>
  <w:style w:type="paragraph" w:customStyle="1" w:styleId="225">
    <w:name w:val="my1"/>
    <w:basedOn w:val="39"/>
    <w:qFormat/>
    <w:uiPriority w:val="0"/>
    <w:pPr>
      <w:tabs>
        <w:tab w:val="left" w:pos="360"/>
        <w:tab w:val="right" w:leader="dot" w:pos="9061"/>
        <w:tab w:val="clear" w:pos="630"/>
        <w:tab w:val="clear" w:pos="8511"/>
      </w:tabs>
      <w:spacing w:line="300" w:lineRule="auto"/>
    </w:pPr>
    <w:rPr>
      <w:rFonts w:ascii="仿宋_GB2312" w:hAnsi="华文细黑" w:eastAsia="仿宋_GB2312"/>
      <w:bCs w:val="0"/>
      <w:sz w:val="20"/>
    </w:rPr>
  </w:style>
  <w:style w:type="paragraph" w:customStyle="1" w:styleId="226">
    <w:name w:val="tt1"/>
    <w:basedOn w:val="1"/>
    <w:qFormat/>
    <w:uiPriority w:val="0"/>
    <w:pPr>
      <w:widowControl/>
      <w:spacing w:before="100" w:beforeAutospacing="1" w:after="100" w:afterAutospacing="1"/>
      <w:jc w:val="left"/>
    </w:pPr>
    <w:rPr>
      <w:rFonts w:ascii="宋体" w:hAnsi="宋体"/>
      <w:kern w:val="0"/>
      <w:sz w:val="24"/>
      <w:szCs w:val="24"/>
    </w:rPr>
  </w:style>
  <w:style w:type="paragraph" w:customStyle="1" w:styleId="227">
    <w:name w:val="font5"/>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228">
    <w:name w:val="表中文字"/>
    <w:basedOn w:val="229"/>
    <w:qFormat/>
    <w:uiPriority w:val="0"/>
    <w:pPr>
      <w:keepNext/>
      <w:keepLines/>
      <w:spacing w:before="0" w:after="0" w:line="360" w:lineRule="exact"/>
      <w:ind w:firstLine="0" w:firstLineChars="0"/>
      <w:jc w:val="center"/>
    </w:pPr>
    <w:rPr>
      <w:sz w:val="21"/>
      <w:szCs w:val="44"/>
    </w:rPr>
  </w:style>
  <w:style w:type="paragraph" w:customStyle="1" w:styleId="229">
    <w:name w:val="环评正文"/>
    <w:basedOn w:val="3"/>
    <w:qFormat/>
    <w:uiPriority w:val="0"/>
    <w:pPr>
      <w:keepNext w:val="0"/>
      <w:keepLines w:val="0"/>
      <w:widowControl/>
      <w:snapToGrid/>
      <w:spacing w:before="60" w:after="60" w:line="400" w:lineRule="exact"/>
      <w:ind w:firstLine="480" w:firstLineChars="200"/>
      <w:jc w:val="left"/>
      <w:outlineLvl w:val="9"/>
    </w:pPr>
    <w:rPr>
      <w:rFonts w:ascii="Cambria" w:hAnsi="Cambria" w:eastAsia="宋体"/>
      <w:bCs/>
      <w:color w:val="21798E"/>
      <w:kern w:val="0"/>
      <w:sz w:val="24"/>
      <w:szCs w:val="24"/>
    </w:rPr>
  </w:style>
  <w:style w:type="paragraph" w:customStyle="1" w:styleId="230">
    <w:name w:val="xl28"/>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Calibri" w:hAnsi="Calibri"/>
      <w:kern w:val="0"/>
      <w:sz w:val="20"/>
    </w:rPr>
  </w:style>
  <w:style w:type="paragraph" w:customStyle="1" w:styleId="231">
    <w:name w:val="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32">
    <w:name w:val="Char Char Char Char Char Char Char Char Char Char"/>
    <w:basedOn w:val="1"/>
    <w:qFormat/>
    <w:uiPriority w:val="0"/>
  </w:style>
  <w:style w:type="paragraph" w:customStyle="1" w:styleId="233">
    <w:name w:val="文"/>
    <w:basedOn w:val="5"/>
    <w:qFormat/>
    <w:uiPriority w:val="0"/>
    <w:pPr>
      <w:keepNext w:val="0"/>
      <w:keepLines w:val="0"/>
      <w:numPr>
        <w:ilvl w:val="0"/>
        <w:numId w:val="0"/>
      </w:numPr>
      <w:tabs>
        <w:tab w:val="clear" w:pos="2126"/>
      </w:tabs>
      <w:spacing w:before="0" w:after="0" w:line="360" w:lineRule="auto"/>
      <w:ind w:firstLine="480" w:firstLineChars="200"/>
      <w:outlineLvl w:val="9"/>
    </w:pPr>
    <w:rPr>
      <w:b w:val="0"/>
      <w:sz w:val="24"/>
      <w:szCs w:val="24"/>
    </w:rPr>
  </w:style>
  <w:style w:type="paragraph" w:customStyle="1" w:styleId="234">
    <w:name w:val="Char Char Char Char Char Char Char Char Char Char Char Char Char Char Char2 Char Char Char Char"/>
    <w:basedOn w:val="1"/>
    <w:qFormat/>
    <w:uiPriority w:val="0"/>
    <w:rPr>
      <w:szCs w:val="24"/>
    </w:rPr>
  </w:style>
  <w:style w:type="paragraph" w:customStyle="1" w:styleId="235">
    <w:name w:val="A正文"/>
    <w:basedOn w:val="1"/>
    <w:link w:val="737"/>
    <w:qFormat/>
    <w:uiPriority w:val="0"/>
    <w:pPr>
      <w:widowControl/>
      <w:spacing w:line="360" w:lineRule="auto"/>
      <w:ind w:firstLine="480" w:firstLineChars="200"/>
      <w:jc w:val="left"/>
    </w:pPr>
    <w:rPr>
      <w:kern w:val="0"/>
      <w:sz w:val="24"/>
      <w:szCs w:val="24"/>
    </w:rPr>
  </w:style>
  <w:style w:type="paragraph" w:customStyle="1" w:styleId="236">
    <w:name w:val="样式 目录 2 + 首行缩进:  2 字符"/>
    <w:basedOn w:val="46"/>
    <w:qFormat/>
    <w:uiPriority w:val="0"/>
    <w:pPr>
      <w:tabs>
        <w:tab w:val="left" w:pos="1200"/>
        <w:tab w:val="clear" w:pos="840"/>
        <w:tab w:val="clear" w:pos="8511"/>
      </w:tabs>
    </w:pPr>
    <w:rPr>
      <w:rFonts w:cs="宋体"/>
      <w:smallCaps w:val="0"/>
      <w:sz w:val="20"/>
      <w:szCs w:val="20"/>
    </w:rPr>
  </w:style>
  <w:style w:type="paragraph" w:customStyle="1" w:styleId="237">
    <w:name w:val="表内式样"/>
    <w:qFormat/>
    <w:uiPriority w:val="0"/>
    <w:pPr>
      <w:widowControl w:val="0"/>
      <w:adjustRightInd w:val="0"/>
      <w:spacing w:after="200" w:line="276" w:lineRule="auto"/>
      <w:jc w:val="center"/>
      <w:textAlignment w:val="baseline"/>
    </w:pPr>
    <w:rPr>
      <w:rFonts w:ascii="宋体" w:hAnsi="宋体" w:eastAsia="宋体" w:cs="Times New Roman"/>
      <w:kern w:val="2"/>
      <w:sz w:val="21"/>
      <w:szCs w:val="21"/>
      <w:lang w:val="en-US" w:eastAsia="zh-CN" w:bidi="ar-SA"/>
    </w:rPr>
  </w:style>
  <w:style w:type="paragraph" w:customStyle="1" w:styleId="238">
    <w:name w:val="样式 标题 1标题 1 Char Char Char标题 1 Char Char Char Char标题 11 Char...2"/>
    <w:basedOn w:val="3"/>
    <w:qFormat/>
    <w:uiPriority w:val="0"/>
    <w:pPr>
      <w:keepLines w:val="0"/>
      <w:snapToGrid/>
      <w:spacing w:line="480" w:lineRule="exact"/>
      <w:ind w:firstLine="200" w:firstLineChars="200"/>
      <w:jc w:val="center"/>
    </w:pPr>
    <w:rPr>
      <w:rFonts w:ascii="宋体" w:hAnsi="宋体" w:eastAsia="宋体" w:cs="宋体"/>
      <w:b/>
      <w:bCs/>
      <w:kern w:val="2"/>
      <w:sz w:val="32"/>
    </w:rPr>
  </w:style>
  <w:style w:type="paragraph" w:customStyle="1" w:styleId="239">
    <w:name w:val="xl30"/>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240">
    <w:name w:val="CM75"/>
    <w:basedOn w:val="1"/>
    <w:next w:val="1"/>
    <w:qFormat/>
    <w:uiPriority w:val="0"/>
    <w:pPr>
      <w:autoSpaceDE w:val="0"/>
      <w:autoSpaceDN w:val="0"/>
      <w:adjustRightInd w:val="0"/>
      <w:spacing w:after="60"/>
      <w:jc w:val="left"/>
    </w:pPr>
    <w:rPr>
      <w:rFonts w:ascii="Sim Sun+ 2" w:eastAsia="Sim Sun+ 2" w:cs="Sim Sun+ 2"/>
      <w:kern w:val="0"/>
      <w:sz w:val="24"/>
      <w:szCs w:val="24"/>
    </w:rPr>
  </w:style>
  <w:style w:type="paragraph" w:customStyle="1" w:styleId="241">
    <w:name w:val="Pa10"/>
    <w:basedOn w:val="1"/>
    <w:next w:val="1"/>
    <w:qFormat/>
    <w:uiPriority w:val="0"/>
    <w:pPr>
      <w:widowControl/>
      <w:autoSpaceDE w:val="0"/>
      <w:autoSpaceDN w:val="0"/>
      <w:adjustRightInd w:val="0"/>
      <w:spacing w:before="60" w:after="60" w:line="211" w:lineRule="atLeast"/>
      <w:jc w:val="left"/>
    </w:pPr>
    <w:rPr>
      <w:rFonts w:ascii="Wingdings" w:hAnsi="Wingdings"/>
      <w:kern w:val="0"/>
      <w:sz w:val="24"/>
      <w:szCs w:val="22"/>
    </w:rPr>
  </w:style>
  <w:style w:type="paragraph" w:customStyle="1" w:styleId="242">
    <w:name w:val="xl35"/>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243">
    <w:name w:val="_Style 235"/>
    <w:basedOn w:val="3"/>
    <w:next w:val="1"/>
    <w:qFormat/>
    <w:uiPriority w:val="0"/>
    <w:pPr>
      <w:widowControl/>
      <w:snapToGrid/>
      <w:spacing w:before="480" w:line="240" w:lineRule="auto"/>
      <w:jc w:val="left"/>
      <w:outlineLvl w:val="9"/>
    </w:pPr>
    <w:rPr>
      <w:rFonts w:ascii="Cambria" w:hAnsi="Cambria" w:eastAsia="宋体"/>
      <w:b/>
      <w:bCs/>
      <w:color w:val="21798E"/>
      <w:kern w:val="0"/>
      <w:szCs w:val="28"/>
    </w:rPr>
  </w:style>
  <w:style w:type="paragraph" w:customStyle="1" w:styleId="244">
    <w:name w:val="表格文字2"/>
    <w:basedOn w:val="1"/>
    <w:qFormat/>
    <w:uiPriority w:val="0"/>
    <w:pPr>
      <w:widowControl/>
      <w:adjustRightInd w:val="0"/>
      <w:snapToGrid w:val="0"/>
      <w:spacing w:before="20"/>
      <w:jc w:val="center"/>
      <w:textAlignment w:val="baseline"/>
    </w:pPr>
    <w:rPr>
      <w:rFonts w:ascii="Arial" w:hAnsi="Arial"/>
      <w:kern w:val="0"/>
      <w:sz w:val="22"/>
      <w:szCs w:val="21"/>
    </w:rPr>
  </w:style>
  <w:style w:type="paragraph" w:customStyle="1" w:styleId="245">
    <w:name w:val="Char Char3 Char"/>
    <w:basedOn w:val="1"/>
    <w:next w:val="1"/>
    <w:qFormat/>
    <w:uiPriority w:val="0"/>
    <w:pPr>
      <w:spacing w:line="360" w:lineRule="auto"/>
      <w:ind w:firstLine="200" w:firstLineChars="200"/>
    </w:pPr>
    <w:rPr>
      <w:rFonts w:ascii="宋体" w:hAnsi="宋体" w:cs="宋体"/>
      <w:sz w:val="24"/>
      <w:szCs w:val="24"/>
    </w:rPr>
  </w:style>
  <w:style w:type="paragraph" w:customStyle="1" w:styleId="246">
    <w:name w:val="图文字"/>
    <w:basedOn w:val="1"/>
    <w:qFormat/>
    <w:uiPriority w:val="0"/>
    <w:pPr>
      <w:widowControl/>
      <w:spacing w:line="280" w:lineRule="exact"/>
      <w:jc w:val="center"/>
    </w:pPr>
    <w:rPr>
      <w:rFonts w:ascii="宋体" w:hAnsi="宋体"/>
      <w:kern w:val="0"/>
      <w:sz w:val="22"/>
      <w:szCs w:val="22"/>
    </w:rPr>
  </w:style>
  <w:style w:type="paragraph" w:customStyle="1" w:styleId="247">
    <w:name w:val="编写日期"/>
    <w:basedOn w:val="1"/>
    <w:qFormat/>
    <w:uiPriority w:val="0"/>
    <w:pPr>
      <w:widowControl/>
      <w:spacing w:line="360" w:lineRule="exact"/>
      <w:jc w:val="center"/>
    </w:pPr>
    <w:rPr>
      <w:rFonts w:ascii="Calibri" w:hAnsi="Calibri" w:cs="宋体"/>
      <w:kern w:val="0"/>
      <w:sz w:val="32"/>
    </w:rPr>
  </w:style>
  <w:style w:type="paragraph" w:customStyle="1" w:styleId="248">
    <w:name w:val="样式 正文居中五号 +"/>
    <w:basedOn w:val="115"/>
    <w:qFormat/>
    <w:uiPriority w:val="0"/>
    <w:pPr>
      <w:textAlignment w:val="center"/>
    </w:pPr>
  </w:style>
  <w:style w:type="paragraph" w:customStyle="1" w:styleId="249">
    <w:name w:val="表头5-lcc"/>
    <w:basedOn w:val="250"/>
    <w:qFormat/>
    <w:uiPriority w:val="0"/>
    <w:rPr>
      <w:b/>
    </w:rPr>
  </w:style>
  <w:style w:type="paragraph" w:customStyle="1" w:styleId="250">
    <w:name w:val="表文-lcc"/>
    <w:basedOn w:val="251"/>
    <w:qFormat/>
    <w:uiPriority w:val="0"/>
    <w:pPr>
      <w:spacing w:line="240" w:lineRule="auto"/>
      <w:jc w:val="center"/>
    </w:pPr>
    <w:rPr>
      <w:rFonts w:ascii="Calibri" w:hAnsi="Calibri"/>
      <w:szCs w:val="21"/>
    </w:rPr>
  </w:style>
  <w:style w:type="paragraph" w:customStyle="1" w:styleId="251">
    <w:name w:val="正文-lcc"/>
    <w:basedOn w:val="1"/>
    <w:qFormat/>
    <w:uiPriority w:val="0"/>
    <w:pPr>
      <w:snapToGrid w:val="0"/>
      <w:spacing w:line="360" w:lineRule="auto"/>
      <w:ind w:firstLine="200" w:firstLineChars="200"/>
    </w:pPr>
    <w:rPr>
      <w:rFonts w:eastAsia="仿宋"/>
      <w:color w:val="000000"/>
      <w:sz w:val="24"/>
      <w:szCs w:val="24"/>
    </w:rPr>
  </w:style>
  <w:style w:type="paragraph" w:customStyle="1" w:styleId="252">
    <w:name w:val="MFS正文 Char"/>
    <w:basedOn w:val="54"/>
    <w:qFormat/>
    <w:uiPriority w:val="0"/>
    <w:pPr>
      <w:spacing w:before="93" w:after="120"/>
      <w:ind w:firstLine="200" w:firstLineChars="200"/>
      <w:jc w:val="both"/>
    </w:pPr>
    <w:rPr>
      <w:rFonts w:eastAsia="楷体_GB2312"/>
      <w:snapToGrid/>
      <w:kern w:val="2"/>
      <w:szCs w:val="24"/>
    </w:rPr>
  </w:style>
  <w:style w:type="paragraph" w:customStyle="1" w:styleId="253">
    <w:name w:val="标题9"/>
    <w:next w:val="1"/>
    <w:qFormat/>
    <w:uiPriority w:val="0"/>
    <w:pPr>
      <w:adjustRightInd w:val="0"/>
      <w:snapToGrid w:val="0"/>
      <w:spacing w:line="360" w:lineRule="auto"/>
      <w:jc w:val="center"/>
    </w:pPr>
    <w:rPr>
      <w:rFonts w:ascii="Times New Roman" w:hAnsi="Times New Roman" w:eastAsia="黑体" w:cs="Times New Roman"/>
      <w:sz w:val="21"/>
      <w:lang w:val="en-US" w:eastAsia="zh-CN" w:bidi="ar-SA"/>
    </w:rPr>
  </w:style>
  <w:style w:type="paragraph" w:customStyle="1" w:styleId="254">
    <w:name w:val="WPS Plain"/>
    <w:qFormat/>
    <w:uiPriority w:val="0"/>
    <w:pPr>
      <w:spacing w:after="200" w:line="276" w:lineRule="auto"/>
    </w:pPr>
    <w:rPr>
      <w:rFonts w:ascii="Calibri" w:hAnsi="Calibri" w:eastAsia="宋体" w:cs="Times New Roman"/>
      <w:sz w:val="22"/>
      <w:szCs w:val="22"/>
      <w:lang w:val="en-US" w:eastAsia="zh-CN" w:bidi="ar-SA"/>
    </w:rPr>
  </w:style>
  <w:style w:type="paragraph" w:customStyle="1" w:styleId="255">
    <w:name w:val="标准文本 首行缩进:2 字符 行距1倍"/>
    <w:basedOn w:val="1"/>
    <w:qFormat/>
    <w:uiPriority w:val="0"/>
    <w:pPr>
      <w:widowControl/>
      <w:ind w:firstLine="480" w:firstLineChars="200"/>
      <w:jc w:val="left"/>
      <w:textAlignment w:val="center"/>
    </w:pPr>
    <w:rPr>
      <w:rFonts w:ascii="宋体" w:hAnsi="宋体"/>
      <w:kern w:val="0"/>
      <w:sz w:val="24"/>
    </w:rPr>
  </w:style>
  <w:style w:type="paragraph" w:customStyle="1" w:styleId="256">
    <w:name w:val="dandan6-13正文 Char Char Char"/>
    <w:basedOn w:val="1"/>
    <w:next w:val="1"/>
    <w:qFormat/>
    <w:uiPriority w:val="0"/>
    <w:pPr>
      <w:keepNext/>
      <w:keepLines/>
      <w:widowControl/>
      <w:adjustRightInd w:val="0"/>
      <w:spacing w:before="40" w:after="40" w:line="360" w:lineRule="auto"/>
      <w:ind w:firstLine="200" w:firstLineChars="200"/>
      <w:jc w:val="left"/>
      <w:textAlignment w:val="baseline"/>
    </w:pPr>
    <w:rPr>
      <w:rFonts w:ascii="Calibri" w:hAnsi="Calibri" w:cs="宋体"/>
      <w:kern w:val="0"/>
      <w:sz w:val="24"/>
      <w:szCs w:val="28"/>
    </w:rPr>
  </w:style>
  <w:style w:type="paragraph" w:customStyle="1" w:styleId="257">
    <w:name w:val="样式2"/>
    <w:basedOn w:val="1"/>
    <w:qFormat/>
    <w:uiPriority w:val="0"/>
    <w:pPr>
      <w:widowControl/>
      <w:spacing w:line="360" w:lineRule="auto"/>
      <w:jc w:val="left"/>
    </w:pPr>
    <w:rPr>
      <w:rFonts w:ascii="Calibri" w:hAnsi="Calibri"/>
      <w:bCs/>
      <w:color w:val="000000"/>
      <w:kern w:val="0"/>
      <w:sz w:val="24"/>
    </w:rPr>
  </w:style>
  <w:style w:type="paragraph" w:customStyle="1" w:styleId="25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0"/>
    </w:rPr>
  </w:style>
  <w:style w:type="paragraph" w:customStyle="1" w:styleId="259">
    <w:name w:val="Char Char1 Char Char1 Char"/>
    <w:basedOn w:val="1"/>
    <w:qFormat/>
    <w:uiPriority w:val="0"/>
    <w:rPr>
      <w:szCs w:val="21"/>
    </w:rPr>
  </w:style>
  <w:style w:type="paragraph" w:customStyle="1" w:styleId="260">
    <w:name w:val="表格文本 小五 居中"/>
    <w:basedOn w:val="1"/>
    <w:qFormat/>
    <w:uiPriority w:val="0"/>
    <w:pPr>
      <w:widowControl/>
      <w:adjustRightInd w:val="0"/>
      <w:snapToGrid w:val="0"/>
      <w:spacing w:line="360" w:lineRule="exact"/>
      <w:jc w:val="center"/>
    </w:pPr>
    <w:rPr>
      <w:rFonts w:ascii="Calibri" w:hAnsi="Calibri" w:cs="宋体"/>
      <w:spacing w:val="-16"/>
      <w:kern w:val="0"/>
      <w:sz w:val="22"/>
      <w:szCs w:val="21"/>
    </w:rPr>
  </w:style>
  <w:style w:type="paragraph" w:customStyle="1" w:styleId="261">
    <w:name w:val="图表文字"/>
    <w:basedOn w:val="1"/>
    <w:qFormat/>
    <w:uiPriority w:val="0"/>
    <w:pPr>
      <w:widowControl/>
      <w:ind w:right="-107" w:rightChars="-51"/>
      <w:jc w:val="center"/>
    </w:pPr>
    <w:rPr>
      <w:rFonts w:ascii="宋体" w:hAnsi="宋体"/>
      <w:kern w:val="0"/>
      <w:sz w:val="22"/>
    </w:rPr>
  </w:style>
  <w:style w:type="paragraph" w:customStyle="1" w:styleId="262">
    <w:name w:val="样式 首行缩进:  2 字符4"/>
    <w:basedOn w:val="1"/>
    <w:qFormat/>
    <w:uiPriority w:val="0"/>
    <w:pPr>
      <w:widowControl/>
      <w:spacing w:line="360" w:lineRule="auto"/>
      <w:ind w:firstLine="200" w:firstLineChars="200"/>
      <w:jc w:val="left"/>
    </w:pPr>
    <w:rPr>
      <w:rFonts w:ascii="Calibri" w:hAnsi="Calibri" w:cs="宋体"/>
      <w:kern w:val="0"/>
      <w:sz w:val="24"/>
    </w:rPr>
  </w:style>
  <w:style w:type="paragraph" w:customStyle="1" w:styleId="263">
    <w:name w:val="样式4"/>
    <w:basedOn w:val="1"/>
    <w:qFormat/>
    <w:uiPriority w:val="0"/>
    <w:pPr>
      <w:adjustRightInd w:val="0"/>
      <w:snapToGrid w:val="0"/>
      <w:spacing w:line="300" w:lineRule="auto"/>
      <w:ind w:left="38" w:leftChars="18" w:firstLine="560" w:firstLineChars="200"/>
    </w:pPr>
    <w:rPr>
      <w:rFonts w:ascii="仿宋_GB2312" w:eastAsia="仿宋_GB2312"/>
      <w:sz w:val="28"/>
    </w:rPr>
  </w:style>
  <w:style w:type="paragraph" w:customStyle="1" w:styleId="264">
    <w:name w:val="样式 标题 2标题 2-王鹏标题2纪任山标题 2Char标题 2 Char1标题 2 Char Char二处标题 ...1"/>
    <w:basedOn w:val="4"/>
    <w:qFormat/>
    <w:uiPriority w:val="0"/>
    <w:pPr>
      <w:numPr>
        <w:ilvl w:val="0"/>
        <w:numId w:val="0"/>
      </w:numPr>
      <w:tabs>
        <w:tab w:val="clear" w:pos="1276"/>
      </w:tabs>
      <w:adjustRightInd/>
      <w:spacing w:before="0" w:after="0" w:line="480" w:lineRule="exact"/>
      <w:ind w:left="-30" w:leftChars="-30" w:firstLine="200" w:firstLineChars="200"/>
      <w:jc w:val="both"/>
      <w:textAlignment w:val="auto"/>
    </w:pPr>
    <w:rPr>
      <w:rFonts w:ascii="Times New Roman" w:hAnsi="Times New Roman" w:eastAsia="宋体" w:cs="宋体"/>
      <w:bCs/>
      <w:sz w:val="30"/>
    </w:rPr>
  </w:style>
  <w:style w:type="paragraph" w:customStyle="1" w:styleId="265">
    <w:name w:val="表格小四"/>
    <w:basedOn w:val="1"/>
    <w:qFormat/>
    <w:uiPriority w:val="0"/>
    <w:pPr>
      <w:adjustRightInd w:val="0"/>
      <w:snapToGrid w:val="0"/>
      <w:spacing w:beforeLines="30"/>
    </w:pPr>
    <w:rPr>
      <w:sz w:val="24"/>
      <w:szCs w:val="24"/>
    </w:rPr>
  </w:style>
  <w:style w:type="paragraph" w:customStyle="1" w:styleId="266">
    <w:name w:val="样式 标题 2标题 2-王鹏标题2纪任山标题 2 + 段前: 0 磅 段后: 0 磅 行距: 固定值 24 磅"/>
    <w:basedOn w:val="4"/>
    <w:qFormat/>
    <w:uiPriority w:val="0"/>
    <w:pPr>
      <w:numPr>
        <w:ilvl w:val="0"/>
        <w:numId w:val="0"/>
      </w:numPr>
      <w:tabs>
        <w:tab w:val="clear" w:pos="1276"/>
      </w:tabs>
      <w:adjustRightInd/>
      <w:spacing w:before="0" w:after="0" w:line="480" w:lineRule="exact"/>
      <w:ind w:left="-10" w:leftChars="-10" w:firstLine="562" w:firstLineChars="200"/>
      <w:jc w:val="both"/>
      <w:textAlignment w:val="auto"/>
    </w:pPr>
    <w:rPr>
      <w:rFonts w:ascii="Times New Roman" w:hAnsi="Times New Roman" w:eastAsia="宋体" w:cs="宋体"/>
      <w:bCs/>
      <w:sz w:val="30"/>
    </w:rPr>
  </w:style>
  <w:style w:type="paragraph" w:customStyle="1" w:styleId="267">
    <w:name w:val="表文"/>
    <w:basedOn w:val="1"/>
    <w:qFormat/>
    <w:uiPriority w:val="0"/>
    <w:pPr>
      <w:keepNext/>
      <w:adjustRightInd w:val="0"/>
      <w:spacing w:before="40" w:line="288" w:lineRule="auto"/>
      <w:jc w:val="center"/>
      <w:textAlignment w:val="baseline"/>
    </w:pPr>
    <w:rPr>
      <w:kern w:val="0"/>
      <w:sz w:val="24"/>
    </w:rPr>
  </w:style>
  <w:style w:type="paragraph" w:customStyle="1" w:styleId="268">
    <w:name w:val="样式 标题 1标题 1 Char Char Char标题 1 Char Char Char Char标题 11 Char..."/>
    <w:basedOn w:val="3"/>
    <w:qFormat/>
    <w:uiPriority w:val="0"/>
    <w:pPr>
      <w:keepLines w:val="0"/>
      <w:snapToGrid/>
      <w:spacing w:line="480" w:lineRule="exact"/>
      <w:jc w:val="center"/>
    </w:pPr>
    <w:rPr>
      <w:rFonts w:eastAsia="宋体" w:cs="宋体"/>
      <w:b/>
      <w:bCs/>
      <w:kern w:val="2"/>
      <w:sz w:val="32"/>
    </w:rPr>
  </w:style>
  <w:style w:type="paragraph" w:customStyle="1" w:styleId="269">
    <w:name w:val="xl22"/>
    <w:basedOn w:val="1"/>
    <w:qFormat/>
    <w:uiPriority w:val="0"/>
    <w:pPr>
      <w:widowControl/>
      <w:pBdr>
        <w:bottom w:val="single" w:color="auto" w:sz="4" w:space="0"/>
        <w:right w:val="single" w:color="auto" w:sz="4" w:space="0"/>
      </w:pBdr>
      <w:adjustRightInd w:val="0"/>
      <w:spacing w:before="100" w:after="100" w:line="360" w:lineRule="atLeast"/>
      <w:jc w:val="center"/>
      <w:textAlignment w:val="baseline"/>
    </w:pPr>
    <w:rPr>
      <w:rFonts w:ascii="宋体" w:hAnsi="宋体" w:cs="宋体"/>
      <w:kern w:val="0"/>
      <w:sz w:val="22"/>
      <w:szCs w:val="21"/>
    </w:rPr>
  </w:style>
  <w:style w:type="paragraph" w:customStyle="1" w:styleId="270">
    <w:name w:val="样式 标题 2二处标题 2节标题 1.11.1标题2b2ParagrafoH22nd levelh2Heade...5"/>
    <w:basedOn w:val="4"/>
    <w:qFormat/>
    <w:uiPriority w:val="0"/>
    <w:pPr>
      <w:keepNext w:val="0"/>
      <w:keepLines w:val="0"/>
      <w:numPr>
        <w:ilvl w:val="0"/>
        <w:numId w:val="0"/>
      </w:numPr>
      <w:tabs>
        <w:tab w:val="clear" w:pos="1276"/>
      </w:tabs>
      <w:snapToGrid w:val="0"/>
      <w:spacing w:before="0" w:after="0" w:line="480" w:lineRule="exact"/>
      <w:ind w:firstLine="600" w:firstLineChars="200"/>
      <w:textAlignment w:val="auto"/>
    </w:pPr>
    <w:rPr>
      <w:rFonts w:ascii="Times New Roman" w:hAnsi="Times New Roman" w:eastAsia="Times New Roman" w:cs="宋体"/>
      <w:color w:val="000000"/>
      <w:sz w:val="30"/>
    </w:rPr>
  </w:style>
  <w:style w:type="paragraph" w:customStyle="1" w:styleId="271">
    <w:name w:val="正文lcc2"/>
    <w:basedOn w:val="21"/>
    <w:link w:val="694"/>
    <w:qFormat/>
    <w:uiPriority w:val="0"/>
    <w:pPr>
      <w:spacing w:after="0" w:line="360" w:lineRule="auto"/>
      <w:ind w:firstLine="200" w:firstLineChars="200"/>
    </w:pPr>
    <w:rPr>
      <w:rFonts w:ascii="Calibri" w:hAnsi="Calibri"/>
      <w:kern w:val="0"/>
      <w:sz w:val="24"/>
      <w:szCs w:val="22"/>
    </w:rPr>
  </w:style>
  <w:style w:type="paragraph" w:customStyle="1" w:styleId="272">
    <w:name w:val="样式 自动设置"/>
    <w:basedOn w:val="1"/>
    <w:link w:val="623"/>
    <w:qFormat/>
    <w:uiPriority w:val="0"/>
    <w:pPr>
      <w:autoSpaceDE w:val="0"/>
      <w:autoSpaceDN w:val="0"/>
      <w:adjustRightInd w:val="0"/>
      <w:snapToGrid w:val="0"/>
      <w:spacing w:beforeLines="50" w:line="288" w:lineRule="auto"/>
      <w:ind w:firstLine="200" w:firstLineChars="200"/>
    </w:pPr>
    <w:rPr>
      <w:rFonts w:ascii="Calibri" w:hAnsi="Calibri" w:cs="宋体"/>
      <w:sz w:val="24"/>
      <w:szCs w:val="24"/>
    </w:rPr>
  </w:style>
  <w:style w:type="paragraph" w:customStyle="1" w:styleId="273">
    <w:name w:val="6表头"/>
    <w:basedOn w:val="1"/>
    <w:qFormat/>
    <w:uiPriority w:val="0"/>
    <w:pPr>
      <w:adjustRightInd w:val="0"/>
      <w:snapToGrid w:val="0"/>
      <w:spacing w:before="120" w:beforeLines="50"/>
      <w:jc w:val="center"/>
    </w:pPr>
    <w:rPr>
      <w:b/>
      <w:kern w:val="0"/>
      <w:szCs w:val="21"/>
    </w:rPr>
  </w:style>
  <w:style w:type="paragraph" w:customStyle="1" w:styleId="274">
    <w:name w:val="h"/>
    <w:basedOn w:val="1"/>
    <w:qFormat/>
    <w:uiPriority w:val="0"/>
    <w:pPr>
      <w:spacing w:before="60"/>
      <w:ind w:firstLine="482"/>
    </w:pPr>
    <w:rPr>
      <w:rFonts w:ascii="Arial" w:hAnsi="Arial" w:eastAsia="仿宋_GB2312"/>
      <w:kern w:val="0"/>
      <w:sz w:val="24"/>
    </w:rPr>
  </w:style>
  <w:style w:type="paragraph" w:customStyle="1" w:styleId="275">
    <w:name w:val="表内lcc"/>
    <w:basedOn w:val="184"/>
    <w:qFormat/>
    <w:uiPriority w:val="0"/>
    <w:pPr>
      <w:adjustRightInd w:val="0"/>
      <w:spacing w:line="240" w:lineRule="auto"/>
      <w:ind w:right="0"/>
    </w:pPr>
    <w:rPr>
      <w:rFonts w:ascii="Times New Roman" w:hAnsi="Times New Roman"/>
    </w:rPr>
  </w:style>
  <w:style w:type="paragraph" w:customStyle="1" w:styleId="276">
    <w:name w:val="Pa11"/>
    <w:basedOn w:val="1"/>
    <w:next w:val="1"/>
    <w:qFormat/>
    <w:uiPriority w:val="0"/>
    <w:pPr>
      <w:widowControl/>
      <w:autoSpaceDE w:val="0"/>
      <w:autoSpaceDN w:val="0"/>
      <w:adjustRightInd w:val="0"/>
      <w:spacing w:before="140" w:after="140" w:line="211" w:lineRule="atLeast"/>
      <w:jc w:val="left"/>
    </w:pPr>
    <w:rPr>
      <w:rFonts w:ascii="宋体" w:hAnsi="Calibri"/>
      <w:kern w:val="0"/>
      <w:sz w:val="24"/>
      <w:szCs w:val="22"/>
    </w:rPr>
  </w:style>
  <w:style w:type="paragraph" w:customStyle="1" w:styleId="277">
    <w:name w:val="xl34"/>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278">
    <w:name w:val="Char Char Char1 Char Char Char Char Char Char Char Char Char Char Char Char Char Char Char Char"/>
    <w:basedOn w:val="1"/>
    <w:qFormat/>
    <w:uiPriority w:val="0"/>
    <w:rPr>
      <w:szCs w:val="24"/>
    </w:rPr>
  </w:style>
  <w:style w:type="paragraph" w:customStyle="1" w:styleId="279">
    <w:name w:val="Char1 Char Char Char Char Char Char Char Char Char Char Char Char"/>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280">
    <w:name w:val="样式王鹏"/>
    <w:basedOn w:val="1"/>
    <w:qFormat/>
    <w:uiPriority w:val="0"/>
    <w:pPr>
      <w:spacing w:line="300" w:lineRule="auto"/>
      <w:ind w:firstLine="504" w:firstLineChars="200"/>
    </w:pPr>
    <w:rPr>
      <w:color w:val="000000"/>
      <w:spacing w:val="6"/>
      <w:sz w:val="24"/>
      <w:szCs w:val="24"/>
    </w:rPr>
  </w:style>
  <w:style w:type="paragraph" w:customStyle="1" w:styleId="281">
    <w:name w:val="样式 表格文本 五号 单倍行距 + 两端对齐"/>
    <w:basedOn w:val="161"/>
    <w:qFormat/>
    <w:uiPriority w:val="0"/>
    <w:pPr>
      <w:jc w:val="both"/>
    </w:pPr>
  </w:style>
  <w:style w:type="paragraph" w:customStyle="1" w:styleId="282">
    <w:name w:val="正文1"/>
    <w:basedOn w:val="1"/>
    <w:link w:val="600"/>
    <w:qFormat/>
    <w:uiPriority w:val="0"/>
    <w:pPr>
      <w:widowControl/>
      <w:spacing w:line="500" w:lineRule="exact"/>
      <w:ind w:firstLine="480" w:firstLineChars="200"/>
      <w:jc w:val="left"/>
    </w:pPr>
    <w:rPr>
      <w:rFonts w:ascii="宋体" w:hAnsi="宋体"/>
      <w:kern w:val="0"/>
      <w:sz w:val="24"/>
    </w:rPr>
  </w:style>
  <w:style w:type="paragraph" w:customStyle="1" w:styleId="283">
    <w:name w:val="样式 正文文本缩进 2 + 居中 首行缩进:  2 字符 行距: 固定值 24.5 磅"/>
    <w:basedOn w:val="34"/>
    <w:qFormat/>
    <w:uiPriority w:val="0"/>
    <w:pPr>
      <w:spacing w:before="0"/>
      <w:ind w:firstLine="200"/>
    </w:pPr>
    <w:rPr>
      <w:rFonts w:ascii="Times New Roman" w:hAnsi="Times New Roman" w:cs="宋体"/>
      <w:spacing w:val="0"/>
      <w:sz w:val="28"/>
    </w:rPr>
  </w:style>
  <w:style w:type="paragraph" w:customStyle="1" w:styleId="284">
    <w:name w:val="样式 四号 黑色 行距: 最小值 24 磅"/>
    <w:basedOn w:val="1"/>
    <w:qFormat/>
    <w:uiPriority w:val="0"/>
    <w:pPr>
      <w:spacing w:line="480" w:lineRule="exact"/>
      <w:ind w:firstLine="200" w:firstLineChars="200"/>
    </w:pPr>
    <w:rPr>
      <w:rFonts w:cs="宋体"/>
      <w:color w:val="000000"/>
      <w:sz w:val="28"/>
    </w:rPr>
  </w:style>
  <w:style w:type="paragraph" w:styleId="285">
    <w:name w:val="List Paragraph"/>
    <w:basedOn w:val="1"/>
    <w:qFormat/>
    <w:uiPriority w:val="1"/>
    <w:pPr>
      <w:widowControl/>
      <w:ind w:left="720"/>
      <w:contextualSpacing/>
      <w:jc w:val="left"/>
    </w:pPr>
    <w:rPr>
      <w:rFonts w:ascii="Calibri" w:hAnsi="Calibri"/>
      <w:kern w:val="0"/>
      <w:sz w:val="22"/>
      <w:szCs w:val="22"/>
    </w:rPr>
  </w:style>
  <w:style w:type="paragraph" w:customStyle="1" w:styleId="286">
    <w:name w:val="参考文献项目"/>
    <w:basedOn w:val="1"/>
    <w:qFormat/>
    <w:uiPriority w:val="0"/>
    <w:pPr>
      <w:widowControl/>
      <w:numPr>
        <w:ilvl w:val="0"/>
        <w:numId w:val="4"/>
      </w:numPr>
      <w:tabs>
        <w:tab w:val="left" w:pos="0"/>
        <w:tab w:val="clear" w:pos="454"/>
      </w:tabs>
      <w:autoSpaceDE w:val="0"/>
      <w:autoSpaceDN w:val="0"/>
      <w:adjustRightInd w:val="0"/>
      <w:spacing w:line="260" w:lineRule="atLeast"/>
      <w:ind w:hanging="927"/>
      <w:jc w:val="left"/>
    </w:pPr>
    <w:rPr>
      <w:rFonts w:ascii="Calibri" w:hAnsi="Calibri"/>
      <w:color w:val="FF0000"/>
      <w:kern w:val="0"/>
      <w:sz w:val="22"/>
      <w:szCs w:val="21"/>
    </w:rPr>
  </w:style>
  <w:style w:type="paragraph" w:customStyle="1" w:styleId="287">
    <w:name w:val="Char Char Char"/>
    <w:basedOn w:val="1"/>
    <w:qFormat/>
    <w:uiPriority w:val="0"/>
    <w:pPr>
      <w:widowControl/>
      <w:jc w:val="left"/>
    </w:pPr>
    <w:rPr>
      <w:rFonts w:ascii="Calibri" w:hAnsi="Calibri"/>
      <w:kern w:val="0"/>
      <w:sz w:val="24"/>
      <w:szCs w:val="22"/>
    </w:rPr>
  </w:style>
  <w:style w:type="paragraph" w:customStyle="1" w:styleId="288">
    <w:name w:val="111正文"/>
    <w:basedOn w:val="1"/>
    <w:link w:val="557"/>
    <w:qFormat/>
    <w:uiPriority w:val="0"/>
    <w:pPr>
      <w:tabs>
        <w:tab w:val="left" w:pos="600"/>
      </w:tabs>
      <w:spacing w:line="360" w:lineRule="auto"/>
      <w:ind w:firstLine="200" w:firstLineChars="200"/>
    </w:pPr>
    <w:rPr>
      <w:kern w:val="0"/>
      <w:sz w:val="24"/>
      <w:szCs w:val="22"/>
    </w:rPr>
  </w:style>
  <w:style w:type="paragraph" w:customStyle="1" w:styleId="289">
    <w:name w:val="表头lcc1"/>
    <w:basedOn w:val="1"/>
    <w:qFormat/>
    <w:uiPriority w:val="0"/>
    <w:pPr>
      <w:jc w:val="center"/>
    </w:pPr>
    <w:rPr>
      <w:rFonts w:ascii="Calibri" w:hAnsi="Calibri"/>
      <w:b/>
      <w:szCs w:val="22"/>
    </w:rPr>
  </w:style>
  <w:style w:type="paragraph" w:customStyle="1" w:styleId="290">
    <w:name w:val="declear"/>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91">
    <w:name w:val="样式 正文缩进 + 小四 段后: 7.8 磅 行距: 多倍行距 1.2 字行"/>
    <w:basedOn w:val="2"/>
    <w:qFormat/>
    <w:uiPriority w:val="0"/>
    <w:pPr>
      <w:widowControl/>
      <w:snapToGrid w:val="0"/>
      <w:spacing w:line="360" w:lineRule="auto"/>
      <w:ind w:firstLine="200"/>
      <w:jc w:val="left"/>
    </w:pPr>
    <w:rPr>
      <w:rFonts w:ascii="Calibri" w:hAnsi="Calibri" w:cs="宋体"/>
      <w:kern w:val="0"/>
      <w:sz w:val="24"/>
    </w:rPr>
  </w:style>
  <w:style w:type="paragraph" w:customStyle="1" w:styleId="292">
    <w:name w:val="样式 样式 标题 2节 + (西文) Times New Roman (中文) 宋体 四号 段前: 0.5 行 段后: 0......"/>
    <w:basedOn w:val="1"/>
    <w:qFormat/>
    <w:uiPriority w:val="0"/>
    <w:pPr>
      <w:keepNext/>
      <w:keepLines/>
      <w:tabs>
        <w:tab w:val="left" w:pos="720"/>
        <w:tab w:val="left" w:pos="1276"/>
      </w:tabs>
      <w:adjustRightInd w:val="0"/>
      <w:snapToGrid w:val="0"/>
      <w:spacing w:before="280" w:beforeLines="90" w:after="280" w:afterLines="90"/>
      <w:ind w:left="851"/>
      <w:outlineLvl w:val="1"/>
    </w:pPr>
    <w:rPr>
      <w:b/>
      <w:bCs/>
      <w:sz w:val="28"/>
      <w:szCs w:val="28"/>
    </w:rPr>
  </w:style>
  <w:style w:type="paragraph" w:customStyle="1" w:styleId="293">
    <w:name w:val="表文字"/>
    <w:basedOn w:val="1"/>
    <w:qFormat/>
    <w:uiPriority w:val="0"/>
    <w:pPr>
      <w:widowControl/>
      <w:overflowPunct w:val="0"/>
      <w:autoSpaceDE w:val="0"/>
      <w:autoSpaceDN w:val="0"/>
      <w:adjustRightInd w:val="0"/>
      <w:spacing w:line="240" w:lineRule="atLeast"/>
      <w:jc w:val="center"/>
      <w:textAlignment w:val="baseline"/>
    </w:pPr>
    <w:rPr>
      <w:rFonts w:ascii="Calibri" w:hAnsi="Calibri"/>
      <w:kern w:val="0"/>
      <w:sz w:val="24"/>
    </w:rPr>
  </w:style>
  <w:style w:type="paragraph" w:customStyle="1" w:styleId="294">
    <w:name w:val="样式 (符号) 宋体 首行缩进:  0.93 厘米 段前: 6 磅 段后: 6 磅 行距: 固定值 18 磅1"/>
    <w:basedOn w:val="1"/>
    <w:qFormat/>
    <w:uiPriority w:val="0"/>
    <w:pPr>
      <w:widowControl/>
      <w:spacing w:before="160" w:after="160" w:line="320" w:lineRule="exact"/>
      <w:ind w:firstLine="527"/>
      <w:jc w:val="left"/>
    </w:pPr>
    <w:rPr>
      <w:rFonts w:ascii="Calibri" w:hAnsi="宋体"/>
      <w:kern w:val="0"/>
      <w:sz w:val="24"/>
    </w:rPr>
  </w:style>
  <w:style w:type="paragraph" w:customStyle="1" w:styleId="295">
    <w:name w:val="标题 2标题 2-G"/>
    <w:basedOn w:val="4"/>
    <w:qFormat/>
    <w:uiPriority w:val="0"/>
    <w:pPr>
      <w:numPr>
        <w:ilvl w:val="0"/>
        <w:numId w:val="0"/>
      </w:numPr>
      <w:tabs>
        <w:tab w:val="clear" w:pos="1276"/>
      </w:tabs>
      <w:adjustRightInd/>
      <w:spacing w:before="0" w:after="0" w:line="480" w:lineRule="exact"/>
      <w:ind w:left="-20" w:leftChars="-20" w:firstLine="200" w:firstLineChars="200"/>
      <w:jc w:val="both"/>
      <w:textAlignment w:val="auto"/>
    </w:pPr>
    <w:rPr>
      <w:rFonts w:ascii="Times New Roman" w:hAnsi="Times New Roman" w:eastAsia="宋体" w:cs="宋体"/>
      <w:bCs/>
      <w:sz w:val="30"/>
    </w:rPr>
  </w:style>
  <w:style w:type="paragraph" w:customStyle="1" w:styleId="296">
    <w:name w:val="表头"/>
    <w:basedOn w:val="1"/>
    <w:link w:val="533"/>
    <w:qFormat/>
    <w:uiPriority w:val="0"/>
    <w:pPr>
      <w:widowControl/>
      <w:snapToGrid w:val="0"/>
      <w:spacing w:line="480" w:lineRule="exact"/>
      <w:jc w:val="center"/>
    </w:pPr>
    <w:rPr>
      <w:rFonts w:ascii="宋体" w:hAnsi="宋体"/>
      <w:bCs/>
      <w:spacing w:val="4"/>
      <w:kern w:val="0"/>
      <w:sz w:val="24"/>
      <w:szCs w:val="22"/>
    </w:rPr>
  </w:style>
  <w:style w:type="paragraph" w:customStyle="1" w:styleId="297">
    <w:name w:val="样式 标题 1标题 1-王鹏纪任山标题 1 + 三号 加粗 行距: 固定值 24 磅"/>
    <w:basedOn w:val="3"/>
    <w:qFormat/>
    <w:uiPriority w:val="0"/>
    <w:pPr>
      <w:keepLines w:val="0"/>
      <w:snapToGrid/>
      <w:spacing w:line="480" w:lineRule="exact"/>
      <w:jc w:val="center"/>
    </w:pPr>
    <w:rPr>
      <w:rFonts w:ascii="宋体" w:hAnsi="宋体" w:eastAsia="宋体" w:cs="宋体"/>
      <w:b/>
      <w:bCs/>
      <w:kern w:val="2"/>
      <w:sz w:val="32"/>
    </w:rPr>
  </w:style>
  <w:style w:type="paragraph" w:customStyle="1" w:styleId="298">
    <w:name w:val="2"/>
    <w:basedOn w:val="1"/>
    <w:next w:val="29"/>
    <w:qFormat/>
    <w:uiPriority w:val="0"/>
    <w:pPr>
      <w:widowControl/>
      <w:jc w:val="left"/>
    </w:pPr>
    <w:rPr>
      <w:rFonts w:ascii="宋体" w:hAnsi="Courier New" w:cs="Courier New"/>
      <w:kern w:val="0"/>
      <w:sz w:val="22"/>
      <w:szCs w:val="21"/>
    </w:rPr>
  </w:style>
  <w:style w:type="paragraph" w:customStyle="1" w:styleId="299">
    <w:name w:val="版本类型"/>
    <w:basedOn w:val="1"/>
    <w:qFormat/>
    <w:uiPriority w:val="0"/>
    <w:pPr>
      <w:widowControl/>
      <w:jc w:val="center"/>
    </w:pPr>
    <w:rPr>
      <w:rFonts w:ascii="Calibri" w:hAnsi="Calibri" w:cs="宋体"/>
      <w:kern w:val="0"/>
      <w:sz w:val="36"/>
    </w:rPr>
  </w:style>
  <w:style w:type="paragraph" w:customStyle="1" w:styleId="300">
    <w:name w:val="表格式"/>
    <w:basedOn w:val="42"/>
    <w:qFormat/>
    <w:uiPriority w:val="0"/>
    <w:pPr>
      <w:spacing w:line="400" w:lineRule="exact"/>
      <w:ind w:left="0" w:firstLine="0" w:firstLineChars="0"/>
      <w:jc w:val="center"/>
    </w:pPr>
    <w:rPr>
      <w:rFonts w:ascii="宋体"/>
    </w:rPr>
  </w:style>
  <w:style w:type="paragraph" w:customStyle="1" w:styleId="301">
    <w:name w:val="样式"/>
    <w:qFormat/>
    <w:uiPriority w:val="0"/>
    <w:pPr>
      <w:keepNext/>
      <w:keepLines/>
      <w:widowControl w:val="0"/>
      <w:adjustRightInd w:val="0"/>
      <w:spacing w:before="340" w:after="330" w:line="578" w:lineRule="atLeast"/>
      <w:jc w:val="both"/>
      <w:textAlignment w:val="baseline"/>
    </w:pPr>
    <w:rPr>
      <w:rFonts w:ascii="Calibri" w:hAnsi="Calibri" w:eastAsia="宋体" w:cs="Times New Roman"/>
      <w:b/>
      <w:sz w:val="24"/>
      <w:szCs w:val="22"/>
      <w:lang w:val="en-US" w:eastAsia="zh-CN" w:bidi="ar-SA"/>
    </w:rPr>
  </w:style>
  <w:style w:type="paragraph" w:customStyle="1" w:styleId="302">
    <w:name w:val="正文 首行缩进:  2 字符"/>
    <w:basedOn w:val="1"/>
    <w:link w:val="613"/>
    <w:qFormat/>
    <w:uiPriority w:val="0"/>
    <w:pPr>
      <w:adjustRightInd w:val="0"/>
      <w:snapToGrid w:val="0"/>
      <w:spacing w:line="500" w:lineRule="exact"/>
      <w:ind w:firstLine="200" w:firstLineChars="200"/>
      <w:jc w:val="left"/>
    </w:pPr>
    <w:rPr>
      <w:rFonts w:cs="宋体"/>
      <w:sz w:val="24"/>
    </w:rPr>
  </w:style>
  <w:style w:type="paragraph" w:customStyle="1" w:styleId="303">
    <w:name w:val="样式 表标题 + 段前: 0.5 行1"/>
    <w:basedOn w:val="4"/>
    <w:qFormat/>
    <w:uiPriority w:val="0"/>
    <w:pPr>
      <w:keepNext w:val="0"/>
      <w:keepLines w:val="0"/>
      <w:widowControl/>
      <w:numPr>
        <w:ilvl w:val="0"/>
        <w:numId w:val="0"/>
      </w:numPr>
      <w:tabs>
        <w:tab w:val="left" w:pos="420"/>
        <w:tab w:val="clear" w:pos="1276"/>
      </w:tabs>
      <w:snapToGrid w:val="0"/>
      <w:spacing w:before="156" w:beforeLines="50" w:after="0" w:line="480" w:lineRule="exact"/>
      <w:jc w:val="center"/>
      <w:textAlignment w:val="auto"/>
      <w:outlineLvl w:val="9"/>
    </w:pPr>
    <w:rPr>
      <w:rFonts w:ascii="Times New Roman" w:hAnsi="Times New Roman" w:eastAsia="宋体"/>
      <w:b w:val="0"/>
      <w:color w:val="2DA2BF"/>
      <w:kern w:val="0"/>
    </w:rPr>
  </w:style>
  <w:style w:type="paragraph" w:customStyle="1" w:styleId="304">
    <w:name w:val="表内5S"/>
    <w:basedOn w:val="1"/>
    <w:qFormat/>
    <w:uiPriority w:val="0"/>
    <w:pPr>
      <w:spacing w:line="300" w:lineRule="atLeast"/>
      <w:jc w:val="center"/>
    </w:pPr>
    <w:rPr>
      <w:rFonts w:eastAsia="方正宋三简体"/>
    </w:rPr>
  </w:style>
  <w:style w:type="paragraph" w:customStyle="1" w:styleId="305">
    <w:name w:val="G（正文）"/>
    <w:basedOn w:val="21"/>
    <w:link w:val="576"/>
    <w:qFormat/>
    <w:uiPriority w:val="0"/>
    <w:pPr>
      <w:spacing w:after="0" w:line="480" w:lineRule="exact"/>
      <w:ind w:firstLine="200" w:firstLineChars="200"/>
    </w:pPr>
    <w:rPr>
      <w:sz w:val="28"/>
      <w:szCs w:val="28"/>
    </w:rPr>
  </w:style>
  <w:style w:type="paragraph" w:customStyle="1" w:styleId="306">
    <w:name w:val="样式2－表格"/>
    <w:basedOn w:val="1"/>
    <w:qFormat/>
    <w:uiPriority w:val="0"/>
    <w:pPr>
      <w:widowControl/>
      <w:adjustRightInd w:val="0"/>
      <w:snapToGrid w:val="0"/>
      <w:spacing w:line="360" w:lineRule="auto"/>
      <w:jc w:val="center"/>
    </w:pPr>
    <w:rPr>
      <w:rFonts w:eastAsia="黑体"/>
      <w:kern w:val="0"/>
    </w:rPr>
  </w:style>
  <w:style w:type="paragraph" w:customStyle="1" w:styleId="307">
    <w:name w:val="yz"/>
    <w:basedOn w:val="21"/>
    <w:qFormat/>
    <w:uiPriority w:val="0"/>
    <w:pPr>
      <w:tabs>
        <w:tab w:val="left" w:pos="900"/>
      </w:tabs>
      <w:adjustRightInd w:val="0"/>
      <w:spacing w:after="0"/>
      <w:ind w:firstLine="200" w:firstLineChars="200"/>
      <w:textAlignment w:val="baseline"/>
    </w:pPr>
    <w:rPr>
      <w:rFonts w:hint="eastAsia" w:ascii="宋体" w:hAnsi="宋体"/>
      <w:sz w:val="24"/>
    </w:rPr>
  </w:style>
  <w:style w:type="paragraph" w:customStyle="1" w:styleId="308">
    <w:name w:val="xl32"/>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Calibri" w:hAnsi="Calibri"/>
      <w:kern w:val="0"/>
      <w:sz w:val="20"/>
    </w:rPr>
  </w:style>
  <w:style w:type="paragraph" w:customStyle="1" w:styleId="309">
    <w:name w:val="样式 标准文本 首行缩进:2 字符 行距1倍 + 首行缩进:  2 字符"/>
    <w:basedOn w:val="255"/>
    <w:qFormat/>
    <w:uiPriority w:val="0"/>
  </w:style>
  <w:style w:type="paragraph" w:customStyle="1" w:styleId="310">
    <w:name w:val="xl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Calibri" w:hAnsi="Calibri"/>
      <w:kern w:val="0"/>
      <w:sz w:val="24"/>
      <w:szCs w:val="22"/>
    </w:rPr>
  </w:style>
  <w:style w:type="paragraph" w:customStyle="1" w:styleId="311">
    <w:name w:val="样式 标题 1二处标题 11标题 1 Char章标题章节H1Otsikko 1标题 1 Char Char Ch..."/>
    <w:basedOn w:val="3"/>
    <w:qFormat/>
    <w:uiPriority w:val="0"/>
    <w:pPr>
      <w:snapToGrid/>
      <w:spacing w:line="480" w:lineRule="exact"/>
      <w:ind w:firstLine="200" w:firstLineChars="200"/>
      <w:jc w:val="center"/>
    </w:pPr>
    <w:rPr>
      <w:rFonts w:eastAsia="Times New Roman" w:cs="宋体"/>
      <w:b/>
      <w:bCs/>
      <w:sz w:val="32"/>
    </w:rPr>
  </w:style>
  <w:style w:type="paragraph" w:customStyle="1" w:styleId="312">
    <w:name w:val="样式 标题 1 + 加粗"/>
    <w:basedOn w:val="3"/>
    <w:qFormat/>
    <w:uiPriority w:val="0"/>
    <w:rPr>
      <w:rFonts w:ascii="宋体" w:hAnsi="宋体" w:eastAsia="宋体"/>
      <w:b/>
    </w:rPr>
  </w:style>
  <w:style w:type="paragraph" w:customStyle="1" w:styleId="313">
    <w:name w:val="标准符号 行距1.5倍"/>
    <w:basedOn w:val="158"/>
    <w:qFormat/>
    <w:uiPriority w:val="0"/>
    <w:pPr>
      <w:spacing w:line="240" w:lineRule="auto"/>
      <w:ind w:firstLine="0" w:firstLineChars="0"/>
    </w:pPr>
  </w:style>
  <w:style w:type="paragraph" w:customStyle="1" w:styleId="314">
    <w:name w:val="样式 样式 目录 2 + 首行缩进:  2 字符 + 首行缩进:  2 字符1"/>
    <w:basedOn w:val="236"/>
    <w:qFormat/>
    <w:uiPriority w:val="0"/>
    <w:pPr>
      <w:tabs>
        <w:tab w:val="left" w:pos="960"/>
        <w:tab w:val="clear" w:pos="1200"/>
      </w:tabs>
      <w:ind w:firstLine="400"/>
    </w:pPr>
  </w:style>
  <w:style w:type="paragraph" w:customStyle="1" w:styleId="315">
    <w:name w:val="表序号"/>
    <w:basedOn w:val="7"/>
    <w:qFormat/>
    <w:uiPriority w:val="0"/>
    <w:pPr>
      <w:widowControl/>
      <w:numPr>
        <w:ilvl w:val="0"/>
        <w:numId w:val="0"/>
      </w:numPr>
      <w:tabs>
        <w:tab w:val="left" w:pos="3566"/>
        <w:tab w:val="clear" w:pos="3827"/>
      </w:tabs>
      <w:spacing w:before="0" w:after="0" w:line="360" w:lineRule="auto"/>
      <w:ind w:left="3260" w:hanging="1134"/>
      <w:jc w:val="center"/>
    </w:pPr>
    <w:rPr>
      <w:rFonts w:ascii="宋体" w:hAnsi="Arial"/>
      <w:color w:val="16505E"/>
      <w:kern w:val="0"/>
      <w:sz w:val="22"/>
    </w:rPr>
  </w:style>
  <w:style w:type="paragraph" w:customStyle="1" w:styleId="316">
    <w:name w:val="样式6"/>
    <w:basedOn w:val="1"/>
    <w:qFormat/>
    <w:uiPriority w:val="0"/>
    <w:pPr>
      <w:widowControl/>
      <w:snapToGrid w:val="0"/>
      <w:spacing w:line="360" w:lineRule="auto"/>
      <w:ind w:firstLine="200" w:firstLineChars="200"/>
      <w:jc w:val="left"/>
    </w:pPr>
    <w:rPr>
      <w:rFonts w:ascii="Calibri" w:hAnsi="Calibri"/>
      <w:kern w:val="0"/>
      <w:sz w:val="24"/>
    </w:rPr>
  </w:style>
  <w:style w:type="paragraph" w:customStyle="1" w:styleId="317">
    <w:name w:val="金源"/>
    <w:basedOn w:val="1"/>
    <w:link w:val="508"/>
    <w:qFormat/>
    <w:uiPriority w:val="0"/>
    <w:pPr>
      <w:spacing w:line="480" w:lineRule="exact"/>
      <w:ind w:firstLine="480" w:firstLineChars="200"/>
      <w:jc w:val="left"/>
    </w:pPr>
    <w:rPr>
      <w:rFonts w:cs="宋体"/>
      <w:sz w:val="24"/>
    </w:rPr>
  </w:style>
  <w:style w:type="paragraph" w:customStyle="1" w:styleId="318">
    <w:name w:val="Char Char5 Char Char Char Char"/>
    <w:basedOn w:val="1"/>
    <w:qFormat/>
    <w:uiPriority w:val="0"/>
    <w:rPr>
      <w:szCs w:val="24"/>
    </w:rPr>
  </w:style>
  <w:style w:type="paragraph" w:customStyle="1" w:styleId="319">
    <w:name w:val="报告"/>
    <w:basedOn w:val="1"/>
    <w:link w:val="507"/>
    <w:qFormat/>
    <w:uiPriority w:val="0"/>
    <w:pPr>
      <w:adjustRightInd w:val="0"/>
      <w:spacing w:line="360" w:lineRule="auto"/>
      <w:ind w:firstLine="505"/>
      <w:textAlignment w:val="center"/>
    </w:pPr>
    <w:rPr>
      <w:rFonts w:ascii="TimesNewRoman" w:hAnsi="TimesNewRoman"/>
      <w:kern w:val="0"/>
      <w:sz w:val="24"/>
    </w:rPr>
  </w:style>
  <w:style w:type="paragraph" w:customStyle="1" w:styleId="320">
    <w:name w:val="样式 宋体 居中"/>
    <w:basedOn w:val="1"/>
    <w:qFormat/>
    <w:uiPriority w:val="0"/>
    <w:pPr>
      <w:adjustRightInd w:val="0"/>
      <w:spacing w:line="360" w:lineRule="auto"/>
      <w:jc w:val="center"/>
      <w:textAlignment w:val="baseline"/>
    </w:pPr>
    <w:rPr>
      <w:rFonts w:ascii="宋体" w:hAnsi="宋体"/>
      <w:kern w:val="21"/>
      <w:sz w:val="24"/>
    </w:rPr>
  </w:style>
  <w:style w:type="paragraph" w:customStyle="1" w:styleId="321">
    <w:name w:val="Pa8"/>
    <w:basedOn w:val="1"/>
    <w:next w:val="1"/>
    <w:qFormat/>
    <w:uiPriority w:val="0"/>
    <w:pPr>
      <w:widowControl/>
      <w:autoSpaceDE w:val="0"/>
      <w:autoSpaceDN w:val="0"/>
      <w:adjustRightInd w:val="0"/>
      <w:spacing w:before="140" w:after="140" w:line="211" w:lineRule="atLeast"/>
      <w:jc w:val="left"/>
    </w:pPr>
    <w:rPr>
      <w:rFonts w:ascii="宋体" w:hAnsi="Calibri"/>
      <w:kern w:val="0"/>
      <w:sz w:val="24"/>
      <w:szCs w:val="22"/>
    </w:rPr>
  </w:style>
  <w:style w:type="paragraph" w:customStyle="1" w:styleId="322">
    <w:name w:val="xl33"/>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323">
    <w:name w:val="表格 23"/>
    <w:basedOn w:val="1"/>
    <w:qFormat/>
    <w:uiPriority w:val="0"/>
    <w:pPr>
      <w:jc w:val="center"/>
    </w:pPr>
    <w:rPr>
      <w:rFonts w:eastAsia="楷体_GB2312"/>
      <w:sz w:val="24"/>
      <w:szCs w:val="24"/>
    </w:rPr>
  </w:style>
  <w:style w:type="paragraph" w:customStyle="1" w:styleId="324">
    <w:name w:val="BT3"/>
    <w:basedOn w:val="5"/>
    <w:qFormat/>
    <w:uiPriority w:val="0"/>
    <w:pPr>
      <w:widowControl/>
      <w:numPr>
        <w:ilvl w:val="0"/>
        <w:numId w:val="0"/>
      </w:numPr>
      <w:tabs>
        <w:tab w:val="left" w:pos="1276"/>
        <w:tab w:val="clear" w:pos="2126"/>
      </w:tabs>
      <w:spacing w:before="0" w:after="0" w:line="415" w:lineRule="auto"/>
      <w:ind w:left="1276" w:hanging="720"/>
      <w:jc w:val="left"/>
    </w:pPr>
    <w:rPr>
      <w:rFonts w:ascii="Cambria" w:hAnsi="Cambria"/>
      <w:bCs/>
      <w:color w:val="2DA2BF"/>
      <w:kern w:val="0"/>
      <w:sz w:val="28"/>
      <w:szCs w:val="22"/>
    </w:rPr>
  </w:style>
  <w:style w:type="paragraph" w:customStyle="1" w:styleId="325">
    <w:name w:val="1.1.1样式 样式 标题 2节 + (西文) Times New Roman (中文) 宋体 四号 段前: 0.5 行 段后: 0......"/>
    <w:basedOn w:val="1"/>
    <w:next w:val="326"/>
    <w:qFormat/>
    <w:uiPriority w:val="0"/>
    <w:pPr>
      <w:keepNext/>
      <w:keepLines/>
      <w:tabs>
        <w:tab w:val="left" w:pos="567"/>
      </w:tabs>
      <w:adjustRightInd w:val="0"/>
      <w:snapToGrid w:val="0"/>
      <w:spacing w:before="280" w:beforeLines="90" w:after="280" w:afterLines="90"/>
      <w:ind w:left="567" w:hanging="567"/>
      <w:outlineLvl w:val="1"/>
    </w:pPr>
    <w:rPr>
      <w:rFonts w:hAnsi="宋体"/>
      <w:b/>
      <w:bCs/>
      <w:kern w:val="0"/>
      <w:sz w:val="30"/>
      <w:szCs w:val="30"/>
    </w:rPr>
  </w:style>
  <w:style w:type="paragraph" w:customStyle="1" w:styleId="326">
    <w:name w:val="样式 目录 2 + 左侧:  2 字符 首行缩进:  2 字符"/>
    <w:basedOn w:val="46"/>
    <w:qFormat/>
    <w:uiPriority w:val="0"/>
    <w:pPr>
      <w:ind w:left="480" w:leftChars="200" w:firstLine="480"/>
    </w:pPr>
    <w:rPr>
      <w:rFonts w:cs="宋体"/>
      <w:sz w:val="18"/>
      <w:szCs w:val="18"/>
    </w:rPr>
  </w:style>
  <w:style w:type="paragraph" w:customStyle="1" w:styleId="327">
    <w:name w:val="大标题"/>
    <w:basedOn w:val="3"/>
    <w:qFormat/>
    <w:uiPriority w:val="0"/>
    <w:pPr>
      <w:widowControl/>
      <w:tabs>
        <w:tab w:val="left" w:pos="432"/>
        <w:tab w:val="left" w:pos="8640"/>
      </w:tabs>
      <w:snapToGrid/>
      <w:spacing w:before="480" w:after="312" w:afterLines="100" w:line="480" w:lineRule="auto"/>
      <w:ind w:left="432" w:firstLine="200" w:firstLineChars="200"/>
      <w:jc w:val="center"/>
    </w:pPr>
    <w:rPr>
      <w:rFonts w:ascii="Cambria" w:hAnsi="Cambria" w:eastAsia="宋体"/>
      <w:b/>
      <w:bCs/>
      <w:color w:val="000000"/>
      <w:kern w:val="0"/>
      <w:szCs w:val="28"/>
    </w:rPr>
  </w:style>
  <w:style w:type="paragraph" w:customStyle="1" w:styleId="328">
    <w:name w:val="项目符号1"/>
    <w:basedOn w:val="1"/>
    <w:qFormat/>
    <w:uiPriority w:val="0"/>
    <w:pPr>
      <w:widowControl/>
      <w:tabs>
        <w:tab w:val="left" w:pos="780"/>
      </w:tabs>
      <w:overflowPunct w:val="0"/>
      <w:snapToGrid w:val="0"/>
      <w:spacing w:line="480" w:lineRule="exact"/>
      <w:ind w:left="435" w:hanging="285"/>
      <w:jc w:val="left"/>
    </w:pPr>
    <w:rPr>
      <w:rFonts w:ascii="Arial" w:hAnsi="Arial" w:eastAsia="仿宋_GB2312"/>
      <w:kern w:val="0"/>
      <w:sz w:val="28"/>
    </w:rPr>
  </w:style>
  <w:style w:type="paragraph" w:customStyle="1" w:styleId="329">
    <w:name w:val="正文居中"/>
    <w:basedOn w:val="1"/>
    <w:qFormat/>
    <w:uiPriority w:val="0"/>
    <w:pPr>
      <w:widowControl/>
      <w:spacing w:line="400" w:lineRule="exact"/>
      <w:jc w:val="center"/>
    </w:pPr>
    <w:rPr>
      <w:rFonts w:ascii="Calibri" w:hAnsi="Calibri" w:cs="宋体"/>
      <w:kern w:val="0"/>
      <w:sz w:val="24"/>
    </w:rPr>
  </w:style>
  <w:style w:type="paragraph" w:customStyle="1" w:styleId="330">
    <w:name w:val="样式 (符号) 宋体 右 右侧:  0.19 厘米"/>
    <w:basedOn w:val="1"/>
    <w:next w:val="3"/>
    <w:qFormat/>
    <w:uiPriority w:val="0"/>
    <w:pPr>
      <w:ind w:right="105"/>
      <w:jc w:val="right"/>
    </w:pPr>
    <w:rPr>
      <w:rFonts w:hAnsi="宋体" w:cs="宋体"/>
    </w:rPr>
  </w:style>
  <w:style w:type="paragraph" w:customStyle="1" w:styleId="331">
    <w:name w:val="LOGO"/>
    <w:basedOn w:val="1"/>
    <w:qFormat/>
    <w:uiPriority w:val="0"/>
    <w:pPr>
      <w:widowControl/>
      <w:ind w:left="482"/>
      <w:jc w:val="right"/>
    </w:pPr>
    <w:rPr>
      <w:rFonts w:ascii="Calibri" w:hAnsi="Calibri" w:cs="宋体"/>
      <w:kern w:val="0"/>
      <w:sz w:val="24"/>
    </w:rPr>
  </w:style>
  <w:style w:type="paragraph" w:customStyle="1" w:styleId="332">
    <w:name w:val="默认段落字体 Para Char"/>
    <w:basedOn w:val="1"/>
    <w:next w:val="1"/>
    <w:qFormat/>
    <w:uiPriority w:val="0"/>
    <w:pPr>
      <w:widowControl/>
      <w:spacing w:line="360" w:lineRule="auto"/>
      <w:ind w:firstLine="200" w:firstLineChars="200"/>
      <w:jc w:val="left"/>
    </w:pPr>
    <w:rPr>
      <w:rFonts w:ascii="宋体" w:hAnsi="宋体" w:cs="宋体"/>
      <w:kern w:val="0"/>
      <w:sz w:val="24"/>
      <w:szCs w:val="22"/>
    </w:rPr>
  </w:style>
  <w:style w:type="paragraph" w:customStyle="1" w:styleId="333">
    <w:name w:val="Table Paragraph"/>
    <w:basedOn w:val="1"/>
    <w:unhideWhenUsed/>
    <w:qFormat/>
    <w:uiPriority w:val="1"/>
    <w:rPr>
      <w:sz w:val="24"/>
      <w:szCs w:val="24"/>
    </w:rPr>
  </w:style>
  <w:style w:type="paragraph" w:customStyle="1" w:styleId="334">
    <w:name w:val="我的样式（正文）"/>
    <w:basedOn w:val="1"/>
    <w:qFormat/>
    <w:uiPriority w:val="0"/>
    <w:pPr>
      <w:widowControl/>
      <w:spacing w:line="440" w:lineRule="exact"/>
      <w:jc w:val="left"/>
    </w:pPr>
    <w:rPr>
      <w:rFonts w:ascii="宋体" w:hAnsi="Calibri"/>
      <w:kern w:val="0"/>
      <w:sz w:val="28"/>
    </w:rPr>
  </w:style>
  <w:style w:type="paragraph" w:customStyle="1" w:styleId="335">
    <w:name w:val="样式 标题 2二处标题 2节标题 1.11.1标题2b2ParagrafoH22nd levelh2Heade...3"/>
    <w:basedOn w:val="4"/>
    <w:qFormat/>
    <w:uiPriority w:val="0"/>
    <w:pPr>
      <w:keepNext w:val="0"/>
      <w:keepLines w:val="0"/>
      <w:numPr>
        <w:ilvl w:val="0"/>
        <w:numId w:val="0"/>
      </w:numPr>
      <w:tabs>
        <w:tab w:val="clear" w:pos="1276"/>
      </w:tabs>
      <w:snapToGrid w:val="0"/>
      <w:spacing w:before="0" w:after="0" w:line="480" w:lineRule="exact"/>
      <w:ind w:firstLine="600" w:firstLineChars="200"/>
      <w:textAlignment w:val="auto"/>
    </w:pPr>
    <w:rPr>
      <w:rFonts w:ascii="Times New Roman" w:hAnsi="Times New Roman" w:eastAsia="Times New Roman" w:cs="宋体"/>
      <w:color w:val="000000"/>
      <w:sz w:val="30"/>
    </w:rPr>
  </w:style>
  <w:style w:type="paragraph" w:customStyle="1" w:styleId="336">
    <w:name w:val="样式 标准文本 首行缩进:2 字符 行距1.5倍 + 首行缩进:  2 字符2"/>
    <w:basedOn w:val="158"/>
    <w:qFormat/>
    <w:uiPriority w:val="0"/>
    <w:pPr>
      <w:spacing w:line="240" w:lineRule="auto"/>
    </w:pPr>
    <w:rPr>
      <w:szCs w:val="20"/>
    </w:rPr>
  </w:style>
  <w:style w:type="paragraph" w:customStyle="1" w:styleId="337">
    <w:name w:val="样式 报告正文"/>
    <w:basedOn w:val="1"/>
    <w:qFormat/>
    <w:uiPriority w:val="0"/>
    <w:pPr>
      <w:spacing w:line="520" w:lineRule="exact"/>
      <w:ind w:firstLine="600"/>
    </w:pPr>
    <w:rPr>
      <w:szCs w:val="24"/>
    </w:rPr>
  </w:style>
  <w:style w:type="paragraph" w:customStyle="1" w:styleId="338">
    <w:name w:val="表内格式"/>
    <w:basedOn w:val="1"/>
    <w:link w:val="660"/>
    <w:qFormat/>
    <w:uiPriority w:val="0"/>
    <w:pPr>
      <w:jc w:val="center"/>
    </w:pPr>
    <w:rPr>
      <w:sz w:val="18"/>
    </w:rPr>
  </w:style>
  <w:style w:type="paragraph" w:customStyle="1" w:styleId="339">
    <w:name w:val="表头-lcc"/>
    <w:basedOn w:val="1"/>
    <w:qFormat/>
    <w:uiPriority w:val="0"/>
    <w:pPr>
      <w:jc w:val="center"/>
    </w:pPr>
    <w:rPr>
      <w:b/>
      <w:szCs w:val="21"/>
    </w:rPr>
  </w:style>
  <w:style w:type="paragraph" w:customStyle="1" w:styleId="340">
    <w:name w:val="样式 宋体 小四 段前: 0.5 磅"/>
    <w:basedOn w:val="1"/>
    <w:qFormat/>
    <w:uiPriority w:val="0"/>
    <w:pPr>
      <w:widowControl/>
      <w:spacing w:before="120" w:line="360" w:lineRule="auto"/>
      <w:ind w:firstLine="257" w:firstLineChars="257"/>
      <w:jc w:val="left"/>
    </w:pPr>
    <w:rPr>
      <w:rFonts w:ascii="宋体" w:hAnsi="宋体" w:cs="宋体"/>
      <w:kern w:val="0"/>
      <w:sz w:val="24"/>
    </w:rPr>
  </w:style>
  <w:style w:type="paragraph" w:customStyle="1" w:styleId="341">
    <w:name w:val="首行缩进"/>
    <w:basedOn w:val="1"/>
    <w:qFormat/>
    <w:uiPriority w:val="0"/>
    <w:pPr>
      <w:spacing w:line="360" w:lineRule="auto"/>
      <w:ind w:firstLine="480" w:firstLineChars="200"/>
    </w:pPr>
    <w:rPr>
      <w:sz w:val="24"/>
      <w:szCs w:val="24"/>
    </w:rPr>
  </w:style>
  <w:style w:type="paragraph" w:customStyle="1" w:styleId="342">
    <w:name w:val="tajicy"/>
    <w:basedOn w:val="1"/>
    <w:link w:val="603"/>
    <w:qFormat/>
    <w:uiPriority w:val="0"/>
    <w:pPr>
      <w:adjustRightInd w:val="0"/>
      <w:snapToGrid w:val="0"/>
      <w:spacing w:line="360" w:lineRule="auto"/>
      <w:ind w:firstLine="480" w:firstLineChars="200"/>
      <w:jc w:val="left"/>
    </w:pPr>
    <w:rPr>
      <w:color w:val="008000"/>
      <w:kern w:val="0"/>
      <w:sz w:val="24"/>
      <w:lang w:val="en-GB"/>
    </w:rPr>
  </w:style>
  <w:style w:type="paragraph" w:customStyle="1" w:styleId="343">
    <w:name w:val="表蕊居中"/>
    <w:qFormat/>
    <w:uiPriority w:val="0"/>
    <w:pPr>
      <w:widowControl w:val="0"/>
      <w:adjustRightInd w:val="0"/>
      <w:spacing w:line="320" w:lineRule="exact"/>
      <w:jc w:val="center"/>
      <w:textAlignment w:val="baseline"/>
    </w:pPr>
    <w:rPr>
      <w:rFonts w:ascii="Times New Roman" w:hAnsi="Times New Roman" w:eastAsia="宋体" w:cs="Times New Roman"/>
      <w:bCs/>
      <w:sz w:val="21"/>
      <w:szCs w:val="22"/>
      <w:lang w:val="en-US" w:eastAsia="zh-CN" w:bidi="ar-SA"/>
    </w:rPr>
  </w:style>
  <w:style w:type="paragraph" w:customStyle="1" w:styleId="344">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0"/>
    </w:rPr>
  </w:style>
  <w:style w:type="paragraph" w:customStyle="1" w:styleId="345">
    <w:name w:val="*正文"/>
    <w:qFormat/>
    <w:uiPriority w:val="0"/>
    <w:pPr>
      <w:spacing w:line="360" w:lineRule="auto"/>
      <w:ind w:firstLine="200" w:firstLineChars="200"/>
      <w:jc w:val="both"/>
      <w:textAlignment w:val="baseline"/>
    </w:pPr>
    <w:rPr>
      <w:rFonts w:ascii="Times New Roman" w:hAnsi="Times New Roman" w:eastAsia="宋体" w:cs="Times New Roman"/>
      <w:color w:val="000000"/>
      <w:sz w:val="24"/>
      <w:lang w:val="en-US" w:eastAsia="zh-CN" w:bidi="ar-SA"/>
    </w:rPr>
  </w:style>
  <w:style w:type="paragraph" w:customStyle="1" w:styleId="346">
    <w:name w:val="样式 列表 + 左侧:  0 厘米 悬挂缩进: 5.85 字符"/>
    <w:basedOn w:val="42"/>
    <w:qFormat/>
    <w:uiPriority w:val="0"/>
    <w:pPr>
      <w:ind w:left="0" w:firstLine="0" w:firstLineChars="0"/>
      <w:jc w:val="center"/>
    </w:pPr>
    <w:rPr>
      <w:color w:val="FF0000"/>
      <w:szCs w:val="21"/>
      <w:lang w:val="zh-CN"/>
    </w:rPr>
  </w:style>
  <w:style w:type="paragraph" w:customStyle="1" w:styleId="347">
    <w:name w:val="xl25"/>
    <w:basedOn w:val="1"/>
    <w:qFormat/>
    <w:uiPriority w:val="0"/>
    <w:pPr>
      <w:widowControl/>
      <w:pBdr>
        <w:left w:val="single" w:color="auto" w:sz="8" w:space="0"/>
        <w:right w:val="single" w:color="auto" w:sz="8" w:space="0"/>
      </w:pBdr>
      <w:spacing w:before="100" w:beforeAutospacing="1" w:after="100" w:afterAutospacing="1"/>
      <w:jc w:val="center"/>
    </w:pPr>
    <w:rPr>
      <w:rFonts w:ascii="宋体" w:hAnsi="宋体"/>
      <w:kern w:val="0"/>
      <w:sz w:val="24"/>
    </w:rPr>
  </w:style>
  <w:style w:type="paragraph" w:customStyle="1" w:styleId="348">
    <w:name w:val="Char Char Char Char Char Char Char Char Char1 Char Char Char"/>
    <w:basedOn w:val="1"/>
    <w:qFormat/>
    <w:uiPriority w:val="0"/>
    <w:rPr>
      <w:sz w:val="24"/>
      <w:szCs w:val="24"/>
    </w:rPr>
  </w:style>
  <w:style w:type="paragraph" w:customStyle="1" w:styleId="349">
    <w:name w:val="Char Char Char Char Char Char Char Char1 Char Char Char Char Char Char Char Char Char Char Char Char1 Char"/>
    <w:basedOn w:val="1"/>
    <w:qFormat/>
    <w:uiPriority w:val="0"/>
    <w:rPr>
      <w:sz w:val="24"/>
      <w:szCs w:val="24"/>
    </w:rPr>
  </w:style>
  <w:style w:type="paragraph" w:customStyle="1" w:styleId="350">
    <w:name w:val="正文样式 Char Char Char Char Char"/>
    <w:basedOn w:val="1"/>
    <w:link w:val="583"/>
    <w:qFormat/>
    <w:uiPriority w:val="0"/>
    <w:pPr>
      <w:spacing w:line="360" w:lineRule="auto"/>
      <w:ind w:firstLine="480" w:firstLineChars="200"/>
    </w:pPr>
    <w:rPr>
      <w:rFonts w:ascii="宋体" w:hAnsi="宋体"/>
      <w:color w:val="000000"/>
      <w:sz w:val="24"/>
      <w:szCs w:val="24"/>
    </w:rPr>
  </w:style>
  <w:style w:type="paragraph" w:customStyle="1" w:styleId="351">
    <w:name w:val="样式 标题 1二处标题 11标题 1 Char章标题章节H1Otsikko 1标题 1 Char Char Ch...4"/>
    <w:basedOn w:val="3"/>
    <w:qFormat/>
    <w:uiPriority w:val="0"/>
    <w:pPr>
      <w:snapToGrid/>
      <w:spacing w:line="480" w:lineRule="exact"/>
      <w:ind w:firstLine="643" w:firstLineChars="200"/>
      <w:jc w:val="center"/>
    </w:pPr>
    <w:rPr>
      <w:rFonts w:hAnsi="宋体" w:eastAsia="宋体"/>
      <w:b/>
      <w:bCs/>
      <w:color w:val="000000"/>
      <w:sz w:val="32"/>
    </w:rPr>
  </w:style>
  <w:style w:type="paragraph" w:customStyle="1" w:styleId="352">
    <w:name w:val="font0"/>
    <w:basedOn w:val="1"/>
    <w:qFormat/>
    <w:uiPriority w:val="0"/>
    <w:pPr>
      <w:widowControl/>
      <w:spacing w:before="100" w:beforeAutospacing="1" w:after="100" w:afterAutospacing="1"/>
      <w:jc w:val="left"/>
    </w:pPr>
    <w:rPr>
      <w:rFonts w:ascii="Arial" w:hAnsi="Arial" w:eastAsia="Arial Unicode MS" w:cs="Arial"/>
      <w:kern w:val="0"/>
      <w:sz w:val="20"/>
    </w:rPr>
  </w:style>
  <w:style w:type="paragraph" w:customStyle="1" w:styleId="353">
    <w:name w:val="word"/>
    <w:basedOn w:val="1"/>
    <w:qFormat/>
    <w:uiPriority w:val="0"/>
    <w:pPr>
      <w:spacing w:line="360" w:lineRule="auto"/>
      <w:ind w:firstLine="480" w:firstLineChars="200"/>
    </w:pPr>
    <w:rPr>
      <w:rFonts w:ascii="宋体" w:hAnsi="宋体"/>
      <w:color w:val="000000"/>
      <w:sz w:val="24"/>
      <w:szCs w:val="24"/>
    </w:rPr>
  </w:style>
  <w:style w:type="paragraph" w:customStyle="1" w:styleId="354">
    <w:name w:val="样式 标题 4 + 四号 段前: 1 行"/>
    <w:basedOn w:val="6"/>
    <w:qFormat/>
    <w:uiPriority w:val="0"/>
    <w:pPr>
      <w:widowControl/>
      <w:numPr>
        <w:ilvl w:val="0"/>
        <w:numId w:val="0"/>
      </w:numPr>
      <w:tabs>
        <w:tab w:val="clear" w:pos="2976"/>
      </w:tabs>
      <w:spacing w:before="312" w:beforeLines="100" w:after="0" w:line="420" w:lineRule="exact"/>
      <w:ind w:left="560"/>
      <w:jc w:val="left"/>
    </w:pPr>
    <w:rPr>
      <w:rFonts w:eastAsia="宋体"/>
      <w:bCs/>
      <w:i/>
      <w:iCs/>
      <w:color w:val="2DA2BF"/>
      <w:kern w:val="0"/>
    </w:rPr>
  </w:style>
  <w:style w:type="paragraph" w:customStyle="1" w:styleId="355">
    <w:name w:val="报告正文"/>
    <w:basedOn w:val="1"/>
    <w:link w:val="667"/>
    <w:qFormat/>
    <w:uiPriority w:val="0"/>
    <w:pPr>
      <w:spacing w:line="440" w:lineRule="exact"/>
      <w:ind w:firstLine="200" w:firstLineChars="200"/>
      <w:jc w:val="left"/>
    </w:pPr>
    <w:rPr>
      <w:rFonts w:eastAsia="仿宋_GB2312"/>
      <w:sz w:val="24"/>
      <w:szCs w:val="24"/>
    </w:rPr>
  </w:style>
  <w:style w:type="paragraph" w:customStyle="1" w:styleId="356">
    <w:name w:val="样式 标题 2标题 2-王鹏标题2纪任山标题 2Char标题 2 Char1标题 2 Char Char二处标题 ..."/>
    <w:basedOn w:val="4"/>
    <w:qFormat/>
    <w:uiPriority w:val="0"/>
    <w:pPr>
      <w:numPr>
        <w:ilvl w:val="0"/>
        <w:numId w:val="0"/>
      </w:numPr>
      <w:tabs>
        <w:tab w:val="clear" w:pos="1276"/>
      </w:tabs>
      <w:adjustRightInd/>
      <w:spacing w:before="0" w:after="0" w:line="480" w:lineRule="exact"/>
      <w:ind w:left="-30" w:leftChars="-30" w:firstLine="200" w:firstLineChars="200"/>
      <w:jc w:val="both"/>
      <w:textAlignment w:val="auto"/>
    </w:pPr>
    <w:rPr>
      <w:rFonts w:ascii="Times New Roman" w:hAnsi="Times New Roman" w:eastAsia="宋体" w:cs="宋体"/>
      <w:bCs/>
      <w:sz w:val="30"/>
    </w:rPr>
  </w:style>
  <w:style w:type="paragraph" w:customStyle="1" w:styleId="357">
    <w:name w:val="Char Char Char Char Char Char"/>
    <w:basedOn w:val="1"/>
    <w:qFormat/>
    <w:uiPriority w:val="0"/>
    <w:rPr>
      <w:sz w:val="24"/>
      <w:szCs w:val="24"/>
    </w:rPr>
  </w:style>
  <w:style w:type="paragraph" w:customStyle="1" w:styleId="358">
    <w:name w:val="样式 标题 1-G"/>
    <w:basedOn w:val="3"/>
    <w:qFormat/>
    <w:uiPriority w:val="0"/>
    <w:pPr>
      <w:keepLines w:val="0"/>
      <w:snapToGrid/>
      <w:spacing w:line="480" w:lineRule="exact"/>
      <w:jc w:val="center"/>
    </w:pPr>
    <w:rPr>
      <w:rFonts w:eastAsia="宋体" w:cs="宋体"/>
      <w:b/>
      <w:bCs/>
      <w:kern w:val="2"/>
      <w:sz w:val="32"/>
    </w:rPr>
  </w:style>
  <w:style w:type="paragraph" w:customStyle="1" w:styleId="359">
    <w:name w:val="纪任山图表标题5"/>
    <w:basedOn w:val="1"/>
    <w:qFormat/>
    <w:uiPriority w:val="0"/>
    <w:pPr>
      <w:adjustRightInd w:val="0"/>
      <w:snapToGrid w:val="0"/>
      <w:spacing w:before="156" w:beforeLines="50" w:after="156" w:afterLines="50" w:line="480" w:lineRule="exact"/>
      <w:jc w:val="center"/>
    </w:pPr>
    <w:rPr>
      <w:b/>
      <w:bCs/>
      <w:spacing w:val="6"/>
      <w:sz w:val="24"/>
      <w:szCs w:val="24"/>
    </w:rPr>
  </w:style>
  <w:style w:type="paragraph" w:customStyle="1" w:styleId="360">
    <w:name w:val="Char Char Char Char Char Char Char1"/>
    <w:basedOn w:val="1"/>
    <w:qFormat/>
    <w:uiPriority w:val="0"/>
  </w:style>
  <w:style w:type="paragraph" w:customStyle="1" w:styleId="361">
    <w:name w:val="A标准格式"/>
    <w:basedOn w:val="1"/>
    <w:qFormat/>
    <w:uiPriority w:val="0"/>
    <w:pPr>
      <w:adjustRightInd w:val="0"/>
      <w:spacing w:line="440" w:lineRule="exact"/>
      <w:ind w:firstLine="480" w:firstLineChars="200"/>
      <w:textAlignment w:val="baseline"/>
    </w:pPr>
    <w:rPr>
      <w:rFonts w:ascii="等线" w:hAnsi="等线"/>
      <w:sz w:val="24"/>
      <w:szCs w:val="24"/>
    </w:rPr>
  </w:style>
  <w:style w:type="paragraph" w:customStyle="1" w:styleId="362">
    <w:name w:val="样式 标题 2标题 2-王鹏标题2纪任山标题 2Char标题 2 Char1标题 2 Char Char + 左侧:..."/>
    <w:basedOn w:val="4"/>
    <w:qFormat/>
    <w:uiPriority w:val="0"/>
    <w:pPr>
      <w:numPr>
        <w:ilvl w:val="0"/>
        <w:numId w:val="0"/>
      </w:numPr>
      <w:tabs>
        <w:tab w:val="clear" w:pos="1276"/>
      </w:tabs>
      <w:adjustRightInd/>
      <w:spacing w:before="0" w:after="0" w:line="480" w:lineRule="exact"/>
      <w:ind w:left="-63" w:leftChars="-30" w:firstLine="602" w:firstLineChars="200"/>
      <w:jc w:val="both"/>
      <w:textAlignment w:val="auto"/>
    </w:pPr>
    <w:rPr>
      <w:rFonts w:ascii="Times New Roman" w:hAnsi="Times New Roman" w:eastAsia="宋体" w:cs="宋体"/>
      <w:bCs/>
      <w:sz w:val="30"/>
    </w:rPr>
  </w:style>
  <w:style w:type="paragraph" w:customStyle="1" w:styleId="363">
    <w:name w:val="表中"/>
    <w:qFormat/>
    <w:uiPriority w:val="0"/>
    <w:pPr>
      <w:adjustRightInd w:val="0"/>
      <w:snapToGrid w:val="0"/>
      <w:jc w:val="center"/>
    </w:pPr>
    <w:rPr>
      <w:rFonts w:ascii="Times New Roman" w:hAnsi="Times New Roman" w:eastAsia="宋体" w:cs="Times New Roman"/>
      <w:kern w:val="44"/>
      <w:sz w:val="18"/>
      <w:lang w:val="en-US" w:eastAsia="zh-CN" w:bidi="ar-SA"/>
    </w:rPr>
  </w:style>
  <w:style w:type="paragraph" w:customStyle="1" w:styleId="364">
    <w:name w:val="G样式1"/>
    <w:basedOn w:val="1"/>
    <w:link w:val="652"/>
    <w:qFormat/>
    <w:uiPriority w:val="0"/>
    <w:pPr>
      <w:spacing w:line="480" w:lineRule="exact"/>
      <w:ind w:firstLine="200" w:firstLineChars="200"/>
    </w:pPr>
    <w:rPr>
      <w:sz w:val="28"/>
      <w:szCs w:val="28"/>
    </w:rPr>
  </w:style>
  <w:style w:type="paragraph" w:customStyle="1" w:styleId="365">
    <w:name w:val="表文lcc"/>
    <w:basedOn w:val="1"/>
    <w:qFormat/>
    <w:uiPriority w:val="0"/>
    <w:pPr>
      <w:widowControl/>
      <w:jc w:val="center"/>
    </w:pPr>
    <w:rPr>
      <w:rFonts w:eastAsia="仿宋_GB2312"/>
      <w:kern w:val="0"/>
      <w:szCs w:val="24"/>
    </w:rPr>
  </w:style>
  <w:style w:type="paragraph" w:customStyle="1" w:styleId="366">
    <w:name w:val="样式 标准文本 首行缩进:2 字符 行距1.5倍 + 首行缩进:  2 字符"/>
    <w:basedOn w:val="158"/>
    <w:qFormat/>
    <w:uiPriority w:val="0"/>
    <w:rPr>
      <w:szCs w:val="20"/>
    </w:rPr>
  </w:style>
  <w:style w:type="paragraph" w:styleId="367">
    <w:name w:val="No Spacing"/>
    <w:qFormat/>
    <w:uiPriority w:val="0"/>
    <w:rPr>
      <w:rFonts w:ascii="Calibri" w:hAnsi="Calibri" w:eastAsia="宋体" w:cs="Times New Roman"/>
      <w:sz w:val="22"/>
      <w:szCs w:val="22"/>
      <w:lang w:val="en-US" w:eastAsia="zh-CN" w:bidi="ar-SA"/>
    </w:rPr>
  </w:style>
  <w:style w:type="paragraph" w:customStyle="1" w:styleId="368">
    <w:name w:val="表"/>
    <w:basedOn w:val="42"/>
    <w:qFormat/>
    <w:uiPriority w:val="0"/>
    <w:pPr>
      <w:keepNext/>
      <w:keepLines/>
      <w:spacing w:before="60" w:after="60" w:line="240" w:lineRule="exact"/>
      <w:ind w:left="0" w:firstLine="0" w:firstLineChars="0"/>
      <w:jc w:val="center"/>
    </w:pPr>
  </w:style>
  <w:style w:type="paragraph" w:customStyle="1" w:styleId="369">
    <w:name w:val="Gabriel（正文）"/>
    <w:basedOn w:val="1"/>
    <w:next w:val="1"/>
    <w:link w:val="636"/>
    <w:qFormat/>
    <w:uiPriority w:val="0"/>
    <w:pPr>
      <w:spacing w:line="480" w:lineRule="exact"/>
      <w:ind w:firstLine="200" w:firstLineChars="200"/>
    </w:pPr>
    <w:rPr>
      <w:sz w:val="28"/>
      <w:szCs w:val="28"/>
    </w:rPr>
  </w:style>
  <w:style w:type="paragraph" w:customStyle="1" w:styleId="370">
    <w:name w:val="aa正文"/>
    <w:basedOn w:val="1"/>
    <w:link w:val="520"/>
    <w:qFormat/>
    <w:uiPriority w:val="0"/>
    <w:pPr>
      <w:widowControl/>
      <w:spacing w:line="360" w:lineRule="auto"/>
      <w:ind w:firstLine="200" w:firstLineChars="200"/>
      <w:jc w:val="left"/>
    </w:pPr>
    <w:rPr>
      <w:rFonts w:ascii="Calibri" w:hAnsi="Calibri"/>
      <w:kern w:val="0"/>
      <w:sz w:val="24"/>
      <w:szCs w:val="22"/>
    </w:rPr>
  </w:style>
  <w:style w:type="paragraph" w:customStyle="1" w:styleId="371">
    <w:name w:val="新正文"/>
    <w:basedOn w:val="1"/>
    <w:link w:val="579"/>
    <w:qFormat/>
    <w:uiPriority w:val="0"/>
    <w:pPr>
      <w:widowControl/>
      <w:spacing w:line="480" w:lineRule="exact"/>
      <w:ind w:firstLine="482"/>
      <w:jc w:val="left"/>
    </w:pPr>
    <w:rPr>
      <w:rFonts w:ascii="仿宋_GB2312" w:hAnsi="Calibri" w:eastAsia="仿宋_GB2312"/>
      <w:bCs/>
      <w:kern w:val="0"/>
      <w:sz w:val="28"/>
    </w:rPr>
  </w:style>
  <w:style w:type="paragraph" w:customStyle="1" w:styleId="372">
    <w:name w:val="样式 标题 2标题 2-王鹏标题2纪任山标题 2Char标题 2 Char1标题 2 Char Char二处标题 ...2"/>
    <w:basedOn w:val="4"/>
    <w:qFormat/>
    <w:uiPriority w:val="0"/>
    <w:pPr>
      <w:numPr>
        <w:ilvl w:val="0"/>
        <w:numId w:val="0"/>
      </w:numPr>
      <w:tabs>
        <w:tab w:val="clear" w:pos="1276"/>
      </w:tabs>
      <w:adjustRightInd/>
      <w:spacing w:before="0" w:after="0" w:line="480" w:lineRule="exact"/>
      <w:ind w:left="-25" w:leftChars="-25" w:firstLine="200" w:firstLineChars="200"/>
      <w:jc w:val="both"/>
      <w:textAlignment w:val="auto"/>
    </w:pPr>
    <w:rPr>
      <w:rFonts w:ascii="Times New Roman" w:hAnsi="Times New Roman" w:eastAsia="宋体" w:cs="宋体"/>
      <w:bCs/>
      <w:sz w:val="30"/>
    </w:rPr>
  </w:style>
  <w:style w:type="paragraph" w:customStyle="1" w:styleId="373">
    <w:name w:val="Char Char Char Char Char Char1 Char Char Char Char Char Char Char"/>
    <w:basedOn w:val="1"/>
    <w:qFormat/>
    <w:uiPriority w:val="0"/>
    <w:pPr>
      <w:widowControl/>
      <w:jc w:val="left"/>
    </w:pPr>
    <w:rPr>
      <w:rFonts w:ascii="Calibri" w:hAnsi="Calibri"/>
      <w:kern w:val="0"/>
      <w:sz w:val="22"/>
      <w:szCs w:val="22"/>
    </w:rPr>
  </w:style>
  <w:style w:type="paragraph" w:customStyle="1" w:styleId="374">
    <w:name w:val="正文（海红）"/>
    <w:basedOn w:val="1"/>
    <w:link w:val="570"/>
    <w:qFormat/>
    <w:uiPriority w:val="0"/>
    <w:pPr>
      <w:spacing w:line="500" w:lineRule="exact"/>
      <w:ind w:firstLine="200" w:firstLineChars="200"/>
    </w:pPr>
    <w:rPr>
      <w:sz w:val="24"/>
      <w:szCs w:val="24"/>
    </w:rPr>
  </w:style>
  <w:style w:type="paragraph" w:customStyle="1" w:styleId="375">
    <w:name w:val="正文文字 3"/>
    <w:basedOn w:val="1"/>
    <w:semiHidden/>
    <w:qFormat/>
    <w:uiPriority w:val="0"/>
    <w:pPr>
      <w:spacing w:line="280" w:lineRule="exact"/>
      <w:jc w:val="center"/>
    </w:pPr>
    <w:rPr>
      <w:rFonts w:ascii="仿宋_GB2312" w:hAnsi="Arial Black" w:eastAsia="仿宋_GB2312" w:cs="仿宋_GB2312"/>
      <w:szCs w:val="21"/>
    </w:rPr>
  </w:style>
  <w:style w:type="paragraph" w:customStyle="1" w:styleId="376">
    <w:name w:val="xl27"/>
    <w:basedOn w:val="1"/>
    <w:qFormat/>
    <w:uiPriority w:val="0"/>
    <w:pPr>
      <w:widowControl/>
      <w:pBdr>
        <w:top w:val="single" w:color="auto" w:sz="8" w:space="0"/>
        <w:left w:val="single" w:color="auto" w:sz="4" w:space="0"/>
        <w:right w:val="single" w:color="auto" w:sz="8" w:space="0"/>
      </w:pBdr>
      <w:spacing w:before="100" w:beforeAutospacing="1" w:after="100" w:afterAutospacing="1"/>
      <w:jc w:val="center"/>
      <w:textAlignment w:val="center"/>
    </w:pPr>
    <w:rPr>
      <w:rFonts w:ascii="宋体" w:hAnsi="宋体"/>
      <w:kern w:val="0"/>
      <w:sz w:val="20"/>
    </w:rPr>
  </w:style>
  <w:style w:type="paragraph" w:customStyle="1" w:styleId="377">
    <w:name w:val="1"/>
    <w:basedOn w:val="1"/>
    <w:next w:val="19"/>
    <w:qFormat/>
    <w:uiPriority w:val="1"/>
    <w:rPr>
      <w:szCs w:val="24"/>
      <w:u w:val="wave" w:color="FF0000"/>
    </w:rPr>
  </w:style>
  <w:style w:type="paragraph" w:customStyle="1" w:styleId="378">
    <w:name w:val="unnamed3"/>
    <w:basedOn w:val="1"/>
    <w:qFormat/>
    <w:uiPriority w:val="0"/>
    <w:pPr>
      <w:widowControl/>
      <w:spacing w:before="100" w:beforeAutospacing="1" w:after="100" w:afterAutospacing="1" w:line="408" w:lineRule="auto"/>
      <w:jc w:val="left"/>
    </w:pPr>
    <w:rPr>
      <w:rFonts w:ascii="Arial Unicode MS" w:hAnsi="Arial Unicode MS" w:eastAsia="Arial Unicode MS"/>
      <w:color w:val="000000"/>
      <w:kern w:val="0"/>
      <w:sz w:val="20"/>
    </w:rPr>
  </w:style>
  <w:style w:type="paragraph" w:customStyle="1" w:styleId="379">
    <w:name w:val="1.1.1样式 样式 标题 2节 + (西文) Times New Roman (中文) 宋体 四号 段前: 0.5 行 ..."/>
    <w:basedOn w:val="325"/>
    <w:qFormat/>
    <w:uiPriority w:val="0"/>
    <w:pPr>
      <w:ind w:left="0" w:firstLine="0"/>
    </w:pPr>
    <w:rPr>
      <w:rFonts w:cs="宋体"/>
      <w:szCs w:val="20"/>
    </w:rPr>
  </w:style>
  <w:style w:type="paragraph" w:customStyle="1" w:styleId="380">
    <w:name w:val="样式 宋体 首行缩进:  2 字符 行距: 1.5 倍行距"/>
    <w:basedOn w:val="1"/>
    <w:qFormat/>
    <w:uiPriority w:val="0"/>
    <w:pPr>
      <w:widowControl/>
      <w:spacing w:line="360" w:lineRule="auto"/>
      <w:ind w:firstLine="480" w:firstLineChars="200"/>
      <w:jc w:val="left"/>
    </w:pPr>
    <w:rPr>
      <w:rFonts w:ascii="Calibri" w:hAnsi="Calibri"/>
      <w:kern w:val="0"/>
      <w:sz w:val="24"/>
      <w:szCs w:val="22"/>
    </w:rPr>
  </w:style>
  <w:style w:type="paragraph" w:customStyle="1" w:styleId="381">
    <w:name w:val="列表 Char列表"/>
    <w:basedOn w:val="42"/>
    <w:next w:val="23"/>
    <w:qFormat/>
    <w:uiPriority w:val="0"/>
    <w:pPr>
      <w:spacing w:line="300" w:lineRule="auto"/>
      <w:ind w:left="0" w:firstLine="0" w:firstLineChars="0"/>
      <w:jc w:val="center"/>
    </w:pPr>
    <w:rPr>
      <w:rFonts w:ascii="楷体_GB2312" w:hAnsi="宋体" w:eastAsia="楷体_GB2312"/>
      <w:b/>
      <w:color w:val="000000"/>
      <w:sz w:val="28"/>
      <w:szCs w:val="28"/>
    </w:rPr>
  </w:style>
  <w:style w:type="paragraph" w:customStyle="1" w:styleId="382">
    <w:name w:val="条文"/>
    <w:basedOn w:val="7"/>
    <w:next w:val="1"/>
    <w:qFormat/>
    <w:uiPriority w:val="0"/>
    <w:pPr>
      <w:keepNext w:val="0"/>
      <w:keepLines w:val="0"/>
      <w:widowControl/>
      <w:numPr>
        <w:ilvl w:val="0"/>
        <w:numId w:val="0"/>
      </w:numPr>
      <w:tabs>
        <w:tab w:val="left" w:pos="-95"/>
        <w:tab w:val="clear" w:pos="3827"/>
      </w:tabs>
      <w:spacing w:before="0" w:after="0" w:line="377" w:lineRule="auto"/>
      <w:ind w:left="-95" w:hanging="426"/>
      <w:jc w:val="left"/>
    </w:pPr>
    <w:rPr>
      <w:rFonts w:ascii="Cambria" w:hAnsi="Cambria"/>
      <w:b w:val="0"/>
      <w:color w:val="16505E"/>
      <w:kern w:val="0"/>
      <w:sz w:val="22"/>
    </w:rPr>
  </w:style>
  <w:style w:type="paragraph" w:customStyle="1" w:styleId="383">
    <w:name w:val="默认段落字体 Para Char Char Char Char Char"/>
    <w:basedOn w:val="1"/>
    <w:qFormat/>
    <w:uiPriority w:val="0"/>
    <w:pPr>
      <w:widowControl/>
      <w:ind w:firstLine="200" w:firstLineChars="200"/>
      <w:jc w:val="left"/>
    </w:pPr>
    <w:rPr>
      <w:rFonts w:ascii="Calibri" w:hAnsi="Calibri"/>
      <w:kern w:val="0"/>
      <w:sz w:val="28"/>
      <w:szCs w:val="22"/>
    </w:rPr>
  </w:style>
  <w:style w:type="paragraph" w:styleId="384">
    <w:name w:val="Intense Quote"/>
    <w:basedOn w:val="1"/>
    <w:next w:val="1"/>
    <w:link w:val="662"/>
    <w:qFormat/>
    <w:uiPriority w:val="0"/>
    <w:pPr>
      <w:widowControl/>
      <w:pBdr>
        <w:bottom w:val="single" w:color="2DA2BF" w:sz="4" w:space="4"/>
      </w:pBdr>
      <w:spacing w:before="200" w:after="280"/>
      <w:ind w:left="936" w:right="936"/>
      <w:jc w:val="left"/>
    </w:pPr>
    <w:rPr>
      <w:rFonts w:ascii="Calibri" w:hAnsi="Calibri"/>
      <w:b/>
      <w:bCs/>
      <w:i/>
      <w:iCs/>
      <w:color w:val="2DA2BF"/>
      <w:kern w:val="0"/>
      <w:sz w:val="22"/>
      <w:szCs w:val="22"/>
    </w:rPr>
  </w:style>
  <w:style w:type="paragraph" w:customStyle="1" w:styleId="385">
    <w:name w:val="标准"/>
    <w:basedOn w:val="1"/>
    <w:qFormat/>
    <w:uiPriority w:val="0"/>
    <w:pPr>
      <w:adjustRightInd w:val="0"/>
      <w:spacing w:line="312" w:lineRule="atLeast"/>
      <w:jc w:val="center"/>
      <w:textAlignment w:val="baseline"/>
    </w:pPr>
    <w:rPr>
      <w:kern w:val="0"/>
    </w:rPr>
  </w:style>
  <w:style w:type="paragraph" w:customStyle="1" w:styleId="386">
    <w:name w:val="1表格"/>
    <w:basedOn w:val="1"/>
    <w:link w:val="686"/>
    <w:qFormat/>
    <w:uiPriority w:val="0"/>
    <w:pPr>
      <w:spacing w:line="160" w:lineRule="atLeast"/>
      <w:jc w:val="center"/>
    </w:pPr>
    <w:rPr>
      <w:rFonts w:eastAsia="仿宋_GB2312"/>
    </w:rPr>
  </w:style>
  <w:style w:type="paragraph" w:customStyle="1" w:styleId="387">
    <w:name w:val="biaozhun"/>
    <w:basedOn w:val="1"/>
    <w:qFormat/>
    <w:uiPriority w:val="0"/>
    <w:pPr>
      <w:widowControl/>
      <w:spacing w:before="100" w:beforeAutospacing="1" w:after="100" w:afterAutospacing="1"/>
      <w:jc w:val="left"/>
    </w:pPr>
    <w:rPr>
      <w:rFonts w:ascii="宋体" w:hAnsi="宋体" w:cs="宋体"/>
      <w:kern w:val="0"/>
      <w:sz w:val="24"/>
      <w:szCs w:val="22"/>
    </w:rPr>
  </w:style>
  <w:style w:type="paragraph" w:customStyle="1" w:styleId="388">
    <w:name w:val="Char11"/>
    <w:basedOn w:val="1"/>
    <w:link w:val="522"/>
    <w:qFormat/>
    <w:uiPriority w:val="0"/>
    <w:pPr>
      <w:snapToGrid w:val="0"/>
      <w:spacing w:line="360" w:lineRule="auto"/>
      <w:ind w:firstLine="200" w:firstLineChars="200"/>
    </w:pPr>
    <w:rPr>
      <w:rFonts w:eastAsia="仿宋_GB2312"/>
      <w:sz w:val="24"/>
      <w:szCs w:val="24"/>
    </w:rPr>
  </w:style>
  <w:style w:type="paragraph" w:customStyle="1" w:styleId="389">
    <w:name w:val="样式 首行缩进:  2 字符3"/>
    <w:basedOn w:val="1"/>
    <w:qFormat/>
    <w:uiPriority w:val="0"/>
    <w:pPr>
      <w:widowControl/>
      <w:spacing w:line="360" w:lineRule="auto"/>
      <w:ind w:firstLine="200" w:firstLineChars="200"/>
      <w:jc w:val="left"/>
    </w:pPr>
    <w:rPr>
      <w:rFonts w:ascii="Calibri" w:hAnsi="Calibri" w:cs="宋体"/>
      <w:kern w:val="0"/>
      <w:sz w:val="24"/>
    </w:rPr>
  </w:style>
  <w:style w:type="paragraph" w:customStyle="1" w:styleId="390">
    <w:name w:val="样式1"/>
    <w:basedOn w:val="1"/>
    <w:link w:val="540"/>
    <w:qFormat/>
    <w:uiPriority w:val="0"/>
    <w:pPr>
      <w:keepNext/>
      <w:widowControl/>
      <w:tabs>
        <w:tab w:val="left" w:pos="900"/>
      </w:tabs>
      <w:adjustRightInd w:val="0"/>
      <w:snapToGrid w:val="0"/>
      <w:spacing w:line="360" w:lineRule="atLeast"/>
      <w:jc w:val="center"/>
      <w:textAlignment w:val="baseline"/>
    </w:pPr>
    <w:rPr>
      <w:rFonts w:ascii="Calibri" w:hAnsi="Calibri"/>
      <w:kern w:val="0"/>
      <w:sz w:val="22"/>
      <w:szCs w:val="22"/>
    </w:rPr>
  </w:style>
  <w:style w:type="paragraph" w:customStyle="1" w:styleId="391">
    <w:name w:val="兴武正文"/>
    <w:basedOn w:val="1"/>
    <w:link w:val="614"/>
    <w:qFormat/>
    <w:uiPriority w:val="0"/>
    <w:pPr>
      <w:spacing w:line="480" w:lineRule="exact"/>
      <w:ind w:firstLine="200" w:firstLineChars="200"/>
    </w:pPr>
    <w:rPr>
      <w:rFonts w:cs="宋体"/>
      <w:sz w:val="24"/>
    </w:rPr>
  </w:style>
  <w:style w:type="paragraph" w:customStyle="1" w:styleId="392">
    <w:name w:val="p0"/>
    <w:basedOn w:val="1"/>
    <w:qFormat/>
    <w:uiPriority w:val="0"/>
    <w:pPr>
      <w:widowControl/>
      <w:jc w:val="left"/>
    </w:pPr>
    <w:rPr>
      <w:rFonts w:ascii="Calibri" w:hAnsi="Calibri"/>
      <w:kern w:val="0"/>
      <w:sz w:val="22"/>
      <w:szCs w:val="21"/>
    </w:rPr>
  </w:style>
  <w:style w:type="paragraph" w:customStyle="1" w:styleId="393">
    <w:name w:val="样式a"/>
    <w:basedOn w:val="1"/>
    <w:qFormat/>
    <w:uiPriority w:val="0"/>
    <w:pPr>
      <w:widowControl/>
      <w:adjustRightInd w:val="0"/>
      <w:snapToGrid w:val="0"/>
      <w:spacing w:line="480" w:lineRule="exact"/>
      <w:ind w:firstLine="560" w:firstLineChars="200"/>
      <w:jc w:val="left"/>
      <w:textAlignment w:val="baseline"/>
    </w:pPr>
    <w:rPr>
      <w:rFonts w:ascii="Calibri" w:hAnsi="Calibri" w:eastAsia="仿宋_GB2312"/>
      <w:kern w:val="0"/>
      <w:sz w:val="28"/>
    </w:rPr>
  </w:style>
  <w:style w:type="paragraph" w:customStyle="1" w:styleId="394">
    <w:name w:val="标2lcc"/>
    <w:basedOn w:val="192"/>
    <w:qFormat/>
    <w:uiPriority w:val="0"/>
    <w:pPr>
      <w:outlineLvl w:val="1"/>
    </w:pPr>
    <w:rPr>
      <w:rFonts w:ascii="Times New Roman" w:hAnsi="Times New Roman"/>
      <w:sz w:val="28"/>
    </w:rPr>
  </w:style>
  <w:style w:type="paragraph" w:customStyle="1" w:styleId="395">
    <w:name w:val="段落"/>
    <w:basedOn w:val="1"/>
    <w:qFormat/>
    <w:uiPriority w:val="0"/>
    <w:pPr>
      <w:widowControl/>
      <w:spacing w:line="360" w:lineRule="auto"/>
      <w:ind w:firstLine="480" w:firstLineChars="200"/>
      <w:jc w:val="left"/>
    </w:pPr>
    <w:rPr>
      <w:rFonts w:ascii="宋体" w:hAnsi="宋体"/>
      <w:snapToGrid w:val="0"/>
      <w:spacing w:val="-2"/>
      <w:kern w:val="28"/>
      <w:sz w:val="24"/>
      <w:szCs w:val="28"/>
    </w:rPr>
  </w:style>
  <w:style w:type="paragraph" w:customStyle="1" w:styleId="396">
    <w:name w:val="样式 五号"/>
    <w:basedOn w:val="1"/>
    <w:qFormat/>
    <w:uiPriority w:val="0"/>
    <w:pPr>
      <w:widowControl/>
      <w:spacing w:line="400" w:lineRule="exact"/>
      <w:jc w:val="center"/>
    </w:pPr>
    <w:rPr>
      <w:rFonts w:ascii="Calibri" w:hAnsi="Calibri" w:cs="宋体"/>
      <w:kern w:val="0"/>
      <w:sz w:val="22"/>
    </w:rPr>
  </w:style>
  <w:style w:type="paragraph" w:customStyle="1" w:styleId="397">
    <w:name w:val="样式2－王鹏"/>
    <w:basedOn w:val="1"/>
    <w:qFormat/>
    <w:uiPriority w:val="0"/>
    <w:pPr>
      <w:autoSpaceDE w:val="0"/>
      <w:autoSpaceDN w:val="0"/>
      <w:adjustRightInd w:val="0"/>
      <w:snapToGrid w:val="0"/>
      <w:spacing w:line="360" w:lineRule="auto"/>
      <w:jc w:val="center"/>
      <w:textAlignment w:val="baseline"/>
    </w:pPr>
    <w:rPr>
      <w:snapToGrid w:val="0"/>
      <w:kern w:val="0"/>
      <w:szCs w:val="21"/>
    </w:rPr>
  </w:style>
  <w:style w:type="paragraph" w:customStyle="1" w:styleId="398">
    <w:name w:val="样式 本正文 + 首行缩进:  2 字符"/>
    <w:basedOn w:val="1"/>
    <w:qFormat/>
    <w:uiPriority w:val="0"/>
    <w:pPr>
      <w:spacing w:line="360" w:lineRule="auto"/>
      <w:ind w:firstLine="480" w:firstLineChars="200"/>
    </w:pPr>
    <w:rPr>
      <w:bCs/>
      <w:color w:val="FF0000"/>
      <w:sz w:val="24"/>
      <w:szCs w:val="24"/>
    </w:rPr>
  </w:style>
  <w:style w:type="paragraph" w:customStyle="1" w:styleId="399">
    <w:name w:val="样式 目录 2 + 首行缩进:  2 字符1"/>
    <w:basedOn w:val="46"/>
    <w:qFormat/>
    <w:uiPriority w:val="0"/>
    <w:pPr>
      <w:tabs>
        <w:tab w:val="left" w:pos="1200"/>
        <w:tab w:val="clear" w:pos="840"/>
        <w:tab w:val="clear" w:pos="8511"/>
      </w:tabs>
      <w:ind w:firstLine="480"/>
    </w:pPr>
    <w:rPr>
      <w:rFonts w:cs="宋体"/>
      <w:szCs w:val="20"/>
    </w:rPr>
  </w:style>
  <w:style w:type="paragraph" w:customStyle="1" w:styleId="400">
    <w:name w:val="专用字体"/>
    <w:basedOn w:val="1"/>
    <w:link w:val="526"/>
    <w:qFormat/>
    <w:uiPriority w:val="0"/>
    <w:pPr>
      <w:spacing w:line="360" w:lineRule="auto"/>
      <w:ind w:firstLine="200" w:firstLineChars="200"/>
    </w:pPr>
    <w:rPr>
      <w:bCs/>
      <w:sz w:val="24"/>
      <w:szCs w:val="24"/>
    </w:rPr>
  </w:style>
  <w:style w:type="paragraph" w:customStyle="1" w:styleId="401">
    <w:name w:val="表格1"/>
    <w:qFormat/>
    <w:uiPriority w:val="0"/>
    <w:pPr>
      <w:jc w:val="center"/>
    </w:pPr>
    <w:rPr>
      <w:rFonts w:ascii="Times New Roman" w:hAnsi="Times New Roman" w:eastAsia="宋体" w:cs="Times New Roman"/>
      <w:kern w:val="2"/>
      <w:sz w:val="21"/>
      <w:szCs w:val="21"/>
      <w:lang w:val="en-US" w:eastAsia="zh-CN" w:bidi="ar-SA"/>
    </w:rPr>
  </w:style>
  <w:style w:type="paragraph" w:customStyle="1" w:styleId="402">
    <w:name w:val="font6"/>
    <w:basedOn w:val="1"/>
    <w:qFormat/>
    <w:uiPriority w:val="0"/>
    <w:pPr>
      <w:widowControl/>
      <w:spacing w:before="100" w:beforeAutospacing="1" w:after="100" w:afterAutospacing="1"/>
      <w:jc w:val="left"/>
    </w:pPr>
    <w:rPr>
      <w:rFonts w:hint="eastAsia" w:ascii="宋体" w:hAnsi="宋体"/>
      <w:kern w:val="0"/>
      <w:sz w:val="20"/>
    </w:rPr>
  </w:style>
  <w:style w:type="paragraph" w:customStyle="1" w:styleId="403">
    <w:name w:val="4"/>
    <w:basedOn w:val="1"/>
    <w:qFormat/>
    <w:uiPriority w:val="0"/>
    <w:rPr>
      <w:sz w:val="24"/>
      <w:szCs w:val="24"/>
    </w:rPr>
  </w:style>
  <w:style w:type="paragraph" w:customStyle="1" w:styleId="404">
    <w:name w:val="title 01"/>
    <w:basedOn w:val="1"/>
    <w:qFormat/>
    <w:uiPriority w:val="0"/>
    <w:pPr>
      <w:widowControl/>
      <w:jc w:val="center"/>
    </w:pPr>
    <w:rPr>
      <w:rFonts w:ascii="Calibri" w:hAnsi="Calibri" w:cs="宋体"/>
      <w:kern w:val="0"/>
      <w:sz w:val="44"/>
    </w:rPr>
  </w:style>
  <w:style w:type="paragraph" w:customStyle="1" w:styleId="405">
    <w:name w:val="纯文本 + Times New Roman"/>
    <w:basedOn w:val="29"/>
    <w:qFormat/>
    <w:uiPriority w:val="0"/>
    <w:pPr>
      <w:widowControl/>
      <w:pBdr>
        <w:bottom w:val="single" w:color="auto" w:sz="6" w:space="1"/>
      </w:pBdr>
      <w:adjustRightInd/>
      <w:spacing w:before="0" w:line="240" w:lineRule="auto"/>
      <w:jc w:val="center"/>
      <w:textAlignment w:val="auto"/>
    </w:pPr>
    <w:rPr>
      <w:rFonts w:ascii="Times New Roman" w:hAnsi="Times New Roman"/>
      <w:spacing w:val="0"/>
      <w:kern w:val="0"/>
      <w:sz w:val="22"/>
      <w:szCs w:val="21"/>
    </w:rPr>
  </w:style>
  <w:style w:type="paragraph" w:customStyle="1" w:styleId="406">
    <w:name w:val="样式 标题 1标题 1 Char Char Char标题 1 Char Char Char Char标题 11 Char...1"/>
    <w:basedOn w:val="3"/>
    <w:qFormat/>
    <w:uiPriority w:val="0"/>
    <w:pPr>
      <w:keepLines w:val="0"/>
      <w:snapToGrid/>
      <w:spacing w:line="480" w:lineRule="exact"/>
      <w:jc w:val="center"/>
    </w:pPr>
    <w:rPr>
      <w:rFonts w:eastAsia="宋体" w:cs="宋体"/>
      <w:b/>
      <w:bCs/>
      <w:kern w:val="2"/>
      <w:sz w:val="32"/>
    </w:rPr>
  </w:style>
  <w:style w:type="paragraph" w:customStyle="1" w:styleId="407">
    <w:name w:val="Char Char Char Char Char Char Char Char Char Char1"/>
    <w:basedOn w:val="1"/>
    <w:qFormat/>
    <w:uiPriority w:val="0"/>
  </w:style>
  <w:style w:type="paragraph" w:customStyle="1" w:styleId="408">
    <w:name w:val="一级条标题"/>
    <w:basedOn w:val="1"/>
    <w:next w:val="1"/>
    <w:qFormat/>
    <w:uiPriority w:val="0"/>
    <w:pPr>
      <w:widowControl/>
      <w:tabs>
        <w:tab w:val="left" w:pos="360"/>
      </w:tabs>
      <w:jc w:val="left"/>
      <w:outlineLvl w:val="2"/>
    </w:pPr>
    <w:rPr>
      <w:rFonts w:ascii="黑体" w:hAnsi="Calibri" w:eastAsia="黑体"/>
      <w:kern w:val="0"/>
      <w:sz w:val="22"/>
    </w:rPr>
  </w:style>
  <w:style w:type="paragraph" w:customStyle="1" w:styleId="409">
    <w:name w:val="正文（首行缩进两个字） + 首行缩进:  2 字符"/>
    <w:basedOn w:val="1"/>
    <w:qFormat/>
    <w:uiPriority w:val="0"/>
    <w:pPr>
      <w:widowControl/>
      <w:spacing w:line="440" w:lineRule="exact"/>
      <w:ind w:firstLine="200" w:firstLineChars="200"/>
      <w:jc w:val="left"/>
    </w:pPr>
    <w:rPr>
      <w:rFonts w:eastAsia="仿宋_GB2312" w:cs="宋体"/>
      <w:sz w:val="24"/>
      <w:lang w:val="zh-CN"/>
    </w:rPr>
  </w:style>
  <w:style w:type="paragraph" w:customStyle="1" w:styleId="410">
    <w:name w:val="w4"/>
    <w:basedOn w:val="1"/>
    <w:qFormat/>
    <w:uiPriority w:val="0"/>
    <w:pPr>
      <w:widowControl/>
      <w:spacing w:before="100" w:beforeAutospacing="1" w:after="100" w:afterAutospacing="1" w:line="336" w:lineRule="auto"/>
      <w:ind w:firstLine="360"/>
      <w:jc w:val="left"/>
    </w:pPr>
    <w:rPr>
      <w:rFonts w:ascii="_x000B__x000C_" w:hAnsi="_x000B__x000C_"/>
      <w:color w:val="8A5E00"/>
      <w:kern w:val="0"/>
      <w:sz w:val="18"/>
      <w:szCs w:val="18"/>
    </w:rPr>
  </w:style>
  <w:style w:type="paragraph" w:customStyle="1" w:styleId="411">
    <w:name w:val="公式"/>
    <w:basedOn w:val="1"/>
    <w:link w:val="730"/>
    <w:qFormat/>
    <w:uiPriority w:val="0"/>
    <w:pPr>
      <w:ind w:firstLine="800" w:firstLineChars="800"/>
      <w:jc w:val="left"/>
    </w:pPr>
    <w:rPr>
      <w:rFonts w:cs="宋体"/>
      <w:sz w:val="24"/>
    </w:rPr>
  </w:style>
  <w:style w:type="paragraph" w:customStyle="1" w:styleId="412">
    <w:name w:val="Table Title Char1 Char"/>
    <w:basedOn w:val="1"/>
    <w:qFormat/>
    <w:uiPriority w:val="0"/>
    <w:pPr>
      <w:widowControl/>
      <w:snapToGrid w:val="0"/>
      <w:spacing w:before="156" w:beforeLines="50" w:after="156" w:afterLines="50" w:line="400" w:lineRule="exact"/>
      <w:jc w:val="center"/>
    </w:pPr>
    <w:rPr>
      <w:rFonts w:ascii="Calibri" w:hAnsi="Calibri"/>
      <w:kern w:val="0"/>
      <w:sz w:val="24"/>
      <w:szCs w:val="22"/>
      <w:lang w:eastAsia="en-US"/>
    </w:rPr>
  </w:style>
  <w:style w:type="paragraph" w:customStyle="1" w:styleId="413">
    <w:name w:val="Char2 Char Char Char"/>
    <w:basedOn w:val="1"/>
    <w:qFormat/>
    <w:uiPriority w:val="0"/>
    <w:pPr>
      <w:widowControl/>
      <w:spacing w:line="360" w:lineRule="auto"/>
      <w:ind w:firstLine="200" w:firstLineChars="200"/>
      <w:jc w:val="left"/>
    </w:pPr>
    <w:rPr>
      <w:rFonts w:ascii="宋体" w:hAnsi="宋体" w:cs="宋体"/>
      <w:kern w:val="0"/>
      <w:sz w:val="24"/>
      <w:szCs w:val="22"/>
    </w:rPr>
  </w:style>
  <w:style w:type="paragraph" w:customStyle="1" w:styleId="414">
    <w:name w:val="标题一最终"/>
    <w:basedOn w:val="1"/>
    <w:qFormat/>
    <w:uiPriority w:val="0"/>
    <w:pPr>
      <w:keepNext/>
      <w:keepLines/>
      <w:numPr>
        <w:ilvl w:val="0"/>
        <w:numId w:val="5"/>
      </w:numPr>
      <w:snapToGrid w:val="0"/>
      <w:spacing w:line="360" w:lineRule="auto"/>
      <w:outlineLvl w:val="0"/>
    </w:pPr>
    <w:rPr>
      <w:rFonts w:hAnsi="宋体"/>
      <w:b/>
      <w:bCs/>
      <w:kern w:val="44"/>
      <w:sz w:val="32"/>
      <w:szCs w:val="32"/>
    </w:rPr>
  </w:style>
  <w:style w:type="paragraph" w:customStyle="1" w:styleId="415">
    <w:name w:val="font7"/>
    <w:basedOn w:val="1"/>
    <w:qFormat/>
    <w:uiPriority w:val="0"/>
    <w:pPr>
      <w:widowControl/>
      <w:spacing w:before="100" w:beforeAutospacing="1" w:after="100" w:afterAutospacing="1"/>
      <w:jc w:val="left"/>
    </w:pPr>
    <w:rPr>
      <w:rFonts w:ascii="Calibri" w:hAnsi="Calibri"/>
      <w:kern w:val="0"/>
      <w:sz w:val="20"/>
    </w:rPr>
  </w:style>
  <w:style w:type="paragraph" w:customStyle="1" w:styleId="416">
    <w:name w:val="Char21"/>
    <w:basedOn w:val="1"/>
    <w:qFormat/>
    <w:uiPriority w:val="0"/>
    <w:rPr>
      <w:sz w:val="24"/>
    </w:rPr>
  </w:style>
  <w:style w:type="paragraph" w:customStyle="1" w:styleId="417">
    <w:name w:val="我的正文"/>
    <w:basedOn w:val="1"/>
    <w:qFormat/>
    <w:uiPriority w:val="0"/>
    <w:pPr>
      <w:spacing w:line="520" w:lineRule="exact"/>
      <w:ind w:firstLine="200" w:firstLineChars="200"/>
    </w:pPr>
    <w:rPr>
      <w:color w:val="000000"/>
      <w:sz w:val="24"/>
    </w:rPr>
  </w:style>
  <w:style w:type="paragraph" w:customStyle="1" w:styleId="418">
    <w:name w:val="正文格式"/>
    <w:basedOn w:val="1"/>
    <w:qFormat/>
    <w:uiPriority w:val="0"/>
    <w:pPr>
      <w:ind w:firstLine="560" w:firstLineChars="200"/>
    </w:pPr>
    <w:rPr>
      <w:rFonts w:eastAsia="楷体_GB2312"/>
      <w:sz w:val="28"/>
      <w:szCs w:val="24"/>
    </w:rPr>
  </w:style>
  <w:style w:type="paragraph" w:customStyle="1" w:styleId="419">
    <w:name w:val="图文框"/>
    <w:basedOn w:val="1"/>
    <w:qFormat/>
    <w:uiPriority w:val="0"/>
    <w:pPr>
      <w:widowControl/>
      <w:autoSpaceDE w:val="0"/>
      <w:autoSpaceDN w:val="0"/>
      <w:adjustRightInd w:val="0"/>
      <w:snapToGrid w:val="0"/>
      <w:spacing w:line="360" w:lineRule="auto"/>
      <w:jc w:val="center"/>
      <w:textAlignment w:val="baseline"/>
    </w:pPr>
    <w:rPr>
      <w:rFonts w:ascii="Calibri" w:hAnsi="Calibri"/>
      <w:b/>
      <w:kern w:val="0"/>
      <w:sz w:val="24"/>
    </w:rPr>
  </w:style>
  <w:style w:type="paragraph" w:customStyle="1" w:styleId="420">
    <w:name w:val="默认段落字体 Para Char Char Char Char"/>
    <w:basedOn w:val="1"/>
    <w:qFormat/>
    <w:uiPriority w:val="0"/>
    <w:pPr>
      <w:widowControl/>
      <w:jc w:val="left"/>
    </w:pPr>
    <w:rPr>
      <w:rFonts w:ascii="Calibri" w:hAnsi="Calibri"/>
      <w:kern w:val="0"/>
      <w:sz w:val="22"/>
      <w:szCs w:val="22"/>
    </w:rPr>
  </w:style>
  <w:style w:type="paragraph" w:customStyle="1" w:styleId="421">
    <w:name w:val="小四表文左齐"/>
    <w:basedOn w:val="1"/>
    <w:qFormat/>
    <w:uiPriority w:val="0"/>
    <w:pPr>
      <w:adjustRightInd w:val="0"/>
      <w:snapToGrid w:val="0"/>
      <w:jc w:val="center"/>
    </w:pPr>
    <w:rPr>
      <w:rFonts w:ascii="仿宋_GB2312" w:eastAsia="仿宋_GB2312"/>
    </w:rPr>
  </w:style>
  <w:style w:type="paragraph" w:customStyle="1" w:styleId="422">
    <w:name w:val="样式 标准文本 居中 行距1.5倍 +"/>
    <w:basedOn w:val="193"/>
    <w:qFormat/>
    <w:uiPriority w:val="0"/>
    <w:pPr>
      <w:adjustRightInd w:val="0"/>
      <w:snapToGrid w:val="0"/>
    </w:pPr>
  </w:style>
  <w:style w:type="paragraph" w:customStyle="1" w:styleId="423">
    <w:name w:val="Char Char Char1"/>
    <w:basedOn w:val="1"/>
    <w:link w:val="527"/>
    <w:qFormat/>
    <w:uiPriority w:val="0"/>
    <w:rPr>
      <w:sz w:val="24"/>
      <w:szCs w:val="24"/>
    </w:rPr>
  </w:style>
  <w:style w:type="paragraph" w:customStyle="1" w:styleId="424">
    <w:name w:val="样式 标题 1标题 1-王鹏纪任山标题 1 + 宋体 首行缩进:  0.85 厘米 段前: 0.5 行 段后: 0.5..."/>
    <w:basedOn w:val="3"/>
    <w:qFormat/>
    <w:uiPriority w:val="0"/>
    <w:pPr>
      <w:keepLines w:val="0"/>
      <w:snapToGrid/>
      <w:spacing w:line="480" w:lineRule="exact"/>
      <w:jc w:val="center"/>
    </w:pPr>
    <w:rPr>
      <w:rFonts w:ascii="宋体" w:hAnsi="宋体" w:eastAsia="宋体" w:cs="宋体"/>
      <w:b/>
      <w:bCs/>
      <w:kern w:val="2"/>
      <w:sz w:val="32"/>
    </w:rPr>
  </w:style>
  <w:style w:type="paragraph" w:customStyle="1" w:styleId="425">
    <w:name w:val="样式 目录 2 + 首行缩进:  2 字符3"/>
    <w:basedOn w:val="46"/>
    <w:qFormat/>
    <w:uiPriority w:val="0"/>
    <w:pPr>
      <w:tabs>
        <w:tab w:val="left" w:pos="1200"/>
        <w:tab w:val="clear" w:pos="840"/>
        <w:tab w:val="clear" w:pos="8511"/>
      </w:tabs>
      <w:adjustRightInd w:val="0"/>
      <w:snapToGrid w:val="0"/>
      <w:spacing w:line="240" w:lineRule="auto"/>
    </w:pPr>
    <w:rPr>
      <w:rFonts w:cs="宋体"/>
      <w:szCs w:val="20"/>
    </w:rPr>
  </w:style>
  <w:style w:type="paragraph" w:customStyle="1" w:styleId="426">
    <w:name w:val="样式 五号 居中"/>
    <w:basedOn w:val="1"/>
    <w:qFormat/>
    <w:uiPriority w:val="0"/>
    <w:pPr>
      <w:widowControl/>
      <w:jc w:val="center"/>
    </w:pPr>
    <w:rPr>
      <w:rFonts w:ascii="Calibri" w:hAnsi="Calibri" w:cs="宋体"/>
      <w:kern w:val="0"/>
      <w:sz w:val="22"/>
    </w:rPr>
  </w:style>
  <w:style w:type="paragraph" w:customStyle="1" w:styleId="427">
    <w:name w:val="Char Char Char Char Char Char Char Char1 Char Char Char Char Char Char Char Char Char Char Char Char1 Char1"/>
    <w:basedOn w:val="1"/>
    <w:qFormat/>
    <w:uiPriority w:val="0"/>
    <w:pPr>
      <w:widowControl/>
      <w:jc w:val="left"/>
    </w:pPr>
    <w:rPr>
      <w:rFonts w:ascii="Calibri" w:hAnsi="Calibri"/>
      <w:kern w:val="0"/>
      <w:sz w:val="24"/>
      <w:szCs w:val="22"/>
    </w:rPr>
  </w:style>
  <w:style w:type="paragraph" w:customStyle="1" w:styleId="428">
    <w:name w:val="表格内容1"/>
    <w:basedOn w:val="1"/>
    <w:qFormat/>
    <w:uiPriority w:val="0"/>
    <w:pPr>
      <w:widowControl/>
      <w:tabs>
        <w:tab w:val="left" w:pos="1535"/>
        <w:tab w:val="left" w:pos="3105"/>
        <w:tab w:val="left" w:pos="4676"/>
        <w:tab w:val="left" w:pos="6247"/>
        <w:tab w:val="left" w:pos="7740"/>
        <w:tab w:val="left" w:pos="9288"/>
      </w:tabs>
      <w:snapToGrid w:val="0"/>
      <w:spacing w:line="240" w:lineRule="exact"/>
      <w:ind w:left="-30" w:leftChars="-12"/>
      <w:jc w:val="center"/>
      <w:textAlignment w:val="baseline"/>
    </w:pPr>
    <w:rPr>
      <w:rFonts w:ascii="宋体" w:hAnsi="宋体"/>
      <w:snapToGrid w:val="0"/>
      <w:color w:val="FF0000"/>
      <w:kern w:val="0"/>
      <w:sz w:val="24"/>
      <w:szCs w:val="22"/>
    </w:rPr>
  </w:style>
  <w:style w:type="paragraph" w:customStyle="1" w:styleId="429">
    <w:name w:val="正文lcc"/>
    <w:basedOn w:val="1"/>
    <w:qFormat/>
    <w:uiPriority w:val="0"/>
    <w:pPr>
      <w:overflowPunct w:val="0"/>
      <w:adjustRightInd w:val="0"/>
      <w:snapToGrid w:val="0"/>
    </w:pPr>
    <w:rPr>
      <w:kern w:val="24"/>
    </w:rPr>
  </w:style>
  <w:style w:type="paragraph" w:customStyle="1" w:styleId="430">
    <w:name w:val="样式 样式 样式 样式 标题 2节 + (西文) Times New Roman (中文) 宋体 四号 段前: 0.5 行 段后..."/>
    <w:basedOn w:val="169"/>
    <w:qFormat/>
    <w:uiPriority w:val="0"/>
    <w:pPr>
      <w:numPr>
        <w:numId w:val="0"/>
      </w:numPr>
      <w:adjustRightInd/>
      <w:spacing w:before="156" w:line="300" w:lineRule="auto"/>
    </w:pPr>
    <w:rPr>
      <w:rFonts w:hAnsi="Times New Roman"/>
      <w:kern w:val="44"/>
    </w:rPr>
  </w:style>
  <w:style w:type="paragraph" w:customStyle="1" w:styleId="431">
    <w:name w:val="表文-zy"/>
    <w:basedOn w:val="1"/>
    <w:qFormat/>
    <w:uiPriority w:val="0"/>
    <w:pPr>
      <w:jc w:val="center"/>
    </w:pPr>
    <w:rPr>
      <w:szCs w:val="21"/>
    </w:rPr>
  </w:style>
  <w:style w:type="paragraph" w:customStyle="1" w:styleId="432">
    <w:name w:val="_Style 424"/>
    <w:unhideWhenUsed/>
    <w:qFormat/>
    <w:uiPriority w:val="99"/>
    <w:rPr>
      <w:rFonts w:ascii="Times New Roman" w:hAnsi="Times New Roman" w:eastAsia="宋体" w:cs="Times New Roman"/>
      <w:kern w:val="2"/>
      <w:sz w:val="21"/>
      <w:szCs w:val="24"/>
      <w:lang w:val="en-US" w:eastAsia="zh-CN" w:bidi="ar-SA"/>
    </w:rPr>
  </w:style>
  <w:style w:type="paragraph" w:customStyle="1" w:styleId="433">
    <w:name w:val="Char2"/>
    <w:basedOn w:val="1"/>
    <w:qFormat/>
    <w:uiPriority w:val="0"/>
    <w:pPr>
      <w:widowControl/>
      <w:spacing w:line="360" w:lineRule="auto"/>
      <w:ind w:firstLine="200" w:firstLineChars="200"/>
      <w:jc w:val="left"/>
    </w:pPr>
    <w:rPr>
      <w:rFonts w:ascii="宋体" w:hAnsi="宋体" w:cs="宋体"/>
      <w:kern w:val="0"/>
      <w:sz w:val="24"/>
      <w:szCs w:val="22"/>
    </w:rPr>
  </w:style>
  <w:style w:type="paragraph" w:customStyle="1" w:styleId="434">
    <w:name w:val="Char2 Char Char Char1"/>
    <w:basedOn w:val="1"/>
    <w:qFormat/>
    <w:uiPriority w:val="0"/>
    <w:pPr>
      <w:spacing w:line="360" w:lineRule="auto"/>
      <w:ind w:firstLine="200" w:firstLineChars="200"/>
    </w:pPr>
    <w:rPr>
      <w:rFonts w:ascii="宋体" w:hAnsi="宋体" w:cs="宋体"/>
      <w:sz w:val="24"/>
      <w:szCs w:val="24"/>
    </w:rPr>
  </w:style>
  <w:style w:type="paragraph" w:customStyle="1" w:styleId="435">
    <w:name w:val="表格wenben 小五 居中"/>
    <w:basedOn w:val="1"/>
    <w:qFormat/>
    <w:uiPriority w:val="0"/>
    <w:pPr>
      <w:widowControl/>
      <w:adjustRightInd w:val="0"/>
      <w:snapToGrid w:val="0"/>
      <w:jc w:val="center"/>
    </w:pPr>
    <w:rPr>
      <w:rFonts w:ascii="Calibri" w:hAnsi="Calibri" w:cs="宋体"/>
      <w:kern w:val="0"/>
      <w:sz w:val="18"/>
      <w:szCs w:val="18"/>
    </w:rPr>
  </w:style>
  <w:style w:type="paragraph" w:customStyle="1" w:styleId="436">
    <w:name w:val="样式 首行缩进:  2 字符"/>
    <w:basedOn w:val="1"/>
    <w:qFormat/>
    <w:uiPriority w:val="0"/>
    <w:pPr>
      <w:widowControl/>
      <w:ind w:firstLine="200" w:firstLineChars="200"/>
      <w:jc w:val="left"/>
    </w:pPr>
    <w:rPr>
      <w:rFonts w:ascii="Calibri" w:hAnsi="Calibri" w:cs="宋体"/>
      <w:kern w:val="0"/>
      <w:sz w:val="24"/>
    </w:rPr>
  </w:style>
  <w:style w:type="paragraph" w:customStyle="1" w:styleId="437">
    <w:name w:val="样式 标题 2二处标题 2节标题 1.11.1标题2b2ParagrafoH22nd levelh2Heade..."/>
    <w:basedOn w:val="4"/>
    <w:link w:val="538"/>
    <w:qFormat/>
    <w:uiPriority w:val="0"/>
    <w:pPr>
      <w:keepNext w:val="0"/>
      <w:keepLines w:val="0"/>
      <w:numPr>
        <w:ilvl w:val="0"/>
        <w:numId w:val="0"/>
      </w:numPr>
      <w:tabs>
        <w:tab w:val="clear" w:pos="1276"/>
      </w:tabs>
      <w:snapToGrid w:val="0"/>
      <w:spacing w:before="0" w:after="0" w:line="480" w:lineRule="exact"/>
      <w:textAlignment w:val="auto"/>
    </w:pPr>
    <w:rPr>
      <w:rFonts w:ascii="宋体" w:hAnsi="宋体" w:eastAsia="宋体"/>
      <w:bCs/>
      <w:color w:val="000000"/>
      <w:sz w:val="30"/>
      <w:szCs w:val="30"/>
    </w:rPr>
  </w:style>
  <w:style w:type="paragraph" w:customStyle="1" w:styleId="438">
    <w:name w:val="0正文"/>
    <w:basedOn w:val="50"/>
    <w:link w:val="635"/>
    <w:qFormat/>
    <w:uiPriority w:val="0"/>
    <w:pPr>
      <w:adjustRightInd w:val="0"/>
      <w:snapToGrid w:val="0"/>
      <w:spacing w:before="0" w:line="360" w:lineRule="auto"/>
      <w:ind w:firstLine="200" w:firstLineChars="200"/>
      <w:jc w:val="both"/>
    </w:pPr>
    <w:rPr>
      <w:rFonts w:ascii="Times New Roman" w:hAnsi="Times New Roman"/>
      <w:color w:val="auto"/>
      <w:spacing w:val="0"/>
      <w:kern w:val="2"/>
      <w:sz w:val="24"/>
      <w:szCs w:val="24"/>
    </w:rPr>
  </w:style>
  <w:style w:type="paragraph" w:customStyle="1" w:styleId="439">
    <w:name w:val="ZW Char Char Char"/>
    <w:basedOn w:val="1"/>
    <w:qFormat/>
    <w:uiPriority w:val="0"/>
    <w:pPr>
      <w:widowControl/>
      <w:spacing w:before="62" w:beforeLines="20"/>
      <w:ind w:firstLine="200" w:firstLineChars="200"/>
      <w:jc w:val="left"/>
    </w:pPr>
    <w:rPr>
      <w:rFonts w:ascii="Calibri" w:hAnsi="Calibri"/>
      <w:kern w:val="0"/>
      <w:sz w:val="24"/>
      <w:szCs w:val="22"/>
    </w:rPr>
  </w:style>
  <w:style w:type="paragraph" w:customStyle="1" w:styleId="440">
    <w:name w:val="Char22"/>
    <w:basedOn w:val="1"/>
    <w:qFormat/>
    <w:uiPriority w:val="0"/>
    <w:pPr>
      <w:spacing w:line="360" w:lineRule="auto"/>
      <w:ind w:firstLine="200" w:firstLineChars="200"/>
    </w:pPr>
    <w:rPr>
      <w:rFonts w:ascii="宋体" w:hAnsi="宋体" w:cs="宋体"/>
      <w:sz w:val="24"/>
      <w:szCs w:val="24"/>
    </w:rPr>
  </w:style>
  <w:style w:type="paragraph" w:customStyle="1" w:styleId="441">
    <w:name w:val="样式 目录 2 + 首行缩进:  2 字符2"/>
    <w:basedOn w:val="46"/>
    <w:qFormat/>
    <w:uiPriority w:val="0"/>
    <w:pPr>
      <w:tabs>
        <w:tab w:val="left" w:pos="1200"/>
        <w:tab w:val="clear" w:pos="840"/>
        <w:tab w:val="clear" w:pos="8511"/>
      </w:tabs>
      <w:ind w:firstLine="480"/>
    </w:pPr>
    <w:rPr>
      <w:rFonts w:cs="宋体"/>
      <w:szCs w:val="20"/>
    </w:rPr>
  </w:style>
  <w:style w:type="paragraph" w:customStyle="1" w:styleId="442">
    <w:name w:val="1 Char Char Char Char Char Char Char"/>
    <w:basedOn w:val="1"/>
    <w:qFormat/>
    <w:uiPriority w:val="0"/>
    <w:rPr>
      <w:szCs w:val="24"/>
    </w:rPr>
  </w:style>
  <w:style w:type="paragraph" w:customStyle="1" w:styleId="443">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styleId="444">
    <w:name w:val="Quote"/>
    <w:basedOn w:val="1"/>
    <w:next w:val="1"/>
    <w:link w:val="661"/>
    <w:qFormat/>
    <w:uiPriority w:val="0"/>
    <w:pPr>
      <w:widowControl/>
      <w:jc w:val="left"/>
    </w:pPr>
    <w:rPr>
      <w:rFonts w:ascii="Calibri" w:hAnsi="Calibri"/>
      <w:i/>
      <w:iCs/>
      <w:color w:val="000000"/>
      <w:kern w:val="0"/>
      <w:sz w:val="22"/>
      <w:szCs w:val="22"/>
    </w:rPr>
  </w:style>
  <w:style w:type="paragraph" w:customStyle="1" w:styleId="445">
    <w:name w:val="缩进"/>
    <w:basedOn w:val="1"/>
    <w:qFormat/>
    <w:uiPriority w:val="0"/>
    <w:pPr>
      <w:autoSpaceDE w:val="0"/>
      <w:autoSpaceDN w:val="0"/>
      <w:adjustRightInd w:val="0"/>
      <w:spacing w:line="400" w:lineRule="atLeast"/>
      <w:ind w:firstLine="480" w:firstLineChars="200"/>
      <w:textAlignment w:val="baseline"/>
    </w:pPr>
    <w:rPr>
      <w:sz w:val="24"/>
    </w:rPr>
  </w:style>
  <w:style w:type="paragraph" w:customStyle="1" w:styleId="446">
    <w:name w:val="参数解释"/>
    <w:basedOn w:val="317"/>
    <w:link w:val="647"/>
    <w:qFormat/>
    <w:uiPriority w:val="0"/>
    <w:pPr>
      <w:ind w:firstLine="1274" w:firstLineChars="531"/>
    </w:pPr>
  </w:style>
  <w:style w:type="paragraph" w:customStyle="1" w:styleId="447">
    <w:name w:val="样式 宋体 小四 两端对齐 首行缩进:  0.85 厘米 行距: 1.5 倍行距"/>
    <w:basedOn w:val="1"/>
    <w:qFormat/>
    <w:uiPriority w:val="0"/>
    <w:pPr>
      <w:widowControl/>
      <w:spacing w:line="360" w:lineRule="auto"/>
      <w:ind w:firstLine="482"/>
    </w:pPr>
    <w:rPr>
      <w:kern w:val="0"/>
      <w:sz w:val="24"/>
      <w:szCs w:val="24"/>
    </w:rPr>
  </w:style>
  <w:style w:type="paragraph" w:customStyle="1" w:styleId="448">
    <w:name w:val="样式 样式 目录 2 + 首行缩进:  2 字符 + 首行缩进:  2 字符"/>
    <w:basedOn w:val="236"/>
    <w:qFormat/>
    <w:uiPriority w:val="0"/>
    <w:pPr>
      <w:tabs>
        <w:tab w:val="left" w:pos="960"/>
        <w:tab w:val="clear" w:pos="1200"/>
      </w:tabs>
      <w:ind w:firstLine="400"/>
    </w:pPr>
  </w:style>
  <w:style w:type="paragraph" w:customStyle="1" w:styleId="449">
    <w:name w:val="表格。。"/>
    <w:basedOn w:val="1"/>
    <w:link w:val="639"/>
    <w:qFormat/>
    <w:uiPriority w:val="0"/>
    <w:pPr>
      <w:jc w:val="center"/>
    </w:pPr>
  </w:style>
  <w:style w:type="paragraph" w:customStyle="1" w:styleId="450">
    <w:name w:val="样式 标题 1二处标题 11标题 1 Char章标题章节H1Otsikko 1标题 1 Char Char Ch...2"/>
    <w:basedOn w:val="3"/>
    <w:qFormat/>
    <w:uiPriority w:val="0"/>
    <w:pPr>
      <w:snapToGrid/>
      <w:spacing w:line="480" w:lineRule="exact"/>
      <w:ind w:firstLine="200" w:firstLineChars="200"/>
      <w:jc w:val="center"/>
    </w:pPr>
    <w:rPr>
      <w:rFonts w:eastAsia="Times New Roman" w:cs="宋体"/>
      <w:b/>
      <w:bCs/>
      <w:sz w:val="32"/>
    </w:rPr>
  </w:style>
  <w:style w:type="paragraph" w:customStyle="1" w:styleId="451">
    <w:name w:val="G标题 1"/>
    <w:basedOn w:val="3"/>
    <w:qFormat/>
    <w:uiPriority w:val="0"/>
    <w:pPr>
      <w:keepLines w:val="0"/>
      <w:snapToGrid/>
      <w:spacing w:line="480" w:lineRule="exact"/>
      <w:jc w:val="center"/>
    </w:pPr>
    <w:rPr>
      <w:rFonts w:eastAsia="宋体"/>
      <w:b/>
      <w:bCs/>
      <w:kern w:val="2"/>
      <w:sz w:val="32"/>
      <w:szCs w:val="24"/>
    </w:rPr>
  </w:style>
  <w:style w:type="paragraph" w:customStyle="1" w:styleId="452">
    <w:name w:val="咨询公司名称"/>
    <w:basedOn w:val="1"/>
    <w:qFormat/>
    <w:uiPriority w:val="0"/>
    <w:pPr>
      <w:widowControl/>
      <w:jc w:val="center"/>
    </w:pPr>
    <w:rPr>
      <w:rFonts w:ascii="黑体" w:hAnsi="Calibri" w:eastAsia="黑体" w:cs="宋体"/>
      <w:kern w:val="0"/>
      <w:sz w:val="32"/>
    </w:rPr>
  </w:style>
  <w:style w:type="paragraph" w:customStyle="1" w:styleId="453">
    <w:name w:val="君邦正文"/>
    <w:link w:val="624"/>
    <w:qFormat/>
    <w:uiPriority w:val="0"/>
    <w:pPr>
      <w:spacing w:after="60" w:line="360" w:lineRule="auto"/>
      <w:ind w:firstLine="480" w:firstLineChars="200"/>
      <w:jc w:val="both"/>
    </w:pPr>
    <w:rPr>
      <w:rFonts w:ascii="Times New Roman" w:hAnsi="Times New Roman" w:eastAsia="宋体" w:cs="Times New Roman"/>
      <w:bCs/>
      <w:snapToGrid w:val="0"/>
      <w:sz w:val="24"/>
      <w:lang w:val="en-US" w:eastAsia="zh-CN" w:bidi="ar-SA"/>
    </w:rPr>
  </w:style>
  <w:style w:type="paragraph" w:customStyle="1" w:styleId="454">
    <w:name w:val="样式3"/>
    <w:basedOn w:val="1"/>
    <w:qFormat/>
    <w:uiPriority w:val="0"/>
    <w:pPr>
      <w:widowControl/>
      <w:jc w:val="center"/>
    </w:pPr>
    <w:rPr>
      <w:rFonts w:ascii="Calibri" w:hAnsi="Calibri"/>
      <w:kern w:val="0"/>
      <w:sz w:val="22"/>
      <w:szCs w:val="21"/>
    </w:rPr>
  </w:style>
  <w:style w:type="paragraph" w:customStyle="1" w:styleId="455">
    <w:name w:val="样式 标题 1二处标题 11标题 1 Char章标题章节H1Otsikko 1标题 1 Char Char Ch...3"/>
    <w:basedOn w:val="3"/>
    <w:qFormat/>
    <w:uiPriority w:val="0"/>
    <w:pPr>
      <w:snapToGrid/>
      <w:spacing w:line="480" w:lineRule="exact"/>
      <w:ind w:firstLine="200" w:firstLineChars="200"/>
      <w:jc w:val="center"/>
    </w:pPr>
    <w:rPr>
      <w:rFonts w:eastAsia="宋体"/>
      <w:b/>
      <w:bCs/>
      <w:sz w:val="32"/>
      <w:szCs w:val="44"/>
    </w:rPr>
  </w:style>
  <w:style w:type="paragraph" w:customStyle="1" w:styleId="456">
    <w:name w:val="图标题"/>
    <w:next w:val="1"/>
    <w:qFormat/>
    <w:uiPriority w:val="0"/>
    <w:pPr>
      <w:tabs>
        <w:tab w:val="left" w:pos="269"/>
      </w:tabs>
      <w:spacing w:after="200" w:line="360" w:lineRule="auto"/>
      <w:ind w:left="269"/>
      <w:jc w:val="center"/>
    </w:pPr>
    <w:rPr>
      <w:rFonts w:ascii="Calibri" w:hAnsi="Calibri" w:eastAsia="宋体" w:cs="Times New Roman"/>
      <w:b/>
      <w:kern w:val="2"/>
      <w:sz w:val="24"/>
      <w:szCs w:val="24"/>
      <w:lang w:val="en-US" w:eastAsia="zh-CN" w:bidi="ar-SA"/>
    </w:rPr>
  </w:style>
  <w:style w:type="paragraph" w:customStyle="1" w:styleId="457">
    <w:name w:val="样式 标题 1标题 1-王鹏纪任山标题 1 + Times New Roman 三号 加粗 黑色"/>
    <w:basedOn w:val="3"/>
    <w:qFormat/>
    <w:uiPriority w:val="0"/>
    <w:pPr>
      <w:keepLines w:val="0"/>
      <w:snapToGrid/>
      <w:spacing w:line="240" w:lineRule="auto"/>
      <w:jc w:val="center"/>
    </w:pPr>
    <w:rPr>
      <w:rFonts w:eastAsia="宋体"/>
      <w:b/>
      <w:bCs/>
      <w:color w:val="000000"/>
      <w:kern w:val="2"/>
      <w:sz w:val="32"/>
      <w:szCs w:val="24"/>
    </w:rPr>
  </w:style>
  <w:style w:type="paragraph" w:customStyle="1" w:styleId="458">
    <w:name w:val="居中正文"/>
    <w:basedOn w:val="54"/>
    <w:qFormat/>
    <w:uiPriority w:val="0"/>
    <w:pPr>
      <w:snapToGrid/>
      <w:spacing w:before="240" w:after="0" w:line="240" w:lineRule="atLeast"/>
      <w:ind w:firstLine="0"/>
      <w:jc w:val="center"/>
    </w:pPr>
    <w:rPr>
      <w:rFonts w:ascii="宋体" w:hAnsi="Times New Roman"/>
      <w:snapToGrid/>
      <w:spacing w:val="6"/>
      <w:szCs w:val="20"/>
    </w:rPr>
  </w:style>
  <w:style w:type="paragraph" w:customStyle="1" w:styleId="459">
    <w:name w:val="样式 样式 样式 标题 2节 + (西文) Times New Roman (中文) 宋体 四号 段前: 0.5 行 段后: 0..."/>
    <w:basedOn w:val="292"/>
    <w:next w:val="3"/>
    <w:qFormat/>
    <w:uiPriority w:val="0"/>
    <w:pPr>
      <w:tabs>
        <w:tab w:val="clear" w:pos="720"/>
      </w:tabs>
      <w:spacing w:before="0" w:beforeLines="50" w:after="0" w:afterLines="0" w:line="360" w:lineRule="auto"/>
      <w:ind w:left="0"/>
    </w:pPr>
    <w:rPr>
      <w:rFonts w:hAnsi="宋体" w:cs="宋体"/>
      <w:sz w:val="30"/>
      <w:szCs w:val="20"/>
    </w:rPr>
  </w:style>
  <w:style w:type="paragraph" w:customStyle="1" w:styleId="460">
    <w:name w:val="Title 02"/>
    <w:basedOn w:val="1"/>
    <w:qFormat/>
    <w:uiPriority w:val="0"/>
    <w:pPr>
      <w:widowControl/>
      <w:jc w:val="center"/>
    </w:pPr>
    <w:rPr>
      <w:rFonts w:ascii="黑体" w:hAnsi="Calibri" w:eastAsia="黑体" w:cs="宋体"/>
      <w:kern w:val="0"/>
      <w:sz w:val="52"/>
    </w:rPr>
  </w:style>
  <w:style w:type="paragraph" w:customStyle="1" w:styleId="461">
    <w:name w:val="表X"/>
    <w:basedOn w:val="29"/>
    <w:qFormat/>
    <w:uiPriority w:val="0"/>
    <w:pPr>
      <w:keepNext/>
      <w:widowControl/>
      <w:tabs>
        <w:tab w:val="left" w:pos="1200"/>
      </w:tabs>
      <w:spacing w:before="240" w:line="240" w:lineRule="auto"/>
      <w:ind w:left="1200" w:hanging="360"/>
      <w:jc w:val="left"/>
      <w:textAlignment w:val="auto"/>
      <w:outlineLvl w:val="8"/>
    </w:pPr>
    <w:rPr>
      <w:rFonts w:ascii="Courier New"/>
      <w:spacing w:val="0"/>
      <w:kern w:val="0"/>
      <w:sz w:val="28"/>
    </w:rPr>
  </w:style>
  <w:style w:type="paragraph" w:customStyle="1" w:styleId="462">
    <w:name w:val="样式 黑色 行距: 固定值 15 磅1"/>
    <w:basedOn w:val="1"/>
    <w:qFormat/>
    <w:uiPriority w:val="0"/>
    <w:pPr>
      <w:spacing w:line="300" w:lineRule="exact"/>
    </w:pPr>
    <w:rPr>
      <w:rFonts w:cs="宋体"/>
      <w:color w:val="000000"/>
      <w:sz w:val="28"/>
    </w:rPr>
  </w:style>
  <w:style w:type="paragraph" w:customStyle="1" w:styleId="463">
    <w:name w:val="表格内容"/>
    <w:basedOn w:val="42"/>
    <w:link w:val="562"/>
    <w:qFormat/>
    <w:uiPriority w:val="0"/>
    <w:pPr>
      <w:overflowPunct w:val="0"/>
      <w:adjustRightInd w:val="0"/>
      <w:spacing w:before="40" w:after="60" w:line="200" w:lineRule="atLeast"/>
      <w:textAlignment w:val="baseline"/>
    </w:pPr>
    <w:rPr>
      <w:rFonts w:ascii="Arial" w:hAnsi="Arial" w:eastAsia="仿宋_GB2312"/>
      <w:kern w:val="0"/>
      <w:sz w:val="24"/>
    </w:rPr>
  </w:style>
  <w:style w:type="paragraph" w:customStyle="1" w:styleId="464">
    <w:name w:val="数字编号"/>
    <w:basedOn w:val="1"/>
    <w:qFormat/>
    <w:uiPriority w:val="0"/>
    <w:pPr>
      <w:tabs>
        <w:tab w:val="left" w:pos="432"/>
      </w:tabs>
      <w:spacing w:before="50" w:line="300" w:lineRule="auto"/>
      <w:ind w:firstLine="200" w:firstLineChars="200"/>
    </w:pPr>
    <w:rPr>
      <w:spacing w:val="6"/>
      <w:sz w:val="24"/>
      <w:szCs w:val="24"/>
    </w:rPr>
  </w:style>
  <w:style w:type="paragraph" w:customStyle="1" w:styleId="465">
    <w:name w:val="表格正文"/>
    <w:link w:val="644"/>
    <w:qFormat/>
    <w:uiPriority w:val="0"/>
    <w:pPr>
      <w:widowControl w:val="0"/>
      <w:spacing w:after="200" w:line="320" w:lineRule="exact"/>
      <w:jc w:val="center"/>
    </w:pPr>
    <w:rPr>
      <w:rFonts w:ascii="宋体" w:hAnsi="宋体" w:eastAsia="宋体" w:cs="Times New Roman"/>
      <w:kern w:val="2"/>
      <w:sz w:val="21"/>
      <w:szCs w:val="22"/>
      <w:lang w:val="en-US" w:eastAsia="zh-CN" w:bidi="ar-SA"/>
    </w:rPr>
  </w:style>
  <w:style w:type="paragraph" w:customStyle="1" w:styleId="466">
    <w:name w:val="5"/>
    <w:basedOn w:val="1"/>
    <w:next w:val="2"/>
    <w:qFormat/>
    <w:uiPriority w:val="0"/>
    <w:pPr>
      <w:widowControl/>
      <w:spacing w:line="500" w:lineRule="exact"/>
      <w:ind w:firstLine="420"/>
      <w:jc w:val="left"/>
    </w:pPr>
    <w:rPr>
      <w:rFonts w:ascii="仿宋_GB2312" w:hAnsi="Calibri" w:eastAsia="仿宋_GB2312"/>
      <w:kern w:val="0"/>
      <w:sz w:val="28"/>
    </w:rPr>
  </w:style>
  <w:style w:type="paragraph" w:customStyle="1" w:styleId="467">
    <w:name w:val="Char Char Char Char Char Char Char Char Char Char Char Char Char Char Char Char"/>
    <w:basedOn w:val="1"/>
    <w:next w:val="1"/>
    <w:qFormat/>
    <w:uiPriority w:val="0"/>
    <w:pPr>
      <w:widowControl/>
      <w:spacing w:line="360" w:lineRule="auto"/>
      <w:jc w:val="left"/>
    </w:pPr>
    <w:rPr>
      <w:rFonts w:ascii="仿宋_GB2312" w:eastAsia="仿宋_GB2312"/>
      <w:sz w:val="24"/>
    </w:rPr>
  </w:style>
  <w:style w:type="paragraph" w:customStyle="1" w:styleId="468">
    <w:name w:val="xl29"/>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469">
    <w:name w:val="B"/>
    <w:basedOn w:val="42"/>
    <w:qFormat/>
    <w:uiPriority w:val="0"/>
    <w:pPr>
      <w:spacing w:before="62" w:beforeLines="20" w:after="62" w:afterLines="20"/>
      <w:ind w:left="0" w:firstLine="0" w:firstLineChars="0"/>
      <w:jc w:val="center"/>
    </w:pPr>
    <w:rPr>
      <w:rFonts w:ascii="ISOCTEUR" w:hAnsi="ISOCTEUR" w:cs="ISOCTEUR"/>
      <w:b/>
    </w:rPr>
  </w:style>
  <w:style w:type="paragraph" w:customStyle="1" w:styleId="470">
    <w:name w:val="环评主标题"/>
    <w:basedOn w:val="1"/>
    <w:qFormat/>
    <w:uiPriority w:val="0"/>
    <w:pPr>
      <w:widowControl/>
      <w:jc w:val="center"/>
    </w:pPr>
    <w:rPr>
      <w:rFonts w:ascii="黑体" w:hAnsi="Calibri" w:eastAsia="黑体" w:cs="宋体"/>
      <w:kern w:val="0"/>
      <w:sz w:val="52"/>
    </w:rPr>
  </w:style>
  <w:style w:type="paragraph" w:customStyle="1" w:styleId="471">
    <w:name w:val="font1"/>
    <w:basedOn w:val="1"/>
    <w:qFormat/>
    <w:uiPriority w:val="0"/>
    <w:pPr>
      <w:widowControl/>
      <w:spacing w:before="100" w:beforeAutospacing="1" w:after="100" w:afterAutospacing="1"/>
      <w:jc w:val="left"/>
    </w:pPr>
    <w:rPr>
      <w:rFonts w:hint="eastAsia" w:ascii="宋体" w:hAnsi="宋体"/>
      <w:kern w:val="0"/>
      <w:sz w:val="24"/>
      <w:szCs w:val="22"/>
    </w:rPr>
  </w:style>
  <w:style w:type="paragraph" w:customStyle="1" w:styleId="472">
    <w:name w:val="报告书正文"/>
    <w:basedOn w:val="1"/>
    <w:link w:val="543"/>
    <w:qFormat/>
    <w:uiPriority w:val="0"/>
    <w:pPr>
      <w:widowControl/>
      <w:adjustRightInd w:val="0"/>
      <w:spacing w:line="360" w:lineRule="auto"/>
      <w:ind w:firstLine="425"/>
      <w:jc w:val="left"/>
      <w:textAlignment w:val="baseline"/>
    </w:pPr>
    <w:rPr>
      <w:rFonts w:ascii="Calibri" w:hAnsi="Calibri"/>
      <w:kern w:val="0"/>
      <w:sz w:val="24"/>
    </w:rPr>
  </w:style>
  <w:style w:type="paragraph" w:customStyle="1" w:styleId="473">
    <w:name w:val="6"/>
    <w:basedOn w:val="1"/>
    <w:next w:val="48"/>
    <w:qFormat/>
    <w:uiPriority w:val="0"/>
    <w:pPr>
      <w:widowControl/>
      <w:spacing w:after="120" w:line="480" w:lineRule="auto"/>
      <w:jc w:val="left"/>
    </w:pPr>
    <w:rPr>
      <w:rFonts w:ascii="Calibri" w:hAnsi="Calibri"/>
      <w:kern w:val="0"/>
      <w:sz w:val="22"/>
      <w:szCs w:val="22"/>
    </w:rPr>
  </w:style>
  <w:style w:type="paragraph" w:customStyle="1" w:styleId="474">
    <w:name w:val="霍尼韦尔"/>
    <w:basedOn w:val="1"/>
    <w:link w:val="514"/>
    <w:qFormat/>
    <w:uiPriority w:val="0"/>
    <w:pPr>
      <w:spacing w:line="480" w:lineRule="exact"/>
      <w:ind w:firstLine="480" w:firstLineChars="200"/>
      <w:jc w:val="left"/>
    </w:pPr>
    <w:rPr>
      <w:kern w:val="0"/>
      <w:sz w:val="24"/>
    </w:rPr>
  </w:style>
  <w:style w:type="paragraph" w:customStyle="1" w:styleId="475">
    <w:name w:val="标准文本 居中 单倍行距 Char"/>
    <w:basedOn w:val="1"/>
    <w:qFormat/>
    <w:uiPriority w:val="0"/>
    <w:pPr>
      <w:widowControl/>
      <w:adjustRightInd w:val="0"/>
      <w:snapToGrid w:val="0"/>
      <w:spacing w:line="480" w:lineRule="exact"/>
      <w:jc w:val="center"/>
      <w:textAlignment w:val="center"/>
    </w:pPr>
    <w:rPr>
      <w:rFonts w:ascii="宋体" w:hAnsi="宋体" w:cs="宋体"/>
      <w:color w:val="000000"/>
      <w:kern w:val="0"/>
      <w:sz w:val="24"/>
      <w:szCs w:val="22"/>
    </w:rPr>
  </w:style>
  <w:style w:type="paragraph" w:customStyle="1" w:styleId="476">
    <w:name w:val="表格内文字"/>
    <w:basedOn w:val="1"/>
    <w:link w:val="707"/>
    <w:qFormat/>
    <w:uiPriority w:val="0"/>
    <w:pPr>
      <w:tabs>
        <w:tab w:val="left" w:pos="0"/>
      </w:tabs>
      <w:adjustRightInd w:val="0"/>
      <w:snapToGrid w:val="0"/>
      <w:jc w:val="center"/>
    </w:pPr>
    <w:rPr>
      <w:rFonts w:eastAsia="仿宋_GB2312"/>
      <w:sz w:val="24"/>
    </w:rPr>
  </w:style>
  <w:style w:type="paragraph" w:customStyle="1" w:styleId="477">
    <w:name w:val="CC Char Char Char"/>
    <w:basedOn w:val="34"/>
    <w:next w:val="34"/>
    <w:qFormat/>
    <w:uiPriority w:val="0"/>
    <w:pPr>
      <w:spacing w:before="0" w:after="120" w:line="480" w:lineRule="auto"/>
      <w:ind w:left="630" w:leftChars="100" w:right="100" w:rightChars="100" w:firstLine="0" w:firstLineChars="0"/>
    </w:pPr>
    <w:rPr>
      <w:rFonts w:ascii="Times New Roman" w:hAnsi="Times New Roman"/>
      <w:spacing w:val="0"/>
      <w:sz w:val="28"/>
      <w:szCs w:val="28"/>
    </w:rPr>
  </w:style>
  <w:style w:type="paragraph" w:customStyle="1" w:styleId="478">
    <w:name w:val="样式  + 首行缩进:  0.75 厘米"/>
    <w:basedOn w:val="1"/>
    <w:qFormat/>
    <w:uiPriority w:val="0"/>
    <w:pPr>
      <w:widowControl/>
      <w:ind w:firstLine="425"/>
      <w:jc w:val="left"/>
    </w:pPr>
    <w:rPr>
      <w:rFonts w:ascii="Calibri" w:hAnsi="Calibri"/>
      <w:bCs/>
      <w:kern w:val="0"/>
      <w:sz w:val="24"/>
      <w:szCs w:val="22"/>
    </w:rPr>
  </w:style>
  <w:style w:type="paragraph" w:customStyle="1" w:styleId="479">
    <w:name w:val="正文加粗lcc"/>
    <w:basedOn w:val="163"/>
    <w:qFormat/>
    <w:uiPriority w:val="0"/>
    <w:pPr>
      <w:ind w:firstLine="482"/>
    </w:pPr>
    <w:rPr>
      <w:b/>
      <w:szCs w:val="24"/>
    </w:rPr>
  </w:style>
  <w:style w:type="paragraph" w:customStyle="1" w:styleId="480">
    <w:name w:val="证书编号"/>
    <w:basedOn w:val="1"/>
    <w:qFormat/>
    <w:uiPriority w:val="0"/>
    <w:pPr>
      <w:widowControl/>
      <w:jc w:val="center"/>
    </w:pPr>
    <w:rPr>
      <w:rFonts w:ascii="Calibri" w:hAnsi="Calibri" w:cs="宋体"/>
      <w:kern w:val="0"/>
      <w:sz w:val="28"/>
    </w:rPr>
  </w:style>
  <w:style w:type="paragraph" w:customStyle="1" w:styleId="481">
    <w:name w:val="样式 标准文本 首行缩进:2 字符 行距1.5倍 + 首行缩进:  2 字符1"/>
    <w:basedOn w:val="158"/>
    <w:qFormat/>
    <w:uiPriority w:val="0"/>
    <w:pPr>
      <w:spacing w:line="240" w:lineRule="auto"/>
    </w:pPr>
  </w:style>
  <w:style w:type="paragraph" w:customStyle="1" w:styleId="482">
    <w:name w:val="Char Char Char Char Char Char1 Char Char Char Char Char Char Char1"/>
    <w:basedOn w:val="1"/>
    <w:qFormat/>
    <w:uiPriority w:val="0"/>
    <w:rPr>
      <w:szCs w:val="24"/>
    </w:rPr>
  </w:style>
  <w:style w:type="paragraph" w:customStyle="1" w:styleId="483">
    <w:name w:val="正文两端对齐"/>
    <w:basedOn w:val="1"/>
    <w:qFormat/>
    <w:uiPriority w:val="0"/>
    <w:pPr>
      <w:widowControl/>
      <w:spacing w:line="400" w:lineRule="exact"/>
      <w:jc w:val="left"/>
    </w:pPr>
    <w:rPr>
      <w:rFonts w:ascii="Calibri" w:hAnsi="Calibri" w:cs="宋体"/>
      <w:kern w:val="0"/>
      <w:sz w:val="24"/>
    </w:rPr>
  </w:style>
  <w:style w:type="paragraph" w:customStyle="1" w:styleId="484">
    <w:name w:val="样式 样式 首行缩进:  2 字符1 + 首行缩进:  2 字符 段前: 0.2 行"/>
    <w:basedOn w:val="1"/>
    <w:qFormat/>
    <w:uiPriority w:val="0"/>
    <w:pPr>
      <w:widowControl/>
      <w:spacing w:line="440" w:lineRule="exact"/>
      <w:ind w:firstLine="200" w:firstLineChars="200"/>
      <w:jc w:val="left"/>
    </w:pPr>
    <w:rPr>
      <w:rFonts w:ascii="Calibri" w:hAnsi="Calibri"/>
      <w:kern w:val="0"/>
      <w:sz w:val="24"/>
    </w:rPr>
  </w:style>
  <w:style w:type="paragraph" w:customStyle="1" w:styleId="485">
    <w:name w:val="默认段落字体 Para Char Char Char1 Char Char Char Char Char Char Char Char Char Char"/>
    <w:basedOn w:val="1"/>
    <w:qFormat/>
    <w:uiPriority w:val="0"/>
    <w:pPr>
      <w:widowControl/>
      <w:jc w:val="left"/>
    </w:pPr>
    <w:rPr>
      <w:rFonts w:ascii="Calibri" w:hAnsi="Calibri"/>
      <w:kern w:val="0"/>
      <w:sz w:val="24"/>
      <w:szCs w:val="22"/>
    </w:rPr>
  </w:style>
  <w:style w:type="paragraph" w:customStyle="1" w:styleId="486">
    <w:name w:val="表格文本 五号 居中 单倍行距 Char"/>
    <w:basedOn w:val="1"/>
    <w:qFormat/>
    <w:uiPriority w:val="0"/>
    <w:pPr>
      <w:keepNext/>
      <w:adjustRightInd w:val="0"/>
      <w:snapToGrid w:val="0"/>
      <w:jc w:val="center"/>
      <w:textAlignment w:val="baseline"/>
    </w:pPr>
    <w:rPr>
      <w:rFonts w:cs="宋体"/>
      <w:szCs w:val="24"/>
    </w:rPr>
  </w:style>
  <w:style w:type="paragraph" w:customStyle="1" w:styleId="487">
    <w:name w:val="表标题1"/>
    <w:basedOn w:val="1"/>
    <w:qFormat/>
    <w:uiPriority w:val="0"/>
    <w:pPr>
      <w:adjustRightInd w:val="0"/>
      <w:spacing w:before="180" w:after="120" w:line="397" w:lineRule="atLeast"/>
      <w:ind w:firstLine="480"/>
      <w:jc w:val="center"/>
      <w:textAlignment w:val="baseline"/>
    </w:pPr>
    <w:rPr>
      <w:b/>
      <w:kern w:val="0"/>
      <w:sz w:val="24"/>
    </w:rPr>
  </w:style>
  <w:style w:type="paragraph" w:customStyle="1" w:styleId="488">
    <w:name w:val="表内容"/>
    <w:basedOn w:val="1"/>
    <w:qFormat/>
    <w:uiPriority w:val="0"/>
    <w:pPr>
      <w:jc w:val="center"/>
    </w:pPr>
  </w:style>
  <w:style w:type="paragraph" w:customStyle="1" w:styleId="489">
    <w:name w:val="样式 首行缩进:  0.99 厘米 行距: 1.5 倍行距2"/>
    <w:basedOn w:val="1"/>
    <w:qFormat/>
    <w:uiPriority w:val="0"/>
    <w:pPr>
      <w:adjustRightInd w:val="0"/>
      <w:snapToGrid w:val="0"/>
      <w:jc w:val="center"/>
    </w:pPr>
    <w:rPr>
      <w:rFonts w:ascii="宋体" w:hAnsi="宋体"/>
      <w:color w:val="FF0000"/>
    </w:rPr>
  </w:style>
  <w:style w:type="paragraph" w:customStyle="1" w:styleId="490">
    <w:name w:val="样式8"/>
    <w:basedOn w:val="1"/>
    <w:next w:val="1"/>
    <w:qFormat/>
    <w:uiPriority w:val="0"/>
    <w:pPr>
      <w:ind w:firstLine="420"/>
    </w:pPr>
    <w:rPr>
      <w:rFonts w:ascii="宋体" w:hAnsi="Arial Black" w:cs="宋体"/>
      <w:sz w:val="24"/>
      <w:szCs w:val="24"/>
    </w:rPr>
  </w:style>
  <w:style w:type="paragraph" w:customStyle="1" w:styleId="491">
    <w:name w:val="样式 标题 2节节标题 1.1H2（一）Underrubrik1prop2Heading 2 HiddenHea...1"/>
    <w:basedOn w:val="4"/>
    <w:qFormat/>
    <w:uiPriority w:val="0"/>
    <w:pPr>
      <w:numPr>
        <w:ilvl w:val="0"/>
        <w:numId w:val="0"/>
      </w:numPr>
      <w:tabs>
        <w:tab w:val="left" w:pos="576"/>
        <w:tab w:val="clear" w:pos="1276"/>
      </w:tabs>
      <w:adjustRightInd/>
      <w:spacing w:before="156" w:beforeLines="50" w:after="156" w:afterLines="50"/>
      <w:ind w:left="576" w:hanging="576"/>
      <w:textAlignment w:val="auto"/>
    </w:pPr>
    <w:rPr>
      <w:rFonts w:ascii="Times New Roman" w:hAnsi="Times New Roman" w:eastAsia="宋体"/>
      <w:bCs/>
      <w:color w:val="000000"/>
      <w:sz w:val="30"/>
      <w:szCs w:val="28"/>
    </w:rPr>
  </w:style>
  <w:style w:type="paragraph" w:customStyle="1" w:styleId="492">
    <w:name w:val="样式1－表头"/>
    <w:basedOn w:val="1"/>
    <w:qFormat/>
    <w:uiPriority w:val="0"/>
    <w:pPr>
      <w:adjustRightInd w:val="0"/>
      <w:snapToGrid w:val="0"/>
      <w:jc w:val="center"/>
    </w:pPr>
    <w:rPr>
      <w:b/>
      <w:bCs/>
      <w:color w:val="000000"/>
      <w:spacing w:val="6"/>
      <w:kern w:val="0"/>
      <w:sz w:val="24"/>
    </w:rPr>
  </w:style>
  <w:style w:type="paragraph" w:customStyle="1" w:styleId="493">
    <w:name w:val="表题"/>
    <w:next w:val="208"/>
    <w:link w:val="633"/>
    <w:qFormat/>
    <w:uiPriority w:val="0"/>
    <w:pPr>
      <w:spacing w:before="312" w:beforeLines="100" w:after="200" w:line="500" w:lineRule="exact"/>
      <w:jc w:val="center"/>
    </w:pPr>
    <w:rPr>
      <w:rFonts w:ascii="Calibri" w:hAnsi="Calibri" w:eastAsia="黑体" w:cs="Times New Roman"/>
      <w:sz w:val="28"/>
      <w:szCs w:val="22"/>
      <w:lang w:val="en-US" w:eastAsia="zh-CN" w:bidi="ar-SA"/>
    </w:rPr>
  </w:style>
  <w:style w:type="paragraph" w:customStyle="1" w:styleId="494">
    <w:name w:val="标题二最终"/>
    <w:basedOn w:val="1"/>
    <w:qFormat/>
    <w:uiPriority w:val="0"/>
    <w:pPr>
      <w:keepNext/>
      <w:keepLines/>
      <w:tabs>
        <w:tab w:val="left" w:pos="567"/>
      </w:tabs>
      <w:adjustRightInd w:val="0"/>
      <w:snapToGrid w:val="0"/>
      <w:spacing w:before="156" w:beforeLines="50" w:line="360" w:lineRule="auto"/>
      <w:ind w:left="425" w:hanging="425"/>
      <w:outlineLvl w:val="1"/>
    </w:pPr>
    <w:rPr>
      <w:b/>
      <w:bCs/>
      <w:sz w:val="30"/>
      <w:szCs w:val="30"/>
    </w:rPr>
  </w:style>
  <w:style w:type="paragraph" w:customStyle="1" w:styleId="495">
    <w:name w:val="List Paragraph1"/>
    <w:basedOn w:val="1"/>
    <w:qFormat/>
    <w:uiPriority w:val="34"/>
    <w:pPr>
      <w:ind w:firstLine="420" w:firstLineChars="200"/>
    </w:pPr>
    <w:rPr>
      <w:rFonts w:ascii="Calibri" w:hAnsi="Calibri"/>
      <w:szCs w:val="22"/>
    </w:rPr>
  </w:style>
  <w:style w:type="paragraph" w:customStyle="1" w:styleId="496">
    <w:name w:val="T正文"/>
    <w:basedOn w:val="1"/>
    <w:next w:val="1"/>
    <w:qFormat/>
    <w:uiPriority w:val="0"/>
    <w:pPr>
      <w:widowControl/>
      <w:autoSpaceDE w:val="0"/>
      <w:autoSpaceDN w:val="0"/>
      <w:adjustRightInd w:val="0"/>
      <w:jc w:val="left"/>
    </w:pPr>
    <w:rPr>
      <w:rFonts w:ascii="宋体" w:hAnsi="Calibri"/>
      <w:kern w:val="0"/>
      <w:sz w:val="24"/>
      <w:szCs w:val="22"/>
    </w:rPr>
  </w:style>
  <w:style w:type="paragraph" w:customStyle="1" w:styleId="497">
    <w:name w:val="xl3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kern w:val="0"/>
      <w:sz w:val="20"/>
    </w:rPr>
  </w:style>
  <w:style w:type="paragraph" w:customStyle="1" w:styleId="498">
    <w:name w:val="Normal_0"/>
    <w:qFormat/>
    <w:uiPriority w:val="0"/>
    <w:rPr>
      <w:rFonts w:ascii="Times New Roman" w:hAnsi="Times New Roman" w:eastAsia="等线" w:cs="Times New Roman"/>
      <w:sz w:val="24"/>
      <w:szCs w:val="24"/>
      <w:lang w:val="en-US" w:eastAsia="zh-CN" w:bidi="ar-SA"/>
    </w:rPr>
  </w:style>
  <w:style w:type="paragraph" w:customStyle="1" w:styleId="499">
    <w:name w:val="样式 标题 2标题 2-王鹏标题2纪任山标题 2 + 四号 段前: 0 磅 段后: 0 磅 行距: 固定值 24 磅"/>
    <w:basedOn w:val="4"/>
    <w:qFormat/>
    <w:uiPriority w:val="0"/>
    <w:pPr>
      <w:numPr>
        <w:ilvl w:val="0"/>
        <w:numId w:val="0"/>
      </w:numPr>
      <w:tabs>
        <w:tab w:val="clear" w:pos="1276"/>
      </w:tabs>
      <w:adjustRightInd/>
      <w:spacing w:before="0" w:after="0" w:line="480" w:lineRule="exact"/>
      <w:ind w:left="-10" w:leftChars="-10" w:firstLine="200" w:firstLineChars="200"/>
      <w:jc w:val="both"/>
      <w:textAlignment w:val="auto"/>
    </w:pPr>
    <w:rPr>
      <w:rFonts w:ascii="Times New Roman" w:hAnsi="Times New Roman" w:eastAsia="宋体" w:cs="宋体"/>
      <w:bCs/>
      <w:sz w:val="30"/>
    </w:rPr>
  </w:style>
  <w:style w:type="character" w:customStyle="1" w:styleId="500">
    <w:name w:val="ng-binding"/>
    <w:qFormat/>
    <w:uiPriority w:val="0"/>
  </w:style>
  <w:style w:type="character" w:customStyle="1" w:styleId="501">
    <w:name w:val="标题 4 字符"/>
    <w:link w:val="6"/>
    <w:qFormat/>
    <w:uiPriority w:val="0"/>
    <w:rPr>
      <w:rFonts w:ascii="Arial" w:hAnsi="Arial" w:eastAsia="黑体"/>
      <w:b/>
      <w:kern w:val="2"/>
      <w:sz w:val="28"/>
      <w:lang w:val="en-US" w:eastAsia="zh-CN" w:bidi="ar-SA"/>
    </w:rPr>
  </w:style>
  <w:style w:type="character" w:customStyle="1" w:styleId="502">
    <w:name w:val="批注文字 Char1"/>
    <w:qFormat/>
    <w:uiPriority w:val="0"/>
    <w:rPr>
      <w:kern w:val="2"/>
      <w:sz w:val="21"/>
      <w:szCs w:val="22"/>
    </w:rPr>
  </w:style>
  <w:style w:type="character" w:customStyle="1" w:styleId="503">
    <w:name w:val="Char Char17"/>
    <w:qFormat/>
    <w:uiPriority w:val="0"/>
    <w:rPr>
      <w:rFonts w:ascii="Cambria" w:hAnsi="Cambria" w:eastAsia="宋体"/>
      <w:b/>
      <w:bCs/>
      <w:color w:val="2DA2BF"/>
      <w:sz w:val="26"/>
      <w:szCs w:val="26"/>
      <w:lang w:val="en-US" w:eastAsia="zh-CN" w:bidi="ar-SA"/>
    </w:rPr>
  </w:style>
  <w:style w:type="character" w:customStyle="1" w:styleId="504">
    <w:name w:val="Char Char5"/>
    <w:qFormat/>
    <w:uiPriority w:val="0"/>
    <w:rPr>
      <w:rFonts w:ascii="Arial" w:hAnsi="Arial" w:eastAsia="黑体"/>
      <w:b/>
      <w:bCs/>
      <w:kern w:val="2"/>
      <w:sz w:val="32"/>
      <w:szCs w:val="32"/>
      <w:lang w:val="en-US" w:eastAsia="zh-CN" w:bidi="ar-SA"/>
    </w:rPr>
  </w:style>
  <w:style w:type="character" w:customStyle="1" w:styleId="505">
    <w:name w:val="Char Char"/>
    <w:qFormat/>
    <w:uiPriority w:val="0"/>
    <w:rPr>
      <w:rFonts w:eastAsia="宋体"/>
      <w:kern w:val="2"/>
      <w:sz w:val="21"/>
      <w:szCs w:val="24"/>
      <w:lang w:val="en-US" w:eastAsia="zh-CN" w:bidi="ar-SA"/>
    </w:rPr>
  </w:style>
  <w:style w:type="character" w:customStyle="1" w:styleId="506">
    <w:name w:val="报告书正文 Char"/>
    <w:qFormat/>
    <w:uiPriority w:val="0"/>
    <w:rPr>
      <w:rFonts w:eastAsia="宋体"/>
      <w:sz w:val="24"/>
      <w:lang w:val="en-US" w:eastAsia="zh-CN" w:bidi="ar-SA"/>
    </w:rPr>
  </w:style>
  <w:style w:type="character" w:customStyle="1" w:styleId="507">
    <w:name w:val="报告 Char"/>
    <w:link w:val="319"/>
    <w:qFormat/>
    <w:uiPriority w:val="0"/>
    <w:rPr>
      <w:rFonts w:ascii="TimesNewRoman" w:hAnsi="TimesNewRoman" w:eastAsia="宋体"/>
      <w:sz w:val="24"/>
      <w:lang w:val="en-US" w:eastAsia="zh-CN" w:bidi="ar-SA"/>
    </w:rPr>
  </w:style>
  <w:style w:type="character" w:customStyle="1" w:styleId="508">
    <w:name w:val="金源 Char"/>
    <w:link w:val="317"/>
    <w:qFormat/>
    <w:uiPriority w:val="0"/>
    <w:rPr>
      <w:rFonts w:eastAsia="宋体" w:cs="宋体"/>
      <w:kern w:val="2"/>
      <w:sz w:val="24"/>
      <w:lang w:val="en-US" w:eastAsia="zh-CN" w:bidi="ar-SA"/>
    </w:rPr>
  </w:style>
  <w:style w:type="character" w:customStyle="1" w:styleId="509">
    <w:name w:val="Char Char4"/>
    <w:qFormat/>
    <w:uiPriority w:val="0"/>
    <w:rPr>
      <w:rFonts w:eastAsia="宋体"/>
      <w:b/>
      <w:bCs/>
      <w:kern w:val="2"/>
      <w:sz w:val="32"/>
      <w:szCs w:val="32"/>
      <w:lang w:val="en-US" w:eastAsia="zh-CN" w:bidi="ar-SA"/>
    </w:rPr>
  </w:style>
  <w:style w:type="character" w:customStyle="1" w:styleId="510">
    <w:name w:val="headline-content2"/>
    <w:basedOn w:val="63"/>
    <w:qFormat/>
    <w:uiPriority w:val="0"/>
  </w:style>
  <w:style w:type="character" w:customStyle="1" w:styleId="511">
    <w:name w:val="题注 字符"/>
    <w:link w:val="15"/>
    <w:qFormat/>
    <w:uiPriority w:val="35"/>
    <w:rPr>
      <w:rFonts w:ascii="Calibri" w:hAnsi="Calibri"/>
      <w:b/>
      <w:bCs/>
      <w:color w:val="2DA2BF"/>
      <w:sz w:val="18"/>
      <w:szCs w:val="18"/>
    </w:rPr>
  </w:style>
  <w:style w:type="character" w:customStyle="1" w:styleId="512">
    <w:name w:val="Char Char41"/>
    <w:qFormat/>
    <w:uiPriority w:val="0"/>
    <w:rPr>
      <w:rFonts w:eastAsia="宋体"/>
      <w:b/>
      <w:bCs/>
      <w:kern w:val="2"/>
      <w:sz w:val="32"/>
      <w:szCs w:val="32"/>
      <w:lang w:val="en-US" w:eastAsia="zh-CN" w:bidi="ar-SA"/>
    </w:rPr>
  </w:style>
  <w:style w:type="character" w:customStyle="1" w:styleId="513">
    <w:name w:val="文档结构图 字符"/>
    <w:link w:val="16"/>
    <w:qFormat/>
    <w:uiPriority w:val="0"/>
    <w:rPr>
      <w:kern w:val="2"/>
      <w:sz w:val="21"/>
      <w:shd w:val="clear" w:color="auto" w:fill="000080"/>
    </w:rPr>
  </w:style>
  <w:style w:type="character" w:customStyle="1" w:styleId="514">
    <w:name w:val="霍尼韦尔 Char Char"/>
    <w:link w:val="474"/>
    <w:qFormat/>
    <w:uiPriority w:val="0"/>
    <w:rPr>
      <w:rFonts w:cs="宋体"/>
      <w:sz w:val="24"/>
    </w:rPr>
  </w:style>
  <w:style w:type="character" w:customStyle="1" w:styleId="515">
    <w:name w:val="font21"/>
    <w:qFormat/>
    <w:uiPriority w:val="0"/>
    <w:rPr>
      <w:rFonts w:hint="eastAsia" w:ascii="宋体" w:hAnsi="宋体" w:eastAsia="宋体" w:cs="宋体"/>
      <w:color w:val="000000"/>
      <w:sz w:val="21"/>
      <w:szCs w:val="21"/>
      <w:u w:val="none"/>
    </w:rPr>
  </w:style>
  <w:style w:type="character" w:customStyle="1" w:styleId="516">
    <w:name w:val="_Style 508"/>
    <w:qFormat/>
    <w:uiPriority w:val="0"/>
    <w:rPr>
      <w:b/>
      <w:bCs/>
      <w:smallCaps/>
      <w:color w:val="DA1F28"/>
      <w:spacing w:val="5"/>
      <w:u w:val="single"/>
    </w:rPr>
  </w:style>
  <w:style w:type="character" w:customStyle="1" w:styleId="517">
    <w:name w:val="content"/>
    <w:basedOn w:val="63"/>
    <w:qFormat/>
    <w:uiPriority w:val="0"/>
  </w:style>
  <w:style w:type="character" w:customStyle="1" w:styleId="518">
    <w:name w:val="标题 7 字符"/>
    <w:link w:val="9"/>
    <w:qFormat/>
    <w:uiPriority w:val="0"/>
    <w:rPr>
      <w:rFonts w:eastAsia="宋体"/>
      <w:b/>
      <w:kern w:val="2"/>
      <w:sz w:val="24"/>
      <w:lang w:val="en-US" w:eastAsia="zh-CN" w:bidi="ar-SA"/>
    </w:rPr>
  </w:style>
  <w:style w:type="character" w:customStyle="1" w:styleId="519">
    <w:name w:val="标准文本 首行缩进:2 字符 行距1倍 Char Char Char Char Char Char"/>
    <w:qFormat/>
    <w:uiPriority w:val="0"/>
    <w:rPr>
      <w:rFonts w:eastAsia="宋体" w:cs="宋体"/>
      <w:kern w:val="2"/>
      <w:sz w:val="24"/>
      <w:szCs w:val="24"/>
      <w:lang w:val="en-US" w:eastAsia="zh-CN" w:bidi="ar-SA"/>
    </w:rPr>
  </w:style>
  <w:style w:type="character" w:customStyle="1" w:styleId="520">
    <w:name w:val="aa正文 Char Char"/>
    <w:link w:val="370"/>
    <w:qFormat/>
    <w:uiPriority w:val="0"/>
    <w:rPr>
      <w:rFonts w:ascii="Calibri" w:hAnsi="Calibri" w:eastAsia="宋体"/>
      <w:sz w:val="24"/>
      <w:szCs w:val="22"/>
      <w:lang w:val="en-US" w:eastAsia="zh-CN" w:bidi="ar-SA"/>
    </w:rPr>
  </w:style>
  <w:style w:type="character" w:customStyle="1" w:styleId="521">
    <w:name w:val="报告书正文 Char Char"/>
    <w:qFormat/>
    <w:uiPriority w:val="0"/>
    <w:rPr>
      <w:rFonts w:eastAsia="宋体"/>
      <w:sz w:val="24"/>
      <w:lang w:val="en-US" w:eastAsia="zh-CN" w:bidi="ar-SA"/>
    </w:rPr>
  </w:style>
  <w:style w:type="character" w:customStyle="1" w:styleId="522">
    <w:name w:val="Char1 Char"/>
    <w:link w:val="388"/>
    <w:qFormat/>
    <w:uiPriority w:val="0"/>
    <w:rPr>
      <w:rFonts w:eastAsia="仿宋_GB2312"/>
      <w:kern w:val="2"/>
      <w:sz w:val="24"/>
      <w:szCs w:val="24"/>
      <w:lang w:val="en-US" w:eastAsia="zh-CN" w:bidi="ar-SA"/>
    </w:rPr>
  </w:style>
  <w:style w:type="character" w:customStyle="1" w:styleId="523">
    <w:name w:val="标准文本 首行缩进:2 字符 行距1.5倍 Char"/>
    <w:qFormat/>
    <w:uiPriority w:val="0"/>
    <w:rPr>
      <w:rFonts w:eastAsia="宋体" w:cs="宋体"/>
      <w:kern w:val="2"/>
      <w:sz w:val="24"/>
      <w:szCs w:val="24"/>
      <w:lang w:val="en-US" w:eastAsia="zh-CN" w:bidi="ar-SA"/>
    </w:rPr>
  </w:style>
  <w:style w:type="character" w:customStyle="1" w:styleId="524">
    <w:name w:val="样式 标准文本 首行缩进:2 字符 行距1.5倍 + 首行缩进:  2 字符1 Char"/>
    <w:basedOn w:val="523"/>
    <w:qFormat/>
    <w:uiPriority w:val="0"/>
    <w:rPr>
      <w:rFonts w:eastAsia="宋体" w:cs="宋体"/>
      <w:kern w:val="2"/>
      <w:sz w:val="24"/>
      <w:szCs w:val="24"/>
      <w:lang w:val="en-US" w:eastAsia="zh-CN" w:bidi="ar-SA"/>
    </w:rPr>
  </w:style>
  <w:style w:type="character" w:customStyle="1" w:styleId="525">
    <w:name w:val="批注文字 字符"/>
    <w:qFormat/>
    <w:uiPriority w:val="0"/>
    <w:rPr>
      <w:kern w:val="2"/>
      <w:sz w:val="21"/>
      <w:szCs w:val="22"/>
    </w:rPr>
  </w:style>
  <w:style w:type="character" w:customStyle="1" w:styleId="526">
    <w:name w:val="专用字体 Char"/>
    <w:link w:val="400"/>
    <w:qFormat/>
    <w:uiPriority w:val="0"/>
    <w:rPr>
      <w:rFonts w:eastAsia="宋体"/>
      <w:bCs/>
      <w:kern w:val="2"/>
      <w:sz w:val="24"/>
      <w:szCs w:val="24"/>
      <w:lang w:bidi="ar-SA"/>
    </w:rPr>
  </w:style>
  <w:style w:type="character" w:customStyle="1" w:styleId="527">
    <w:name w:val="Char Char Char Char11"/>
    <w:link w:val="423"/>
    <w:qFormat/>
    <w:uiPriority w:val="0"/>
    <w:rPr>
      <w:rFonts w:eastAsia="宋体"/>
      <w:kern w:val="2"/>
      <w:sz w:val="24"/>
      <w:szCs w:val="24"/>
      <w:lang w:val="en-US" w:eastAsia="zh-CN" w:bidi="ar-SA"/>
    </w:rPr>
  </w:style>
  <w:style w:type="character" w:customStyle="1" w:styleId="528">
    <w:name w:val="标题 5 字符"/>
    <w:link w:val="7"/>
    <w:qFormat/>
    <w:uiPriority w:val="0"/>
    <w:rPr>
      <w:rFonts w:eastAsia="宋体"/>
      <w:b/>
      <w:kern w:val="2"/>
      <w:sz w:val="28"/>
      <w:lang w:val="en-US" w:eastAsia="zh-CN" w:bidi="ar-SA"/>
    </w:rPr>
  </w:style>
  <w:style w:type="character" w:customStyle="1" w:styleId="529">
    <w:name w:val="特点标题 Char"/>
    <w:qFormat/>
    <w:uiPriority w:val="0"/>
    <w:rPr>
      <w:rFonts w:ascii="Calibri" w:hAnsi="Calibri" w:eastAsia="宋体"/>
      <w:sz w:val="22"/>
      <w:szCs w:val="22"/>
      <w:lang w:val="en-US" w:eastAsia="zh-CN" w:bidi="ar-SA"/>
    </w:rPr>
  </w:style>
  <w:style w:type="character" w:customStyle="1" w:styleId="530">
    <w:name w:val="textbig1"/>
    <w:qFormat/>
    <w:uiPriority w:val="0"/>
    <w:rPr>
      <w:sz w:val="18"/>
    </w:rPr>
  </w:style>
  <w:style w:type="character" w:customStyle="1" w:styleId="531">
    <w:name w:val="正文文本 字符"/>
    <w:link w:val="21"/>
    <w:qFormat/>
    <w:uiPriority w:val="0"/>
    <w:rPr>
      <w:rFonts w:eastAsia="宋体"/>
      <w:kern w:val="2"/>
      <w:sz w:val="21"/>
      <w:lang w:val="en-US" w:eastAsia="zh-CN" w:bidi="ar-SA"/>
    </w:rPr>
  </w:style>
  <w:style w:type="character" w:customStyle="1" w:styleId="532">
    <w:name w:val="不明显强调1"/>
    <w:qFormat/>
    <w:uiPriority w:val="19"/>
    <w:rPr>
      <w:i/>
      <w:iCs/>
      <w:color w:val="7F7F7F"/>
    </w:rPr>
  </w:style>
  <w:style w:type="character" w:customStyle="1" w:styleId="533">
    <w:name w:val="表头 Char Char"/>
    <w:link w:val="296"/>
    <w:qFormat/>
    <w:uiPriority w:val="0"/>
    <w:rPr>
      <w:rFonts w:ascii="宋体" w:hAnsi="宋体" w:eastAsia="宋体"/>
      <w:bCs/>
      <w:spacing w:val="4"/>
      <w:sz w:val="24"/>
      <w:szCs w:val="22"/>
      <w:lang w:val="en-US" w:eastAsia="zh-CN" w:bidi="ar-SA"/>
    </w:rPr>
  </w:style>
  <w:style w:type="character" w:customStyle="1" w:styleId="534">
    <w:name w:val="节 Char1"/>
    <w:qFormat/>
    <w:uiPriority w:val="0"/>
    <w:rPr>
      <w:rFonts w:ascii="Cambria" w:hAnsi="Cambria" w:eastAsia="宋体"/>
      <w:b/>
      <w:bCs/>
      <w:color w:val="2DA2BF"/>
      <w:sz w:val="26"/>
      <w:szCs w:val="26"/>
      <w:lang w:val="en-US" w:eastAsia="zh-CN" w:bidi="ar-SA"/>
    </w:rPr>
  </w:style>
  <w:style w:type="character" w:customStyle="1" w:styleId="535">
    <w:name w:val="表格中文字 Char Char"/>
    <w:link w:val="123"/>
    <w:qFormat/>
    <w:uiPriority w:val="0"/>
    <w:rPr>
      <w:kern w:val="18"/>
      <w:sz w:val="21"/>
      <w:szCs w:val="21"/>
      <w:lang w:bidi="ar-SA"/>
    </w:rPr>
  </w:style>
  <w:style w:type="character" w:customStyle="1" w:styleId="536">
    <w:name w:val="Char Char2"/>
    <w:qFormat/>
    <w:uiPriority w:val="0"/>
    <w:rPr>
      <w:rFonts w:ascii="宋体" w:hAnsi="Courier New" w:eastAsia="宋体" w:cs="Century"/>
      <w:kern w:val="2"/>
      <w:sz w:val="21"/>
      <w:szCs w:val="21"/>
      <w:lang w:val="en-US" w:eastAsia="zh-CN" w:bidi="ar-SA"/>
    </w:rPr>
  </w:style>
  <w:style w:type="character" w:customStyle="1" w:styleId="537">
    <w:name w:val="12pix1"/>
    <w:qFormat/>
    <w:uiPriority w:val="0"/>
    <w:rPr>
      <w:sz w:val="18"/>
      <w:szCs w:val="18"/>
      <w:u w:val="none"/>
    </w:rPr>
  </w:style>
  <w:style w:type="character" w:customStyle="1" w:styleId="538">
    <w:name w:val="样式 标题 2二处标题 2节标题 1.11.1标题2b2ParagrafoH22nd levelh2Heade... Char"/>
    <w:link w:val="437"/>
    <w:qFormat/>
    <w:uiPriority w:val="0"/>
    <w:rPr>
      <w:rFonts w:ascii="宋体" w:hAnsi="宋体" w:eastAsia="宋体"/>
      <w:b/>
      <w:bCs/>
      <w:color w:val="000000"/>
      <w:kern w:val="2"/>
      <w:sz w:val="30"/>
      <w:szCs w:val="30"/>
      <w:lang w:val="en-US" w:eastAsia="zh-CN" w:bidi="ar-SA"/>
    </w:rPr>
  </w:style>
  <w:style w:type="character" w:customStyle="1" w:styleId="539">
    <w:name w:val="表格中文字 Char"/>
    <w:qFormat/>
    <w:uiPriority w:val="0"/>
    <w:rPr>
      <w:rFonts w:eastAsia="宋体"/>
      <w:kern w:val="18"/>
      <w:sz w:val="21"/>
      <w:szCs w:val="21"/>
      <w:lang w:val="en-US" w:eastAsia="zh-CN" w:bidi="ar-SA"/>
    </w:rPr>
  </w:style>
  <w:style w:type="character" w:customStyle="1" w:styleId="540">
    <w:name w:val="样式1 Char"/>
    <w:link w:val="390"/>
    <w:qFormat/>
    <w:uiPriority w:val="0"/>
    <w:rPr>
      <w:rFonts w:ascii="Calibri" w:hAnsi="Calibri" w:eastAsia="宋体"/>
      <w:sz w:val="22"/>
      <w:szCs w:val="22"/>
      <w:lang w:val="en-US" w:eastAsia="zh-CN" w:bidi="ar-SA"/>
    </w:rPr>
  </w:style>
  <w:style w:type="character" w:customStyle="1" w:styleId="541">
    <w:name w:val="Char Char16"/>
    <w:qFormat/>
    <w:uiPriority w:val="0"/>
    <w:rPr>
      <w:rFonts w:ascii="Cambria" w:hAnsi="Cambria" w:eastAsia="宋体"/>
      <w:b/>
      <w:bCs/>
      <w:color w:val="2DA2BF"/>
      <w:sz w:val="22"/>
      <w:szCs w:val="22"/>
      <w:lang w:val="en-US" w:eastAsia="zh-CN" w:bidi="ar-SA"/>
    </w:rPr>
  </w:style>
  <w:style w:type="character" w:customStyle="1" w:styleId="542">
    <w:name w:val="正文文本缩进 字符"/>
    <w:qFormat/>
    <w:uiPriority w:val="99"/>
    <w:rPr>
      <w:kern w:val="2"/>
      <w:sz w:val="24"/>
      <w:szCs w:val="24"/>
    </w:rPr>
  </w:style>
  <w:style w:type="character" w:customStyle="1" w:styleId="543">
    <w:name w:val="报告书正文 Char1"/>
    <w:link w:val="472"/>
    <w:qFormat/>
    <w:uiPriority w:val="0"/>
    <w:rPr>
      <w:rFonts w:ascii="Calibri" w:hAnsi="Calibri" w:eastAsia="宋体"/>
      <w:sz w:val="24"/>
      <w:lang w:val="en-US" w:eastAsia="zh-CN" w:bidi="ar-SA"/>
    </w:rPr>
  </w:style>
  <w:style w:type="character" w:customStyle="1" w:styleId="544">
    <w:name w:val="页眉1 Char1"/>
    <w:semiHidden/>
    <w:qFormat/>
    <w:uiPriority w:val="0"/>
    <w:rPr>
      <w:rFonts w:eastAsia="宋体"/>
      <w:kern w:val="2"/>
      <w:sz w:val="18"/>
      <w:szCs w:val="18"/>
      <w:lang w:val="en-US" w:eastAsia="zh-CN" w:bidi="ar-SA"/>
    </w:rPr>
  </w:style>
  <w:style w:type="character" w:customStyle="1" w:styleId="545">
    <w:name w:val="表格文字1 Char"/>
    <w:link w:val="166"/>
    <w:qFormat/>
    <w:uiPriority w:val="0"/>
    <w:rPr>
      <w:snapToGrid/>
      <w:kern w:val="18"/>
      <w:sz w:val="21"/>
      <w:szCs w:val="21"/>
    </w:rPr>
  </w:style>
  <w:style w:type="character" w:customStyle="1" w:styleId="546">
    <w:name w:val="Char Char15"/>
    <w:qFormat/>
    <w:uiPriority w:val="0"/>
    <w:rPr>
      <w:rFonts w:ascii="Cambria" w:hAnsi="Cambria" w:eastAsia="宋体"/>
      <w:color w:val="16505E"/>
      <w:sz w:val="22"/>
      <w:szCs w:val="22"/>
      <w:lang w:val="en-US" w:eastAsia="zh-CN" w:bidi="ar-SA"/>
    </w:rPr>
  </w:style>
  <w:style w:type="character" w:customStyle="1" w:styleId="547">
    <w:name w:val="标准文本 首行缩进:2 字符 行距1.5倍 Char Char"/>
    <w:qFormat/>
    <w:uiPriority w:val="0"/>
    <w:rPr>
      <w:rFonts w:eastAsia="宋体" w:cs="宋体"/>
      <w:kern w:val="2"/>
      <w:sz w:val="24"/>
      <w:szCs w:val="24"/>
      <w:lang w:val="en-US" w:eastAsia="zh-CN" w:bidi="ar-SA"/>
    </w:rPr>
  </w:style>
  <w:style w:type="character" w:customStyle="1" w:styleId="548">
    <w:name w:val="纯文本2 Char"/>
    <w:qFormat/>
    <w:uiPriority w:val="0"/>
    <w:rPr>
      <w:rFonts w:ascii="宋体" w:hAnsi="Courier New" w:eastAsia="宋体" w:cs="Courier New"/>
      <w:kern w:val="2"/>
      <w:sz w:val="21"/>
      <w:szCs w:val="21"/>
      <w:lang w:val="en-US" w:eastAsia="zh-CN" w:bidi="ar-SA"/>
    </w:rPr>
  </w:style>
  <w:style w:type="character" w:customStyle="1" w:styleId="549">
    <w:name w:val="Char Char8"/>
    <w:qFormat/>
    <w:uiPriority w:val="0"/>
    <w:rPr>
      <w:rFonts w:ascii="Calibri" w:hAnsi="Calibri" w:eastAsia="宋体"/>
      <w:sz w:val="18"/>
      <w:szCs w:val="18"/>
      <w:lang w:val="en-US" w:eastAsia="zh-CN" w:bidi="ar-SA"/>
    </w:rPr>
  </w:style>
  <w:style w:type="character" w:customStyle="1" w:styleId="550">
    <w:name w:val="H8 Char"/>
    <w:qFormat/>
    <w:uiPriority w:val="0"/>
    <w:rPr>
      <w:rFonts w:ascii="Arial" w:hAnsi="Arial" w:eastAsia="黑体"/>
      <w:kern w:val="2"/>
      <w:sz w:val="24"/>
      <w:szCs w:val="24"/>
      <w:lang w:val="en-US" w:eastAsia="zh-CN" w:bidi="ar-SA"/>
    </w:rPr>
  </w:style>
  <w:style w:type="character" w:customStyle="1" w:styleId="551">
    <w:name w:val="bold1"/>
    <w:qFormat/>
    <w:uiPriority w:val="0"/>
    <w:rPr>
      <w:b/>
      <w:bCs/>
    </w:rPr>
  </w:style>
  <w:style w:type="character" w:customStyle="1" w:styleId="552">
    <w:name w:val="Char Char13"/>
    <w:qFormat/>
    <w:uiPriority w:val="0"/>
    <w:rPr>
      <w:rFonts w:ascii="Cambria" w:hAnsi="Cambria" w:eastAsia="宋体"/>
      <w:i/>
      <w:iCs/>
      <w:color w:val="404040"/>
      <w:sz w:val="22"/>
      <w:szCs w:val="22"/>
      <w:lang w:val="en-US" w:eastAsia="zh-CN" w:bidi="ar-SA"/>
    </w:rPr>
  </w:style>
  <w:style w:type="character" w:customStyle="1" w:styleId="553">
    <w:name w:val="正文文本 2 Char"/>
    <w:qFormat/>
    <w:uiPriority w:val="0"/>
    <w:rPr>
      <w:rFonts w:eastAsia="宋体"/>
      <w:kern w:val="2"/>
      <w:sz w:val="21"/>
      <w:szCs w:val="24"/>
      <w:lang w:val="en-US" w:eastAsia="zh-CN" w:bidi="ar-SA"/>
    </w:rPr>
  </w:style>
  <w:style w:type="character" w:customStyle="1" w:styleId="554">
    <w:name w:val="小标题 Char"/>
    <w:qFormat/>
    <w:uiPriority w:val="0"/>
    <w:rPr>
      <w:rFonts w:eastAsia="宋体"/>
      <w:b/>
      <w:bCs/>
      <w:kern w:val="2"/>
      <w:sz w:val="32"/>
      <w:szCs w:val="32"/>
      <w:lang w:val="en-US" w:eastAsia="zh-CN" w:bidi="ar-SA"/>
    </w:rPr>
  </w:style>
  <w:style w:type="character" w:customStyle="1" w:styleId="555">
    <w:name w:val="表格文本 五号 居中 单倍行距 Char Char Char Char"/>
    <w:qFormat/>
    <w:uiPriority w:val="0"/>
    <w:rPr>
      <w:rFonts w:eastAsia="宋体" w:cs="宋体"/>
      <w:kern w:val="2"/>
      <w:sz w:val="21"/>
      <w:szCs w:val="21"/>
      <w:lang w:val="en-US" w:eastAsia="zh-CN" w:bidi="ar-SA"/>
    </w:rPr>
  </w:style>
  <w:style w:type="character" w:customStyle="1" w:styleId="556">
    <w:name w:val="标题 12"/>
    <w:qFormat/>
    <w:uiPriority w:val="0"/>
    <w:rPr>
      <w:rFonts w:ascii="黑体" w:eastAsia="黑体"/>
      <w:kern w:val="44"/>
      <w:sz w:val="44"/>
      <w:lang w:val="en-US" w:eastAsia="zh-CN" w:bidi="ar-SA"/>
    </w:rPr>
  </w:style>
  <w:style w:type="character" w:customStyle="1" w:styleId="557">
    <w:name w:val="111正文 Char"/>
    <w:link w:val="288"/>
    <w:qFormat/>
    <w:uiPriority w:val="0"/>
    <w:rPr>
      <w:sz w:val="24"/>
      <w:szCs w:val="22"/>
    </w:rPr>
  </w:style>
  <w:style w:type="character" w:customStyle="1" w:styleId="558">
    <w:name w:val="Char Char9"/>
    <w:qFormat/>
    <w:uiPriority w:val="0"/>
    <w:rPr>
      <w:rFonts w:ascii="Calibri" w:hAnsi="Calibri" w:eastAsia="宋体"/>
      <w:sz w:val="22"/>
      <w:szCs w:val="22"/>
      <w:lang w:val="en-US" w:eastAsia="zh-CN" w:bidi="ar-SA"/>
    </w:rPr>
  </w:style>
  <w:style w:type="character" w:customStyle="1" w:styleId="559">
    <w:name w:val="普通文字 Char3"/>
    <w:qFormat/>
    <w:uiPriority w:val="0"/>
    <w:rPr>
      <w:rFonts w:ascii="宋体" w:hAnsi="Courier New" w:eastAsia="宋体" w:cs="Century"/>
      <w:sz w:val="22"/>
      <w:szCs w:val="21"/>
      <w:lang w:val="en-US" w:eastAsia="zh-CN" w:bidi="ar-SA"/>
    </w:rPr>
  </w:style>
  <w:style w:type="character" w:customStyle="1" w:styleId="560">
    <w:name w:val="正文缩进 字符1"/>
    <w:link w:val="2"/>
    <w:qFormat/>
    <w:uiPriority w:val="0"/>
    <w:rPr>
      <w:rFonts w:eastAsia="宋体"/>
      <w:kern w:val="2"/>
      <w:sz w:val="21"/>
      <w:lang w:val="en-US" w:eastAsia="zh-CN" w:bidi="ar-SA"/>
    </w:rPr>
  </w:style>
  <w:style w:type="character" w:customStyle="1" w:styleId="561">
    <w:name w:val="称呼 字符"/>
    <w:qFormat/>
    <w:uiPriority w:val="0"/>
    <w:rPr>
      <w:kern w:val="2"/>
      <w:sz w:val="21"/>
    </w:rPr>
  </w:style>
  <w:style w:type="character" w:customStyle="1" w:styleId="562">
    <w:name w:val="表格内容 Char"/>
    <w:link w:val="463"/>
    <w:qFormat/>
    <w:uiPriority w:val="0"/>
    <w:rPr>
      <w:rFonts w:ascii="Arial" w:hAnsi="Arial" w:eastAsia="仿宋_GB2312"/>
      <w:sz w:val="24"/>
      <w:lang w:bidi="ar-SA"/>
    </w:rPr>
  </w:style>
  <w:style w:type="character" w:customStyle="1" w:styleId="563">
    <w:name w:val="apple-style-span"/>
    <w:qFormat/>
    <w:uiPriority w:val="0"/>
  </w:style>
  <w:style w:type="character" w:customStyle="1" w:styleId="564">
    <w:name w:val="图表 Char"/>
    <w:link w:val="210"/>
    <w:qFormat/>
    <w:uiPriority w:val="0"/>
    <w:rPr>
      <w:color w:val="000000"/>
      <w:kern w:val="2"/>
      <w:sz w:val="21"/>
      <w:szCs w:val="22"/>
      <w:lang w:val="zh-CN"/>
    </w:rPr>
  </w:style>
  <w:style w:type="character" w:customStyle="1" w:styleId="565">
    <w:name w:val="批注主题 字符"/>
    <w:link w:val="53"/>
    <w:qFormat/>
    <w:uiPriority w:val="0"/>
    <w:rPr>
      <w:rFonts w:ascii="Calibri" w:hAnsi="Calibri"/>
      <w:b/>
      <w:bCs/>
      <w:kern w:val="2"/>
      <w:sz w:val="22"/>
      <w:szCs w:val="22"/>
    </w:rPr>
  </w:style>
  <w:style w:type="character" w:customStyle="1" w:styleId="566">
    <w:name w:val="Char Char18"/>
    <w:qFormat/>
    <w:uiPriority w:val="0"/>
    <w:rPr>
      <w:rFonts w:ascii="Cambria" w:hAnsi="Cambria" w:eastAsia="宋体"/>
      <w:b/>
      <w:bCs/>
      <w:color w:val="21798E"/>
      <w:sz w:val="28"/>
      <w:szCs w:val="28"/>
      <w:lang w:val="en-US" w:eastAsia="zh-CN" w:bidi="ar-SA"/>
    </w:rPr>
  </w:style>
  <w:style w:type="character" w:customStyle="1" w:styleId="567">
    <w:name w:val="批注文字 Char"/>
    <w:qFormat/>
    <w:uiPriority w:val="99"/>
    <w:rPr>
      <w:kern w:val="2"/>
      <w:sz w:val="21"/>
    </w:rPr>
  </w:style>
  <w:style w:type="character" w:customStyle="1" w:styleId="568">
    <w:name w:val="页眉 Char1"/>
    <w:qFormat/>
    <w:uiPriority w:val="0"/>
    <w:rPr>
      <w:kern w:val="2"/>
      <w:sz w:val="18"/>
      <w:szCs w:val="18"/>
    </w:rPr>
  </w:style>
  <w:style w:type="character" w:customStyle="1" w:styleId="569">
    <w:name w:val="reponseyes"/>
    <w:qFormat/>
    <w:uiPriority w:val="0"/>
    <w:rPr>
      <w:color w:val="88C440"/>
    </w:rPr>
  </w:style>
  <w:style w:type="character" w:customStyle="1" w:styleId="570">
    <w:name w:val="正文（海红） Char"/>
    <w:link w:val="374"/>
    <w:qFormat/>
    <w:uiPriority w:val="0"/>
    <w:rPr>
      <w:kern w:val="2"/>
      <w:sz w:val="24"/>
      <w:szCs w:val="24"/>
    </w:rPr>
  </w:style>
  <w:style w:type="character" w:customStyle="1" w:styleId="571">
    <w:name w:val="s1"/>
    <w:qFormat/>
    <w:uiPriority w:val="0"/>
    <w:rPr>
      <w:sz w:val="18"/>
      <w:szCs w:val="18"/>
    </w:rPr>
  </w:style>
  <w:style w:type="character" w:customStyle="1" w:styleId="572">
    <w:name w:val="_Style 564"/>
    <w:qFormat/>
    <w:uiPriority w:val="0"/>
    <w:rPr>
      <w:smallCaps/>
      <w:color w:val="DA1F28"/>
      <w:u w:val="single"/>
    </w:rPr>
  </w:style>
  <w:style w:type="character" w:customStyle="1" w:styleId="573">
    <w:name w:val="页眉1 Char3"/>
    <w:qFormat/>
    <w:uiPriority w:val="0"/>
    <w:rPr>
      <w:rFonts w:ascii="Calibri" w:hAnsi="Calibri" w:eastAsia="宋体"/>
      <w:sz w:val="18"/>
      <w:szCs w:val="18"/>
      <w:lang w:val="en-US" w:eastAsia="zh-CN" w:bidi="ar-SA"/>
    </w:rPr>
  </w:style>
  <w:style w:type="character" w:customStyle="1" w:styleId="574">
    <w:name w:val="表格文本 五号 居中 单倍行距 Char Char Char"/>
    <w:qFormat/>
    <w:uiPriority w:val="0"/>
    <w:rPr>
      <w:rFonts w:eastAsia="宋体" w:cs="宋体"/>
      <w:kern w:val="2"/>
      <w:sz w:val="21"/>
      <w:szCs w:val="21"/>
      <w:lang w:val="en-US" w:eastAsia="zh-CN" w:bidi="ar-SA"/>
    </w:rPr>
  </w:style>
  <w:style w:type="character" w:customStyle="1" w:styleId="575">
    <w:name w:val="正本文字 Char"/>
    <w:qFormat/>
    <w:uiPriority w:val="0"/>
    <w:rPr>
      <w:rFonts w:eastAsia="宋体" w:cs="宋体"/>
      <w:kern w:val="18"/>
      <w:sz w:val="24"/>
      <w:lang w:val="en-US" w:eastAsia="zh-CN" w:bidi="ar-SA"/>
    </w:rPr>
  </w:style>
  <w:style w:type="character" w:customStyle="1" w:styleId="576">
    <w:name w:val="G（正文） Char"/>
    <w:link w:val="305"/>
    <w:qFormat/>
    <w:uiPriority w:val="0"/>
    <w:rPr>
      <w:rFonts w:eastAsia="宋体"/>
      <w:kern w:val="2"/>
      <w:sz w:val="28"/>
      <w:szCs w:val="28"/>
      <w:lang w:val="en-US" w:eastAsia="zh-CN" w:bidi="ar-SA"/>
    </w:rPr>
  </w:style>
  <w:style w:type="character" w:customStyle="1" w:styleId="577">
    <w:name w:val="样式 标准文本 首行缩进:2 字符 行距1.5倍 + 首行缩进:  2 字符1 Char Char"/>
    <w:qFormat/>
    <w:uiPriority w:val="0"/>
    <w:rPr>
      <w:rFonts w:eastAsia="宋体" w:cs="宋体"/>
      <w:kern w:val="2"/>
      <w:sz w:val="24"/>
      <w:szCs w:val="24"/>
      <w:lang w:val="en-US" w:eastAsia="zh-CN" w:bidi="ar-SA"/>
    </w:rPr>
  </w:style>
  <w:style w:type="character" w:customStyle="1" w:styleId="578">
    <w:name w:val="批注框文本 字符"/>
    <w:link w:val="36"/>
    <w:qFormat/>
    <w:uiPriority w:val="0"/>
    <w:rPr>
      <w:rFonts w:ascii="Calibri" w:hAnsi="Calibri"/>
      <w:sz w:val="18"/>
      <w:szCs w:val="18"/>
    </w:rPr>
  </w:style>
  <w:style w:type="character" w:customStyle="1" w:styleId="579">
    <w:name w:val="新正文 Char Char"/>
    <w:link w:val="371"/>
    <w:qFormat/>
    <w:uiPriority w:val="0"/>
    <w:rPr>
      <w:rFonts w:ascii="仿宋_GB2312" w:hAnsi="Calibri" w:eastAsia="仿宋_GB2312"/>
      <w:bCs/>
      <w:sz w:val="28"/>
    </w:rPr>
  </w:style>
  <w:style w:type="character" w:customStyle="1" w:styleId="580">
    <w:name w:val="表格文字 Char Char"/>
    <w:link w:val="214"/>
    <w:qFormat/>
    <w:uiPriority w:val="0"/>
    <w:rPr>
      <w:rFonts w:ascii="仿宋_GB2312" w:hAnsi="Arial Black" w:eastAsia="仿宋_GB2312"/>
      <w:kern w:val="44"/>
      <w:sz w:val="24"/>
      <w:lang w:val="en-US" w:eastAsia="zh-CN" w:bidi="ar-SA"/>
    </w:rPr>
  </w:style>
  <w:style w:type="character" w:customStyle="1" w:styleId="581">
    <w:name w:val="Char Char51"/>
    <w:qFormat/>
    <w:uiPriority w:val="0"/>
    <w:rPr>
      <w:rFonts w:ascii="Arial" w:hAnsi="Arial" w:eastAsia="黑体"/>
      <w:b/>
      <w:bCs/>
      <w:kern w:val="2"/>
      <w:sz w:val="32"/>
      <w:szCs w:val="32"/>
      <w:lang w:val="en-US" w:eastAsia="zh-CN" w:bidi="ar-SA"/>
    </w:rPr>
  </w:style>
  <w:style w:type="character" w:customStyle="1" w:styleId="582">
    <w:name w:val="title6"/>
    <w:basedOn w:val="63"/>
    <w:qFormat/>
    <w:uiPriority w:val="0"/>
  </w:style>
  <w:style w:type="character" w:customStyle="1" w:styleId="583">
    <w:name w:val="正文样式 Char Char Char Char Char Char"/>
    <w:link w:val="350"/>
    <w:qFormat/>
    <w:uiPriority w:val="0"/>
    <w:rPr>
      <w:rFonts w:ascii="宋体" w:hAnsi="宋体" w:eastAsia="宋体"/>
      <w:color w:val="000000"/>
      <w:kern w:val="2"/>
      <w:sz w:val="24"/>
      <w:szCs w:val="24"/>
      <w:lang w:val="en-US" w:eastAsia="zh-CN" w:bidi="ar-SA"/>
    </w:rPr>
  </w:style>
  <w:style w:type="character" w:customStyle="1" w:styleId="584">
    <w:name w:val="一、 Char2"/>
    <w:qFormat/>
    <w:uiPriority w:val="0"/>
    <w:rPr>
      <w:rFonts w:ascii="Calibri" w:hAnsi="Calibri" w:eastAsia="宋体"/>
      <w:b/>
      <w:bCs/>
      <w:kern w:val="44"/>
      <w:sz w:val="44"/>
      <w:szCs w:val="44"/>
      <w:lang w:val="en-US" w:eastAsia="zh-CN" w:bidi="ar-SA"/>
    </w:rPr>
  </w:style>
  <w:style w:type="character" w:customStyle="1" w:styleId="585">
    <w:name w:val="Char Char111"/>
    <w:qFormat/>
    <w:uiPriority w:val="0"/>
    <w:rPr>
      <w:rFonts w:eastAsia="宋体"/>
      <w:kern w:val="2"/>
      <w:sz w:val="18"/>
      <w:szCs w:val="18"/>
      <w:lang w:val="en-US" w:eastAsia="zh-CN" w:bidi="ar-SA"/>
    </w:rPr>
  </w:style>
  <w:style w:type="character" w:customStyle="1" w:styleId="586">
    <w:name w:val="title41"/>
    <w:qFormat/>
    <w:uiPriority w:val="0"/>
    <w:rPr>
      <w:rFonts w:hint="eastAsia" w:ascii="宋体" w:hAnsi="宋体" w:eastAsia="宋体"/>
      <w:color w:val="194F95"/>
      <w:sz w:val="25"/>
      <w:szCs w:val="25"/>
    </w:rPr>
  </w:style>
  <w:style w:type="character" w:customStyle="1" w:styleId="587">
    <w:name w:val="apple-converted-space"/>
    <w:basedOn w:val="63"/>
    <w:qFormat/>
    <w:uiPriority w:val="0"/>
  </w:style>
  <w:style w:type="character" w:customStyle="1" w:styleId="588">
    <w:name w:val="Char Char7"/>
    <w:qFormat/>
    <w:uiPriority w:val="0"/>
    <w:rPr>
      <w:rFonts w:eastAsia="宋体"/>
      <w:kern w:val="2"/>
      <w:sz w:val="24"/>
      <w:lang w:val="en-US" w:eastAsia="zh-CN" w:bidi="ar-SA"/>
    </w:rPr>
  </w:style>
  <w:style w:type="character" w:customStyle="1" w:styleId="589">
    <w:name w:val="Char Char6"/>
    <w:qFormat/>
    <w:uiPriority w:val="0"/>
    <w:rPr>
      <w:rFonts w:eastAsia="宋体"/>
      <w:b/>
      <w:bCs/>
      <w:kern w:val="44"/>
      <w:sz w:val="44"/>
      <w:szCs w:val="44"/>
      <w:lang w:val="en-US" w:eastAsia="zh-CN" w:bidi="ar-SA"/>
    </w:rPr>
  </w:style>
  <w:style w:type="character" w:customStyle="1" w:styleId="590">
    <w:name w:val="正本文字 Char Char"/>
    <w:link w:val="101"/>
    <w:qFormat/>
    <w:uiPriority w:val="0"/>
    <w:rPr>
      <w:kern w:val="18"/>
      <w:sz w:val="24"/>
      <w:lang w:bidi="ar-SA"/>
    </w:rPr>
  </w:style>
  <w:style w:type="character" w:customStyle="1" w:styleId="591">
    <w:name w:val="日期 字符"/>
    <w:link w:val="33"/>
    <w:qFormat/>
    <w:uiPriority w:val="0"/>
    <w:rPr>
      <w:rFonts w:eastAsia="宋体"/>
      <w:sz w:val="21"/>
      <w:lang w:val="en-US" w:eastAsia="zh-CN" w:bidi="ar-SA"/>
    </w:rPr>
  </w:style>
  <w:style w:type="character" w:customStyle="1" w:styleId="592">
    <w:name w:val="grame"/>
    <w:basedOn w:val="63"/>
    <w:qFormat/>
    <w:uiPriority w:val="0"/>
  </w:style>
  <w:style w:type="character" w:customStyle="1" w:styleId="593">
    <w:name w:val="标题 6 字符"/>
    <w:link w:val="8"/>
    <w:qFormat/>
    <w:uiPriority w:val="0"/>
    <w:rPr>
      <w:rFonts w:ascii="Arial" w:hAnsi="Arial" w:eastAsia="黑体"/>
      <w:b/>
      <w:kern w:val="2"/>
      <w:sz w:val="24"/>
      <w:lang w:val="en-US" w:eastAsia="zh-CN" w:bidi="ar-SA"/>
    </w:rPr>
  </w:style>
  <w:style w:type="character" w:customStyle="1" w:styleId="594">
    <w:name w:val="表头zy Char"/>
    <w:link w:val="137"/>
    <w:qFormat/>
    <w:locked/>
    <w:uiPriority w:val="0"/>
    <w:rPr>
      <w:b/>
      <w:sz w:val="21"/>
    </w:rPr>
  </w:style>
  <w:style w:type="character" w:customStyle="1" w:styleId="595">
    <w:name w:val="页脚 Char1"/>
    <w:qFormat/>
    <w:uiPriority w:val="0"/>
    <w:rPr>
      <w:kern w:val="2"/>
      <w:sz w:val="18"/>
      <w:szCs w:val="18"/>
    </w:rPr>
  </w:style>
  <w:style w:type="character" w:customStyle="1" w:styleId="596">
    <w:name w:val="图表标题 Char1"/>
    <w:qFormat/>
    <w:uiPriority w:val="0"/>
    <w:rPr>
      <w:rFonts w:eastAsia="宋体"/>
      <w:kern w:val="2"/>
      <w:sz w:val="24"/>
      <w:lang w:val="en-US" w:eastAsia="zh-CN" w:bidi="ar-SA"/>
    </w:rPr>
  </w:style>
  <w:style w:type="character" w:customStyle="1" w:styleId="597">
    <w:name w:val="_Style 589"/>
    <w:qFormat/>
    <w:uiPriority w:val="0"/>
    <w:rPr>
      <w:i/>
      <w:iCs/>
      <w:color w:val="808080"/>
    </w:rPr>
  </w:style>
  <w:style w:type="character" w:customStyle="1" w:styleId="598">
    <w:name w:val="普通文字 Char2"/>
    <w:qFormat/>
    <w:uiPriority w:val="0"/>
    <w:rPr>
      <w:rFonts w:ascii="宋体" w:hAnsi="Courier New" w:eastAsia="宋体" w:cs="Century"/>
      <w:kern w:val="2"/>
      <w:sz w:val="21"/>
      <w:szCs w:val="21"/>
      <w:lang w:val="en-US" w:eastAsia="zh-CN" w:bidi="ar-SA"/>
    </w:rPr>
  </w:style>
  <w:style w:type="character" w:customStyle="1" w:styleId="599">
    <w:name w:val="谏壁正文chen Char"/>
    <w:link w:val="136"/>
    <w:qFormat/>
    <w:uiPriority w:val="0"/>
    <w:rPr>
      <w:kern w:val="2"/>
      <w:sz w:val="24"/>
      <w:szCs w:val="24"/>
    </w:rPr>
  </w:style>
  <w:style w:type="character" w:customStyle="1" w:styleId="600">
    <w:name w:val="正文1 Char"/>
    <w:link w:val="282"/>
    <w:qFormat/>
    <w:uiPriority w:val="0"/>
    <w:rPr>
      <w:rFonts w:ascii="宋体" w:hAnsi="宋体" w:eastAsia="宋体"/>
      <w:sz w:val="24"/>
      <w:lang w:val="en-US" w:eastAsia="zh-CN" w:bidi="ar-SA"/>
    </w:rPr>
  </w:style>
  <w:style w:type="character" w:customStyle="1" w:styleId="601">
    <w:name w:val="Char Char10"/>
    <w:qFormat/>
    <w:uiPriority w:val="0"/>
    <w:rPr>
      <w:rFonts w:ascii="Calibri" w:hAnsi="Calibri" w:eastAsia="宋体"/>
      <w:sz w:val="22"/>
      <w:szCs w:val="22"/>
      <w:lang w:val="en-US" w:eastAsia="zh-CN" w:bidi="ar-SA"/>
    </w:rPr>
  </w:style>
  <w:style w:type="character" w:customStyle="1" w:styleId="602">
    <w:name w:val="正文文本首行缩进 2 字符1"/>
    <w:link w:val="55"/>
    <w:qFormat/>
    <w:uiPriority w:val="0"/>
    <w:rPr>
      <w:kern w:val="2"/>
      <w:sz w:val="21"/>
      <w:szCs w:val="24"/>
    </w:rPr>
  </w:style>
  <w:style w:type="character" w:customStyle="1" w:styleId="603">
    <w:name w:val="tajicy Char"/>
    <w:link w:val="342"/>
    <w:qFormat/>
    <w:uiPriority w:val="0"/>
    <w:rPr>
      <w:color w:val="008000"/>
      <w:sz w:val="24"/>
      <w:lang w:val="en-GB"/>
    </w:rPr>
  </w:style>
  <w:style w:type="character" w:customStyle="1" w:styleId="604">
    <w:name w:val="style2_title1"/>
    <w:qFormat/>
    <w:uiPriority w:val="0"/>
    <w:rPr>
      <w:b/>
      <w:bCs/>
      <w:sz w:val="30"/>
      <w:szCs w:val="30"/>
    </w:rPr>
  </w:style>
  <w:style w:type="character" w:customStyle="1" w:styleId="605">
    <w:name w:val="标准文本 首行缩进:2 字符 行距1倍 Char Char Char Char"/>
    <w:qFormat/>
    <w:uiPriority w:val="0"/>
    <w:rPr>
      <w:rFonts w:eastAsia="宋体" w:cs="宋体"/>
      <w:kern w:val="2"/>
      <w:sz w:val="24"/>
      <w:szCs w:val="24"/>
      <w:lang w:val="en-US" w:eastAsia="zh-CN" w:bidi="ar-SA"/>
    </w:rPr>
  </w:style>
  <w:style w:type="character" w:customStyle="1" w:styleId="606">
    <w:name w:val="表格标题标题 Char Char"/>
    <w:qFormat/>
    <w:uiPriority w:val="0"/>
    <w:rPr>
      <w:rFonts w:ascii="Times New Roman" w:hAnsi="Times New Roman"/>
      <w:spacing w:val="4"/>
      <w:kern w:val="18"/>
      <w:szCs w:val="21"/>
    </w:rPr>
  </w:style>
  <w:style w:type="character" w:customStyle="1" w:styleId="607">
    <w:name w:val="fontstyle01"/>
    <w:qFormat/>
    <w:uiPriority w:val="0"/>
    <w:rPr>
      <w:rFonts w:ascii="新宋体" w:hAnsi="新宋体" w:eastAsia="新宋体" w:cs="新宋体"/>
      <w:color w:val="000000"/>
      <w:sz w:val="24"/>
      <w:szCs w:val="24"/>
    </w:rPr>
  </w:style>
  <w:style w:type="character" w:customStyle="1" w:styleId="608">
    <w:name w:val="contents"/>
    <w:basedOn w:val="63"/>
    <w:qFormat/>
    <w:uiPriority w:val="0"/>
  </w:style>
  <w:style w:type="character" w:customStyle="1" w:styleId="609">
    <w:name w:val="标准文本 居中 单倍行距 Char Char Char"/>
    <w:qFormat/>
    <w:uiPriority w:val="0"/>
    <w:rPr>
      <w:rFonts w:eastAsia="宋体" w:cs="宋体"/>
      <w:kern w:val="2"/>
      <w:sz w:val="24"/>
      <w:szCs w:val="24"/>
      <w:lang w:val="en-US" w:eastAsia="zh-CN" w:bidi="ar-SA"/>
    </w:rPr>
  </w:style>
  <w:style w:type="character" w:customStyle="1" w:styleId="610">
    <w:name w:val="font"/>
    <w:qFormat/>
    <w:uiPriority w:val="0"/>
  </w:style>
  <w:style w:type="character" w:customStyle="1" w:styleId="611">
    <w:name w:val="普通文字 Char4"/>
    <w:qFormat/>
    <w:uiPriority w:val="0"/>
    <w:rPr>
      <w:rFonts w:ascii="宋体" w:hAnsi="Courier New" w:eastAsia="宋体" w:cs="Century"/>
      <w:sz w:val="22"/>
      <w:szCs w:val="21"/>
      <w:lang w:val="en-US" w:eastAsia="zh-CN" w:bidi="ar-SA"/>
    </w:rPr>
  </w:style>
  <w:style w:type="character" w:customStyle="1" w:styleId="612">
    <w:name w:val="style1"/>
    <w:basedOn w:val="63"/>
    <w:qFormat/>
    <w:uiPriority w:val="0"/>
  </w:style>
  <w:style w:type="character" w:customStyle="1" w:styleId="613">
    <w:name w:val="正文 首行缩进:  2 字符 Char"/>
    <w:link w:val="302"/>
    <w:qFormat/>
    <w:uiPriority w:val="0"/>
    <w:rPr>
      <w:rFonts w:eastAsia="宋体" w:cs="宋体"/>
      <w:kern w:val="2"/>
      <w:sz w:val="24"/>
      <w:lang w:val="en-US" w:eastAsia="zh-CN" w:bidi="ar-SA"/>
    </w:rPr>
  </w:style>
  <w:style w:type="character" w:customStyle="1" w:styleId="614">
    <w:name w:val="兴武正文 Char"/>
    <w:link w:val="391"/>
    <w:qFormat/>
    <w:uiPriority w:val="0"/>
    <w:rPr>
      <w:rFonts w:eastAsia="宋体" w:cs="宋体"/>
      <w:kern w:val="2"/>
      <w:sz w:val="24"/>
      <w:lang w:val="en-US" w:eastAsia="zh-CN" w:bidi="ar-SA"/>
    </w:rPr>
  </w:style>
  <w:style w:type="character" w:customStyle="1" w:styleId="615">
    <w:name w:val="批注主题 Char1"/>
    <w:qFormat/>
    <w:uiPriority w:val="0"/>
    <w:rPr>
      <w:b/>
      <w:kern w:val="2"/>
      <w:sz w:val="21"/>
      <w:szCs w:val="22"/>
    </w:rPr>
  </w:style>
  <w:style w:type="character" w:customStyle="1" w:styleId="616">
    <w:name w:val="表头1 Char Char"/>
    <w:link w:val="94"/>
    <w:qFormat/>
    <w:uiPriority w:val="0"/>
    <w:rPr>
      <w:rFonts w:ascii="黑体" w:eastAsia="黑体"/>
      <w:spacing w:val="-20"/>
      <w:kern w:val="16"/>
      <w:sz w:val="24"/>
      <w:lang w:val="en-US" w:eastAsia="zh-CN" w:bidi="ar-SA"/>
    </w:rPr>
  </w:style>
  <w:style w:type="character" w:customStyle="1" w:styleId="617">
    <w:name w:val="表头样式1 Char1"/>
    <w:link w:val="144"/>
    <w:qFormat/>
    <w:uiPriority w:val="0"/>
    <w:rPr>
      <w:rFonts w:eastAsia="黑体"/>
      <w:b/>
      <w:kern w:val="2"/>
      <w:sz w:val="24"/>
      <w:lang w:val="en-US" w:eastAsia="zh-CN" w:bidi="ar-SA"/>
    </w:rPr>
  </w:style>
  <w:style w:type="character" w:customStyle="1" w:styleId="618">
    <w:name w:val="f915"/>
    <w:basedOn w:val="63"/>
    <w:qFormat/>
    <w:uiPriority w:val="0"/>
  </w:style>
  <w:style w:type="character" w:customStyle="1" w:styleId="619">
    <w:name w:val="标题5"/>
    <w:basedOn w:val="63"/>
    <w:qFormat/>
    <w:uiPriority w:val="0"/>
  </w:style>
  <w:style w:type="character" w:customStyle="1" w:styleId="620">
    <w:name w:val="H9 Char1"/>
    <w:qFormat/>
    <w:uiPriority w:val="0"/>
    <w:rPr>
      <w:rFonts w:ascii="Cambria" w:hAnsi="Cambria" w:eastAsia="宋体"/>
      <w:i/>
      <w:iCs/>
      <w:color w:val="404040"/>
      <w:sz w:val="22"/>
      <w:szCs w:val="22"/>
      <w:lang w:val="en-US" w:eastAsia="zh-CN" w:bidi="ar-SA"/>
    </w:rPr>
  </w:style>
  <w:style w:type="character" w:customStyle="1" w:styleId="621">
    <w:name w:val="search_content1"/>
    <w:qFormat/>
    <w:uiPriority w:val="0"/>
    <w:rPr>
      <w:sz w:val="20"/>
    </w:rPr>
  </w:style>
  <w:style w:type="character" w:customStyle="1" w:styleId="622">
    <w:name w:val="f14b1"/>
    <w:qFormat/>
    <w:uiPriority w:val="0"/>
    <w:rPr>
      <w:b/>
      <w:bCs/>
      <w:sz w:val="21"/>
      <w:szCs w:val="21"/>
    </w:rPr>
  </w:style>
  <w:style w:type="character" w:customStyle="1" w:styleId="623">
    <w:name w:val="样式 自动设置 Char"/>
    <w:link w:val="272"/>
    <w:qFormat/>
    <w:uiPriority w:val="0"/>
    <w:rPr>
      <w:rFonts w:ascii="Calibri" w:hAnsi="Calibri" w:cs="宋体"/>
      <w:kern w:val="2"/>
      <w:sz w:val="24"/>
      <w:szCs w:val="24"/>
    </w:rPr>
  </w:style>
  <w:style w:type="character" w:customStyle="1" w:styleId="624">
    <w:name w:val="君邦正文 Char2"/>
    <w:link w:val="453"/>
    <w:qFormat/>
    <w:uiPriority w:val="0"/>
    <w:rPr>
      <w:bCs/>
      <w:snapToGrid w:val="0"/>
      <w:sz w:val="24"/>
      <w:lang w:val="en-US" w:eastAsia="zh-CN" w:bidi="ar-SA"/>
    </w:rPr>
  </w:style>
  <w:style w:type="character" w:customStyle="1" w:styleId="625">
    <w:name w:val="unnamed11"/>
    <w:qFormat/>
    <w:uiPriority w:val="0"/>
    <w:rPr>
      <w:sz w:val="23"/>
    </w:rPr>
  </w:style>
  <w:style w:type="character" w:customStyle="1" w:styleId="626">
    <w:name w:val="样式 报告正文 + 首行缩进:  2 字符 Char Char"/>
    <w:link w:val="213"/>
    <w:qFormat/>
    <w:uiPriority w:val="0"/>
    <w:rPr>
      <w:rFonts w:eastAsia="宋体" w:cs="宋体"/>
      <w:kern w:val="2"/>
      <w:sz w:val="24"/>
      <w:lang w:val="en-US" w:eastAsia="zh-CN" w:bidi="ar-SA"/>
    </w:rPr>
  </w:style>
  <w:style w:type="character" w:customStyle="1" w:styleId="627">
    <w:name w:val="f182"/>
    <w:qFormat/>
    <w:uiPriority w:val="0"/>
    <w:rPr>
      <w:sz w:val="27"/>
      <w:szCs w:val="27"/>
    </w:rPr>
  </w:style>
  <w:style w:type="character" w:customStyle="1" w:styleId="628">
    <w:name w:val="题注 Char"/>
    <w:qFormat/>
    <w:uiPriority w:val="35"/>
    <w:rPr>
      <w:rFonts w:ascii="Arial" w:hAnsi="Arial" w:eastAsia="黑体" w:cs="Arial"/>
      <w:kern w:val="2"/>
    </w:rPr>
  </w:style>
  <w:style w:type="character" w:customStyle="1" w:styleId="629">
    <w:name w:val="普通文字 Char Char Char Char Char"/>
    <w:qFormat/>
    <w:uiPriority w:val="0"/>
    <w:rPr>
      <w:rFonts w:ascii="宋体" w:hAnsi="Courier New" w:eastAsia="宋体"/>
      <w:kern w:val="2"/>
      <w:sz w:val="21"/>
      <w:lang w:val="en-US" w:eastAsia="zh-CN" w:bidi="ar-SA"/>
    </w:rPr>
  </w:style>
  <w:style w:type="character" w:customStyle="1" w:styleId="630">
    <w:name w:val="font01"/>
    <w:qFormat/>
    <w:uiPriority w:val="0"/>
    <w:rPr>
      <w:rFonts w:hint="eastAsia" w:ascii="宋体" w:hAnsi="宋体" w:eastAsia="宋体" w:cs="宋体"/>
      <w:b/>
      <w:color w:val="FF0000"/>
      <w:sz w:val="21"/>
      <w:szCs w:val="21"/>
    </w:rPr>
  </w:style>
  <w:style w:type="character" w:customStyle="1" w:styleId="631">
    <w:name w:val="公式 首行缩进:  2 字符 Char"/>
    <w:qFormat/>
    <w:uiPriority w:val="0"/>
    <w:rPr>
      <w:rFonts w:eastAsia="宋体" w:cs="宋体"/>
      <w:kern w:val="2"/>
      <w:sz w:val="24"/>
      <w:szCs w:val="24"/>
      <w:lang w:val="en-US" w:eastAsia="zh-CN" w:bidi="ar-SA"/>
    </w:rPr>
  </w:style>
  <w:style w:type="character" w:customStyle="1" w:styleId="632">
    <w:name w:val="font71"/>
    <w:qFormat/>
    <w:uiPriority w:val="0"/>
    <w:rPr>
      <w:rFonts w:hint="default" w:ascii="Times New Roman" w:hAnsi="Times New Roman" w:cs="Times New Roman"/>
      <w:b/>
      <w:color w:val="FF0000"/>
      <w:sz w:val="21"/>
      <w:szCs w:val="21"/>
    </w:rPr>
  </w:style>
  <w:style w:type="character" w:customStyle="1" w:styleId="633">
    <w:name w:val="表题 Char"/>
    <w:link w:val="493"/>
    <w:qFormat/>
    <w:uiPriority w:val="0"/>
    <w:rPr>
      <w:rFonts w:ascii="Calibri" w:hAnsi="Calibri" w:eastAsia="黑体"/>
      <w:sz w:val="28"/>
      <w:szCs w:val="22"/>
      <w:lang w:val="en-US" w:eastAsia="zh-CN" w:bidi="ar-SA"/>
    </w:rPr>
  </w:style>
  <w:style w:type="character" w:customStyle="1" w:styleId="634">
    <w:name w:val="标题 1 Char Char Char Char"/>
    <w:qFormat/>
    <w:uiPriority w:val="0"/>
    <w:rPr>
      <w:rFonts w:eastAsia="宋体"/>
      <w:b/>
      <w:bCs/>
      <w:kern w:val="44"/>
      <w:sz w:val="44"/>
      <w:szCs w:val="44"/>
      <w:lang w:val="en-US" w:eastAsia="zh-CN" w:bidi="ar-SA"/>
    </w:rPr>
  </w:style>
  <w:style w:type="character" w:customStyle="1" w:styleId="635">
    <w:name w:val="0正文 字符"/>
    <w:link w:val="438"/>
    <w:qFormat/>
    <w:uiPriority w:val="0"/>
    <w:rPr>
      <w:kern w:val="2"/>
      <w:sz w:val="24"/>
      <w:szCs w:val="24"/>
    </w:rPr>
  </w:style>
  <w:style w:type="character" w:customStyle="1" w:styleId="636">
    <w:name w:val="Gabriel（正文） Char"/>
    <w:link w:val="369"/>
    <w:qFormat/>
    <w:uiPriority w:val="0"/>
    <w:rPr>
      <w:rFonts w:eastAsia="宋体"/>
      <w:kern w:val="2"/>
      <w:sz w:val="28"/>
      <w:szCs w:val="28"/>
      <w:lang w:val="en-US" w:eastAsia="zh-CN" w:bidi="ar-SA"/>
    </w:rPr>
  </w:style>
  <w:style w:type="character" w:customStyle="1" w:styleId="637">
    <w:name w:val="表标题 Char"/>
    <w:link w:val="185"/>
    <w:qFormat/>
    <w:uiPriority w:val="0"/>
    <w:rPr>
      <w:rFonts w:ascii="仿宋_GB2312" w:eastAsia="仿宋_GB2312"/>
      <w:b/>
      <w:bCs/>
      <w:kern w:val="2"/>
      <w:sz w:val="24"/>
      <w:szCs w:val="24"/>
    </w:rPr>
  </w:style>
  <w:style w:type="character" w:customStyle="1" w:styleId="638">
    <w:name w:val="标题1"/>
    <w:basedOn w:val="63"/>
    <w:qFormat/>
    <w:uiPriority w:val="0"/>
  </w:style>
  <w:style w:type="character" w:customStyle="1" w:styleId="639">
    <w:name w:val="表格。。 Char"/>
    <w:link w:val="449"/>
    <w:qFormat/>
    <w:uiPriority w:val="0"/>
    <w:rPr>
      <w:kern w:val="2"/>
      <w:sz w:val="21"/>
    </w:rPr>
  </w:style>
  <w:style w:type="character" w:customStyle="1" w:styleId="640">
    <w:name w:val="批注文字 字符1"/>
    <w:link w:val="17"/>
    <w:qFormat/>
    <w:uiPriority w:val="0"/>
    <w:rPr>
      <w:kern w:val="2"/>
      <w:sz w:val="21"/>
    </w:rPr>
  </w:style>
  <w:style w:type="character" w:customStyle="1" w:styleId="641">
    <w:name w:val="Char Char61"/>
    <w:qFormat/>
    <w:uiPriority w:val="0"/>
    <w:rPr>
      <w:rFonts w:eastAsia="宋体"/>
      <w:b/>
      <w:bCs/>
      <w:kern w:val="44"/>
      <w:sz w:val="44"/>
      <w:szCs w:val="44"/>
      <w:lang w:val="en-US" w:eastAsia="zh-CN" w:bidi="ar-SA"/>
    </w:rPr>
  </w:style>
  <w:style w:type="character" w:customStyle="1" w:styleId="642">
    <w:name w:val="普通(网站) 字符"/>
    <w:link w:val="50"/>
    <w:qFormat/>
    <w:locked/>
    <w:uiPriority w:val="99"/>
    <w:rPr>
      <w:rFonts w:ascii="_x000B__x000C_" w:hAnsi="_x000B__x000C_"/>
      <w:color w:val="000000"/>
      <w:spacing w:val="15"/>
      <w:sz w:val="18"/>
    </w:rPr>
  </w:style>
  <w:style w:type="character" w:customStyle="1" w:styleId="643">
    <w:name w:val="正文文本缩进 字符1"/>
    <w:link w:val="22"/>
    <w:qFormat/>
    <w:uiPriority w:val="0"/>
    <w:rPr>
      <w:rFonts w:eastAsia="宋体"/>
      <w:kern w:val="2"/>
      <w:sz w:val="24"/>
      <w:lang w:val="en-US" w:eastAsia="zh-CN" w:bidi="ar-SA"/>
    </w:rPr>
  </w:style>
  <w:style w:type="character" w:customStyle="1" w:styleId="644">
    <w:name w:val="表格正文 Char"/>
    <w:link w:val="465"/>
    <w:qFormat/>
    <w:uiPriority w:val="0"/>
    <w:rPr>
      <w:rFonts w:ascii="宋体" w:hAnsi="宋体"/>
      <w:kern w:val="2"/>
      <w:sz w:val="21"/>
      <w:szCs w:val="22"/>
      <w:lang w:bidi="ar-SA"/>
    </w:rPr>
  </w:style>
  <w:style w:type="character" w:customStyle="1" w:styleId="645">
    <w:name w:val="Sottoparagrafo Char1"/>
    <w:qFormat/>
    <w:uiPriority w:val="0"/>
    <w:rPr>
      <w:rFonts w:ascii="Calibri" w:hAnsi="Calibri" w:eastAsia="宋体"/>
      <w:b/>
      <w:bCs/>
      <w:sz w:val="32"/>
      <w:szCs w:val="32"/>
      <w:lang w:val="en-US" w:eastAsia="zh-CN" w:bidi="ar-SA"/>
    </w:rPr>
  </w:style>
  <w:style w:type="character" w:customStyle="1" w:styleId="646">
    <w:name w:val="正文文本 Char"/>
    <w:qFormat/>
    <w:uiPriority w:val="0"/>
    <w:rPr>
      <w:rFonts w:eastAsia="宋体"/>
      <w:sz w:val="28"/>
      <w:szCs w:val="28"/>
      <w:lang w:val="en-US" w:eastAsia="zh-CN" w:bidi="ar-SA"/>
    </w:rPr>
  </w:style>
  <w:style w:type="character" w:customStyle="1" w:styleId="647">
    <w:name w:val="参数解释 Char"/>
    <w:basedOn w:val="508"/>
    <w:link w:val="446"/>
    <w:qFormat/>
    <w:uiPriority w:val="0"/>
    <w:rPr>
      <w:rFonts w:eastAsia="宋体" w:cs="宋体"/>
      <w:kern w:val="2"/>
      <w:sz w:val="24"/>
      <w:lang w:val="en-US" w:eastAsia="zh-CN" w:bidi="ar-SA"/>
    </w:rPr>
  </w:style>
  <w:style w:type="character" w:customStyle="1" w:styleId="648">
    <w:name w:val="批注框文本 Char1"/>
    <w:qFormat/>
    <w:uiPriority w:val="0"/>
    <w:rPr>
      <w:kern w:val="2"/>
      <w:sz w:val="18"/>
      <w:szCs w:val="18"/>
    </w:rPr>
  </w:style>
  <w:style w:type="character" w:customStyle="1" w:styleId="649">
    <w:name w:val="标题 4-王鹏 Char Char"/>
    <w:qFormat/>
    <w:uiPriority w:val="0"/>
    <w:rPr>
      <w:rFonts w:ascii="Arial" w:hAnsi="Arial" w:eastAsia="黑体"/>
      <w:b/>
      <w:bCs/>
      <w:kern w:val="2"/>
      <w:sz w:val="28"/>
      <w:szCs w:val="28"/>
      <w:lang w:val="en-US" w:eastAsia="zh-CN" w:bidi="ar-SA"/>
    </w:rPr>
  </w:style>
  <w:style w:type="character" w:customStyle="1" w:styleId="650">
    <w:name w:val="表格 Char"/>
    <w:link w:val="208"/>
    <w:qFormat/>
    <w:locked/>
    <w:uiPriority w:val="0"/>
    <w:rPr>
      <w:rFonts w:ascii="Calibri" w:hAnsi="Calibri" w:eastAsia="宋体"/>
      <w:sz w:val="24"/>
      <w:lang w:val="en-US" w:eastAsia="zh-CN" w:bidi="ar-SA"/>
    </w:rPr>
  </w:style>
  <w:style w:type="character" w:customStyle="1" w:styleId="651">
    <w:name w:val="正文文本首行缩进 2 字符"/>
    <w:qFormat/>
    <w:uiPriority w:val="0"/>
    <w:rPr>
      <w:kern w:val="2"/>
      <w:sz w:val="21"/>
      <w:szCs w:val="24"/>
    </w:rPr>
  </w:style>
  <w:style w:type="character" w:customStyle="1" w:styleId="652">
    <w:name w:val="G样式1 Char"/>
    <w:link w:val="364"/>
    <w:qFormat/>
    <w:uiPriority w:val="0"/>
    <w:rPr>
      <w:rFonts w:eastAsia="宋体"/>
      <w:kern w:val="2"/>
      <w:sz w:val="28"/>
      <w:szCs w:val="28"/>
      <w:lang w:val="en-US" w:eastAsia="zh-CN" w:bidi="ar-SA"/>
    </w:rPr>
  </w:style>
  <w:style w:type="character" w:customStyle="1" w:styleId="653">
    <w:name w:val="_Style 645"/>
    <w:qFormat/>
    <w:uiPriority w:val="0"/>
    <w:rPr>
      <w:b/>
      <w:bCs/>
      <w:i/>
      <w:iCs/>
      <w:color w:val="2DA2BF"/>
    </w:rPr>
  </w:style>
  <w:style w:type="character" w:customStyle="1" w:styleId="654">
    <w:name w:val="f121"/>
    <w:qFormat/>
    <w:uiPriority w:val="0"/>
    <w:rPr>
      <w:sz w:val="18"/>
      <w:szCs w:val="18"/>
      <w:u w:val="none"/>
    </w:rPr>
  </w:style>
  <w:style w:type="character" w:customStyle="1" w:styleId="655">
    <w:name w:val="表格标题标题 Char Char Char"/>
    <w:link w:val="100"/>
    <w:qFormat/>
    <w:uiPriority w:val="0"/>
    <w:rPr>
      <w:b/>
      <w:kern w:val="18"/>
      <w:sz w:val="24"/>
      <w:lang w:bidi="ar-SA"/>
    </w:rPr>
  </w:style>
  <w:style w:type="character" w:customStyle="1" w:styleId="656">
    <w:name w:val="Char Char3"/>
    <w:qFormat/>
    <w:uiPriority w:val="0"/>
    <w:rPr>
      <w:rFonts w:eastAsia="宋体"/>
      <w:kern w:val="2"/>
      <w:sz w:val="21"/>
      <w:szCs w:val="24"/>
      <w:lang w:bidi="ar-SA"/>
    </w:rPr>
  </w:style>
  <w:style w:type="character" w:customStyle="1" w:styleId="657">
    <w:name w:val="节 Char"/>
    <w:qFormat/>
    <w:uiPriority w:val="0"/>
    <w:rPr>
      <w:rFonts w:ascii="仿宋_GB2312" w:hAnsi="Arial" w:eastAsia="仿宋_GB2312"/>
      <w:b/>
      <w:bCs/>
      <w:kern w:val="2"/>
      <w:sz w:val="30"/>
      <w:szCs w:val="32"/>
      <w:lang w:val="en-US" w:eastAsia="zh-CN" w:bidi="ar-SA"/>
    </w:rPr>
  </w:style>
  <w:style w:type="character" w:customStyle="1" w:styleId="658">
    <w:name w:val="称呼 字符1"/>
    <w:link w:val="18"/>
    <w:qFormat/>
    <w:uiPriority w:val="0"/>
    <w:rPr>
      <w:rFonts w:ascii="宋体" w:hAnsi="华文宋体"/>
      <w:kern w:val="2"/>
      <w:sz w:val="28"/>
      <w:szCs w:val="24"/>
    </w:rPr>
  </w:style>
  <w:style w:type="character" w:customStyle="1" w:styleId="659">
    <w:name w:val="aa正文 Char"/>
    <w:qFormat/>
    <w:uiPriority w:val="0"/>
    <w:rPr>
      <w:rFonts w:ascii="Calibri" w:hAnsi="Calibri" w:eastAsia="宋体"/>
      <w:sz w:val="24"/>
      <w:szCs w:val="22"/>
      <w:lang w:val="en-US" w:eastAsia="zh-CN" w:bidi="ar-SA"/>
    </w:rPr>
  </w:style>
  <w:style w:type="character" w:customStyle="1" w:styleId="660">
    <w:name w:val="表内格式 Char1"/>
    <w:link w:val="338"/>
    <w:qFormat/>
    <w:uiPriority w:val="0"/>
    <w:rPr>
      <w:rFonts w:eastAsia="宋体"/>
      <w:kern w:val="2"/>
      <w:sz w:val="18"/>
      <w:lang w:val="en-US" w:eastAsia="zh-CN" w:bidi="ar-SA"/>
    </w:rPr>
  </w:style>
  <w:style w:type="character" w:customStyle="1" w:styleId="661">
    <w:name w:val="引用 字符"/>
    <w:link w:val="444"/>
    <w:qFormat/>
    <w:uiPriority w:val="0"/>
    <w:rPr>
      <w:rFonts w:ascii="Calibri" w:hAnsi="Calibri" w:eastAsia="宋体"/>
      <w:i/>
      <w:iCs/>
      <w:color w:val="000000"/>
      <w:sz w:val="22"/>
      <w:szCs w:val="22"/>
      <w:lang w:val="en-US" w:eastAsia="zh-CN" w:bidi="ar-SA"/>
    </w:rPr>
  </w:style>
  <w:style w:type="character" w:customStyle="1" w:styleId="662">
    <w:name w:val="明显引用 字符"/>
    <w:link w:val="384"/>
    <w:qFormat/>
    <w:uiPriority w:val="0"/>
    <w:rPr>
      <w:rFonts w:ascii="Calibri" w:hAnsi="Calibri" w:eastAsia="宋体"/>
      <w:b/>
      <w:bCs/>
      <w:i/>
      <w:iCs/>
      <w:color w:val="2DA2BF"/>
      <w:sz w:val="22"/>
      <w:szCs w:val="22"/>
      <w:lang w:val="en-US" w:eastAsia="zh-CN" w:bidi="ar-SA"/>
    </w:rPr>
  </w:style>
  <w:style w:type="character" w:customStyle="1" w:styleId="663">
    <w:name w:val="标题 2 字符"/>
    <w:link w:val="4"/>
    <w:qFormat/>
    <w:uiPriority w:val="0"/>
    <w:rPr>
      <w:rFonts w:ascii="Arial" w:hAnsi="Arial" w:eastAsia="黑体"/>
      <w:b/>
      <w:kern w:val="2"/>
      <w:sz w:val="28"/>
      <w:lang w:val="en-US" w:eastAsia="zh-CN" w:bidi="ar-SA"/>
    </w:rPr>
  </w:style>
  <w:style w:type="character" w:customStyle="1" w:styleId="664">
    <w:name w:val="postbody1"/>
    <w:qFormat/>
    <w:uiPriority w:val="0"/>
    <w:rPr>
      <w:sz w:val="21"/>
      <w:szCs w:val="21"/>
    </w:rPr>
  </w:style>
  <w:style w:type="character" w:customStyle="1" w:styleId="665">
    <w:name w:val="font41"/>
    <w:qFormat/>
    <w:uiPriority w:val="0"/>
    <w:rPr>
      <w:rFonts w:hint="default" w:ascii="Times New Roman" w:hAnsi="Times New Roman" w:cs="Times New Roman"/>
      <w:color w:val="FF0000"/>
      <w:sz w:val="21"/>
      <w:szCs w:val="21"/>
      <w:u w:val="none"/>
    </w:rPr>
  </w:style>
  <w:style w:type="character" w:customStyle="1" w:styleId="666">
    <w:name w:val="题注1 Char Char"/>
    <w:qFormat/>
    <w:uiPriority w:val="0"/>
    <w:rPr>
      <w:rFonts w:ascii="Calibri" w:hAnsi="Calibri" w:eastAsia="宋体"/>
      <w:sz w:val="24"/>
      <w:szCs w:val="22"/>
      <w:lang w:val="en-US" w:eastAsia="zh-CN" w:bidi="ar-SA"/>
    </w:rPr>
  </w:style>
  <w:style w:type="character" w:customStyle="1" w:styleId="667">
    <w:name w:val="报告正文 Char"/>
    <w:link w:val="355"/>
    <w:qFormat/>
    <w:uiPriority w:val="0"/>
    <w:rPr>
      <w:rFonts w:eastAsia="仿宋_GB2312"/>
      <w:kern w:val="2"/>
      <w:sz w:val="24"/>
      <w:szCs w:val="24"/>
    </w:rPr>
  </w:style>
  <w:style w:type="character" w:customStyle="1" w:styleId="668">
    <w:name w:val="标准文本 居中 行距1.5倍 Char"/>
    <w:qFormat/>
    <w:uiPriority w:val="0"/>
    <w:rPr>
      <w:rFonts w:eastAsia="宋体" w:cs="宋体"/>
      <w:kern w:val="2"/>
      <w:sz w:val="24"/>
      <w:lang w:val="en-US" w:eastAsia="zh-CN" w:bidi="ar-SA"/>
    </w:rPr>
  </w:style>
  <w:style w:type="character" w:customStyle="1" w:styleId="669">
    <w:name w:val="正本文字 Char Char Char"/>
    <w:qFormat/>
    <w:uiPriority w:val="0"/>
    <w:rPr>
      <w:rFonts w:cs="宋体"/>
      <w:kern w:val="18"/>
      <w:sz w:val="24"/>
    </w:rPr>
  </w:style>
  <w:style w:type="character" w:customStyle="1" w:styleId="670">
    <w:name w:val="unnamed2"/>
    <w:basedOn w:val="63"/>
    <w:qFormat/>
    <w:uiPriority w:val="0"/>
  </w:style>
  <w:style w:type="character" w:customStyle="1" w:styleId="671">
    <w:name w:val="纯文本 字符"/>
    <w:link w:val="29"/>
    <w:qFormat/>
    <w:uiPriority w:val="0"/>
    <w:rPr>
      <w:rFonts w:ascii="宋体" w:hAnsi="Courier New"/>
      <w:spacing w:val="-2"/>
      <w:kern w:val="28"/>
      <w:sz w:val="21"/>
    </w:rPr>
  </w:style>
  <w:style w:type="character" w:customStyle="1" w:styleId="672">
    <w:name w:val="副标题 字符"/>
    <w:link w:val="41"/>
    <w:qFormat/>
    <w:uiPriority w:val="0"/>
    <w:rPr>
      <w:rFonts w:eastAsia="宋体"/>
      <w:kern w:val="2"/>
      <w:sz w:val="24"/>
      <w:lang w:val="en-US" w:eastAsia="zh-CN" w:bidi="ar-SA"/>
    </w:rPr>
  </w:style>
  <w:style w:type="character" w:customStyle="1" w:styleId="673">
    <w:name w:val="标题 1-王鹏 Char"/>
    <w:qFormat/>
    <w:uiPriority w:val="0"/>
    <w:rPr>
      <w:rFonts w:eastAsia="宋体"/>
      <w:b/>
      <w:bCs/>
      <w:spacing w:val="6"/>
      <w:kern w:val="44"/>
      <w:sz w:val="24"/>
      <w:szCs w:val="44"/>
      <w:lang w:val="en-US" w:eastAsia="zh-CN" w:bidi="ar-SA"/>
    </w:rPr>
  </w:style>
  <w:style w:type="character" w:customStyle="1" w:styleId="674">
    <w:name w:val="图 Char1"/>
    <w:qFormat/>
    <w:uiPriority w:val="0"/>
    <w:rPr>
      <w:rFonts w:ascii="Cambria" w:hAnsi="Cambria" w:eastAsia="宋体"/>
      <w:i/>
      <w:iCs/>
      <w:color w:val="16505E"/>
      <w:sz w:val="22"/>
      <w:szCs w:val="22"/>
      <w:lang w:val="en-US" w:eastAsia="zh-CN" w:bidi="ar-SA"/>
    </w:rPr>
  </w:style>
  <w:style w:type="character" w:customStyle="1" w:styleId="675">
    <w:name w:val="样式 (符号) 宋体 加粗 红色"/>
    <w:qFormat/>
    <w:uiPriority w:val="0"/>
    <w:rPr>
      <w:b/>
      <w:bCs/>
      <w:color w:val="FF0000"/>
    </w:rPr>
  </w:style>
  <w:style w:type="character" w:customStyle="1" w:styleId="676">
    <w:name w:val="纯文本 Char2"/>
    <w:qFormat/>
    <w:uiPriority w:val="0"/>
    <w:rPr>
      <w:rFonts w:ascii="宋体" w:hAnsi="宋体" w:eastAsia="宋体"/>
      <w:sz w:val="24"/>
      <w:lang w:val="en-US" w:eastAsia="zh-CN" w:bidi="ar-SA"/>
    </w:rPr>
  </w:style>
  <w:style w:type="character" w:customStyle="1" w:styleId="677">
    <w:name w:val="style71"/>
    <w:qFormat/>
    <w:uiPriority w:val="0"/>
    <w:rPr>
      <w:sz w:val="27"/>
      <w:szCs w:val="27"/>
    </w:rPr>
  </w:style>
  <w:style w:type="character" w:customStyle="1" w:styleId="678">
    <w:name w:val="Char Char Char Char Char Char Char Char Char1"/>
    <w:qFormat/>
    <w:uiPriority w:val="0"/>
    <w:rPr>
      <w:rFonts w:eastAsia="宋体"/>
      <w:kern w:val="2"/>
      <w:sz w:val="24"/>
      <w:lang w:val="en-US" w:eastAsia="zh-CN" w:bidi="ar-SA"/>
    </w:rPr>
  </w:style>
  <w:style w:type="character" w:customStyle="1" w:styleId="679">
    <w:name w:val="font11"/>
    <w:qFormat/>
    <w:uiPriority w:val="0"/>
    <w:rPr>
      <w:rFonts w:ascii="Calibri" w:hAnsi="Calibri" w:cs="Calibri"/>
      <w:color w:val="000000"/>
      <w:sz w:val="21"/>
      <w:szCs w:val="21"/>
      <w:u w:val="none"/>
    </w:rPr>
  </w:style>
  <w:style w:type="character" w:customStyle="1" w:styleId="680">
    <w:name w:val="标题 1 字符"/>
    <w:link w:val="3"/>
    <w:qFormat/>
    <w:uiPriority w:val="0"/>
    <w:rPr>
      <w:rFonts w:eastAsia="黑体"/>
      <w:kern w:val="44"/>
      <w:sz w:val="28"/>
      <w:lang w:val="en-US" w:eastAsia="zh-CN" w:bidi="ar-SA"/>
    </w:rPr>
  </w:style>
  <w:style w:type="character" w:customStyle="1" w:styleId="681">
    <w:name w:val="图 Char"/>
    <w:qFormat/>
    <w:uiPriority w:val="0"/>
    <w:rPr>
      <w:rFonts w:ascii="Arial" w:hAnsi="Arial" w:eastAsia="黑体"/>
      <w:b/>
      <w:bCs/>
      <w:kern w:val="2"/>
      <w:sz w:val="24"/>
      <w:szCs w:val="24"/>
      <w:lang w:val="en-US" w:eastAsia="zh-CN" w:bidi="ar-SA"/>
    </w:rPr>
  </w:style>
  <w:style w:type="character" w:customStyle="1" w:styleId="682">
    <w:name w:val="zi2"/>
    <w:basedOn w:val="63"/>
    <w:qFormat/>
    <w:uiPriority w:val="0"/>
  </w:style>
  <w:style w:type="character" w:customStyle="1" w:styleId="683">
    <w:name w:val="标准文本 居中 行距1.5倍 Char Char"/>
    <w:qFormat/>
    <w:uiPriority w:val="0"/>
    <w:rPr>
      <w:rFonts w:eastAsia="宋体" w:cs="宋体"/>
      <w:kern w:val="2"/>
      <w:sz w:val="24"/>
      <w:lang w:val="en-US" w:eastAsia="zh-CN" w:bidi="ar-SA"/>
    </w:rPr>
  </w:style>
  <w:style w:type="character" w:customStyle="1" w:styleId="684">
    <w:name w:val="ourfont11"/>
    <w:qFormat/>
    <w:uiPriority w:val="0"/>
    <w:rPr>
      <w:sz w:val="20"/>
    </w:rPr>
  </w:style>
  <w:style w:type="character" w:customStyle="1" w:styleId="685">
    <w:name w:val="正文一 Char"/>
    <w:link w:val="190"/>
    <w:unhideWhenUsed/>
    <w:qFormat/>
    <w:uiPriority w:val="0"/>
    <w:rPr>
      <w:rFonts w:ascii="宋体"/>
      <w:lang w:val="zh-CN"/>
    </w:rPr>
  </w:style>
  <w:style w:type="character" w:customStyle="1" w:styleId="686">
    <w:name w:val="1表格 Char"/>
    <w:link w:val="386"/>
    <w:qFormat/>
    <w:uiPriority w:val="0"/>
    <w:rPr>
      <w:rFonts w:eastAsia="仿宋_GB2312"/>
      <w:kern w:val="2"/>
      <w:sz w:val="21"/>
    </w:rPr>
  </w:style>
  <w:style w:type="character" w:customStyle="1" w:styleId="687">
    <w:name w:val="公式 首行缩进:  2 字符 Char Char"/>
    <w:qFormat/>
    <w:uiPriority w:val="0"/>
    <w:rPr>
      <w:rFonts w:eastAsia="宋体" w:cs="宋体"/>
      <w:kern w:val="2"/>
      <w:sz w:val="24"/>
      <w:szCs w:val="24"/>
      <w:lang w:val="en-US" w:eastAsia="zh-CN" w:bidi="ar-SA"/>
    </w:rPr>
  </w:style>
  <w:style w:type="character" w:customStyle="1" w:styleId="688">
    <w:name w:val="表格文字 Char"/>
    <w:qFormat/>
    <w:uiPriority w:val="0"/>
    <w:rPr>
      <w:rFonts w:ascii="仿宋_GB2312" w:hAnsi="Arial Black" w:eastAsia="仿宋_GB2312"/>
      <w:kern w:val="44"/>
      <w:sz w:val="24"/>
    </w:rPr>
  </w:style>
  <w:style w:type="character" w:customStyle="1" w:styleId="689">
    <w:name w:val="表蕊 Char1"/>
    <w:link w:val="174"/>
    <w:qFormat/>
    <w:uiPriority w:val="0"/>
    <w:rPr>
      <w:rFonts w:eastAsia="楷体_GB2312"/>
      <w:spacing w:val="-10"/>
      <w:sz w:val="21"/>
    </w:rPr>
  </w:style>
  <w:style w:type="character" w:customStyle="1" w:styleId="690">
    <w:name w:val="项标题(1) Char1"/>
    <w:qFormat/>
    <w:uiPriority w:val="0"/>
    <w:rPr>
      <w:rFonts w:ascii="Cambria" w:hAnsi="Cambria" w:eastAsia="宋体"/>
      <w:i/>
      <w:iCs/>
      <w:color w:val="404040"/>
      <w:sz w:val="22"/>
      <w:szCs w:val="22"/>
      <w:lang w:val="en-US" w:eastAsia="zh-CN" w:bidi="ar-SA"/>
    </w:rPr>
  </w:style>
  <w:style w:type="character" w:customStyle="1" w:styleId="691">
    <w:name w:val="表头1 Char"/>
    <w:qFormat/>
    <w:uiPriority w:val="0"/>
    <w:rPr>
      <w:rFonts w:ascii="仿宋_GB2312" w:hAnsi="Courier New" w:eastAsia="仿宋_GB2312"/>
      <w:bCs/>
      <w:sz w:val="28"/>
      <w:lang w:val="en-US" w:eastAsia="zh-CN" w:bidi="ar-SA"/>
    </w:rPr>
  </w:style>
  <w:style w:type="character" w:customStyle="1" w:styleId="692">
    <w:name w:val="标准文本 首行缩进:2 字符 行距1倍 Char Char Char Char Char"/>
    <w:link w:val="139"/>
    <w:qFormat/>
    <w:uiPriority w:val="0"/>
    <w:rPr>
      <w:rFonts w:eastAsia="宋体" w:cs="宋体"/>
      <w:kern w:val="2"/>
      <w:sz w:val="24"/>
      <w:szCs w:val="24"/>
      <w:lang w:val="en-US" w:eastAsia="zh-CN" w:bidi="ar-SA"/>
    </w:rPr>
  </w:style>
  <w:style w:type="character" w:customStyle="1" w:styleId="693">
    <w:name w:val="Gabriel 正文文本 Char Char"/>
    <w:qFormat/>
    <w:uiPriority w:val="0"/>
    <w:rPr>
      <w:rFonts w:eastAsia="宋体"/>
      <w:color w:val="000000"/>
      <w:kern w:val="2"/>
      <w:sz w:val="28"/>
      <w:szCs w:val="24"/>
      <w:lang w:val="en-US" w:eastAsia="zh-CN" w:bidi="ar-SA"/>
    </w:rPr>
  </w:style>
  <w:style w:type="character" w:customStyle="1" w:styleId="694">
    <w:name w:val="正文lcc2 Char"/>
    <w:link w:val="271"/>
    <w:qFormat/>
    <w:uiPriority w:val="0"/>
    <w:rPr>
      <w:rFonts w:ascii="Calibri" w:hAnsi="Calibri"/>
      <w:sz w:val="24"/>
      <w:szCs w:val="22"/>
    </w:rPr>
  </w:style>
  <w:style w:type="character" w:customStyle="1" w:styleId="695">
    <w:name w:val="datetime"/>
    <w:qFormat/>
    <w:uiPriority w:val="0"/>
    <w:rPr>
      <w:rFonts w:ascii="Arial" w:hAnsi="Arial" w:cs="Arial"/>
      <w:color w:val="999999"/>
      <w:sz w:val="21"/>
      <w:szCs w:val="21"/>
    </w:rPr>
  </w:style>
  <w:style w:type="character" w:customStyle="1" w:styleId="696">
    <w:name w:val="表格标题博泵 Char"/>
    <w:link w:val="172"/>
    <w:qFormat/>
    <w:uiPriority w:val="0"/>
    <w:rPr>
      <w:rFonts w:cs="宋体"/>
      <w:b/>
      <w:color w:val="000000"/>
      <w:kern w:val="2"/>
      <w:sz w:val="21"/>
    </w:rPr>
  </w:style>
  <w:style w:type="character" w:customStyle="1" w:styleId="697">
    <w:name w:val="正文文本缩进 2 字符"/>
    <w:link w:val="34"/>
    <w:qFormat/>
    <w:uiPriority w:val="0"/>
    <w:rPr>
      <w:rFonts w:ascii="宋体" w:hAnsi="宋体" w:eastAsia="宋体"/>
      <w:spacing w:val="4"/>
      <w:kern w:val="2"/>
      <w:sz w:val="24"/>
      <w:lang w:val="en-US" w:eastAsia="zh-CN" w:bidi="ar-SA"/>
    </w:rPr>
  </w:style>
  <w:style w:type="character" w:customStyle="1" w:styleId="698">
    <w:name w:val="articletitle1"/>
    <w:qFormat/>
    <w:uiPriority w:val="0"/>
    <w:rPr>
      <w:b/>
      <w:bCs/>
      <w:color w:val="013F88"/>
      <w:sz w:val="27"/>
      <w:szCs w:val="27"/>
    </w:rPr>
  </w:style>
  <w:style w:type="character" w:customStyle="1" w:styleId="699">
    <w:name w:val="正文zy Char"/>
    <w:link w:val="98"/>
    <w:qFormat/>
    <w:uiPriority w:val="0"/>
    <w:rPr>
      <w:color w:val="000000"/>
      <w:kern w:val="2"/>
      <w:sz w:val="24"/>
    </w:rPr>
  </w:style>
  <w:style w:type="character" w:customStyle="1" w:styleId="700">
    <w:name w:val="样式 报告正文 + 首行缩进:  2 字符 Char Char Char"/>
    <w:qFormat/>
    <w:uiPriority w:val="0"/>
    <w:rPr>
      <w:rFonts w:eastAsia="宋体" w:cs="宋体"/>
      <w:kern w:val="2"/>
      <w:sz w:val="24"/>
      <w:lang w:val="en-US" w:eastAsia="zh-CN" w:bidi="ar-SA"/>
    </w:rPr>
  </w:style>
  <w:style w:type="character" w:customStyle="1" w:styleId="701">
    <w:name w:val="标题 8 字符"/>
    <w:link w:val="10"/>
    <w:qFormat/>
    <w:uiPriority w:val="0"/>
    <w:rPr>
      <w:rFonts w:ascii="Arial" w:hAnsi="Arial" w:eastAsia="黑体"/>
      <w:kern w:val="2"/>
      <w:sz w:val="24"/>
      <w:lang w:val="en-US" w:eastAsia="zh-CN" w:bidi="ar-SA"/>
    </w:rPr>
  </w:style>
  <w:style w:type="character" w:customStyle="1" w:styleId="702">
    <w:name w:val="样式 标题 3 + (西文) Times New Roman (中文) 宋体 小四 加粗 Char"/>
    <w:link w:val="168"/>
    <w:qFormat/>
    <w:uiPriority w:val="0"/>
    <w:rPr>
      <w:rFonts w:hAnsi="宋体" w:eastAsia="宋体"/>
      <w:b/>
      <w:bCs/>
      <w:snapToGrid w:val="0"/>
      <w:kern w:val="2"/>
      <w:sz w:val="28"/>
      <w:szCs w:val="28"/>
      <w:lang w:val="en-US" w:eastAsia="zh-CN" w:bidi="ar-SA"/>
    </w:rPr>
  </w:style>
  <w:style w:type="character" w:customStyle="1" w:styleId="703">
    <w:name w:val="正文缩进 字符"/>
    <w:qFormat/>
    <w:uiPriority w:val="0"/>
    <w:rPr>
      <w:rFonts w:ascii="宋体" w:hAnsi="宋体"/>
      <w:b/>
      <w:kern w:val="2"/>
      <w:sz w:val="28"/>
      <w:szCs w:val="24"/>
    </w:rPr>
  </w:style>
  <w:style w:type="character" w:customStyle="1" w:styleId="704">
    <w:name w:val="表格内文字 Char Char"/>
    <w:qFormat/>
    <w:uiPriority w:val="0"/>
    <w:rPr>
      <w:rFonts w:eastAsia="仿宋_GB2312"/>
      <w:kern w:val="2"/>
      <w:sz w:val="24"/>
      <w:szCs w:val="24"/>
      <w:lang w:val="en-US" w:eastAsia="zh-CN" w:bidi="ar-SA"/>
    </w:rPr>
  </w:style>
  <w:style w:type="character" w:customStyle="1" w:styleId="705">
    <w:name w:val="t_tag"/>
    <w:basedOn w:val="63"/>
    <w:qFormat/>
    <w:uiPriority w:val="0"/>
  </w:style>
  <w:style w:type="character" w:customStyle="1" w:styleId="706">
    <w:name w:val="标题 字符"/>
    <w:link w:val="52"/>
    <w:qFormat/>
    <w:uiPriority w:val="0"/>
    <w:rPr>
      <w:rFonts w:ascii="仿宋_GB2312" w:hAnsi="Arial" w:eastAsia="仿宋_GB2312"/>
      <w:b/>
      <w:kern w:val="2"/>
      <w:sz w:val="32"/>
      <w:lang w:val="en-US" w:eastAsia="zh-CN" w:bidi="ar-SA"/>
    </w:rPr>
  </w:style>
  <w:style w:type="character" w:customStyle="1" w:styleId="707">
    <w:name w:val="表格内文字 Char"/>
    <w:link w:val="476"/>
    <w:qFormat/>
    <w:uiPriority w:val="0"/>
    <w:rPr>
      <w:rFonts w:eastAsia="仿宋_GB2312"/>
      <w:kern w:val="2"/>
      <w:sz w:val="24"/>
      <w:lang w:val="en-US" w:eastAsia="zh-CN"/>
    </w:rPr>
  </w:style>
  <w:style w:type="character" w:customStyle="1" w:styleId="708">
    <w:name w:val="Char Char12"/>
    <w:qFormat/>
    <w:uiPriority w:val="0"/>
    <w:rPr>
      <w:rFonts w:ascii="Cambria" w:hAnsi="Cambria" w:eastAsia="宋体"/>
      <w:color w:val="2DA2BF"/>
      <w:sz w:val="22"/>
      <w:szCs w:val="22"/>
      <w:lang w:val="en-US" w:eastAsia="zh-CN" w:bidi="ar-SA"/>
    </w:rPr>
  </w:style>
  <w:style w:type="character" w:customStyle="1" w:styleId="709">
    <w:name w:val="样式 标题 2二处标题 2节标题 1.11.1标题2b2ParagrafoH22nd levelh2Heade...1 Char"/>
    <w:link w:val="91"/>
    <w:qFormat/>
    <w:uiPriority w:val="0"/>
    <w:rPr>
      <w:rFonts w:eastAsia="宋体"/>
      <w:b/>
      <w:bCs/>
      <w:color w:val="000000"/>
      <w:kern w:val="2"/>
      <w:sz w:val="30"/>
      <w:szCs w:val="30"/>
      <w:lang w:val="en-US" w:eastAsia="zh-CN" w:bidi="ar-SA"/>
    </w:rPr>
  </w:style>
  <w:style w:type="character" w:customStyle="1" w:styleId="710">
    <w:name w:val="_Style 702"/>
    <w:qFormat/>
    <w:uiPriority w:val="0"/>
    <w:rPr>
      <w:b/>
      <w:bCs/>
      <w:smallCaps/>
      <w:spacing w:val="5"/>
    </w:rPr>
  </w:style>
  <w:style w:type="character" w:customStyle="1" w:styleId="711">
    <w:name w:val="标题 9 字符"/>
    <w:link w:val="11"/>
    <w:qFormat/>
    <w:uiPriority w:val="0"/>
    <w:rPr>
      <w:rFonts w:ascii="Arial" w:hAnsi="Arial" w:eastAsia="黑体"/>
      <w:kern w:val="2"/>
      <w:sz w:val="21"/>
      <w:lang w:val="en-US" w:eastAsia="zh-CN" w:bidi="ar-SA"/>
    </w:rPr>
  </w:style>
  <w:style w:type="character" w:customStyle="1" w:styleId="712">
    <w:name w:val="样式 样式 标题 3 + (西文) Times New Roman (中文) 宋体 小四 加粗 + (符号) 宋体 Char"/>
    <w:basedOn w:val="702"/>
    <w:link w:val="167"/>
    <w:qFormat/>
    <w:uiPriority w:val="0"/>
    <w:rPr>
      <w:rFonts w:hAnsi="宋体" w:eastAsia="宋体"/>
      <w:snapToGrid w:val="0"/>
      <w:kern w:val="2"/>
      <w:sz w:val="28"/>
      <w:szCs w:val="28"/>
      <w:lang w:val="en-US" w:eastAsia="zh-CN" w:bidi="ar-SA"/>
    </w:rPr>
  </w:style>
  <w:style w:type="character" w:customStyle="1" w:styleId="713">
    <w:name w:val="项标题(1) Char"/>
    <w:qFormat/>
    <w:uiPriority w:val="0"/>
    <w:rPr>
      <w:rFonts w:eastAsia="宋体"/>
      <w:b/>
      <w:bCs/>
      <w:kern w:val="2"/>
      <w:sz w:val="24"/>
      <w:szCs w:val="24"/>
      <w:lang w:val="en-US" w:eastAsia="zh-CN" w:bidi="ar-SA"/>
    </w:rPr>
  </w:style>
  <w:style w:type="character" w:customStyle="1" w:styleId="714">
    <w:name w:val="Char Char11"/>
    <w:qFormat/>
    <w:uiPriority w:val="0"/>
    <w:rPr>
      <w:rFonts w:ascii="Cambria" w:hAnsi="Cambria" w:eastAsia="宋体"/>
      <w:i/>
      <w:iCs/>
      <w:color w:val="404040"/>
      <w:sz w:val="22"/>
      <w:szCs w:val="22"/>
      <w:lang w:val="en-US" w:eastAsia="zh-CN" w:bidi="ar-SA"/>
    </w:rPr>
  </w:style>
  <w:style w:type="character" w:customStyle="1" w:styleId="715">
    <w:name w:val="小四+首行缩进 Char2"/>
    <w:link w:val="142"/>
    <w:qFormat/>
    <w:uiPriority w:val="0"/>
    <w:rPr>
      <w:rFonts w:ascii="宋体" w:hAnsi="宋体" w:eastAsia="宋体"/>
      <w:kern w:val="2"/>
      <w:sz w:val="24"/>
      <w:lang w:val="en-US" w:eastAsia="zh-CN" w:bidi="ar-SA"/>
    </w:rPr>
  </w:style>
  <w:style w:type="character" w:customStyle="1" w:styleId="716">
    <w:name w:val="标题 4-王鹏 Char"/>
    <w:qFormat/>
    <w:uiPriority w:val="0"/>
    <w:rPr>
      <w:rFonts w:ascii="宋体" w:hAnsi="宋体" w:eastAsia="宋体"/>
      <w:b/>
      <w:bCs/>
      <w:snapToGrid w:val="0"/>
      <w:spacing w:val="6"/>
      <w:kern w:val="44"/>
      <w:sz w:val="24"/>
      <w:szCs w:val="24"/>
      <w:lang w:val="en-US" w:eastAsia="zh-CN" w:bidi="ar-SA"/>
    </w:rPr>
  </w:style>
  <w:style w:type="character" w:customStyle="1" w:styleId="717">
    <w:name w:val="排版正文 Char"/>
    <w:qFormat/>
    <w:uiPriority w:val="0"/>
    <w:rPr>
      <w:rFonts w:eastAsia="黑体"/>
      <w:kern w:val="2"/>
      <w:sz w:val="26"/>
      <w:szCs w:val="22"/>
      <w:lang w:val="en-US" w:eastAsia="zh-CN" w:bidi="ar-SA"/>
    </w:rPr>
  </w:style>
  <w:style w:type="character" w:customStyle="1" w:styleId="718">
    <w:name w:val="页眉1 Char2"/>
    <w:semiHidden/>
    <w:qFormat/>
    <w:uiPriority w:val="0"/>
    <w:rPr>
      <w:rFonts w:eastAsia="宋体"/>
      <w:kern w:val="2"/>
      <w:sz w:val="18"/>
      <w:szCs w:val="18"/>
      <w:lang w:val="en-US" w:eastAsia="zh-CN" w:bidi="ar-SA"/>
    </w:rPr>
  </w:style>
  <w:style w:type="character" w:customStyle="1" w:styleId="719">
    <w:name w:val="正文文本缩进 3 字符"/>
    <w:link w:val="44"/>
    <w:qFormat/>
    <w:uiPriority w:val="0"/>
    <w:rPr>
      <w:rFonts w:eastAsia="宋体"/>
      <w:kern w:val="2"/>
      <w:sz w:val="24"/>
      <w:lang w:val="en-US" w:eastAsia="zh-CN" w:bidi="ar-SA"/>
    </w:rPr>
  </w:style>
  <w:style w:type="character" w:customStyle="1" w:styleId="720">
    <w:name w:val="标题 5 Char Char Char1"/>
    <w:qFormat/>
    <w:uiPriority w:val="0"/>
    <w:rPr>
      <w:rFonts w:ascii="Cambria" w:hAnsi="Cambria" w:eastAsia="宋体"/>
      <w:color w:val="16505E"/>
      <w:sz w:val="22"/>
      <w:szCs w:val="22"/>
      <w:lang w:val="en-US" w:eastAsia="zh-CN" w:bidi="ar-SA"/>
    </w:rPr>
  </w:style>
  <w:style w:type="character" w:customStyle="1" w:styleId="721">
    <w:name w:val="页脚 字符"/>
    <w:link w:val="37"/>
    <w:qFormat/>
    <w:uiPriority w:val="0"/>
    <w:rPr>
      <w:kern w:val="2"/>
      <w:sz w:val="18"/>
    </w:rPr>
  </w:style>
  <w:style w:type="character" w:customStyle="1" w:styleId="722">
    <w:name w:val="Char Char31"/>
    <w:qFormat/>
    <w:uiPriority w:val="0"/>
    <w:rPr>
      <w:rFonts w:eastAsia="宋体"/>
      <w:kern w:val="2"/>
      <w:sz w:val="21"/>
      <w:szCs w:val="24"/>
      <w:lang w:bidi="ar-SA"/>
    </w:rPr>
  </w:style>
  <w:style w:type="character" w:customStyle="1" w:styleId="723">
    <w:name w:val="h31"/>
    <w:qFormat/>
    <w:uiPriority w:val="0"/>
    <w:rPr>
      <w:sz w:val="21"/>
      <w:szCs w:val="21"/>
    </w:rPr>
  </w:style>
  <w:style w:type="character" w:customStyle="1" w:styleId="724">
    <w:name w:val="页眉1 Char"/>
    <w:qFormat/>
    <w:uiPriority w:val="0"/>
    <w:rPr>
      <w:sz w:val="18"/>
      <w:szCs w:val="18"/>
    </w:rPr>
  </w:style>
  <w:style w:type="character" w:customStyle="1" w:styleId="725">
    <w:name w:val="text1"/>
    <w:qFormat/>
    <w:uiPriority w:val="0"/>
    <w:rPr>
      <w:rFonts w:hint="eastAsia" w:ascii="宋体" w:hAnsi="宋体" w:eastAsia="宋体"/>
      <w:color w:val="000000"/>
      <w:sz w:val="18"/>
      <w:szCs w:val="18"/>
    </w:rPr>
  </w:style>
  <w:style w:type="character" w:customStyle="1" w:styleId="726">
    <w:name w:val="一、 Char"/>
    <w:qFormat/>
    <w:uiPriority w:val="0"/>
    <w:rPr>
      <w:rFonts w:eastAsia="宋体"/>
      <w:b/>
      <w:bCs/>
      <w:kern w:val="44"/>
      <w:sz w:val="44"/>
      <w:szCs w:val="44"/>
      <w:lang w:val="en-US" w:eastAsia="zh-CN" w:bidi="ar-SA"/>
    </w:rPr>
  </w:style>
  <w:style w:type="character" w:customStyle="1" w:styleId="727">
    <w:name w:val="样式 报告正文 + 首行缩进:  2 字符 Char"/>
    <w:qFormat/>
    <w:uiPriority w:val="0"/>
    <w:rPr>
      <w:rFonts w:eastAsia="宋体" w:cs="宋体"/>
      <w:kern w:val="2"/>
      <w:sz w:val="24"/>
      <w:lang w:val="en-US" w:eastAsia="zh-CN" w:bidi="ar-SA"/>
    </w:rPr>
  </w:style>
  <w:style w:type="character" w:customStyle="1" w:styleId="728">
    <w:name w:val="表头 Char"/>
    <w:qFormat/>
    <w:uiPriority w:val="0"/>
    <w:rPr>
      <w:rFonts w:ascii="楷体_GB2312" w:eastAsia="楷体_GB2312"/>
      <w:spacing w:val="4"/>
      <w:kern w:val="2"/>
      <w:sz w:val="18"/>
      <w:szCs w:val="18"/>
      <w:lang w:val="en-US" w:eastAsia="zh-CN" w:bidi="ar-SA"/>
    </w:rPr>
  </w:style>
  <w:style w:type="character" w:customStyle="1" w:styleId="729">
    <w:name w:val="标题 1 Char Char Char Char Char"/>
    <w:qFormat/>
    <w:uiPriority w:val="0"/>
    <w:rPr>
      <w:rFonts w:eastAsia="宋体"/>
      <w:b/>
      <w:bCs/>
      <w:kern w:val="44"/>
      <w:sz w:val="44"/>
      <w:szCs w:val="44"/>
      <w:lang w:val="en-US" w:eastAsia="zh-CN" w:bidi="ar-SA"/>
    </w:rPr>
  </w:style>
  <w:style w:type="character" w:customStyle="1" w:styleId="730">
    <w:name w:val="公式 Char"/>
    <w:link w:val="411"/>
    <w:qFormat/>
    <w:uiPriority w:val="0"/>
    <w:rPr>
      <w:rFonts w:eastAsia="宋体" w:cs="宋体"/>
      <w:kern w:val="2"/>
      <w:sz w:val="24"/>
      <w:lang w:val="en-US" w:eastAsia="zh-CN" w:bidi="ar-SA"/>
    </w:rPr>
  </w:style>
  <w:style w:type="character" w:customStyle="1" w:styleId="731">
    <w:name w:val="Char Char14"/>
    <w:qFormat/>
    <w:uiPriority w:val="0"/>
    <w:rPr>
      <w:rFonts w:ascii="Cambria" w:hAnsi="Cambria" w:eastAsia="宋体"/>
      <w:i/>
      <w:iCs/>
      <w:color w:val="16505E"/>
      <w:sz w:val="22"/>
      <w:szCs w:val="22"/>
      <w:lang w:val="en-US" w:eastAsia="zh-CN" w:bidi="ar-SA"/>
    </w:rPr>
  </w:style>
  <w:style w:type="character" w:customStyle="1" w:styleId="732">
    <w:name w:val="f141"/>
    <w:qFormat/>
    <w:uiPriority w:val="0"/>
    <w:rPr>
      <w:sz w:val="21"/>
      <w:szCs w:val="21"/>
    </w:rPr>
  </w:style>
  <w:style w:type="character" w:customStyle="1" w:styleId="733">
    <w:name w:val="标题 3 字符"/>
    <w:link w:val="5"/>
    <w:qFormat/>
    <w:uiPriority w:val="0"/>
    <w:rPr>
      <w:rFonts w:eastAsia="宋体"/>
      <w:b/>
      <w:kern w:val="2"/>
      <w:sz w:val="32"/>
      <w:lang w:val="en-US" w:eastAsia="zh-CN" w:bidi="ar-SA"/>
    </w:rPr>
  </w:style>
  <w:style w:type="character" w:customStyle="1" w:styleId="734">
    <w:name w:val="注释 Char"/>
    <w:link w:val="160"/>
    <w:qFormat/>
    <w:uiPriority w:val="0"/>
    <w:rPr>
      <w:rFonts w:eastAsia="宋体" w:cs="宋体"/>
      <w:kern w:val="2"/>
      <w:sz w:val="21"/>
      <w:lang w:val="en-US" w:eastAsia="zh-CN" w:bidi="ar-SA"/>
    </w:rPr>
  </w:style>
  <w:style w:type="character" w:customStyle="1" w:styleId="735">
    <w:name w:val="H8 Char1"/>
    <w:qFormat/>
    <w:uiPriority w:val="0"/>
    <w:rPr>
      <w:rFonts w:ascii="Cambria" w:hAnsi="Cambria" w:eastAsia="宋体"/>
      <w:color w:val="2DA2BF"/>
      <w:sz w:val="22"/>
      <w:szCs w:val="22"/>
      <w:lang w:val="en-US" w:eastAsia="zh-CN" w:bidi="ar-SA"/>
    </w:rPr>
  </w:style>
  <w:style w:type="character" w:customStyle="1" w:styleId="736">
    <w:name w:val="文本 Char"/>
    <w:link w:val="95"/>
    <w:qFormat/>
    <w:uiPriority w:val="0"/>
    <w:rPr>
      <w:rFonts w:ascii="宋体" w:hAnsi="宋体" w:eastAsia="宋体" w:cs="宋体"/>
      <w:sz w:val="24"/>
      <w:lang w:val="en-US" w:eastAsia="zh-CN" w:bidi="ar-SA"/>
    </w:rPr>
  </w:style>
  <w:style w:type="character" w:customStyle="1" w:styleId="737">
    <w:name w:val="A正文 Char"/>
    <w:link w:val="235"/>
    <w:qFormat/>
    <w:uiPriority w:val="0"/>
    <w:rPr>
      <w:sz w:val="24"/>
      <w:szCs w:val="24"/>
    </w:rPr>
  </w:style>
  <w:style w:type="character" w:customStyle="1" w:styleId="738">
    <w:name w:val="页眉 字符"/>
    <w:link w:val="38"/>
    <w:qFormat/>
    <w:uiPriority w:val="0"/>
    <w:rPr>
      <w:rFonts w:eastAsia="宋体"/>
      <w:kern w:val="2"/>
      <w:sz w:val="18"/>
      <w:lang w:val="en-US" w:eastAsia="zh-CN" w:bidi="ar-SA"/>
    </w:rPr>
  </w:style>
  <w:style w:type="character" w:customStyle="1" w:styleId="739">
    <w:name w:val="排版正文 Char Char"/>
    <w:link w:val="138"/>
    <w:qFormat/>
    <w:uiPriority w:val="0"/>
    <w:rPr>
      <w:rFonts w:eastAsia="黑体"/>
      <w:kern w:val="2"/>
      <w:sz w:val="26"/>
      <w:szCs w:val="22"/>
      <w:lang w:val="en-US" w:eastAsia="zh-CN" w:bidi="ar-SA"/>
    </w:rPr>
  </w:style>
  <w:style w:type="character" w:customStyle="1" w:styleId="740">
    <w:name w:val="H9 Char"/>
    <w:qFormat/>
    <w:uiPriority w:val="0"/>
    <w:rPr>
      <w:rFonts w:ascii="Arial" w:hAnsi="Arial" w:eastAsia="黑体"/>
      <w:kern w:val="2"/>
      <w:sz w:val="21"/>
      <w:szCs w:val="21"/>
      <w:lang w:val="en-US" w:eastAsia="zh-CN" w:bidi="ar-SA"/>
    </w:rPr>
  </w:style>
  <w:style w:type="character" w:customStyle="1" w:styleId="741">
    <w:name w:val="图表标题 Char"/>
    <w:qFormat/>
    <w:uiPriority w:val="0"/>
    <w:rPr>
      <w:rFonts w:eastAsia="宋体"/>
      <w:kern w:val="2"/>
      <w:sz w:val="24"/>
      <w:lang w:val="en-US" w:eastAsia="zh-CN" w:bidi="ar-SA"/>
    </w:rPr>
  </w:style>
  <w:style w:type="character" w:customStyle="1" w:styleId="742">
    <w:name w:val="文字 Char"/>
    <w:link w:val="199"/>
    <w:qFormat/>
    <w:uiPriority w:val="0"/>
    <w:rPr>
      <w:kern w:val="2"/>
      <w:sz w:val="24"/>
      <w:szCs w:val="24"/>
    </w:rPr>
  </w:style>
  <w:style w:type="table" w:customStyle="1" w:styleId="743">
    <w:name w:val="YETI"/>
    <w:basedOn w:val="58"/>
    <w:qFormat/>
    <w:uiPriority w:val="0"/>
    <w:pPr>
      <w:jc w:val="center"/>
    </w:pPr>
    <w:rPr>
      <w:sz w:val="21"/>
    </w:rPr>
    <w:tcPr>
      <w:vAlign w:val="center"/>
    </w:tcPr>
  </w:style>
  <w:style w:type="table" w:customStyle="1" w:styleId="744">
    <w:name w:val="表格样式2"/>
    <w:basedOn w:val="57"/>
    <w:qFormat/>
    <w:uiPriority w:val="0"/>
    <w:pPr>
      <w:jc w:val="center"/>
    </w:pPr>
    <w:tcPr>
      <w:vAlign w:val="center"/>
    </w:tcPr>
  </w:style>
  <w:style w:type="table" w:customStyle="1" w:styleId="745">
    <w:name w:val="表格样式1"/>
    <w:basedOn w:val="57"/>
    <w:qFormat/>
    <w:uiPriority w:val="0"/>
    <w:pPr>
      <w:jc w:val="center"/>
    </w:pPr>
    <w:tcPr>
      <w:vAlign w:val="center"/>
    </w:tcPr>
  </w:style>
  <w:style w:type="table" w:customStyle="1" w:styleId="746">
    <w:name w:val="MFS表格"/>
    <w:basedOn w:val="56"/>
    <w:qFormat/>
    <w:uiPriority w:val="0"/>
    <w:pPr>
      <w:widowControl w:val="0"/>
      <w:snapToGrid w:val="0"/>
      <w:jc w:val="center"/>
    </w:pPr>
    <w:rPr>
      <w:sz w:val="18"/>
    </w:rPr>
    <w:tblPr>
      <w:tblBorders>
        <w:top w:val="single" w:color="000000" w:sz="12" w:space="0"/>
        <w:bottom w:val="single" w:color="000000" w:sz="12" w:space="0"/>
        <w:insideH w:val="single" w:color="000000" w:sz="6" w:space="0"/>
        <w:insideV w:val="single" w:color="000000" w:sz="6" w:space="0"/>
      </w:tblBorders>
    </w:tblPr>
    <w:tcPr>
      <w:shd w:val="clear" w:color="auto" w:fill="auto"/>
      <w:vAlign w:val="center"/>
    </w:tcPr>
    <w:tblStylePr w:type="firstRow">
      <w:tcPr>
        <w:tcBorders>
          <w:top w:val="nil"/>
          <w:left w:val="single" w:color="008000" w:sz="6" w:space="0"/>
          <w:bottom w:val="nil"/>
          <w:right w:val="nil"/>
          <w:insideH w:val="nil"/>
          <w:insideV w:val="nil"/>
          <w:tl2br w:val="nil"/>
          <w:tr2bl w:val="nil"/>
        </w:tcBorders>
      </w:tcPr>
    </w:tblStylePr>
    <w:tblStylePr w:type="lastRow">
      <w:tcPr>
        <w:tcBorders>
          <w:top w:val="single" w:color="008000" w:sz="6" w:space="0"/>
          <w:left w:val="nil"/>
          <w:bottom w:val="nil"/>
          <w:right w:val="nil"/>
          <w:insideH w:val="nil"/>
          <w:insideV w:val="nil"/>
          <w:tl2br w:val="nil"/>
          <w:tr2bl w:val="nil"/>
        </w:tcBorders>
      </w:tcPr>
    </w:tblStylePr>
  </w:style>
  <w:style w:type="paragraph" w:customStyle="1" w:styleId="747">
    <w:name w:val="5级标题"/>
    <w:basedOn w:val="1"/>
    <w:qFormat/>
    <w:uiPriority w:val="0"/>
    <w:pPr>
      <w:spacing w:line="360" w:lineRule="auto"/>
      <w:jc w:val="left"/>
    </w:pPr>
    <w:rPr>
      <w:kern w:val="0"/>
      <w:sz w:val="24"/>
    </w:rPr>
  </w:style>
  <w:style w:type="character" w:customStyle="1" w:styleId="748">
    <w:name w:val="fontstrikethrough"/>
    <w:basedOn w:val="63"/>
    <w:qFormat/>
    <w:uiPriority w:val="0"/>
    <w:rPr>
      <w:strike/>
    </w:rPr>
  </w:style>
  <w:style w:type="character" w:customStyle="1" w:styleId="749">
    <w:name w:val="fontborder"/>
    <w:basedOn w:val="63"/>
    <w:qFormat/>
    <w:uiPriority w:val="0"/>
    <w:rPr>
      <w:bdr w:val="single" w:color="000000" w:sz="6" w:space="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customXml" Target="../customXml/item2.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jpeg"/><Relationship Id="rId42" Type="http://schemas.openxmlformats.org/officeDocument/2006/relationships/image" Target="media/image24.jpe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wmf"/><Relationship Id="rId34" Type="http://schemas.openxmlformats.org/officeDocument/2006/relationships/oleObject" Target="embeddings/oleObject7.bin"/><Relationship Id="rId33" Type="http://schemas.openxmlformats.org/officeDocument/2006/relationships/image" Target="media/image16.wmf"/><Relationship Id="rId32" Type="http://schemas.openxmlformats.org/officeDocument/2006/relationships/oleObject" Target="embeddings/oleObject6.bin"/><Relationship Id="rId31" Type="http://schemas.openxmlformats.org/officeDocument/2006/relationships/image" Target="media/image15.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4.bin"/><Relationship Id="rId27" Type="http://schemas.openxmlformats.org/officeDocument/2006/relationships/image" Target="media/image13.wmf"/><Relationship Id="rId26" Type="http://schemas.openxmlformats.org/officeDocument/2006/relationships/oleObject" Target="embeddings/oleObject3.bin"/><Relationship Id="rId25" Type="http://schemas.openxmlformats.org/officeDocument/2006/relationships/image" Target="media/image12.wmf"/><Relationship Id="rId24" Type="http://schemas.openxmlformats.org/officeDocument/2006/relationships/oleObject" Target="embeddings/oleObject2.bin"/><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oleObject1.bin"/><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gICAiRmlsZUlkIiA6ICI5MzM4MzEzMjE5MiIsCiAgICJHcm91cElkIiA6ICIyMDc2Njk5NDUiLAogICAiSW1hZ2UiIDogImlWQk9SdzBLR2dvQUFBQU5TVWhFVWdBQUFqa0FBQUs2Q0FZQUFBRGJ6MDBiQUFBQUNYQklXWE1BQUFzVEFBQUxFd0VBbXB3WUFBQWdBRWxFUVZSNG5PemRlWHhjVmQwLzhNKzlrOWxua3Buc2E1Tm1UOU8wemMwRGlMSXBpSUt5YUxIZ3dpNHVLSWlDQW9vaUR6OUJlT0JoVWZRUkhnb0tpRUFSRUdTUnBWVGtxU3d6WGRLa1RaTk05cVNUYlpMSkxKbnQzdDhmbVFtVE5HbWFramJwNVBOK3ZmTEt2ZWVlZSs2NTB6YjU5cHh6dnhjZ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JzK0gvN2czVWU2SHBsbndBQUFBQkpSVTVFcmtKZ2dnPT0iLAogICAiVHlwZSIgOiAiZmxvdyIKfQo="/>
    </extobj>
    <extobj name="ECB019B1-382A-4266-B25C-5B523AA43C14-2">
      <extobjdata type="ECB019B1-382A-4266-B25C-5B523AA43C14" data="ewogICAiRmlsZUlkIiA6ICI5Mzc2NTc3MzI1MCIsCiAgICJHcm91cElkIiA6ICIyMDc2Njk5NDUiLAogICAiSW1hZ2UiIDogImlWQk9SdzBLR2dvQUFBQU5TVWhFVWdBQUFaWUFBQUZ2Q0FZQUFBQnBaZTFIQUFBQUNYQklXWE1BQUFzVEFBQUxFd0VBbXB3WUFBQWdBRWxFUVZSNG5PM2RlWGhiVjVrLzhPKzkyamRMM2gxdmNiekZTN3hkVHplbWxMSjFZWUNXS1F6MFIwdVpVclpDS2FWMHVneFRDcVdaRnJwQkthV1VwVXhUMG9ZV3VsREsxZzNLVWhMTFNXTWx0dU00anBkWVhtVkx0bVRKa3M3dkQwdXVySGlKRThXSzdlL25lZlJJOTl4enJ0NnJ4UGZWUGVmY0s0Q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"/>
    </extobj>
    <extobj name="ECB019B1-382A-4266-B25C-5B523AA43C14-3">
      <extobjdata type="ECB019B1-382A-4266-B25C-5B523AA43C14" data="ewogICAiRmlsZUlkIiA6ICI5Mzc1MTcxOTIyMSIsCiAgICJHcm91cElkIiA6ICIyMDc2Njk5NDUiLAogICAiSW1hZ2UiIDogImlWQk9SdzBLR2dvQUFBQU5TVWhFVWdBQUFhZ0FBQUVUQ0FZQUFBQmp2NUoyQUFBQUNYQklXWE1BQUFzVEFBQUxFd0VBbXB3WUFBQWdBRWxFUVZSNG5PM2RlWHhqWmIwLzhNODUyZmVrNlpLMms3YlRkdEo5T2owand5TDZFMWxFUkJFM3hBMFUxT3VDZ0J1TEtLSmVCUFZlVkZRV0JSWGhJc093ZytCRkJLN0lhdE1acHAzdW5lN1RKZDJTTkZ1VG5OOGZUV3FhYVdjNmEwUDdlYjllZWVXYzV6em55WE9TOW56ekxPY0VJQ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"/>
    </extobj>
    <extobj name="ECB019B1-382A-4266-B25C-5B523AA43C14-4">
      <extobjdata type="ECB019B1-382A-4266-B25C-5B523AA43C14" data="ewogICAiRmlsZUlkIiA6ICI5Mzc3NzYyNjEwMyIsCiAgICJHcm91cElkIiA6ICIyMDc2Njk5NDUiLAogICAiSW1hZ2UiIDogImlWQk9SdzBLR2dvQUFBQU5TVWhFVWdBQUFjQUFBQUhQQ0FZQUFBREVjd3FtQUFBQUNYQklXWE1BQUFzVEFBQUxFd0VBbXB3WUFBQWdBRWxFUVZSNG5PemRkM2hiMWYwLzhMZTJydmF5NVNYSGU4bFRJZXhWQ0JRSVgxWmFvS1VsMEtaUVdpaGxoVElLWVRUc1VUWUVDSlJRUWxnSlVDZy9SdGdyc1JQSGRqemllRTlaMXQ2V2RIOS9XSEpseFU2Y2tNUk85SGs5ajUvb25udnV1ZWNxdGo0Njk1NEJ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MSWZQZC9FaXpEMTJxeWtVQUFBQUFBU1VWT1JLNUNZSUk9IiwKICAgIlR5cGUiIDogImZsb3ciCn0K"/>
    </extobj>
    <extobj name="ECB019B1-382A-4266-B25C-5B523AA43C14-5">
      <extobjdata type="ECB019B1-382A-4266-B25C-5B523AA43C14" data="ewogICAiRmlsZUlkIiA6ICI5NjU1MDQxMjM3NyIsCiAgICJHcm91cElkIiA6ICIyMDc2Njk5NDUiLAogICAiSW1hZ2UiIDogImlWQk9SdzBLR2dvQUFBQU5TVWhFVWdBQUExVUFBQUo1Q0FZQUFBQkc1aG8vQUFBQUNYQklXWE1BQUFzVEFBQUxFd0VBbXB3WUFBQWdBRWxFUVZSNG5PemRlM3hqWlowLzhHOHVQY2xKVHBwcm16VFhYdEpySm0wVGhRVldFSkgxZ3FnSXE4aUNnSzU0WVZsZzFWMXY0S0FvQ0t5Z3ErN1BRUVZaQVpGUmQxRkFRUkFRQVZHbXcweW5NNTAydmFYM1cyN052VW5PNzQ4bVl5YVRObWxUWnRxWnovdjFtdGYwUE9jNXozbnk5RG5wK1o3TDh4QUJ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DByZjhIOGNUNHNPR1luMTRBQUFBQVNVVk9SSzVDWUlJPSIsCiAgICJUeXBlIiA6ICJmbG93Igp9Cg=="/>
    </extobj>
    <extobj name="ECB019B1-382A-4266-B25C-5B523AA43C14-6">
      <extobjdata type="ECB019B1-382A-4266-B25C-5B523AA43C14" data="ewogICAiRmlsZUlkIiA6ICI5NjYxNzc0MDcwNiIsCiAgICJHcm91cElkIiA6ICIyMDc2Njk5NDUiLAogICAiSW1hZ2UiIDogImlWQk9SdzBLR2dvQUFBQU5TVWhFVWdBQUErOEFBQUlVQ0FZQUFBQnJXQjFMQUFBQUNYQklXWE1BQUFzVEFBQUxFd0VBbXB3WUFBQWdBRWxFUVZSNG5PemRlWHhUVmQ0LzhNOU5tcVRaMm5UZmFXa0xMUzF0YVFvcWlPQ0NDeXFERzI0RElzcjhYQmw5MUJsblZCWWQ1MUVmbDNGM0hFWGNaeEJGR1dGd0ZKRnhSNlFMcGFXVWxxVmxhZE0yYmRva1RkSWs1L2RIbTA2NlVncWFWajd2MXl1djVwNXo3am5mcEZqenpUbjNYSUN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t0UC9COEFlVEwxTVR5VWdBQUFBQUVsRlRrU3VRbUNDIiwKICAgIlR5cGUiIDogImZsb3ciCn0K"/>
    </extobj>
  </extobj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25B466-43C7-4EFB-B01C-C47331281399}">
  <ds:schemaRefs/>
</ds:datastoreItem>
</file>

<file path=docProps/app.xml><?xml version="1.0" encoding="utf-8"?>
<Properties xmlns="http://schemas.openxmlformats.org/officeDocument/2006/extended-properties" xmlns:vt="http://schemas.openxmlformats.org/officeDocument/2006/docPropsVTypes">
  <Template>Normal</Template>
  <Company>wangyh</Company>
  <Pages>137</Pages>
  <Words>76297</Words>
  <Characters>92150</Characters>
  <Lines>541</Lines>
  <Paragraphs>152</Paragraphs>
  <TotalTime>6</TotalTime>
  <ScaleCrop>false</ScaleCrop>
  <LinksUpToDate>false</LinksUpToDate>
  <CharactersWithSpaces>93579</CharactersWithSpaces>
  <Application>WPS Office_11.1.0.9192_F1E327BC-269C-435d-A152-05C5408002CA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2020-10-22T17:06:00Z</dcterms:created>
  <dc:creator>wangyh</dc:creator>
  <cp:lastModifiedBy>刃</cp:lastModifiedBy>
  <cp:lastPrinted>2019-04-10T07:41:00Z</cp:lastPrinted>
  <dcterms:modified xsi:type="dcterms:W3CDTF">2020-12-25T09:53:59Z</dcterms:modified>
  <dc:title>建设项目环境影响报告表</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